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55DA" w:rsidRDefault="005555DA" w:rsidP="005555DA">
      <w:pPr>
        <w:spacing w:line="240" w:lineRule="auto"/>
        <w:jc w:val="both"/>
        <w:rPr>
          <w:rFonts w:ascii="Times New Roman" w:hAnsi="Times New Roman" w:cs="Times New Roman"/>
          <w:b/>
          <w:sz w:val="24"/>
          <w:szCs w:val="24"/>
        </w:rPr>
      </w:pPr>
      <w:r w:rsidRPr="005555DA">
        <w:rPr>
          <w:rFonts w:ascii="Times New Roman" w:hAnsi="Times New Roman" w:cs="Times New Roman"/>
          <w:b/>
          <w:sz w:val="24"/>
          <w:szCs w:val="24"/>
        </w:rPr>
        <w:t>Paper -</w:t>
      </w:r>
      <w:r>
        <w:rPr>
          <w:rFonts w:ascii="Times New Roman" w:hAnsi="Times New Roman" w:cs="Times New Roman"/>
          <w:sz w:val="24"/>
          <w:szCs w:val="24"/>
        </w:rPr>
        <w:t xml:space="preserve"> </w:t>
      </w:r>
      <w:r w:rsidRPr="007730F7">
        <w:rPr>
          <w:rFonts w:ascii="Times New Roman" w:hAnsi="Times New Roman" w:cs="Times New Roman"/>
          <w:b/>
          <w:sz w:val="24"/>
          <w:szCs w:val="24"/>
        </w:rPr>
        <w:t>Sobre la próxima recesión</w:t>
      </w:r>
      <w:r>
        <w:rPr>
          <w:rFonts w:ascii="Times New Roman" w:hAnsi="Times New Roman" w:cs="Times New Roman"/>
          <w:sz w:val="24"/>
          <w:szCs w:val="24"/>
        </w:rPr>
        <w:t xml:space="preserve"> </w:t>
      </w:r>
      <w:r w:rsidRPr="007730F7">
        <w:rPr>
          <w:rFonts w:ascii="Times New Roman" w:hAnsi="Times New Roman" w:cs="Times New Roman"/>
          <w:b/>
          <w:sz w:val="24"/>
          <w:szCs w:val="24"/>
        </w:rPr>
        <w:t>(</w:t>
      </w:r>
      <w:r>
        <w:rPr>
          <w:rFonts w:ascii="Times New Roman" w:hAnsi="Times New Roman" w:cs="Times New Roman"/>
          <w:b/>
          <w:sz w:val="24"/>
          <w:szCs w:val="24"/>
        </w:rPr>
        <w:t>¿q</w:t>
      </w:r>
      <w:r w:rsidRPr="007730F7">
        <w:rPr>
          <w:rFonts w:ascii="Times New Roman" w:hAnsi="Times New Roman" w:cs="Times New Roman"/>
          <w:b/>
          <w:sz w:val="24"/>
          <w:szCs w:val="24"/>
        </w:rPr>
        <w:t>ué herramientas</w:t>
      </w:r>
      <w:r w:rsidR="003E14BC">
        <w:rPr>
          <w:rFonts w:ascii="Times New Roman" w:hAnsi="Times New Roman" w:cs="Times New Roman"/>
          <w:b/>
          <w:sz w:val="24"/>
          <w:szCs w:val="24"/>
        </w:rPr>
        <w:t xml:space="preserve"> -monetarias y fiscales-</w:t>
      </w:r>
      <w:r>
        <w:rPr>
          <w:rFonts w:ascii="Times New Roman" w:hAnsi="Times New Roman" w:cs="Times New Roman"/>
          <w:b/>
          <w:sz w:val="24"/>
          <w:szCs w:val="24"/>
        </w:rPr>
        <w:t xml:space="preserve"> le</w:t>
      </w:r>
      <w:r w:rsidRPr="007730F7">
        <w:rPr>
          <w:rFonts w:ascii="Times New Roman" w:hAnsi="Times New Roman" w:cs="Times New Roman"/>
          <w:b/>
          <w:sz w:val="24"/>
          <w:szCs w:val="24"/>
        </w:rPr>
        <w:t xml:space="preserve"> quedan</w:t>
      </w:r>
      <w:r>
        <w:rPr>
          <w:rFonts w:ascii="Times New Roman" w:hAnsi="Times New Roman" w:cs="Times New Roman"/>
          <w:b/>
          <w:sz w:val="24"/>
          <w:szCs w:val="24"/>
        </w:rPr>
        <w:t xml:space="preserve"> al Banco Central Europeo</w:t>
      </w:r>
      <w:r w:rsidR="003E14BC">
        <w:rPr>
          <w:rFonts w:ascii="Times New Roman" w:hAnsi="Times New Roman" w:cs="Times New Roman"/>
          <w:b/>
          <w:sz w:val="24"/>
          <w:szCs w:val="24"/>
        </w:rPr>
        <w:t xml:space="preserve"> </w:t>
      </w:r>
      <w:r>
        <w:rPr>
          <w:rFonts w:ascii="Times New Roman" w:hAnsi="Times New Roman" w:cs="Times New Roman"/>
          <w:b/>
          <w:sz w:val="24"/>
          <w:szCs w:val="24"/>
        </w:rPr>
        <w:t>y al Sector Público, de los países miembro de la euro-zona, para hacerle frente? ¿alcanzará el “gas de la risa”</w:t>
      </w:r>
      <w:r w:rsidR="003E14BC">
        <w:rPr>
          <w:rFonts w:ascii="Times New Roman" w:hAnsi="Times New Roman" w:cs="Times New Roman"/>
          <w:b/>
          <w:sz w:val="24"/>
          <w:szCs w:val="24"/>
        </w:rPr>
        <w:t>,</w:t>
      </w:r>
      <w:r>
        <w:rPr>
          <w:rFonts w:ascii="Times New Roman" w:hAnsi="Times New Roman" w:cs="Times New Roman"/>
          <w:b/>
          <w:sz w:val="24"/>
          <w:szCs w:val="24"/>
        </w:rPr>
        <w:t xml:space="preserve"> para mantener el “índice de alegría”?)</w:t>
      </w:r>
    </w:p>
    <w:p w:rsidR="0017473D" w:rsidRDefault="005C0342">
      <w:pPr>
        <w:rPr>
          <w:rFonts w:ascii="Times New Roman" w:hAnsi="Times New Roman" w:cs="Times New Roman"/>
          <w:sz w:val="24"/>
          <w:szCs w:val="24"/>
        </w:rPr>
      </w:pPr>
      <w:r w:rsidRPr="005C0342">
        <w:rPr>
          <w:rFonts w:ascii="Times New Roman" w:hAnsi="Times New Roman" w:cs="Times New Roman"/>
          <w:sz w:val="24"/>
          <w:szCs w:val="24"/>
        </w:rPr>
        <w:t xml:space="preserve"> </w:t>
      </w:r>
    </w:p>
    <w:p w:rsidR="005C0342" w:rsidRDefault="005C0342">
      <w:pPr>
        <w:rPr>
          <w:rFonts w:ascii="Times New Roman" w:hAnsi="Times New Roman" w:cs="Times New Roman"/>
          <w:sz w:val="24"/>
          <w:szCs w:val="24"/>
        </w:rPr>
      </w:pPr>
      <w:r>
        <w:rPr>
          <w:noProof/>
          <w:lang w:eastAsia="es-ES"/>
        </w:rPr>
        <w:drawing>
          <wp:inline distT="0" distB="0" distL="0" distR="0" wp14:anchorId="6D36CD51" wp14:editId="6A6F9F06">
            <wp:extent cx="5731510" cy="3225165"/>
            <wp:effectExtent l="0" t="0" r="2540" b="0"/>
            <wp:docPr id="12" name="Imagen 12" descr="Un trabajador saliendo de Lehman Brothers tras la qui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 trabajador saliendo de Lehman Brothers tras la quiebr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225165"/>
                    </a:xfrm>
                    <a:prstGeom prst="rect">
                      <a:avLst/>
                    </a:prstGeom>
                    <a:noFill/>
                    <a:ln>
                      <a:noFill/>
                    </a:ln>
                  </pic:spPr>
                </pic:pic>
              </a:graphicData>
            </a:graphic>
          </wp:inline>
        </w:drawing>
      </w:r>
    </w:p>
    <w:p w:rsidR="00551599" w:rsidRDefault="00551599">
      <w:pPr>
        <w:rPr>
          <w:rFonts w:ascii="Times New Roman" w:hAnsi="Times New Roman" w:cs="Times New Roman"/>
          <w:b/>
          <w:sz w:val="24"/>
          <w:szCs w:val="24"/>
        </w:rPr>
      </w:pPr>
      <w:r w:rsidRPr="00551599">
        <w:rPr>
          <w:rFonts w:ascii="Times New Roman" w:hAnsi="Times New Roman" w:cs="Times New Roman"/>
          <w:b/>
          <w:sz w:val="24"/>
          <w:szCs w:val="24"/>
        </w:rPr>
        <w:t>- Introducción: ¿un’altra volta?</w:t>
      </w:r>
      <w:r>
        <w:rPr>
          <w:rFonts w:ascii="Times New Roman" w:hAnsi="Times New Roman" w:cs="Times New Roman"/>
          <w:b/>
          <w:sz w:val="24"/>
          <w:szCs w:val="24"/>
        </w:rPr>
        <w:t xml:space="preserve"> (nueva </w:t>
      </w:r>
      <w:r w:rsidR="003E14BC">
        <w:rPr>
          <w:rFonts w:ascii="Times New Roman" w:hAnsi="Times New Roman" w:cs="Times New Roman"/>
          <w:b/>
          <w:sz w:val="24"/>
          <w:szCs w:val="24"/>
        </w:rPr>
        <w:t>“burbu-</w:t>
      </w:r>
      <w:r>
        <w:rPr>
          <w:rFonts w:ascii="Times New Roman" w:hAnsi="Times New Roman" w:cs="Times New Roman"/>
          <w:b/>
          <w:sz w:val="24"/>
          <w:szCs w:val="24"/>
        </w:rPr>
        <w:t>crisis</w:t>
      </w:r>
      <w:r w:rsidR="003E14BC">
        <w:rPr>
          <w:rFonts w:ascii="Times New Roman" w:hAnsi="Times New Roman" w:cs="Times New Roman"/>
          <w:b/>
          <w:sz w:val="24"/>
          <w:szCs w:val="24"/>
        </w:rPr>
        <w:t>”</w:t>
      </w:r>
      <w:r>
        <w:rPr>
          <w:rFonts w:ascii="Times New Roman" w:hAnsi="Times New Roman" w:cs="Times New Roman"/>
          <w:b/>
          <w:sz w:val="24"/>
          <w:szCs w:val="24"/>
        </w:rPr>
        <w:t>, con los mismos “burbu-giles”)</w:t>
      </w:r>
    </w:p>
    <w:p w:rsidR="006D78F8" w:rsidRDefault="006D78F8" w:rsidP="006D78F8">
      <w:pPr>
        <w:spacing w:line="240" w:lineRule="auto"/>
        <w:jc w:val="both"/>
        <w:rPr>
          <w:rFonts w:ascii="Times New Roman" w:hAnsi="Times New Roman" w:cs="Times New Roman"/>
          <w:sz w:val="24"/>
          <w:szCs w:val="24"/>
        </w:rPr>
      </w:pPr>
      <w:r w:rsidRPr="006D78F8">
        <w:rPr>
          <w:rFonts w:ascii="Times New Roman" w:hAnsi="Times New Roman" w:cs="Times New Roman"/>
          <w:sz w:val="24"/>
          <w:szCs w:val="24"/>
        </w:rPr>
        <w:t>¿Cuándo se acaba la fiesta?</w:t>
      </w:r>
      <w:r>
        <w:rPr>
          <w:rFonts w:ascii="Times New Roman" w:hAnsi="Times New Roman" w:cs="Times New Roman"/>
          <w:sz w:val="24"/>
          <w:szCs w:val="24"/>
        </w:rPr>
        <w:t xml:space="preserve"> </w:t>
      </w:r>
      <w:r w:rsidRPr="000A7D67">
        <w:rPr>
          <w:rFonts w:ascii="Times New Roman" w:hAnsi="Times New Roman" w:cs="Times New Roman"/>
          <w:sz w:val="24"/>
          <w:szCs w:val="24"/>
        </w:rPr>
        <w:t>¿Estamos preparados para una nueva crisis? ¿Tienen los bancos centrales</w:t>
      </w:r>
      <w:r>
        <w:rPr>
          <w:rFonts w:ascii="Times New Roman" w:hAnsi="Times New Roman" w:cs="Times New Roman"/>
          <w:sz w:val="24"/>
          <w:szCs w:val="24"/>
        </w:rPr>
        <w:t xml:space="preserve"> políticas adecuadas para ello?</w:t>
      </w:r>
      <w:r w:rsidR="00713697">
        <w:rPr>
          <w:rFonts w:ascii="Times New Roman" w:hAnsi="Times New Roman" w:cs="Times New Roman"/>
          <w:sz w:val="24"/>
          <w:szCs w:val="24"/>
        </w:rPr>
        <w:t xml:space="preserve">... </w:t>
      </w:r>
    </w:p>
    <w:p w:rsidR="005C0342" w:rsidRPr="00500D79" w:rsidRDefault="00713697" w:rsidP="005C0342">
      <w:pPr>
        <w:spacing w:line="240" w:lineRule="auto"/>
        <w:jc w:val="both"/>
        <w:rPr>
          <w:rFonts w:ascii="Times New Roman" w:hAnsi="Times New Roman" w:cs="Times New Roman"/>
          <w:sz w:val="24"/>
          <w:szCs w:val="24"/>
        </w:rPr>
      </w:pPr>
      <w:r w:rsidRPr="00713697">
        <w:rPr>
          <w:rFonts w:ascii="Times New Roman" w:hAnsi="Times New Roman" w:cs="Times New Roman"/>
          <w:sz w:val="24"/>
          <w:szCs w:val="24"/>
          <w:u w:val="single"/>
        </w:rPr>
        <w:t>V</w:t>
      </w:r>
      <w:r w:rsidR="005C0342" w:rsidRPr="00713697">
        <w:rPr>
          <w:rFonts w:ascii="Times New Roman" w:hAnsi="Times New Roman" w:cs="Times New Roman"/>
          <w:sz w:val="24"/>
          <w:szCs w:val="24"/>
          <w:u w:val="single"/>
        </w:rPr>
        <w:t>u</w:t>
      </w:r>
      <w:r w:rsidR="005C0342" w:rsidRPr="00500D79">
        <w:rPr>
          <w:rFonts w:ascii="Times New Roman" w:hAnsi="Times New Roman" w:cs="Times New Roman"/>
          <w:sz w:val="24"/>
          <w:szCs w:val="24"/>
          <w:u w:val="single"/>
        </w:rPr>
        <w:t>elven los fantasmas a 10 años de la caída de Lehman Brothers</w:t>
      </w:r>
      <w:r>
        <w:rPr>
          <w:rFonts w:ascii="Times New Roman" w:hAnsi="Times New Roman" w:cs="Times New Roman"/>
          <w:sz w:val="24"/>
          <w:szCs w:val="24"/>
        </w:rPr>
        <w:t xml:space="preserve"> </w:t>
      </w:r>
    </w:p>
    <w:p w:rsidR="005C0342" w:rsidRPr="00713697" w:rsidRDefault="005C0342" w:rsidP="005C0342">
      <w:pPr>
        <w:spacing w:line="240" w:lineRule="auto"/>
        <w:jc w:val="both"/>
        <w:rPr>
          <w:rFonts w:ascii="Times New Roman" w:hAnsi="Times New Roman" w:cs="Times New Roman"/>
          <w:sz w:val="24"/>
          <w:szCs w:val="24"/>
        </w:rPr>
      </w:pPr>
      <w:r w:rsidRPr="00713697">
        <w:rPr>
          <w:rFonts w:ascii="Times New Roman" w:hAnsi="Times New Roman" w:cs="Times New Roman"/>
          <w:sz w:val="24"/>
          <w:szCs w:val="24"/>
        </w:rPr>
        <w:t>Casi diez años han pasado desde aquella terrible noticia que sobrecogió al mundo financiero. El 15 de septiembre de 2008, el banco de inversión Lehman Brothers, cuarto más grande de Estados Unidos, se declaraba en quiebra y el sistema financiero norteamericano se tambaleaba.</w:t>
      </w:r>
    </w:p>
    <w:p w:rsidR="005C0342" w:rsidRPr="00713697" w:rsidRDefault="005C0342" w:rsidP="005C0342">
      <w:pPr>
        <w:spacing w:line="240" w:lineRule="auto"/>
        <w:jc w:val="both"/>
        <w:rPr>
          <w:rFonts w:ascii="Times New Roman" w:hAnsi="Times New Roman" w:cs="Times New Roman"/>
          <w:sz w:val="24"/>
          <w:szCs w:val="24"/>
        </w:rPr>
      </w:pPr>
      <w:r w:rsidRPr="00713697">
        <w:rPr>
          <w:rFonts w:ascii="Times New Roman" w:hAnsi="Times New Roman" w:cs="Times New Roman"/>
          <w:sz w:val="24"/>
          <w:szCs w:val="24"/>
        </w:rPr>
        <w:t xml:space="preserve">Nos inundaban imágenes de decenas de empleados que abandonaban con cajas de cartón las sedes de los grandes bancos y aseguradoras para no volver. Aquel evento acabaría convirtiéndose en el detonante de la crisis más importante desde el </w:t>
      </w:r>
      <w:r w:rsidR="00871209" w:rsidRPr="00713697">
        <w:rPr>
          <w:rFonts w:ascii="Times New Roman" w:hAnsi="Times New Roman" w:cs="Times New Roman"/>
          <w:sz w:val="24"/>
          <w:szCs w:val="24"/>
        </w:rPr>
        <w:t>“Crack del 29”</w:t>
      </w:r>
      <w:r w:rsidRPr="00713697">
        <w:rPr>
          <w:rFonts w:ascii="Times New Roman" w:hAnsi="Times New Roman" w:cs="Times New Roman"/>
          <w:sz w:val="24"/>
          <w:szCs w:val="24"/>
        </w:rPr>
        <w:t xml:space="preserve"> que sumiría a la economía mundial en una profunda recesión.  </w:t>
      </w:r>
    </w:p>
    <w:p w:rsidR="00464566" w:rsidRDefault="005C0342" w:rsidP="005C0342">
      <w:pPr>
        <w:spacing w:line="240" w:lineRule="auto"/>
        <w:jc w:val="both"/>
        <w:rPr>
          <w:rFonts w:ascii="Times New Roman" w:hAnsi="Times New Roman" w:cs="Times New Roman"/>
          <w:sz w:val="24"/>
          <w:szCs w:val="24"/>
        </w:rPr>
      </w:pPr>
      <w:r w:rsidRPr="00713697">
        <w:rPr>
          <w:rFonts w:ascii="Times New Roman" w:hAnsi="Times New Roman" w:cs="Times New Roman"/>
          <w:sz w:val="24"/>
          <w:szCs w:val="24"/>
        </w:rPr>
        <w:t>Una década después, y como consecuencia de una recuperación que invita a olvidarse de aquellos sucesos, empiezan a aparecer síntomas que sugieren que la economía global se encuent</w:t>
      </w:r>
      <w:r w:rsidR="00464566">
        <w:rPr>
          <w:rFonts w:ascii="Times New Roman" w:hAnsi="Times New Roman" w:cs="Times New Roman"/>
          <w:sz w:val="24"/>
          <w:szCs w:val="24"/>
        </w:rPr>
        <w:t xml:space="preserve">ra una situación delicada. </w:t>
      </w:r>
      <w:r w:rsidRPr="00713697">
        <w:rPr>
          <w:rFonts w:ascii="Times New Roman" w:hAnsi="Times New Roman" w:cs="Times New Roman"/>
          <w:sz w:val="24"/>
          <w:szCs w:val="24"/>
        </w:rPr>
        <w:t>Se e</w:t>
      </w:r>
      <w:r w:rsidR="00464566">
        <w:rPr>
          <w:rFonts w:ascii="Times New Roman" w:hAnsi="Times New Roman" w:cs="Times New Roman"/>
          <w:sz w:val="24"/>
          <w:szCs w:val="24"/>
        </w:rPr>
        <w:t>stán repitiendo algunos errores.</w:t>
      </w:r>
      <w:r w:rsidRPr="00713697">
        <w:rPr>
          <w:rFonts w:ascii="Times New Roman" w:hAnsi="Times New Roman" w:cs="Times New Roman"/>
          <w:sz w:val="24"/>
          <w:szCs w:val="24"/>
        </w:rPr>
        <w:t xml:space="preserve"> </w:t>
      </w:r>
    </w:p>
    <w:p w:rsidR="005C0342" w:rsidRPr="00464566" w:rsidRDefault="00464566" w:rsidP="005C0342">
      <w:pPr>
        <w:spacing w:line="240" w:lineRule="auto"/>
        <w:jc w:val="both"/>
        <w:rPr>
          <w:rFonts w:ascii="Times New Roman" w:hAnsi="Times New Roman" w:cs="Times New Roman"/>
          <w:sz w:val="24"/>
          <w:szCs w:val="24"/>
        </w:rPr>
      </w:pPr>
      <w:r w:rsidRPr="00464566">
        <w:rPr>
          <w:rFonts w:ascii="Times New Roman" w:hAnsi="Times New Roman" w:cs="Times New Roman"/>
          <w:sz w:val="24"/>
          <w:szCs w:val="24"/>
        </w:rPr>
        <w:t>V</w:t>
      </w:r>
      <w:r w:rsidR="005C0342" w:rsidRPr="00464566">
        <w:rPr>
          <w:rFonts w:ascii="Times New Roman" w:hAnsi="Times New Roman" w:cs="Times New Roman"/>
          <w:sz w:val="24"/>
          <w:szCs w:val="24"/>
        </w:rPr>
        <w:t xml:space="preserve">arios premios Nobel hablan de una nueva burbuja que se originará en los mercados de valores, y que será la protagonizada </w:t>
      </w:r>
      <w:r w:rsidRPr="00464566">
        <w:rPr>
          <w:rFonts w:ascii="Times New Roman" w:hAnsi="Times New Roman" w:cs="Times New Roman"/>
          <w:sz w:val="24"/>
          <w:szCs w:val="24"/>
        </w:rPr>
        <w:t xml:space="preserve">por las empresas tecnológicas: </w:t>
      </w:r>
      <w:r w:rsidR="005C0342" w:rsidRPr="00464566">
        <w:rPr>
          <w:rFonts w:ascii="Times New Roman" w:hAnsi="Times New Roman" w:cs="Times New Roman"/>
          <w:sz w:val="24"/>
          <w:szCs w:val="24"/>
        </w:rPr>
        <w:t>No puede ser que empresas como Apple o Amazon valgan lo</w:t>
      </w:r>
      <w:r w:rsidRPr="00464566">
        <w:rPr>
          <w:rFonts w:ascii="Times New Roman" w:hAnsi="Times New Roman" w:cs="Times New Roman"/>
          <w:sz w:val="24"/>
          <w:szCs w:val="24"/>
        </w:rPr>
        <w:t xml:space="preserve"> mismo que la economía española</w:t>
      </w:r>
      <w:r w:rsidR="005C0342" w:rsidRPr="00464566">
        <w:rPr>
          <w:rFonts w:ascii="Times New Roman" w:hAnsi="Times New Roman" w:cs="Times New Roman"/>
          <w:sz w:val="24"/>
          <w:szCs w:val="24"/>
        </w:rPr>
        <w:t xml:space="preserve">. </w:t>
      </w:r>
    </w:p>
    <w:p w:rsidR="005C0342" w:rsidRDefault="005C0342" w:rsidP="005C0342">
      <w:pPr>
        <w:spacing w:line="240" w:lineRule="auto"/>
        <w:jc w:val="both"/>
        <w:rPr>
          <w:rFonts w:ascii="Times New Roman" w:hAnsi="Times New Roman" w:cs="Times New Roman"/>
          <w:sz w:val="24"/>
          <w:szCs w:val="24"/>
        </w:rPr>
      </w:pPr>
      <w:r w:rsidRPr="00464566">
        <w:rPr>
          <w:rFonts w:ascii="Times New Roman" w:hAnsi="Times New Roman" w:cs="Times New Roman"/>
          <w:sz w:val="24"/>
          <w:szCs w:val="24"/>
        </w:rPr>
        <w:lastRenderedPageBreak/>
        <w:t xml:space="preserve">Así, observamos que las amenazas que acechan al orden económico mundial en la actualidad, son, en cierto modo, paralelas a las que condujeron a la Gran Recesión que se inició en 2008: </w:t>
      </w:r>
      <w:r w:rsidR="00871209" w:rsidRPr="00464566">
        <w:rPr>
          <w:rFonts w:ascii="Times New Roman" w:hAnsi="Times New Roman" w:cs="Times New Roman"/>
          <w:sz w:val="24"/>
          <w:szCs w:val="24"/>
        </w:rPr>
        <w:t>de un lado, la “manga ancha”</w:t>
      </w:r>
      <w:r w:rsidRPr="00464566">
        <w:rPr>
          <w:rFonts w:ascii="Times New Roman" w:hAnsi="Times New Roman" w:cs="Times New Roman"/>
          <w:sz w:val="24"/>
          <w:szCs w:val="24"/>
        </w:rPr>
        <w:t xml:space="preserve"> de las entidades financieras en la concesión de créditos, y de otro, el riesgo de una burbuja, que esta vez podría encontrarse en la tecnología en lugar de en las viviendas.</w:t>
      </w:r>
    </w:p>
    <w:p w:rsidR="00464566" w:rsidRPr="00464566" w:rsidRDefault="00FF7079" w:rsidP="005C034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464566" w:rsidRPr="00464566">
        <w:rPr>
          <w:rFonts w:ascii="Times New Roman" w:hAnsi="Times New Roman" w:cs="Times New Roman"/>
          <w:sz w:val="24"/>
          <w:szCs w:val="24"/>
          <w:u w:val="single"/>
        </w:rPr>
        <w:t>Tiempo de revisar el perfil de riesgo</w:t>
      </w:r>
      <w:r>
        <w:rPr>
          <w:rFonts w:ascii="Times New Roman" w:hAnsi="Times New Roman" w:cs="Times New Roman"/>
          <w:sz w:val="24"/>
          <w:szCs w:val="24"/>
          <w:u w:val="single"/>
        </w:rPr>
        <w:t>?</w:t>
      </w:r>
    </w:p>
    <w:p w:rsidR="00464566" w:rsidRPr="00464566" w:rsidRDefault="00464566" w:rsidP="005C0342">
      <w:pPr>
        <w:pStyle w:val="NormalWeb"/>
        <w:shd w:val="clear" w:color="auto" w:fill="FFFFFF"/>
        <w:spacing w:before="0" w:beforeAutospacing="0" w:after="270" w:afterAutospacing="0"/>
        <w:jc w:val="both"/>
        <w:rPr>
          <w:i/>
          <w:spacing w:val="-1"/>
        </w:rPr>
      </w:pPr>
      <w:r>
        <w:rPr>
          <w:i/>
          <w:spacing w:val="-1"/>
        </w:rPr>
        <w:t>“</w:t>
      </w:r>
      <w:r w:rsidR="005C0342" w:rsidRPr="00464566">
        <w:rPr>
          <w:i/>
          <w:spacing w:val="-1"/>
        </w:rPr>
        <w:t>En EEUU la expansión económica dura ya más de nueve años, lo que convierte a este ciclo en uno de los más largos de la historia. Según el la Oficina Nacional de Investigación Económica de EEUU, la expansión comenzó de forma oficial en junio de 2009 y poco a poco se encamina a su décimo año consecutivo. En el caso de la Eurozona fue en 2014, cuando se dio por finalizada la crisis de deuda soberana que afectó a esta región de forma un tanto aislada. Son años de crecimiento y cada vez más riesgos que pueden revertir esta tendencia, según los expertos del banco francés Natixis</w:t>
      </w:r>
      <w:r>
        <w:rPr>
          <w:i/>
          <w:spacing w:val="-1"/>
        </w:rPr>
        <w:t>”..</w:t>
      </w:r>
      <w:r w:rsidR="005C0342" w:rsidRPr="00464566">
        <w:rPr>
          <w:i/>
          <w:spacing w:val="-1"/>
        </w:rPr>
        <w:t>.</w:t>
      </w:r>
      <w:r>
        <w:rPr>
          <w:i/>
          <w:spacing w:val="-1"/>
        </w:rPr>
        <w:t xml:space="preserve"> </w:t>
      </w:r>
      <w:r w:rsidRPr="001A7C59">
        <w:rPr>
          <w:u w:val="single"/>
        </w:rPr>
        <w:t>La próxima recesión económica se acerca y hasta siete factores pueden ser el desencadenante</w:t>
      </w:r>
      <w:r>
        <w:t xml:space="preserve"> (El Economista - </w:t>
      </w:r>
      <w:r w:rsidRPr="001A7C59">
        <w:rPr>
          <w:b/>
        </w:rPr>
        <w:t>17/8/18</w:t>
      </w:r>
      <w:r>
        <w:t>)</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David F. Lafferty, estratega jefe de Natixis, destaca en un informe reciente publicado por la ent</w:t>
      </w:r>
      <w:r w:rsidR="00871209">
        <w:rPr>
          <w:spacing w:val="-1"/>
        </w:rPr>
        <w:t>idad que “</w:t>
      </w:r>
      <w:r w:rsidRPr="002004D6">
        <w:rPr>
          <w:spacing w:val="-1"/>
        </w:rPr>
        <w:t>podemos decir que existe casi un 100% de certeza de que una recesión se aproxima a</w:t>
      </w:r>
      <w:r w:rsidR="00871209">
        <w:rPr>
          <w:spacing w:val="-1"/>
        </w:rPr>
        <w:t xml:space="preserve"> EEUU y al mundo en algún punto”</w:t>
      </w:r>
      <w:r w:rsidRPr="002004D6">
        <w:rPr>
          <w:spacing w:val="-1"/>
        </w:rPr>
        <w:t>. </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La próxima recesión tendrá un efecto considerable s</w:t>
      </w:r>
      <w:r w:rsidR="00871209">
        <w:rPr>
          <w:spacing w:val="-1"/>
        </w:rPr>
        <w:t>obre los mercados financieros, “</w:t>
      </w:r>
      <w:r w:rsidRPr="002004D6">
        <w:rPr>
          <w:spacing w:val="-1"/>
        </w:rPr>
        <w:t>dadas las actuales valoraciones y las fuertes expectativas de crecimiento, por lo que es poco probable que las acciones puedan resisti</w:t>
      </w:r>
      <w:r w:rsidR="00871209">
        <w:rPr>
          <w:spacing w:val="-1"/>
        </w:rPr>
        <w:t>r a una recesión y salir ilesas”</w:t>
      </w:r>
      <w:r w:rsidRPr="002004D6">
        <w:rPr>
          <w:spacing w:val="-1"/>
        </w:rPr>
        <w:t>, señala Lafferty.</w:t>
      </w:r>
    </w:p>
    <w:p w:rsidR="005C0342" w:rsidRPr="0023557F" w:rsidRDefault="005C0342" w:rsidP="005C0342">
      <w:pPr>
        <w:pStyle w:val="Ttulo2"/>
        <w:shd w:val="clear" w:color="auto" w:fill="FFFFFF"/>
        <w:spacing w:before="300" w:after="225" w:line="240" w:lineRule="auto"/>
        <w:jc w:val="both"/>
        <w:rPr>
          <w:rFonts w:ascii="Times New Roman" w:hAnsi="Times New Roman" w:cs="Times New Roman"/>
          <w:bCs w:val="0"/>
          <w:color w:val="auto"/>
          <w:sz w:val="24"/>
          <w:szCs w:val="24"/>
        </w:rPr>
      </w:pPr>
      <w:r w:rsidRPr="0023557F">
        <w:rPr>
          <w:rFonts w:ascii="Times New Roman" w:hAnsi="Times New Roman" w:cs="Times New Roman"/>
          <w:bCs w:val="0"/>
          <w:color w:val="auto"/>
          <w:sz w:val="24"/>
          <w:szCs w:val="24"/>
        </w:rPr>
        <w:t>Los siete peligros</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Los economistas de Natixis creen que unos tipos de interés a corto plazo más elevados por los cambios de política de la Reserva Federal (Fed), el Banco Central Europeo (BCE) y el Banco de Inglaterra (BoE) en 2019 pueden poner cierta presión sobre las condiciones financieras globales.</w:t>
      </w:r>
    </w:p>
    <w:p w:rsidR="005C0342" w:rsidRPr="002004D6" w:rsidRDefault="005C0342" w:rsidP="005C0342">
      <w:pPr>
        <w:shd w:val="clear" w:color="auto" w:fill="FFFFFF"/>
        <w:spacing w:line="240" w:lineRule="auto"/>
        <w:jc w:val="both"/>
        <w:rPr>
          <w:rFonts w:ascii="Times New Roman" w:hAnsi="Times New Roman" w:cs="Times New Roman"/>
          <w:sz w:val="24"/>
          <w:szCs w:val="24"/>
        </w:rPr>
      </w:pPr>
      <w:r w:rsidRPr="002004D6">
        <w:rPr>
          <w:rFonts w:ascii="Times New Roman" w:hAnsi="Times New Roman" w:cs="Times New Roman"/>
          <w:noProof/>
          <w:sz w:val="24"/>
          <w:szCs w:val="24"/>
          <w:lang w:eastAsia="es-ES"/>
        </w:rPr>
        <w:drawing>
          <wp:inline distT="0" distB="0" distL="0" distR="0" wp14:anchorId="1231EB92" wp14:editId="2026F10B">
            <wp:extent cx="5715000" cy="2470150"/>
            <wp:effectExtent l="0" t="0" r="0" b="6350"/>
            <wp:docPr id="26" name="Imagen 26" descr="http://s03.s3c.es/imag/_v0/756x522/6/0/a/positive-real-r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756x522/6/0/a/positive-real-rate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2470150"/>
                    </a:xfrm>
                    <a:prstGeom prst="rect">
                      <a:avLst/>
                    </a:prstGeom>
                    <a:noFill/>
                    <a:ln>
                      <a:noFill/>
                    </a:ln>
                  </pic:spPr>
                </pic:pic>
              </a:graphicData>
            </a:graphic>
          </wp:inline>
        </w:drawing>
      </w:r>
    </w:p>
    <w:p w:rsidR="005C0342" w:rsidRPr="002004D6" w:rsidRDefault="00871209" w:rsidP="005C0342">
      <w:pPr>
        <w:pStyle w:val="NormalWeb"/>
        <w:shd w:val="clear" w:color="auto" w:fill="FFFFFF"/>
        <w:spacing w:before="0" w:beforeAutospacing="0" w:after="270" w:afterAutospacing="0"/>
        <w:jc w:val="both"/>
        <w:rPr>
          <w:spacing w:val="-1"/>
        </w:rPr>
      </w:pPr>
      <w:r>
        <w:rPr>
          <w:spacing w:val="-1"/>
        </w:rPr>
        <w:t>“</w:t>
      </w:r>
      <w:r w:rsidR="005C0342" w:rsidRPr="002004D6">
        <w:rPr>
          <w:spacing w:val="-1"/>
        </w:rPr>
        <w:t>Hasta ahora, las subidas de tipos de la Fed sólo han logrado que los tipos de interés reales (descontando la inflación) sean menos negativos. Pero los tipos de la Fed ya han alcanzado el 2%, cerca del nivel de la inflación subyacente, por lo que los tipos reales van a empezar a ser positivos. Hasta ahora el dinero ha sido más que gratis, pero finalmente en 2019 l</w:t>
      </w:r>
      <w:r>
        <w:rPr>
          <w:spacing w:val="-1"/>
        </w:rPr>
        <w:t xml:space="preserve">os tipos </w:t>
      </w:r>
      <w:r>
        <w:rPr>
          <w:spacing w:val="-1"/>
        </w:rPr>
        <w:lastRenderedPageBreak/>
        <w:t>reales serán positivos”</w:t>
      </w:r>
      <w:r w:rsidR="005C0342" w:rsidRPr="002004D6">
        <w:rPr>
          <w:spacing w:val="-1"/>
        </w:rPr>
        <w:t xml:space="preserve">. Esto quiere decir que endeudarse va a tener un coste real para el prestatario (el agente que necesita financiación), mientras que los agentes que necesiten refinanciar deuda </w:t>
      </w:r>
      <w:r>
        <w:rPr>
          <w:spacing w:val="-1"/>
        </w:rPr>
        <w:t>que vence tendrán que pagar un “precio”</w:t>
      </w:r>
      <w:r w:rsidR="005C0342" w:rsidRPr="002004D6">
        <w:rPr>
          <w:spacing w:val="-1"/>
        </w:rPr>
        <w:t>.</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b/>
          <w:bCs/>
          <w:spacing w:val="-1"/>
        </w:rPr>
        <w:t>El aplanamiento de la curva</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La segunda razón tiene que ver mucho con la primera y es el </w:t>
      </w:r>
      <w:hyperlink r:id="rId9" w:history="1">
        <w:r w:rsidRPr="00871209">
          <w:rPr>
            <w:rStyle w:val="Hipervnculo"/>
            <w:color w:val="auto"/>
            <w:spacing w:val="-1"/>
            <w:u w:val="none"/>
          </w:rPr>
          <w:t>aplanamiento de la curva de tipos</w:t>
        </w:r>
      </w:hyperlink>
      <w:r w:rsidRPr="00871209">
        <w:rPr>
          <w:spacing w:val="-1"/>
        </w:rPr>
        <w:t>. </w:t>
      </w:r>
      <w:r>
        <w:rPr>
          <w:spacing w:val="-1"/>
        </w:rPr>
        <w:t>L</w:t>
      </w:r>
      <w:r w:rsidRPr="002004D6">
        <w:rPr>
          <w:spacing w:val="-1"/>
        </w:rPr>
        <w:t>a curva de tipos en EEUU se está aplanando, y si la tendencia continúa podría terminar invirtiéndose, lo que casi en el 100% de las veces ha sido síntoma inequívoco de que la próxima recesión está a la vuelta de la esquina (10 meses de media según la Fed de San Luis). Según el consenso de los economistas, la pendiente de la curva de rendimientos es el mejor predictor de recesiones.</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En condiciones normales, la curva de tipos tiene una pendiente positiva. La explicación es lógica: </w:t>
      </w:r>
      <w:r w:rsidRPr="002004D6">
        <w:rPr>
          <w:i/>
          <w:iCs/>
          <w:spacing w:val="-1"/>
        </w:rPr>
        <w:t>grosso modo</w:t>
      </w:r>
      <w:r w:rsidRPr="002004D6">
        <w:rPr>
          <w:spacing w:val="-1"/>
        </w:rPr>
        <w:t>, no es lo mismo prestar dinero a alguien durante tres meses o un año que hacerlo con una promesa de devolución a diez o veinte años. La deuda o los bonos con vencimientos más largos suelen ofrecer un interés superior (prima a plazo), porque un mayor espacio de tiempo es sinónimo de incertidumbre.</w:t>
      </w:r>
    </w:p>
    <w:p w:rsidR="005C0342" w:rsidRPr="002004D6" w:rsidRDefault="005C0342" w:rsidP="005C0342">
      <w:pPr>
        <w:spacing w:line="240" w:lineRule="auto"/>
        <w:jc w:val="both"/>
        <w:rPr>
          <w:rFonts w:ascii="Times New Roman" w:hAnsi="Times New Roman" w:cs="Times New Roman"/>
          <w:sz w:val="24"/>
          <w:szCs w:val="24"/>
        </w:rPr>
      </w:pPr>
      <w:r w:rsidRPr="002004D6">
        <w:rPr>
          <w:rFonts w:ascii="Times New Roman" w:hAnsi="Times New Roman" w:cs="Times New Roman"/>
          <w:spacing w:val="-1"/>
          <w:sz w:val="24"/>
          <w:szCs w:val="24"/>
        </w:rPr>
        <w:t>La incertidumbre y el pesimismo por el futuro de la economía pueden tensar los mercados monetarios y con ello los tipos a corto plazo. Los inversores tienden a buscar mayor seguridad cuando se muestran pesimistas respecto al futuro y esto lo pueden encontrar en los activos seguros a mayor plazo (que se pueden mantener en cartera hasta su vencimiento con un cupón considerable), lo que mantiene relativamente estables o la baja los rendimientos de estos bonos frente a los de corto plazo. Esto a su vez erosiona la rentabilidad de la banca (margen por intereses) cuyo negocio principal se basa en pedir prestado a corto y prestar a largo plazo.</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b/>
          <w:bCs/>
          <w:spacing w:val="-1"/>
        </w:rPr>
        <w:t>Tensiones comerciales</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Otro factor de riesgo, según Natixis, es un incremento de las tensione</w:t>
      </w:r>
      <w:r w:rsidR="00871209">
        <w:rPr>
          <w:spacing w:val="-1"/>
        </w:rPr>
        <w:t>s comerciales significante que “</w:t>
      </w:r>
      <w:r w:rsidRPr="002004D6">
        <w:rPr>
          <w:spacing w:val="-1"/>
        </w:rPr>
        <w:t>termine interrumpiendo las</w:t>
      </w:r>
      <w:r w:rsidR="00871209">
        <w:rPr>
          <w:spacing w:val="-1"/>
        </w:rPr>
        <w:t xml:space="preserve"> cadenas globales de suministro”</w:t>
      </w:r>
      <w:r w:rsidRPr="002004D6">
        <w:rPr>
          <w:spacing w:val="-1"/>
        </w:rPr>
        <w:t>. Esta situación llevada al extremo puede conducir al mundo a la estanflación, es decir, bajo o nulo crecimiento económico acompañado de una inflación elevada, producto de las distorsiones provocadas por los aranceles y las subidas de precios de algunos bienes y servicios que se movían en las cadenas globales libremente (antes de los aranceles).</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b/>
          <w:bCs/>
          <w:spacing w:val="-1"/>
        </w:rPr>
        <w:t>Reforma fiscal en EEUU</w:t>
      </w:r>
    </w:p>
    <w:p w:rsidR="005C0342" w:rsidRDefault="005C0342" w:rsidP="005C0342">
      <w:pPr>
        <w:pStyle w:val="NormalWeb"/>
        <w:shd w:val="clear" w:color="auto" w:fill="FFFFFF"/>
        <w:spacing w:before="0" w:beforeAutospacing="0" w:after="270" w:afterAutospacing="0"/>
        <w:jc w:val="both"/>
        <w:rPr>
          <w:spacing w:val="-1"/>
        </w:rPr>
      </w:pPr>
      <w:r w:rsidRPr="002004D6">
        <w:rPr>
          <w:spacing w:val="-1"/>
        </w:rPr>
        <w:t>El cuarto factor reside en la reacción de la economía de EEUU cuando el estímulo de la refor</w:t>
      </w:r>
      <w:r w:rsidR="00871209">
        <w:rPr>
          <w:spacing w:val="-1"/>
        </w:rPr>
        <w:t>ma fiscal vaya desapareciendo: “</w:t>
      </w:r>
      <w:r w:rsidRPr="002004D6">
        <w:rPr>
          <w:spacing w:val="-1"/>
        </w:rPr>
        <w:t>Mientras que algunos efectos secundarios permanecerán siendo positivos, el impacto de la bajada de impuestos se i</w:t>
      </w:r>
      <w:r w:rsidR="00871209">
        <w:rPr>
          <w:spacing w:val="-1"/>
        </w:rPr>
        <w:t>rá desvaneciendo en 2019 y 2020”</w:t>
      </w:r>
      <w:r w:rsidRPr="002004D6">
        <w:rPr>
          <w:spacing w:val="-1"/>
        </w:rPr>
        <w:t>, comenta Lafferty.</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b/>
          <w:bCs/>
          <w:spacing w:val="-1"/>
        </w:rPr>
        <w:t>El Brexit</w:t>
      </w:r>
    </w:p>
    <w:p w:rsidR="005C0342" w:rsidRDefault="005C0342" w:rsidP="005C0342">
      <w:pPr>
        <w:pStyle w:val="NormalWeb"/>
        <w:shd w:val="clear" w:color="auto" w:fill="FFFFFF"/>
        <w:spacing w:before="0" w:beforeAutospacing="0" w:after="270" w:afterAutospacing="0"/>
        <w:jc w:val="both"/>
        <w:rPr>
          <w:spacing w:val="-1"/>
        </w:rPr>
      </w:pPr>
      <w:r w:rsidRPr="002004D6">
        <w:rPr>
          <w:spacing w:val="-1"/>
        </w:rPr>
        <w:t>E</w:t>
      </w:r>
      <w:r w:rsidR="00871209">
        <w:rPr>
          <w:spacing w:val="-1"/>
        </w:rPr>
        <w:t>l Brexit y la falta de acuerdo “</w:t>
      </w:r>
      <w:r w:rsidRPr="002004D6">
        <w:rPr>
          <w:spacing w:val="-1"/>
        </w:rPr>
        <w:t>también pueden generar más incertidumbre para las empresas y los consumidores q</w:t>
      </w:r>
      <w:r w:rsidR="00871209">
        <w:rPr>
          <w:spacing w:val="-1"/>
        </w:rPr>
        <w:t>ue obstaculizará el crecimiento”</w:t>
      </w:r>
      <w:r w:rsidRPr="002004D6">
        <w:rPr>
          <w:spacing w:val="-1"/>
        </w:rPr>
        <w:t>. Además, la estabilidad en la Unión Europea puede depender del éxito o fracaso de la salida del Reino Unido.</w:t>
      </w:r>
    </w:p>
    <w:p w:rsidR="00464566" w:rsidRPr="002004D6" w:rsidRDefault="00464566" w:rsidP="005C0342">
      <w:pPr>
        <w:pStyle w:val="NormalWeb"/>
        <w:shd w:val="clear" w:color="auto" w:fill="FFFFFF"/>
        <w:spacing w:before="0" w:beforeAutospacing="0" w:after="270" w:afterAutospacing="0"/>
        <w:jc w:val="both"/>
        <w:rPr>
          <w:spacing w:val="-1"/>
        </w:rPr>
      </w:pPr>
    </w:p>
    <w:p w:rsidR="005C0342" w:rsidRPr="002004D6" w:rsidRDefault="005C0342" w:rsidP="005C0342">
      <w:pPr>
        <w:pStyle w:val="NormalWeb"/>
        <w:shd w:val="clear" w:color="auto" w:fill="FFFFFF"/>
        <w:spacing w:before="0" w:beforeAutospacing="0" w:after="270" w:afterAutospacing="0"/>
        <w:jc w:val="both"/>
        <w:rPr>
          <w:spacing w:val="-1"/>
        </w:rPr>
      </w:pPr>
      <w:r w:rsidRPr="002004D6">
        <w:rPr>
          <w:b/>
          <w:bCs/>
          <w:spacing w:val="-1"/>
        </w:rPr>
        <w:lastRenderedPageBreak/>
        <w:t>La desaceleración de China y emergentes</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El sexto factor es la desaceleración del crecimiento en China, la ralentización del crédito (que limitará la inversión en capital) </w:t>
      </w:r>
      <w:hyperlink r:id="rId10" w:history="1">
        <w:r w:rsidRPr="00871209">
          <w:rPr>
            <w:rStyle w:val="Hipervnculo"/>
            <w:color w:val="auto"/>
            <w:spacing w:val="-1"/>
            <w:u w:val="none"/>
          </w:rPr>
          <w:t>y los precios de la vivienda</w:t>
        </w:r>
      </w:hyperlink>
      <w:r w:rsidRPr="002004D6">
        <w:rPr>
          <w:spacing w:val="-1"/>
        </w:rPr>
        <w:t> que comienzan a enfriarse. Dentro de su último boletín mensual, el BCE ha dedicado un artícu</w:t>
      </w:r>
      <w:r w:rsidR="00871209">
        <w:rPr>
          <w:spacing w:val="-1"/>
        </w:rPr>
        <w:t>lo al mercado inmobiliario del “</w:t>
      </w:r>
      <w:r w:rsidRPr="002004D6">
        <w:rPr>
          <w:spacing w:val="-1"/>
        </w:rPr>
        <w:t>gigante as</w:t>
      </w:r>
      <w:r w:rsidR="00871209">
        <w:rPr>
          <w:spacing w:val="-1"/>
        </w:rPr>
        <w:t>iático” en el que reconoce que “</w:t>
      </w:r>
      <w:r w:rsidRPr="002004D6">
        <w:rPr>
          <w:spacing w:val="-1"/>
        </w:rPr>
        <w:t>un retroceso severo del mercado de la vivienda podría afectar considerablemente a la economía china, con posibles ef</w:t>
      </w:r>
      <w:r w:rsidR="00871209">
        <w:rPr>
          <w:spacing w:val="-1"/>
        </w:rPr>
        <w:t>ectos sobre la economía mundial”</w:t>
      </w:r>
      <w:r w:rsidRPr="002004D6">
        <w:rPr>
          <w:spacing w:val="-1"/>
        </w:rPr>
        <w:t>. El BCE cree que existe un riesgo importante de que esta corrección se produz</w:t>
      </w:r>
      <w:r w:rsidR="00871209">
        <w:rPr>
          <w:spacing w:val="-1"/>
        </w:rPr>
        <w:t>ca en algunas ciudades, lo que “</w:t>
      </w:r>
      <w:r w:rsidRPr="002004D6">
        <w:rPr>
          <w:spacing w:val="-1"/>
        </w:rPr>
        <w:t xml:space="preserve">podría provocar un endurecimiento más general de </w:t>
      </w:r>
      <w:r w:rsidR="00871209">
        <w:rPr>
          <w:spacing w:val="-1"/>
        </w:rPr>
        <w:t>las condiciones de financiación”</w:t>
      </w:r>
      <w:r w:rsidRPr="002004D6">
        <w:rPr>
          <w:spacing w:val="-1"/>
        </w:rPr>
        <w:t>.</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spacing w:val="-1"/>
        </w:rPr>
        <w:t>A esto hay que añadir los problemas que tendrán a corto plazo los países emergentes para seguir creciendo. La petición de ayuda de Argentina al Fondo Monetario Internacional para detener la caída del peso y las turbulencias </w:t>
      </w:r>
      <w:hyperlink r:id="rId11" w:history="1">
        <w:r w:rsidRPr="00871209">
          <w:rPr>
            <w:rStyle w:val="Hipervnculo"/>
            <w:color w:val="auto"/>
            <w:spacing w:val="-1"/>
            <w:u w:val="none"/>
          </w:rPr>
          <w:t>que está viviendo Turquía</w:t>
        </w:r>
      </w:hyperlink>
      <w:r w:rsidRPr="002004D6">
        <w:rPr>
          <w:spacing w:val="-1"/>
        </w:rPr>
        <w:t> son un aviso claro de que los excesos en algunos países emergentes pueden tener un final complejo. El crecimiento de los emergentes es a día de hoy muy relevante para la economía mundial.</w:t>
      </w:r>
    </w:p>
    <w:p w:rsidR="005C0342" w:rsidRPr="002004D6" w:rsidRDefault="005C0342" w:rsidP="005C0342">
      <w:pPr>
        <w:pStyle w:val="NormalWeb"/>
        <w:shd w:val="clear" w:color="auto" w:fill="FFFFFF"/>
        <w:spacing w:before="0" w:beforeAutospacing="0" w:after="270" w:afterAutospacing="0"/>
        <w:jc w:val="both"/>
        <w:rPr>
          <w:spacing w:val="-1"/>
        </w:rPr>
      </w:pPr>
      <w:r w:rsidRPr="002004D6">
        <w:rPr>
          <w:b/>
          <w:bCs/>
          <w:spacing w:val="-1"/>
        </w:rPr>
        <w:t>¿Subida del petróleo?</w:t>
      </w:r>
    </w:p>
    <w:p w:rsidR="005C0342" w:rsidRDefault="005C0342" w:rsidP="005C0342">
      <w:pPr>
        <w:pStyle w:val="NormalWeb"/>
        <w:shd w:val="clear" w:color="auto" w:fill="FFFFFF"/>
        <w:spacing w:before="0" w:beforeAutospacing="0" w:after="270" w:afterAutospacing="0"/>
        <w:jc w:val="both"/>
        <w:rPr>
          <w:spacing w:val="-1"/>
        </w:rPr>
      </w:pPr>
      <w:r w:rsidRPr="002004D6">
        <w:rPr>
          <w:spacing w:val="-1"/>
        </w:rPr>
        <w:t>Por último, aparece la posibilidad de que la falta de inversión durante los últimos años en la industria del petróleo pueda crear cuellos de botella en este mercado y el precio del crudo suba con fuerza. Desde Natixis ven el precio del oro negro en los 60-65 dólares por barril, un nivel aceptable y compatible con un crecimiento económ</w:t>
      </w:r>
      <w:r w:rsidR="00551599">
        <w:rPr>
          <w:spacing w:val="-1"/>
        </w:rPr>
        <w:t>ico mundial sincronizado, pero “l</w:t>
      </w:r>
      <w:r w:rsidRPr="002004D6">
        <w:rPr>
          <w:spacing w:val="-1"/>
        </w:rPr>
        <w:t>os riesgos geopolíticos en Oriente Medio y las disrupciones en la producción en algunos países pueden empujar al precio del petróleo, lo que históricamente no ha sido bueno para el crecimiento global</w:t>
      </w:r>
      <w:r w:rsidR="00551599">
        <w:rPr>
          <w:spacing w:val="-1"/>
        </w:rPr>
        <w:t>”</w:t>
      </w:r>
      <w:r w:rsidRPr="002004D6">
        <w:rPr>
          <w:spacing w:val="-1"/>
        </w:rPr>
        <w:t>.</w:t>
      </w:r>
    </w:p>
    <w:p w:rsidR="00FF7079" w:rsidRPr="00FF7079" w:rsidRDefault="00FF7079" w:rsidP="005C0342">
      <w:pPr>
        <w:pStyle w:val="NormalWeb"/>
        <w:shd w:val="clear" w:color="auto" w:fill="FFFFFF"/>
        <w:spacing w:before="0" w:beforeAutospacing="0" w:after="270" w:afterAutospacing="0"/>
        <w:jc w:val="both"/>
        <w:rPr>
          <w:spacing w:val="-1"/>
          <w:u w:val="single"/>
        </w:rPr>
      </w:pPr>
      <w:r w:rsidRPr="00FF7079">
        <w:rPr>
          <w:spacing w:val="-1"/>
          <w:u w:val="single"/>
        </w:rPr>
        <w:t>¿Inmunes al desaliento? (siga, siga, siga el baile…)</w:t>
      </w:r>
    </w:p>
    <w:p w:rsidR="00AD55A7" w:rsidRPr="00EE2232" w:rsidRDefault="00FF7079" w:rsidP="00AD55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D55A7" w:rsidRPr="00FF7079">
        <w:rPr>
          <w:rFonts w:ascii="Times New Roman" w:hAnsi="Times New Roman" w:cs="Times New Roman"/>
          <w:sz w:val="24"/>
          <w:szCs w:val="24"/>
        </w:rPr>
        <w:t>Wall Street acaricia la racha alcista más larga de su historia</w:t>
      </w:r>
      <w:r>
        <w:rPr>
          <w:rFonts w:ascii="Times New Roman" w:hAnsi="Times New Roman" w:cs="Times New Roman"/>
          <w:sz w:val="24"/>
          <w:szCs w:val="24"/>
        </w:rPr>
        <w:t>”</w:t>
      </w:r>
      <w:r w:rsidR="00E20AE9">
        <w:rPr>
          <w:rFonts w:ascii="Times New Roman" w:hAnsi="Times New Roman" w:cs="Times New Roman"/>
          <w:sz w:val="24"/>
          <w:szCs w:val="24"/>
        </w:rPr>
        <w:t>.</w:t>
      </w:r>
      <w:r w:rsidR="00AD55A7">
        <w:rPr>
          <w:rFonts w:ascii="Times New Roman" w:hAnsi="Times New Roman" w:cs="Times New Roman"/>
          <w:sz w:val="24"/>
          <w:szCs w:val="24"/>
        </w:rPr>
        <w:t xml:space="preserve"> (Cinco Días - </w:t>
      </w:r>
      <w:r w:rsidR="00AD55A7" w:rsidRPr="00EC7FB7">
        <w:rPr>
          <w:rFonts w:ascii="Times New Roman" w:hAnsi="Times New Roman" w:cs="Times New Roman"/>
          <w:b/>
          <w:sz w:val="24"/>
          <w:szCs w:val="24"/>
        </w:rPr>
        <w:t>19/8/18</w:t>
      </w:r>
      <w:r w:rsidR="00AD55A7">
        <w:rPr>
          <w:rFonts w:ascii="Times New Roman" w:hAnsi="Times New Roman" w:cs="Times New Roman"/>
          <w:sz w:val="24"/>
          <w:szCs w:val="24"/>
        </w:rPr>
        <w:t>)</w:t>
      </w:r>
    </w:p>
    <w:p w:rsidR="00AD55A7" w:rsidRPr="00EC7FB7" w:rsidRDefault="00AD55A7" w:rsidP="00AD55A7">
      <w:pPr>
        <w:spacing w:line="240" w:lineRule="auto"/>
        <w:jc w:val="both"/>
        <w:rPr>
          <w:rFonts w:ascii="Times New Roman" w:hAnsi="Times New Roman" w:cs="Times New Roman"/>
          <w:sz w:val="24"/>
          <w:szCs w:val="24"/>
        </w:rPr>
      </w:pPr>
      <w:r w:rsidRPr="00EC7FB7">
        <w:rPr>
          <w:rFonts w:ascii="Times New Roman" w:hAnsi="Times New Roman" w:cs="Times New Roman"/>
          <w:sz w:val="24"/>
          <w:szCs w:val="24"/>
        </w:rPr>
        <w:t>Han pasado 3.451 días sin una caída superior al 20% desde máximos</w:t>
      </w:r>
      <w:r w:rsidR="00E20AE9">
        <w:rPr>
          <w:rFonts w:ascii="Times New Roman" w:hAnsi="Times New Roman" w:cs="Times New Roman"/>
          <w:sz w:val="24"/>
          <w:szCs w:val="24"/>
        </w:rPr>
        <w:t>.</w:t>
      </w:r>
    </w:p>
    <w:p w:rsidR="00AD55A7" w:rsidRDefault="00AD55A7" w:rsidP="00AD55A7">
      <w:pPr>
        <w:spacing w:line="240" w:lineRule="auto"/>
        <w:jc w:val="both"/>
        <w:rPr>
          <w:rFonts w:ascii="Times New Roman" w:hAnsi="Times New Roman" w:cs="Times New Roman"/>
          <w:sz w:val="24"/>
          <w:szCs w:val="24"/>
        </w:rPr>
      </w:pPr>
      <w:r w:rsidRPr="00EC7FB7">
        <w:rPr>
          <w:rFonts w:ascii="Times New Roman" w:hAnsi="Times New Roman" w:cs="Times New Roman"/>
          <w:sz w:val="24"/>
          <w:szCs w:val="24"/>
        </w:rPr>
        <w:t>En los últimos nueve años y medio el S&amp;P ha subido un 325%</w:t>
      </w:r>
      <w:r w:rsidR="00E20AE9">
        <w:rPr>
          <w:rFonts w:ascii="Times New Roman" w:hAnsi="Times New Roman" w:cs="Times New Roman"/>
          <w:sz w:val="24"/>
          <w:szCs w:val="24"/>
        </w:rPr>
        <w:t>.</w:t>
      </w:r>
    </w:p>
    <w:p w:rsidR="00AD55A7" w:rsidRDefault="00AD55A7" w:rsidP="00AD55A7">
      <w:pPr>
        <w:spacing w:line="240" w:lineRule="auto"/>
        <w:jc w:val="both"/>
        <w:rPr>
          <w:rFonts w:ascii="Times New Roman" w:hAnsi="Times New Roman" w:cs="Times New Roman"/>
          <w:sz w:val="24"/>
          <w:szCs w:val="24"/>
        </w:rPr>
      </w:pPr>
      <w:r>
        <w:rPr>
          <w:noProof/>
          <w:lang w:eastAsia="es-ES"/>
        </w:rPr>
        <w:drawing>
          <wp:inline distT="0" distB="0" distL="0" distR="0" wp14:anchorId="321F1A9E" wp14:editId="6E4CFA49">
            <wp:extent cx="5733654" cy="2673350"/>
            <wp:effectExtent l="0" t="0" r="635" b="0"/>
            <wp:docPr id="255" name="Imagen 255" descr="https://d500.epimg.net/descargables/2018/08/17/0315984d50f283bac3d6161e2c1d7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8/08/17/0315984d50f283bac3d6161e2c1d707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2672350"/>
                    </a:xfrm>
                    <a:prstGeom prst="rect">
                      <a:avLst/>
                    </a:prstGeom>
                    <a:noFill/>
                    <a:ln>
                      <a:noFill/>
                    </a:ln>
                  </pic:spPr>
                </pic:pic>
              </a:graphicData>
            </a:graphic>
          </wp:inline>
        </w:drawing>
      </w:r>
    </w:p>
    <w:p w:rsidR="008C0554" w:rsidRPr="00AF5E7D" w:rsidRDefault="008C0554" w:rsidP="008C055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F5E7D">
        <w:rPr>
          <w:rFonts w:ascii="Times New Roman" w:hAnsi="Times New Roman" w:cs="Times New Roman"/>
          <w:sz w:val="24"/>
          <w:szCs w:val="24"/>
          <w:u w:val="single"/>
        </w:rPr>
        <w:t>La década de oro: 5 razones que explican el récord de crecimiento más largo en la historia de Wall Street</w:t>
      </w:r>
      <w:r>
        <w:rPr>
          <w:rFonts w:ascii="Times New Roman" w:hAnsi="Times New Roman" w:cs="Times New Roman"/>
          <w:sz w:val="24"/>
          <w:szCs w:val="24"/>
        </w:rPr>
        <w:t xml:space="preserve"> (BBCMundo - </w:t>
      </w:r>
      <w:r w:rsidRPr="00AF5E7D">
        <w:rPr>
          <w:rFonts w:ascii="Times New Roman" w:hAnsi="Times New Roman" w:cs="Times New Roman"/>
          <w:b/>
          <w:sz w:val="24"/>
          <w:szCs w:val="24"/>
        </w:rPr>
        <w:t>22/8/18</w:t>
      </w:r>
      <w:r>
        <w:rPr>
          <w:rFonts w:ascii="Times New Roman" w:hAnsi="Times New Roman" w:cs="Times New Roman"/>
          <w:sz w:val="24"/>
          <w:szCs w:val="24"/>
        </w:rPr>
        <w:t>)</w:t>
      </w:r>
    </w:p>
    <w:p w:rsidR="008C0554" w:rsidRDefault="008C0554" w:rsidP="008C05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F5E7D">
        <w:rPr>
          <w:rFonts w:ascii="Times New Roman" w:hAnsi="Times New Roman" w:cs="Times New Roman"/>
          <w:sz w:val="24"/>
          <w:szCs w:val="24"/>
        </w:rPr>
        <w:t>Cecilia Barría</w:t>
      </w:r>
      <w:r>
        <w:rPr>
          <w:rFonts w:ascii="Times New Roman" w:hAnsi="Times New Roman" w:cs="Times New Roman"/>
          <w:sz w:val="24"/>
          <w:szCs w:val="24"/>
        </w:rPr>
        <w:t>)</w:t>
      </w:r>
    </w:p>
    <w:p w:rsidR="008C0554"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La bolsa de Nueva York ha crecido más de 325% desde marzo de 2009.</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Desde que Wall Street tocó fondo en marzo de 2009, la mayor bolsa de valores del mundo comenzó a recuperarse como si tuviera un propulsor espacial.</w:t>
      </w:r>
    </w:p>
    <w:p w:rsidR="008C0554" w:rsidRPr="00FE2069" w:rsidRDefault="008C0554" w:rsidP="008C0554">
      <w:pPr>
        <w:spacing w:line="240" w:lineRule="auto"/>
        <w:jc w:val="both"/>
        <w:rPr>
          <w:rFonts w:ascii="Times New Roman" w:hAnsi="Times New Roman" w:cs="Times New Roman"/>
          <w:color w:val="FF0000"/>
          <w:sz w:val="24"/>
          <w:szCs w:val="24"/>
          <w:u w:val="single"/>
        </w:rPr>
      </w:pPr>
      <w:r w:rsidRPr="00FE2069">
        <w:rPr>
          <w:rFonts w:ascii="Times New Roman" w:hAnsi="Times New Roman" w:cs="Times New Roman"/>
          <w:color w:val="FF0000"/>
          <w:sz w:val="24"/>
          <w:szCs w:val="24"/>
          <w:u w:val="single"/>
        </w:rPr>
        <w:t xml:space="preserve">Nueve años, cinco meses y 13 días consecutivos de racha positiva marcaron el récord de crecimiento más largo en la historia de la Bolsa de Nueva </w:t>
      </w:r>
      <w:r>
        <w:rPr>
          <w:rFonts w:ascii="Times New Roman" w:hAnsi="Times New Roman" w:cs="Times New Roman"/>
          <w:color w:val="FF0000"/>
          <w:sz w:val="24"/>
          <w:szCs w:val="24"/>
          <w:u w:val="single"/>
        </w:rPr>
        <w:t>York desde que se creó en 1817.</w:t>
      </w:r>
    </w:p>
    <w:p w:rsidR="008C0554" w:rsidRPr="00AF5E7D" w:rsidRDefault="008C0554" w:rsidP="008C0554">
      <w:pPr>
        <w:spacing w:line="240" w:lineRule="auto"/>
        <w:jc w:val="both"/>
        <w:rPr>
          <w:rFonts w:ascii="Times New Roman" w:hAnsi="Times New Roman" w:cs="Times New Roman"/>
          <w:sz w:val="24"/>
          <w:szCs w:val="24"/>
        </w:rPr>
      </w:pPr>
      <w:r w:rsidRPr="00FE2069">
        <w:rPr>
          <w:rFonts w:ascii="Times New Roman" w:hAnsi="Times New Roman" w:cs="Times New Roman"/>
          <w:sz w:val="24"/>
          <w:szCs w:val="24"/>
          <w:u w:val="single"/>
        </w:rPr>
        <w:t>Atrás parecen haber quedado los días en que colapsó la burbuja inmobiliaria, cundió el pánico financiero y se desató una crisis global</w:t>
      </w:r>
      <w:r w:rsidRPr="00AF5E7D">
        <w:rPr>
          <w:rFonts w:ascii="Times New Roman" w:hAnsi="Times New Roman" w:cs="Times New Roman"/>
          <w:sz w:val="24"/>
          <w:szCs w:val="24"/>
        </w:rPr>
        <w:t>. Como si fuera una pesadilla de la que nadie quiere acordarse, los inversionistas están celebrando las espectacu</w:t>
      </w:r>
      <w:r>
        <w:rPr>
          <w:rFonts w:ascii="Times New Roman" w:hAnsi="Times New Roman" w:cs="Times New Roman"/>
          <w:sz w:val="24"/>
          <w:szCs w:val="24"/>
        </w:rPr>
        <w:t>lares ganancias de Wall Street.</w:t>
      </w:r>
    </w:p>
    <w:p w:rsidR="008C0554" w:rsidRPr="00FE2069" w:rsidRDefault="008C0554" w:rsidP="008C055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Es lo que se conoce como el “</w:t>
      </w:r>
      <w:r w:rsidRPr="00FE2069">
        <w:rPr>
          <w:rFonts w:ascii="Times New Roman" w:hAnsi="Times New Roman" w:cs="Times New Roman"/>
          <w:color w:val="FF0000"/>
          <w:sz w:val="24"/>
          <w:szCs w:val="24"/>
          <w:u w:val="single"/>
        </w:rPr>
        <w:t>bull market</w:t>
      </w:r>
      <w:r>
        <w:rPr>
          <w:rFonts w:ascii="Times New Roman" w:hAnsi="Times New Roman" w:cs="Times New Roman"/>
          <w:sz w:val="24"/>
          <w:szCs w:val="24"/>
        </w:rPr>
        <w:t>”</w:t>
      </w:r>
      <w:r w:rsidRPr="00AF5E7D">
        <w:rPr>
          <w:rFonts w:ascii="Times New Roman" w:hAnsi="Times New Roman" w:cs="Times New Roman"/>
          <w:sz w:val="24"/>
          <w:szCs w:val="24"/>
        </w:rPr>
        <w:t xml:space="preserve"> o un mercado fuerte en ascenso, representado por </w:t>
      </w:r>
      <w:r w:rsidRPr="00FE2069">
        <w:rPr>
          <w:rFonts w:ascii="Times New Roman" w:hAnsi="Times New Roman" w:cs="Times New Roman"/>
          <w:sz w:val="24"/>
          <w:szCs w:val="24"/>
          <w:u w:val="single"/>
        </w:rPr>
        <w:t>la monumental escultura de un toro en Manhattan.</w:t>
      </w:r>
    </w:p>
    <w:p w:rsidR="008C0554" w:rsidRPr="00FE2069" w:rsidRDefault="008C0554" w:rsidP="008C0554">
      <w:pPr>
        <w:spacing w:line="240" w:lineRule="auto"/>
        <w:jc w:val="both"/>
        <w:rPr>
          <w:rFonts w:ascii="Times New Roman" w:hAnsi="Times New Roman" w:cs="Times New Roman"/>
          <w:color w:val="FF0000"/>
          <w:sz w:val="24"/>
          <w:szCs w:val="24"/>
          <w:u w:val="single"/>
        </w:rPr>
      </w:pPr>
      <w:r w:rsidRPr="00FE2069">
        <w:rPr>
          <w:rFonts w:ascii="Times New Roman" w:hAnsi="Times New Roman" w:cs="Times New Roman"/>
          <w:color w:val="FF0000"/>
          <w:sz w:val="24"/>
          <w:szCs w:val="24"/>
          <w:u w:val="single"/>
        </w:rPr>
        <w:t>Un toro que lleva casi una década sin sufrir una gran corrección, es decir, una caída superior al 20%, Sí, más de una estocada le ha llegado, pero nada lo ha tirado al suelo en estos últimos años.</w:t>
      </w:r>
    </w:p>
    <w:p w:rsidR="008C0554" w:rsidRPr="00FE2069" w:rsidRDefault="008C0554" w:rsidP="008C0554">
      <w:pPr>
        <w:spacing w:line="240" w:lineRule="auto"/>
        <w:jc w:val="both"/>
        <w:rPr>
          <w:rFonts w:ascii="Times New Roman" w:hAnsi="Times New Roman" w:cs="Times New Roman"/>
          <w:color w:val="FF0000"/>
          <w:sz w:val="24"/>
          <w:szCs w:val="24"/>
          <w:u w:val="single"/>
        </w:rPr>
      </w:pPr>
      <w:r w:rsidRPr="00FE2069">
        <w:rPr>
          <w:rFonts w:ascii="Times New Roman" w:hAnsi="Times New Roman" w:cs="Times New Roman"/>
          <w:color w:val="FF0000"/>
          <w:sz w:val="24"/>
          <w:szCs w:val="24"/>
          <w:u w:val="single"/>
        </w:rPr>
        <w:t>La tendencia la marca el índice S&amp;P 500, que sigue la trayectoria de 500 grandes empresas que cotizan en Wall Street. Y el salto que ha dado desde los días oscuros de la crisis hasta ahora ha sido impresionante: escaló desde 676 puntos a 2.864, acumulando un alza de más de 325%.</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En medio de un boom de ganancias corporativas, recuperación económica y baja inflación, el récord de crecimiento se explica por la confluencia de varios factores.</w:t>
      </w:r>
    </w:p>
    <w:p w:rsidR="008C0554" w:rsidRPr="00FE2069" w:rsidRDefault="008C0554" w:rsidP="008C0554">
      <w:pPr>
        <w:spacing w:line="240" w:lineRule="auto"/>
        <w:jc w:val="both"/>
        <w:rPr>
          <w:rFonts w:ascii="Times New Roman" w:hAnsi="Times New Roman" w:cs="Times New Roman"/>
          <w:color w:val="FF0000"/>
          <w:sz w:val="24"/>
          <w:szCs w:val="24"/>
          <w:u w:val="single"/>
        </w:rPr>
      </w:pPr>
      <w:r w:rsidRPr="00FE2069">
        <w:rPr>
          <w:rFonts w:ascii="Times New Roman" w:hAnsi="Times New Roman" w:cs="Times New Roman"/>
          <w:color w:val="FF0000"/>
          <w:sz w:val="24"/>
          <w:szCs w:val="24"/>
          <w:u w:val="single"/>
        </w:rPr>
        <w:t>“Si tuviera que elegir una razón para explicar este récord, diría que es Donald Trump con su recorte de impuestos a las ganancias corporativas, su promesa de desregular y su legitimación de los negocios agresivos”, le dice a BBC Mundo Robert J. Shiller, profesor de economía de la Universidad de Yale.</w:t>
      </w:r>
    </w:p>
    <w:p w:rsidR="008C0554" w:rsidRPr="00FE2069" w:rsidRDefault="008C0554" w:rsidP="008C0554">
      <w:pPr>
        <w:spacing w:line="240" w:lineRule="auto"/>
        <w:jc w:val="both"/>
        <w:rPr>
          <w:rFonts w:ascii="Times New Roman" w:hAnsi="Times New Roman" w:cs="Times New Roman"/>
          <w:color w:val="FF0000"/>
          <w:sz w:val="24"/>
          <w:szCs w:val="24"/>
          <w:u w:val="single"/>
        </w:rPr>
      </w:pPr>
      <w:r w:rsidRPr="00FE2069">
        <w:rPr>
          <w:rFonts w:ascii="Times New Roman" w:hAnsi="Times New Roman" w:cs="Times New Roman"/>
          <w:color w:val="FF0000"/>
          <w:sz w:val="24"/>
          <w:szCs w:val="24"/>
          <w:u w:val="single"/>
        </w:rPr>
        <w:t>“Hay un aumento en las oportunidades para apostar, que yo asocio con este presidente y su estilo de magnate en un casino”.</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Algunos fondos de inversión han argumentado que el récord de crecimiento es una prueba de la habilidad de las grandes corporaciones estadounidenses para hacer negocios en tiempos difíciles, crear confianza en los inversionista</w:t>
      </w:r>
      <w:r>
        <w:rPr>
          <w:rFonts w:ascii="Times New Roman" w:hAnsi="Times New Roman" w:cs="Times New Roman"/>
          <w:sz w:val="24"/>
          <w:szCs w:val="24"/>
        </w:rPr>
        <w:t>s y generar riqueza en el país.</w:t>
      </w:r>
    </w:p>
    <w:p w:rsidR="008C0554" w:rsidRPr="00FE2069" w:rsidRDefault="008C0554" w:rsidP="008C0554">
      <w:pPr>
        <w:spacing w:line="240" w:lineRule="auto"/>
        <w:jc w:val="both"/>
        <w:rPr>
          <w:rFonts w:ascii="Times New Roman" w:hAnsi="Times New Roman" w:cs="Times New Roman"/>
          <w:color w:val="FF0000"/>
          <w:sz w:val="24"/>
          <w:szCs w:val="24"/>
          <w:u w:val="single"/>
        </w:rPr>
      </w:pPr>
      <w:r w:rsidRPr="00FE2069">
        <w:rPr>
          <w:rFonts w:ascii="Times New Roman" w:hAnsi="Times New Roman" w:cs="Times New Roman"/>
          <w:color w:val="FF0000"/>
          <w:sz w:val="24"/>
          <w:szCs w:val="24"/>
          <w:u w:val="single"/>
        </w:rPr>
        <w:t>“No hubo negocios maníacos, ni pánico en la compra y venta de acciones”, dijo Jack Ablin, jefe de Inversiones de Cresset Wealth Advisors. “Ha sido bastante sostenido”.</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Estas son algunas de las razones en las que coinciden distintos analistas para explicar el fenómeno.</w:t>
      </w:r>
    </w:p>
    <w:p w:rsidR="008C0554" w:rsidRDefault="008C0554" w:rsidP="008C055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723CEA6" wp14:editId="03BB5D0C">
            <wp:extent cx="5727700" cy="3060700"/>
            <wp:effectExtent l="0" t="0" r="6350" b="6350"/>
            <wp:docPr id="29" name="Imagen 29" descr="GrÃ¡fico Wall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Ã¡fico Wall Stree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062736"/>
                    </a:xfrm>
                    <a:prstGeom prst="rect">
                      <a:avLst/>
                    </a:prstGeom>
                    <a:noFill/>
                    <a:ln>
                      <a:noFill/>
                    </a:ln>
                  </pic:spPr>
                </pic:pic>
              </a:graphicData>
            </a:graphic>
          </wp:inline>
        </w:drawing>
      </w:r>
    </w:p>
    <w:p w:rsidR="008C0554" w:rsidRPr="00FE2069" w:rsidRDefault="008C0554" w:rsidP="008C0554">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1- </w:t>
      </w:r>
      <w:r w:rsidRPr="00FE2069">
        <w:rPr>
          <w:rFonts w:ascii="Times New Roman" w:hAnsi="Times New Roman" w:cs="Times New Roman"/>
          <w:color w:val="FF0000"/>
          <w:sz w:val="24"/>
          <w:szCs w:val="24"/>
        </w:rPr>
        <w:t>“Boom” de las ganancias empresariales</w:t>
      </w:r>
    </w:p>
    <w:p w:rsidR="008C0554" w:rsidRPr="00AF5E7D" w:rsidRDefault="008C0554" w:rsidP="008C0554">
      <w:pPr>
        <w:spacing w:line="240" w:lineRule="auto"/>
        <w:jc w:val="both"/>
        <w:rPr>
          <w:rFonts w:ascii="Times New Roman" w:hAnsi="Times New Roman" w:cs="Times New Roman"/>
          <w:sz w:val="24"/>
          <w:szCs w:val="24"/>
        </w:rPr>
      </w:pPr>
      <w:r w:rsidRPr="00FE2069">
        <w:rPr>
          <w:rFonts w:ascii="Times New Roman" w:hAnsi="Times New Roman" w:cs="Times New Roman"/>
          <w:sz w:val="24"/>
          <w:szCs w:val="24"/>
          <w:u w:val="single"/>
        </w:rPr>
        <w:t>En Estados Unidos se habla del “boom de las ganancias” en las grandes empresas</w:t>
      </w:r>
      <w:r>
        <w:rPr>
          <w:rFonts w:ascii="Times New Roman" w:hAnsi="Times New Roman" w:cs="Times New Roman"/>
          <w:sz w:val="24"/>
          <w:szCs w:val="24"/>
        </w:rPr>
        <w:t>.</w:t>
      </w:r>
      <w:r w:rsidRPr="00AF5E7D">
        <w:rPr>
          <w:rFonts w:ascii="Times New Roman" w:hAnsi="Times New Roman" w:cs="Times New Roman"/>
          <w:sz w:val="24"/>
          <w:szCs w:val="24"/>
        </w:rPr>
        <w:t xml:space="preserve"> Los ingresos netos de las empresas que transan en bolsa han llegado a los niveles más altos de la última década, con alzas </w:t>
      </w:r>
      <w:r>
        <w:rPr>
          <w:rFonts w:ascii="Times New Roman" w:hAnsi="Times New Roman" w:cs="Times New Roman"/>
          <w:sz w:val="24"/>
          <w:szCs w:val="24"/>
        </w:rPr>
        <w:t>trimestrales superiores al 10%.</w:t>
      </w:r>
    </w:p>
    <w:p w:rsidR="008C0554"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Y los ingresos de las compañías son el motor que impulsa el precio de las acciones y es por eso que su aumento sostenido explica el alza de Wall Street.</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Se estima que el valor de mercado del índice S&amp;P 500 aumentó cerca</w:t>
      </w:r>
      <w:r>
        <w:rPr>
          <w:rFonts w:ascii="Times New Roman" w:hAnsi="Times New Roman" w:cs="Times New Roman"/>
          <w:sz w:val="24"/>
          <w:szCs w:val="24"/>
        </w:rPr>
        <w:t xml:space="preserve"> de US$4 billones en 2017.</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 xml:space="preserve">La </w:t>
      </w:r>
      <w:r>
        <w:rPr>
          <w:rFonts w:ascii="Times New Roman" w:hAnsi="Times New Roman" w:cs="Times New Roman"/>
          <w:sz w:val="24"/>
          <w:szCs w:val="24"/>
        </w:rPr>
        <w:t>bolsa estadounidense ha estado “sorprendentemente fuerte”</w:t>
      </w:r>
      <w:r w:rsidRPr="00AF5E7D">
        <w:rPr>
          <w:rFonts w:ascii="Times New Roman" w:hAnsi="Times New Roman" w:cs="Times New Roman"/>
          <w:sz w:val="24"/>
          <w:szCs w:val="24"/>
        </w:rPr>
        <w:t>, dice John Rekenthaler, vicepresidente de Investi</w:t>
      </w:r>
      <w:r>
        <w:rPr>
          <w:rFonts w:ascii="Times New Roman" w:hAnsi="Times New Roman" w:cs="Times New Roman"/>
          <w:sz w:val="24"/>
          <w:szCs w:val="24"/>
        </w:rPr>
        <w:t>gación en la firma Morningstar.</w:t>
      </w:r>
    </w:p>
    <w:p w:rsidR="008C0554" w:rsidRPr="00AF5E7D" w:rsidRDefault="008C0554" w:rsidP="008C0554">
      <w:pPr>
        <w:spacing w:line="240" w:lineRule="auto"/>
        <w:jc w:val="both"/>
        <w:rPr>
          <w:rFonts w:ascii="Times New Roman" w:hAnsi="Times New Roman" w:cs="Times New Roman"/>
          <w:sz w:val="24"/>
          <w:szCs w:val="24"/>
        </w:rPr>
      </w:pPr>
      <w:r w:rsidRPr="00FE2069">
        <w:rPr>
          <w:rFonts w:ascii="Times New Roman" w:hAnsi="Times New Roman" w:cs="Times New Roman"/>
          <w:sz w:val="24"/>
          <w:szCs w:val="24"/>
          <w:u w:val="single"/>
        </w:rPr>
        <w:t>Desde su punto de vista, como las empresas han evitado traspasar sus ganancias a los empleados subiendo los salarios, eso ha permitido mantener la inflación a raya y las tasas de interés bajas</w:t>
      </w:r>
      <w:r>
        <w:rPr>
          <w:rFonts w:ascii="Times New Roman" w:hAnsi="Times New Roman" w:cs="Times New Roman"/>
          <w:sz w:val="24"/>
          <w:szCs w:val="24"/>
        </w:rPr>
        <w:t>.</w:t>
      </w:r>
    </w:p>
    <w:p w:rsidR="008C0554" w:rsidRPr="00FE2069" w:rsidRDefault="008C0554" w:rsidP="008C0554">
      <w:pPr>
        <w:spacing w:line="240" w:lineRule="auto"/>
        <w:jc w:val="both"/>
        <w:rPr>
          <w:rFonts w:ascii="Times New Roman" w:hAnsi="Times New Roman" w:cs="Times New Roman"/>
          <w:color w:val="FF0000"/>
          <w:sz w:val="24"/>
          <w:szCs w:val="24"/>
        </w:rPr>
      </w:pPr>
      <w:r w:rsidRPr="00AF5E7D">
        <w:rPr>
          <w:rFonts w:ascii="Times New Roman" w:hAnsi="Times New Roman" w:cs="Times New Roman"/>
          <w:sz w:val="24"/>
          <w:szCs w:val="24"/>
        </w:rPr>
        <w:t xml:space="preserve">2- </w:t>
      </w:r>
      <w:r w:rsidRPr="00FE2069">
        <w:rPr>
          <w:rFonts w:ascii="Times New Roman" w:hAnsi="Times New Roman" w:cs="Times New Roman"/>
          <w:color w:val="FF0000"/>
          <w:sz w:val="24"/>
          <w:szCs w:val="24"/>
        </w:rPr>
        <w:t>Crecimiento de la economía</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En medio de la crisis financiera de 2009, el gobierno estadounidense y la Reserva Federal pusieron en circulación billones de dólares para impulsar la recuperación, rescatando bancos y firmas automotrices y comprando activos que estaban en problemas.</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En la medida que volvió el empleo, se recuperó el gasto de los consumidores, que es el principal impulsor de la economía estadounidense. En paralelo, la recuperación global dio otro empujón.</w:t>
      </w:r>
    </w:p>
    <w:p w:rsidR="008C0554" w:rsidRPr="00AF5E7D" w:rsidRDefault="00551599" w:rsidP="008C0554">
      <w:pPr>
        <w:spacing w:line="240" w:lineRule="auto"/>
        <w:jc w:val="both"/>
        <w:rPr>
          <w:rFonts w:ascii="Times New Roman" w:hAnsi="Times New Roman" w:cs="Times New Roman"/>
          <w:sz w:val="24"/>
          <w:szCs w:val="24"/>
        </w:rPr>
      </w:pPr>
      <w:r>
        <w:rPr>
          <w:rFonts w:ascii="Times New Roman" w:hAnsi="Times New Roman" w:cs="Times New Roman"/>
          <w:sz w:val="24"/>
          <w:szCs w:val="24"/>
        </w:rPr>
        <w:t>Recientemente la economía de EEUU</w:t>
      </w:r>
      <w:r w:rsidR="008C0554" w:rsidRPr="00AF5E7D">
        <w:rPr>
          <w:rFonts w:ascii="Times New Roman" w:hAnsi="Times New Roman" w:cs="Times New Roman"/>
          <w:sz w:val="24"/>
          <w:szCs w:val="24"/>
        </w:rPr>
        <w:t xml:space="preserve"> tuvo un rendimiento especialmente veloz durante el segundo trimestre, expandiéndose a una tasa anual de 4,1%, el ritm</w:t>
      </w:r>
      <w:r w:rsidR="008C0554">
        <w:rPr>
          <w:rFonts w:ascii="Times New Roman" w:hAnsi="Times New Roman" w:cs="Times New Roman"/>
          <w:sz w:val="24"/>
          <w:szCs w:val="24"/>
        </w:rPr>
        <w:t>o más alto en casi cuatro años.</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Con un desempleo que está en su nivel más bajo en 17 años, 3,9%, el temor que existe es que la economía se esté calentando demasiado y que la inflación se dispare en alg</w:t>
      </w:r>
      <w:r>
        <w:rPr>
          <w:rFonts w:ascii="Times New Roman" w:hAnsi="Times New Roman" w:cs="Times New Roman"/>
          <w:sz w:val="24"/>
          <w:szCs w:val="24"/>
        </w:rPr>
        <w:t>ún momento.</w:t>
      </w:r>
    </w:p>
    <w:p w:rsidR="008C0554" w:rsidRPr="00FE2069" w:rsidRDefault="008C0554" w:rsidP="008C0554">
      <w:pPr>
        <w:spacing w:line="240" w:lineRule="auto"/>
        <w:jc w:val="both"/>
        <w:rPr>
          <w:rFonts w:ascii="Times New Roman" w:hAnsi="Times New Roman" w:cs="Times New Roman"/>
          <w:color w:val="FF0000"/>
          <w:sz w:val="24"/>
          <w:szCs w:val="24"/>
        </w:rPr>
      </w:pPr>
      <w:r w:rsidRPr="00AF5E7D">
        <w:rPr>
          <w:rFonts w:ascii="Times New Roman" w:hAnsi="Times New Roman" w:cs="Times New Roman"/>
          <w:sz w:val="24"/>
          <w:szCs w:val="24"/>
        </w:rPr>
        <w:lastRenderedPageBreak/>
        <w:t>3-</w:t>
      </w:r>
      <w:r>
        <w:rPr>
          <w:rFonts w:ascii="Times New Roman" w:hAnsi="Times New Roman" w:cs="Times New Roman"/>
          <w:sz w:val="24"/>
          <w:szCs w:val="24"/>
        </w:rPr>
        <w:t xml:space="preserve"> </w:t>
      </w:r>
      <w:r w:rsidRPr="00FE2069">
        <w:rPr>
          <w:rFonts w:ascii="Times New Roman" w:hAnsi="Times New Roman" w:cs="Times New Roman"/>
          <w:color w:val="FF0000"/>
          <w:sz w:val="24"/>
          <w:szCs w:val="24"/>
        </w:rPr>
        <w:t>Bajas tasas de interés, el ciclo del “dinero dulce”</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La década de oro de Wall Street, dicen analistas, fue posible gracias a las bajas tasas de interés y baja inflación.</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Por años la Reserva Federal (FED) y otros bancos centrales inyectaron liquidez en el sistema para sostener la recuperación y permitir que los inversores asumieran más riesgos al comprar activos.</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Después de ese largo ciclo, actualmente la FED ha comenzado a retirar esos estímulos, subiendo progresivamente los tipos de interés y poniendo de esta man</w:t>
      </w:r>
      <w:r>
        <w:rPr>
          <w:rFonts w:ascii="Times New Roman" w:hAnsi="Times New Roman" w:cs="Times New Roman"/>
          <w:sz w:val="24"/>
          <w:szCs w:val="24"/>
        </w:rPr>
        <w:t>era fin a los años del llamado “</w:t>
      </w:r>
      <w:r w:rsidRPr="00AF5E7D">
        <w:rPr>
          <w:rFonts w:ascii="Times New Roman" w:hAnsi="Times New Roman" w:cs="Times New Roman"/>
          <w:sz w:val="24"/>
          <w:szCs w:val="24"/>
        </w:rPr>
        <w:t>diner</w:t>
      </w:r>
      <w:r>
        <w:rPr>
          <w:rFonts w:ascii="Times New Roman" w:hAnsi="Times New Roman" w:cs="Times New Roman"/>
          <w:sz w:val="24"/>
          <w:szCs w:val="24"/>
        </w:rPr>
        <w:t>o fácil”</w:t>
      </w:r>
      <w:r w:rsidRPr="00AF5E7D">
        <w:rPr>
          <w:rFonts w:ascii="Times New Roman" w:hAnsi="Times New Roman" w:cs="Times New Roman"/>
          <w:sz w:val="24"/>
          <w:szCs w:val="24"/>
        </w:rPr>
        <w:t xml:space="preserve"> para el </w:t>
      </w:r>
      <w:r>
        <w:rPr>
          <w:rFonts w:ascii="Times New Roman" w:hAnsi="Times New Roman" w:cs="Times New Roman"/>
          <w:sz w:val="24"/>
          <w:szCs w:val="24"/>
        </w:rPr>
        <w:t>financiamiento de las empresas.</w:t>
      </w:r>
    </w:p>
    <w:p w:rsidR="008C0554" w:rsidRPr="00FE2069" w:rsidRDefault="008C0554" w:rsidP="008C0554">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4- </w:t>
      </w:r>
      <w:r w:rsidRPr="00FE2069">
        <w:rPr>
          <w:rFonts w:ascii="Times New Roman" w:hAnsi="Times New Roman" w:cs="Times New Roman"/>
          <w:color w:val="FF0000"/>
          <w:sz w:val="24"/>
          <w:szCs w:val="24"/>
        </w:rPr>
        <w:t>El llamado “efecto Trump”</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El recorte de los impuestos corporativos, una de las banderas de la política de Donald Trump, ha incrementado las ganancias corporativas y repercutido en el alza de Wall Street, dicen analistas.</w:t>
      </w:r>
    </w:p>
    <w:p w:rsidR="008C0554" w:rsidRPr="00FE2069"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La reducción desde un 35% a un 21% ha puesto una gran cantidad de efectivo sobre la mesa de las juntas directivas por un lado, y ha significado menos ingresos a las arcas fiscales, por el otro.</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Este escenario ha generado preocupación por el gigantesco nivel de endeudamiento al que está someti</w:t>
      </w:r>
      <w:r>
        <w:rPr>
          <w:rFonts w:ascii="Times New Roman" w:hAnsi="Times New Roman" w:cs="Times New Roman"/>
          <w:sz w:val="24"/>
          <w:szCs w:val="24"/>
        </w:rPr>
        <w:t>da la mayor economía del mundo.</w:t>
      </w:r>
    </w:p>
    <w:p w:rsidR="008C0554" w:rsidRPr="00AF5E7D" w:rsidRDefault="008C0554" w:rsidP="008C0554">
      <w:pPr>
        <w:spacing w:line="240" w:lineRule="auto"/>
        <w:jc w:val="both"/>
        <w:rPr>
          <w:rFonts w:ascii="Times New Roman" w:hAnsi="Times New Roman" w:cs="Times New Roman"/>
          <w:sz w:val="24"/>
          <w:szCs w:val="24"/>
        </w:rPr>
      </w:pPr>
      <w:r>
        <w:rPr>
          <w:rFonts w:ascii="Times New Roman" w:hAnsi="Times New Roman" w:cs="Times New Roman"/>
          <w:sz w:val="24"/>
          <w:szCs w:val="24"/>
        </w:rPr>
        <w:t>Y en medio del “boom de las ganancias”</w:t>
      </w:r>
      <w:r w:rsidRPr="00AF5E7D">
        <w:rPr>
          <w:rFonts w:ascii="Times New Roman" w:hAnsi="Times New Roman" w:cs="Times New Roman"/>
          <w:sz w:val="24"/>
          <w:szCs w:val="24"/>
        </w:rPr>
        <w:t xml:space="preserve"> corporativas, ejecutivos de empresas han recomprado sus propias acciones y se han beneficiado de una menor fiscalizació</w:t>
      </w:r>
      <w:r>
        <w:rPr>
          <w:rFonts w:ascii="Times New Roman" w:hAnsi="Times New Roman" w:cs="Times New Roman"/>
          <w:sz w:val="24"/>
          <w:szCs w:val="24"/>
        </w:rPr>
        <w:t>n de las normas de competencia.</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 xml:space="preserve">5- </w:t>
      </w:r>
      <w:r w:rsidRPr="00FE2069">
        <w:rPr>
          <w:rFonts w:ascii="Times New Roman" w:hAnsi="Times New Roman" w:cs="Times New Roman"/>
          <w:color w:val="FF0000"/>
          <w:sz w:val="24"/>
          <w:szCs w:val="24"/>
        </w:rPr>
        <w:t>El salto de las tecnológicas</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Por último, está el crecimiento de las firmas tecnológicas que impulsaron con fuerza el valor t</w:t>
      </w:r>
      <w:r>
        <w:rPr>
          <w:rFonts w:ascii="Times New Roman" w:hAnsi="Times New Roman" w:cs="Times New Roman"/>
          <w:sz w:val="24"/>
          <w:szCs w:val="24"/>
        </w:rPr>
        <w:t>otal de la Bolsa de Nueva York.</w:t>
      </w:r>
    </w:p>
    <w:p w:rsidR="008C0554" w:rsidRDefault="008C0554" w:rsidP="008C0554">
      <w:pPr>
        <w:spacing w:line="240" w:lineRule="auto"/>
        <w:jc w:val="both"/>
        <w:rPr>
          <w:rFonts w:ascii="Times New Roman" w:hAnsi="Times New Roman" w:cs="Times New Roman"/>
          <w:sz w:val="24"/>
          <w:szCs w:val="24"/>
          <w:u w:val="single"/>
        </w:rPr>
      </w:pPr>
      <w:r w:rsidRPr="00FE2069">
        <w:rPr>
          <w:rFonts w:ascii="Times New Roman" w:hAnsi="Times New Roman" w:cs="Times New Roman"/>
          <w:sz w:val="24"/>
          <w:szCs w:val="24"/>
          <w:u w:val="single"/>
        </w:rPr>
        <w:t>Las llamadas “FAANGS” (Facebook, Amazon, Apple, Netflix y Google) han experimentado un alza explosiva en los últimos años, mientras que en agosto Apple se convirtió en la primera empresa del mundo en alcanzar un valor de US$ 1 billón (sin considerar a PetroChina por falta en la confiabilidad en los datos).</w:t>
      </w:r>
    </w:p>
    <w:p w:rsidR="008C0554" w:rsidRPr="00AD63DA" w:rsidRDefault="008C0554" w:rsidP="008C0554">
      <w:pPr>
        <w:spacing w:line="240" w:lineRule="auto"/>
        <w:jc w:val="both"/>
        <w:rPr>
          <w:rFonts w:ascii="Times New Roman" w:hAnsi="Times New Roman" w:cs="Times New Roman"/>
          <w:sz w:val="24"/>
          <w:szCs w:val="24"/>
        </w:rPr>
      </w:pPr>
      <w:r w:rsidRPr="00AD63DA">
        <w:rPr>
          <w:rFonts w:ascii="Times New Roman" w:hAnsi="Times New Roman" w:cs="Times New Roman"/>
          <w:sz w:val="24"/>
          <w:szCs w:val="24"/>
        </w:rPr>
        <w:t>De hecho, el gigante de la manzana fue la empresa que más aportó al récord de crecimiento.</w:t>
      </w:r>
    </w:p>
    <w:p w:rsidR="008C0554" w:rsidRPr="00FF7079" w:rsidRDefault="008C0554" w:rsidP="008C0554">
      <w:pPr>
        <w:spacing w:line="240" w:lineRule="auto"/>
        <w:jc w:val="both"/>
        <w:rPr>
          <w:rFonts w:ascii="Times New Roman" w:hAnsi="Times New Roman" w:cs="Times New Roman"/>
          <w:sz w:val="24"/>
          <w:szCs w:val="24"/>
          <w:u w:val="single"/>
        </w:rPr>
      </w:pPr>
      <w:r w:rsidRPr="00FF7079">
        <w:rPr>
          <w:rFonts w:ascii="Times New Roman" w:hAnsi="Times New Roman" w:cs="Times New Roman"/>
          <w:sz w:val="24"/>
          <w:szCs w:val="24"/>
          <w:u w:val="single"/>
        </w:rPr>
        <w:t>¿Cuándo se acaba la fiesta?</w:t>
      </w:r>
    </w:p>
    <w:p w:rsidR="008C0554" w:rsidRPr="00AD63DA" w:rsidRDefault="008C0554" w:rsidP="008C0554">
      <w:pPr>
        <w:spacing w:line="240" w:lineRule="auto"/>
        <w:jc w:val="both"/>
        <w:rPr>
          <w:rFonts w:ascii="Times New Roman" w:hAnsi="Times New Roman" w:cs="Times New Roman"/>
          <w:sz w:val="24"/>
          <w:szCs w:val="24"/>
        </w:rPr>
      </w:pPr>
      <w:r w:rsidRPr="00AD63DA">
        <w:rPr>
          <w:rFonts w:ascii="Times New Roman" w:hAnsi="Times New Roman" w:cs="Times New Roman"/>
          <w:sz w:val="24"/>
          <w:szCs w:val="24"/>
        </w:rPr>
        <w:t>Aunque las previsiones apuntan a que el S&amp;P 500 cerrará el año cerca de los 3.000 puntos y que la racha positiva seguirá al menos por otro año, el debate persiste s</w:t>
      </w:r>
      <w:r>
        <w:rPr>
          <w:rFonts w:ascii="Times New Roman" w:hAnsi="Times New Roman" w:cs="Times New Roman"/>
          <w:sz w:val="24"/>
          <w:szCs w:val="24"/>
        </w:rPr>
        <w:t>obre cuándo se acaba la fiesta.</w:t>
      </w:r>
    </w:p>
    <w:p w:rsidR="008C0554" w:rsidRPr="00FF7079" w:rsidRDefault="008C0554" w:rsidP="008C0554">
      <w:pPr>
        <w:spacing w:line="240" w:lineRule="auto"/>
        <w:jc w:val="both"/>
        <w:rPr>
          <w:rFonts w:ascii="Times New Roman" w:hAnsi="Times New Roman" w:cs="Times New Roman"/>
          <w:sz w:val="24"/>
          <w:szCs w:val="24"/>
        </w:rPr>
      </w:pPr>
      <w:r w:rsidRPr="00FF7079">
        <w:rPr>
          <w:rFonts w:ascii="Times New Roman" w:hAnsi="Times New Roman" w:cs="Times New Roman"/>
          <w:sz w:val="24"/>
          <w:szCs w:val="24"/>
        </w:rPr>
        <w:t>“Los mercados alcistas son como las luces incandescentes. Tienden al máximo brillo justo antes de apagarse”, dijo San Stovall, jefe de estrategias de inversión de la consultora CFRA.</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Y en este sentido, las predicciones apuntan hacia todos lados. Algunos dicen que no habrá una caída estrepitosa, sino que se producirán varias correcciones suce</w:t>
      </w:r>
      <w:r>
        <w:rPr>
          <w:rFonts w:ascii="Times New Roman" w:hAnsi="Times New Roman" w:cs="Times New Roman"/>
          <w:sz w:val="24"/>
          <w:szCs w:val="24"/>
        </w:rPr>
        <w:t>sivas que ajustarán el mercado.</w:t>
      </w:r>
    </w:p>
    <w:p w:rsidR="008C0554" w:rsidRDefault="008C0554" w:rsidP="008C055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AF5E7D">
        <w:rPr>
          <w:rFonts w:ascii="Times New Roman" w:hAnsi="Times New Roman" w:cs="Times New Roman"/>
          <w:sz w:val="24"/>
          <w:szCs w:val="24"/>
        </w:rPr>
        <w:t xml:space="preserve">Todavía esperamos un fuerte crecimiento de la economía el próximo año, impulsado por el </w:t>
      </w:r>
      <w:r>
        <w:rPr>
          <w:rFonts w:ascii="Times New Roman" w:hAnsi="Times New Roman" w:cs="Times New Roman"/>
          <w:sz w:val="24"/>
          <w:szCs w:val="24"/>
        </w:rPr>
        <w:t>recorte de impuestos”</w:t>
      </w:r>
      <w:r w:rsidRPr="00AF5E7D">
        <w:rPr>
          <w:rFonts w:ascii="Times New Roman" w:hAnsi="Times New Roman" w:cs="Times New Roman"/>
          <w:sz w:val="24"/>
          <w:szCs w:val="24"/>
        </w:rPr>
        <w:t>, dijo Andrew Milligan, jefe de estrategias globales de la firma Aberdeen Standard.</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Otros inversionistas están preocupados por los efectos que puede tener el aumento del</w:t>
      </w:r>
      <w:r>
        <w:rPr>
          <w:rFonts w:ascii="Times New Roman" w:hAnsi="Times New Roman" w:cs="Times New Roman"/>
          <w:sz w:val="24"/>
          <w:szCs w:val="24"/>
        </w:rPr>
        <w:t xml:space="preserve"> endeudamiento de las empresas.</w:t>
      </w:r>
    </w:p>
    <w:p w:rsidR="008C0554" w:rsidRPr="00AF5E7D" w:rsidRDefault="008C0554" w:rsidP="008C0554">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El tema que queda pendiente es que las gig</w:t>
      </w:r>
      <w:r>
        <w:rPr>
          <w:rFonts w:ascii="Times New Roman" w:hAnsi="Times New Roman" w:cs="Times New Roman"/>
          <w:sz w:val="24"/>
          <w:szCs w:val="24"/>
        </w:rPr>
        <w:t>antescas ganancias del mercado “</w:t>
      </w:r>
      <w:r w:rsidRPr="00AF5E7D">
        <w:rPr>
          <w:rFonts w:ascii="Times New Roman" w:hAnsi="Times New Roman" w:cs="Times New Roman"/>
          <w:sz w:val="24"/>
          <w:szCs w:val="24"/>
        </w:rPr>
        <w:t>no se han extendido</w:t>
      </w:r>
      <w:r>
        <w:rPr>
          <w:rFonts w:ascii="Times New Roman" w:hAnsi="Times New Roman" w:cs="Times New Roman"/>
          <w:sz w:val="24"/>
          <w:szCs w:val="24"/>
        </w:rPr>
        <w:t xml:space="preserve"> hacia el resto de la población”</w:t>
      </w:r>
      <w:r w:rsidRPr="00AF5E7D">
        <w:rPr>
          <w:rFonts w:ascii="Times New Roman" w:hAnsi="Times New Roman" w:cs="Times New Roman"/>
          <w:sz w:val="24"/>
          <w:szCs w:val="24"/>
        </w:rPr>
        <w:t>, señala un artículo del diario The New York Time</w:t>
      </w:r>
      <w:r>
        <w:rPr>
          <w:rFonts w:ascii="Times New Roman" w:hAnsi="Times New Roman" w:cs="Times New Roman"/>
          <w:sz w:val="24"/>
          <w:szCs w:val="24"/>
        </w:rPr>
        <w:t>s.</w:t>
      </w:r>
    </w:p>
    <w:p w:rsidR="008C0554" w:rsidRDefault="008C0554" w:rsidP="008C05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5E7D">
        <w:rPr>
          <w:rFonts w:ascii="Times New Roman" w:hAnsi="Times New Roman" w:cs="Times New Roman"/>
          <w:sz w:val="24"/>
          <w:szCs w:val="24"/>
        </w:rPr>
        <w:t>La riqueza del mercado bursátil está altamente concentrada entre las familias</w:t>
      </w:r>
      <w:r>
        <w:rPr>
          <w:rFonts w:ascii="Times New Roman" w:hAnsi="Times New Roman" w:cs="Times New Roman"/>
          <w:sz w:val="24"/>
          <w:szCs w:val="24"/>
        </w:rPr>
        <w:t xml:space="preserve"> más ricas”, dice el periódico.</w:t>
      </w:r>
      <w:r w:rsidR="00FF7079">
        <w:rPr>
          <w:rFonts w:ascii="Times New Roman" w:hAnsi="Times New Roman" w:cs="Times New Roman"/>
          <w:sz w:val="24"/>
          <w:szCs w:val="24"/>
        </w:rPr>
        <w:t xml:space="preserve"> </w:t>
      </w:r>
      <w:r w:rsidRPr="00AF5E7D">
        <w:rPr>
          <w:rFonts w:ascii="Times New Roman" w:hAnsi="Times New Roman" w:cs="Times New Roman"/>
          <w:sz w:val="24"/>
          <w:szCs w:val="24"/>
        </w:rPr>
        <w:t>Un fenómeno que se ha acentuado en la última década, la misma década de oro que tiene al toro de Manhattan más fuerte que nunca.</w:t>
      </w:r>
    </w:p>
    <w:p w:rsidR="00AD55A7" w:rsidRPr="00E9644E" w:rsidRDefault="00E9644E" w:rsidP="008C0554">
      <w:pPr>
        <w:spacing w:line="240" w:lineRule="auto"/>
        <w:jc w:val="both"/>
        <w:rPr>
          <w:rFonts w:ascii="Times New Roman" w:hAnsi="Times New Roman" w:cs="Times New Roman"/>
          <w:sz w:val="24"/>
          <w:szCs w:val="24"/>
          <w:u w:val="single"/>
        </w:rPr>
      </w:pPr>
      <w:r w:rsidRPr="00E9644E">
        <w:rPr>
          <w:rFonts w:ascii="Times New Roman" w:hAnsi="Times New Roman" w:cs="Times New Roman"/>
          <w:sz w:val="24"/>
          <w:szCs w:val="24"/>
          <w:u w:val="single"/>
        </w:rPr>
        <w:t xml:space="preserve">La histórica quiebra de Lehman Brothers, diez años después: </w:t>
      </w:r>
      <w:r>
        <w:rPr>
          <w:rFonts w:ascii="Times New Roman" w:hAnsi="Times New Roman" w:cs="Times New Roman"/>
          <w:sz w:val="24"/>
          <w:szCs w:val="24"/>
          <w:u w:val="single"/>
        </w:rPr>
        <w:t>lecciones de la crisis</w:t>
      </w:r>
    </w:p>
    <w:p w:rsidR="00FF7079" w:rsidRDefault="00FF7079" w:rsidP="00FF7079">
      <w:pPr>
        <w:spacing w:line="240" w:lineRule="auto"/>
        <w:jc w:val="both"/>
        <w:rPr>
          <w:rFonts w:ascii="Times New Roman" w:hAnsi="Times New Roman" w:cs="Times New Roman"/>
          <w:sz w:val="24"/>
          <w:szCs w:val="24"/>
        </w:rPr>
      </w:pPr>
      <w:r w:rsidRPr="00D12EE9">
        <w:rPr>
          <w:rFonts w:ascii="Times New Roman" w:hAnsi="Times New Roman" w:cs="Times New Roman"/>
          <w:noProof/>
          <w:sz w:val="24"/>
          <w:szCs w:val="24"/>
          <w:lang w:eastAsia="es-ES"/>
        </w:rPr>
        <w:drawing>
          <wp:inline distT="0" distB="0" distL="0" distR="0" wp14:anchorId="1297126C" wp14:editId="48AA770D">
            <wp:extent cx="5949949" cy="190500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8644" cy="1904582"/>
                    </a:xfrm>
                    <a:prstGeom prst="rect">
                      <a:avLst/>
                    </a:prstGeom>
                  </pic:spPr>
                </pic:pic>
              </a:graphicData>
            </a:graphic>
          </wp:inline>
        </w:drawing>
      </w:r>
    </w:p>
    <w:p w:rsidR="00FF7079" w:rsidRDefault="00FF7079" w:rsidP="00FF7079">
      <w:pPr>
        <w:spacing w:line="240" w:lineRule="auto"/>
        <w:jc w:val="both"/>
        <w:rPr>
          <w:rFonts w:ascii="Times New Roman" w:hAnsi="Times New Roman" w:cs="Times New Roman"/>
          <w:sz w:val="24"/>
          <w:szCs w:val="24"/>
        </w:rPr>
      </w:pPr>
      <w:r w:rsidRPr="00D12EE9">
        <w:rPr>
          <w:rFonts w:ascii="Times New Roman" w:hAnsi="Times New Roman" w:cs="Times New Roman"/>
          <w:noProof/>
          <w:sz w:val="24"/>
          <w:szCs w:val="24"/>
          <w:lang w:eastAsia="es-ES"/>
        </w:rPr>
        <w:drawing>
          <wp:inline distT="0" distB="0" distL="0" distR="0" wp14:anchorId="4EA601F1" wp14:editId="51A55AAF">
            <wp:extent cx="5949950" cy="180340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53908" cy="1804600"/>
                    </a:xfrm>
                    <a:prstGeom prst="rect">
                      <a:avLst/>
                    </a:prstGeom>
                  </pic:spPr>
                </pic:pic>
              </a:graphicData>
            </a:graphic>
          </wp:inline>
        </w:drawing>
      </w:r>
    </w:p>
    <w:p w:rsidR="00E9644E" w:rsidRDefault="00FF7079" w:rsidP="00FF7079">
      <w:pPr>
        <w:spacing w:line="240" w:lineRule="auto"/>
        <w:jc w:val="both"/>
        <w:rPr>
          <w:rFonts w:ascii="Times New Roman" w:hAnsi="Times New Roman" w:cs="Times New Roman"/>
          <w:sz w:val="24"/>
          <w:szCs w:val="24"/>
        </w:rPr>
      </w:pPr>
      <w:r>
        <w:rPr>
          <w:noProof/>
          <w:lang w:eastAsia="es-ES"/>
        </w:rPr>
        <w:drawing>
          <wp:inline distT="0" distB="0" distL="0" distR="0" wp14:anchorId="4F94C723" wp14:editId="19A86235">
            <wp:extent cx="5949950" cy="2317750"/>
            <wp:effectExtent l="0" t="0" r="0" b="6350"/>
            <wp:docPr id="71" name="Imagen 71" descr="https://e00-expansion.uecdn.es/assets/multimedia/imagenes/2018/09/02/153590282478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8/09/02/15359028247892.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950" cy="2317750"/>
                    </a:xfrm>
                    <a:prstGeom prst="rect">
                      <a:avLst/>
                    </a:prstGeom>
                    <a:noFill/>
                    <a:ln>
                      <a:noFill/>
                    </a:ln>
                  </pic:spPr>
                </pic:pic>
              </a:graphicData>
            </a:graphic>
          </wp:inline>
        </w:drawing>
      </w:r>
    </w:p>
    <w:p w:rsidR="00FF7079" w:rsidRPr="00E9644E" w:rsidRDefault="00FF7079" w:rsidP="00FF7079">
      <w:pPr>
        <w:spacing w:line="240" w:lineRule="auto"/>
        <w:jc w:val="both"/>
        <w:rPr>
          <w:rFonts w:ascii="Times New Roman" w:hAnsi="Times New Roman" w:cs="Times New Roman"/>
          <w:sz w:val="24"/>
          <w:szCs w:val="24"/>
        </w:rPr>
      </w:pPr>
      <w:r w:rsidRPr="00E9644E">
        <w:rPr>
          <w:rFonts w:ascii="Times New Roman" w:hAnsi="Times New Roman" w:cs="Times New Roman"/>
          <w:sz w:val="24"/>
          <w:szCs w:val="24"/>
        </w:rPr>
        <w:lastRenderedPageBreak/>
        <w:t>Aunque las corrientes que abogan por eliminar parte de las nuevas normas implantadas han crecido en los últimos años -como en todas las etapas de expansión económica-, la quiebra de Lehman Brothers y la crisis internacional han dado lugar al desarrollo de una extensa regulación financiera que busca contener los excesos del pasado.</w:t>
      </w:r>
    </w:p>
    <w:p w:rsidR="00FF7079" w:rsidRPr="00E9644E" w:rsidRDefault="00FF7079" w:rsidP="00FF7079">
      <w:pPr>
        <w:spacing w:line="240" w:lineRule="auto"/>
        <w:jc w:val="both"/>
        <w:rPr>
          <w:rFonts w:ascii="Times New Roman" w:hAnsi="Times New Roman" w:cs="Times New Roman"/>
          <w:sz w:val="24"/>
          <w:szCs w:val="24"/>
        </w:rPr>
      </w:pPr>
      <w:r w:rsidRPr="00E9644E">
        <w:rPr>
          <w:rFonts w:ascii="Times New Roman" w:hAnsi="Times New Roman" w:cs="Times New Roman"/>
          <w:sz w:val="24"/>
          <w:szCs w:val="24"/>
        </w:rPr>
        <w:t>La Ley Dodd-Frank (también conocida como ley de reforma de Wall Street y de protección al consumidor) se aprobó en julio de 2010. La legislación puso en marcha cambios radicales en el sistema y amparó el nacimiento de los test de estrés, la supervisión exhaustiva de las entidades consideradas sistémicas y los controles que buscaban eludir nuevos rescates con fondos públicos.</w:t>
      </w:r>
    </w:p>
    <w:p w:rsidR="00FF7079" w:rsidRPr="00E9644E" w:rsidRDefault="00FF7079" w:rsidP="00FF7079">
      <w:pPr>
        <w:spacing w:line="240" w:lineRule="auto"/>
        <w:jc w:val="both"/>
        <w:rPr>
          <w:rFonts w:ascii="Times New Roman" w:hAnsi="Times New Roman" w:cs="Times New Roman"/>
          <w:sz w:val="24"/>
          <w:szCs w:val="24"/>
        </w:rPr>
      </w:pPr>
      <w:r w:rsidRPr="00E9644E">
        <w:rPr>
          <w:rFonts w:ascii="Times New Roman" w:hAnsi="Times New Roman" w:cs="Times New Roman"/>
          <w:sz w:val="24"/>
          <w:szCs w:val="24"/>
        </w:rPr>
        <w:t>A nivel internacional, además, el Banco de Pagos Internacionales (BIS, por sus siglas en inglés) desarrolló una red normativa que se materializaría en los colchones anticrisis, recursos emitidos por las entidades financieras y que pueden no pagarse en caso de problemas para conseguir un balón de oxígeno. La idea pasa por hacer que sean los inversores los que paguen por estos rescates, en lugar del dinero público, del que muchos consideran que se abusó en el pasado para estabilizar a la banca. Esta regulación adopta múltiples formas como el TLAC, para las entidades sistémicas, o el MREL, para la banca europea.</w:t>
      </w:r>
    </w:p>
    <w:p w:rsidR="00FF7079" w:rsidRDefault="00FF7079" w:rsidP="00FF7079">
      <w:pPr>
        <w:spacing w:line="240" w:lineRule="auto"/>
        <w:jc w:val="both"/>
        <w:rPr>
          <w:rFonts w:ascii="Times New Roman" w:hAnsi="Times New Roman" w:cs="Times New Roman"/>
          <w:sz w:val="24"/>
          <w:szCs w:val="24"/>
        </w:rPr>
      </w:pPr>
      <w:r w:rsidRPr="00E9644E">
        <w:rPr>
          <w:rFonts w:ascii="Times New Roman" w:hAnsi="Times New Roman" w:cs="Times New Roman"/>
          <w:sz w:val="24"/>
          <w:szCs w:val="24"/>
        </w:rPr>
        <w:t>La crisis financiera dejó un reguero de multas a los bancos que superan los 300.000 millones, así como una mayor concentración, fruto de las numerosas fusiones y compras a ambos lados del Atlántico. También se vio afectada la venta de productos, ahora mucho más regulada y que en Europa tomó la forma de la normativa Mifid.</w:t>
      </w:r>
    </w:p>
    <w:p w:rsidR="00E9644E" w:rsidRDefault="00E9644E" w:rsidP="00FF707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Anticipando la nueva crisis: avisos, alarmas, luces rojas… (l</w:t>
      </w:r>
      <w:r w:rsidRPr="00E9644E">
        <w:rPr>
          <w:rFonts w:ascii="Times New Roman" w:hAnsi="Times New Roman" w:cs="Times New Roman"/>
          <w:sz w:val="24"/>
          <w:szCs w:val="24"/>
          <w:u w:val="single"/>
        </w:rPr>
        <w:t>o malo es despertar</w:t>
      </w:r>
      <w:r>
        <w:rPr>
          <w:rFonts w:ascii="Times New Roman" w:hAnsi="Times New Roman" w:cs="Times New Roman"/>
          <w:sz w:val="24"/>
          <w:szCs w:val="24"/>
          <w:u w:val="single"/>
        </w:rPr>
        <w:t>)</w:t>
      </w:r>
    </w:p>
    <w:p w:rsidR="00E9644E" w:rsidRDefault="00E9644E" w:rsidP="00E9644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Roubini: “</w:t>
      </w:r>
      <w:r w:rsidRPr="00616FA9">
        <w:rPr>
          <w:rFonts w:ascii="Times New Roman" w:hAnsi="Times New Roman" w:cs="Times New Roman"/>
          <w:sz w:val="24"/>
          <w:szCs w:val="24"/>
          <w:u w:val="single"/>
        </w:rPr>
        <w:t>En la próxima crisis, los bancos central</w:t>
      </w:r>
      <w:r>
        <w:rPr>
          <w:rFonts w:ascii="Times New Roman" w:hAnsi="Times New Roman" w:cs="Times New Roman"/>
          <w:sz w:val="24"/>
          <w:szCs w:val="24"/>
          <w:u w:val="single"/>
        </w:rPr>
        <w:t>es sólo tendrán cuatro opciones”</w:t>
      </w:r>
      <w:r>
        <w:rPr>
          <w:rFonts w:ascii="Times New Roman" w:hAnsi="Times New Roman" w:cs="Times New Roman"/>
          <w:sz w:val="24"/>
          <w:szCs w:val="24"/>
        </w:rPr>
        <w:t xml:space="preserve"> (El Economista - </w:t>
      </w:r>
      <w:r w:rsidRPr="00616FA9">
        <w:rPr>
          <w:rFonts w:ascii="Times New Roman" w:hAnsi="Times New Roman" w:cs="Times New Roman"/>
          <w:b/>
          <w:sz w:val="24"/>
          <w:szCs w:val="24"/>
        </w:rPr>
        <w:t>10/7/17</w:t>
      </w:r>
      <w:r>
        <w:rPr>
          <w:rFonts w:ascii="Times New Roman" w:hAnsi="Times New Roman" w:cs="Times New Roman"/>
          <w:sz w:val="24"/>
          <w:szCs w:val="24"/>
        </w:rPr>
        <w:t>)</w:t>
      </w:r>
    </w:p>
    <w:p w:rsidR="00E9644E" w:rsidRPr="00616FA9" w:rsidRDefault="00E9644E" w:rsidP="00E9644E">
      <w:pPr>
        <w:spacing w:line="240" w:lineRule="auto"/>
        <w:jc w:val="both"/>
        <w:rPr>
          <w:rFonts w:ascii="Times New Roman" w:hAnsi="Times New Roman" w:cs="Times New Roman"/>
          <w:sz w:val="24"/>
          <w:szCs w:val="24"/>
        </w:rPr>
      </w:pPr>
      <w:r w:rsidRPr="00616FA9">
        <w:rPr>
          <w:rFonts w:ascii="Times New Roman" w:hAnsi="Times New Roman" w:cs="Times New Roman"/>
          <w:sz w:val="24"/>
          <w:szCs w:val="24"/>
        </w:rPr>
        <w:t>Nouriel Roubini, profesor de Finanzas y Economía en la Universidad de Nueva York, cree que los bancos centrales están viendo reducido su abanico de opciones para luchar contra las recesiones a medida que pasa el tiempo. El tipo de interés natural (el coherente con el pleno empleo y una inflación constante) está cayendo en Occidente y los banqueros centrales se quedan sin herramientas y las que tienen no están exentas de riesgo</w:t>
      </w:r>
      <w:r>
        <w:rPr>
          <w:rFonts w:ascii="Times New Roman" w:hAnsi="Times New Roman" w:cs="Times New Roman"/>
          <w:sz w:val="24"/>
          <w:szCs w:val="24"/>
        </w:rPr>
        <w:t xml:space="preserve">s y costes. </w:t>
      </w:r>
    </w:p>
    <w:p w:rsidR="00E9644E" w:rsidRPr="00616FA9" w:rsidRDefault="00E9644E" w:rsidP="00E9644E">
      <w:pPr>
        <w:spacing w:line="240" w:lineRule="auto"/>
        <w:jc w:val="both"/>
        <w:rPr>
          <w:rFonts w:ascii="Times New Roman" w:hAnsi="Times New Roman" w:cs="Times New Roman"/>
          <w:sz w:val="24"/>
          <w:szCs w:val="24"/>
        </w:rPr>
      </w:pPr>
      <w:r w:rsidRPr="00616FA9">
        <w:rPr>
          <w:rFonts w:ascii="Times New Roman" w:hAnsi="Times New Roman" w:cs="Times New Roman"/>
          <w:sz w:val="24"/>
          <w:szCs w:val="24"/>
        </w:rPr>
        <w:t>Roubini señala en un artículo de opinión public</w:t>
      </w:r>
      <w:r>
        <w:rPr>
          <w:rFonts w:ascii="Times New Roman" w:hAnsi="Times New Roman" w:cs="Times New Roman"/>
          <w:sz w:val="24"/>
          <w:szCs w:val="24"/>
        </w:rPr>
        <w:t>ado por Project Syndicate, que “</w:t>
      </w:r>
      <w:r w:rsidRPr="00616FA9">
        <w:rPr>
          <w:rFonts w:ascii="Times New Roman" w:hAnsi="Times New Roman" w:cs="Times New Roman"/>
          <w:sz w:val="24"/>
          <w:szCs w:val="24"/>
        </w:rPr>
        <w:t>vale la pena recordar que durante los dos últimos ciclos de normalización monetaria, la Reserva Federal estableció el tipo de interés de e</w:t>
      </w:r>
      <w:r>
        <w:rPr>
          <w:rFonts w:ascii="Times New Roman" w:hAnsi="Times New Roman" w:cs="Times New Roman"/>
          <w:sz w:val="24"/>
          <w:szCs w:val="24"/>
        </w:rPr>
        <w:t>quilibrio en el 6,5% y el 5,25%”</w:t>
      </w:r>
      <w:r w:rsidRPr="00616FA9">
        <w:rPr>
          <w:rFonts w:ascii="Times New Roman" w:hAnsi="Times New Roman" w:cs="Times New Roman"/>
          <w:sz w:val="24"/>
          <w:szCs w:val="24"/>
        </w:rPr>
        <w:t xml:space="preserve">. Es decir, la tendencia ya venía siendo decreciente, lo que está dificultando la </w:t>
      </w:r>
      <w:r>
        <w:rPr>
          <w:rFonts w:ascii="Times New Roman" w:hAnsi="Times New Roman" w:cs="Times New Roman"/>
          <w:sz w:val="24"/>
          <w:szCs w:val="24"/>
        </w:rPr>
        <w:t>misión de los bancos centrales.</w:t>
      </w:r>
    </w:p>
    <w:p w:rsidR="00E9644E" w:rsidRPr="00616FA9" w:rsidRDefault="00E9644E" w:rsidP="00E9644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6FA9">
        <w:rPr>
          <w:rFonts w:ascii="Times New Roman" w:hAnsi="Times New Roman" w:cs="Times New Roman"/>
          <w:sz w:val="24"/>
          <w:szCs w:val="24"/>
        </w:rPr>
        <w:t>Cuando la crisis financiera y la posterior recesión llegaron en 2007-2009, la Fed recortó los tipos de interés desde el 5,25% hasta el 0%. Aun así, esto no logró impulsar la economía, por lo que la Fed tuvo que tirar de las políticas no</w:t>
      </w:r>
      <w:r>
        <w:rPr>
          <w:rFonts w:ascii="Times New Roman" w:hAnsi="Times New Roman" w:cs="Times New Roman"/>
          <w:sz w:val="24"/>
          <w:szCs w:val="24"/>
        </w:rPr>
        <w:t xml:space="preserve"> convencionales por primera vez”</w:t>
      </w:r>
      <w:r w:rsidRPr="00616FA9">
        <w:rPr>
          <w:rFonts w:ascii="Times New Roman" w:hAnsi="Times New Roman" w:cs="Times New Roman"/>
          <w:sz w:val="24"/>
          <w:szCs w:val="24"/>
        </w:rPr>
        <w:t>,</w:t>
      </w:r>
      <w:r>
        <w:rPr>
          <w:rFonts w:ascii="Times New Roman" w:hAnsi="Times New Roman" w:cs="Times New Roman"/>
          <w:sz w:val="24"/>
          <w:szCs w:val="24"/>
        </w:rPr>
        <w:t xml:space="preserve"> destaca el célebre economista.</w:t>
      </w:r>
    </w:p>
    <w:p w:rsidR="00E9644E" w:rsidRPr="00616FA9" w:rsidRDefault="00E9644E" w:rsidP="00E9644E">
      <w:pPr>
        <w:spacing w:line="240" w:lineRule="auto"/>
        <w:jc w:val="both"/>
        <w:rPr>
          <w:rFonts w:ascii="Times New Roman" w:hAnsi="Times New Roman" w:cs="Times New Roman"/>
          <w:sz w:val="24"/>
          <w:szCs w:val="24"/>
        </w:rPr>
      </w:pPr>
      <w:r w:rsidRPr="00616FA9">
        <w:rPr>
          <w:rFonts w:ascii="Times New Roman" w:hAnsi="Times New Roman" w:cs="Times New Roman"/>
          <w:sz w:val="24"/>
          <w:szCs w:val="24"/>
        </w:rPr>
        <w:t>Poco margen de maniobra</w:t>
      </w:r>
    </w:p>
    <w:p w:rsidR="00E9644E" w:rsidRPr="00616FA9" w:rsidRDefault="00E9644E" w:rsidP="00E9644E">
      <w:pPr>
        <w:spacing w:line="240" w:lineRule="auto"/>
        <w:jc w:val="both"/>
        <w:rPr>
          <w:rFonts w:ascii="Times New Roman" w:hAnsi="Times New Roman" w:cs="Times New Roman"/>
          <w:sz w:val="24"/>
          <w:szCs w:val="24"/>
        </w:rPr>
      </w:pPr>
      <w:r w:rsidRPr="00616FA9">
        <w:rPr>
          <w:rFonts w:ascii="Times New Roman" w:hAnsi="Times New Roman" w:cs="Times New Roman"/>
          <w:sz w:val="24"/>
          <w:szCs w:val="24"/>
        </w:rPr>
        <w:t>Roubini cree que durante este periodo de normalización monetaria, la Fed podrá llevar los recortes de tipos hasta e</w:t>
      </w:r>
      <w:r>
        <w:rPr>
          <w:rFonts w:ascii="Times New Roman" w:hAnsi="Times New Roman" w:cs="Times New Roman"/>
          <w:sz w:val="24"/>
          <w:szCs w:val="24"/>
        </w:rPr>
        <w:t>l 3% en el mejor de los casos, “</w:t>
      </w:r>
      <w:r w:rsidRPr="00616FA9">
        <w:rPr>
          <w:rFonts w:ascii="Times New Roman" w:hAnsi="Times New Roman" w:cs="Times New Roman"/>
          <w:sz w:val="24"/>
          <w:szCs w:val="24"/>
        </w:rPr>
        <w:t xml:space="preserve">antes </w:t>
      </w:r>
      <w:r>
        <w:rPr>
          <w:rFonts w:ascii="Times New Roman" w:hAnsi="Times New Roman" w:cs="Times New Roman"/>
          <w:sz w:val="24"/>
          <w:szCs w:val="24"/>
        </w:rPr>
        <w:t>de que llegue la próxima crisis”</w:t>
      </w:r>
      <w:r w:rsidRPr="00616FA9">
        <w:rPr>
          <w:rFonts w:ascii="Times New Roman" w:hAnsi="Times New Roman" w:cs="Times New Roman"/>
          <w:sz w:val="24"/>
          <w:szCs w:val="24"/>
        </w:rPr>
        <w:t>. De modo que viendo lo sucedi</w:t>
      </w:r>
      <w:r>
        <w:rPr>
          <w:rFonts w:ascii="Times New Roman" w:hAnsi="Times New Roman" w:cs="Times New Roman"/>
          <w:sz w:val="24"/>
          <w:szCs w:val="24"/>
        </w:rPr>
        <w:t>do durante la última recesión, “</w:t>
      </w:r>
      <w:r w:rsidRPr="00616FA9">
        <w:rPr>
          <w:rFonts w:ascii="Times New Roman" w:hAnsi="Times New Roman" w:cs="Times New Roman"/>
          <w:sz w:val="24"/>
          <w:szCs w:val="24"/>
        </w:rPr>
        <w:t>no habrá suficiente espac</w:t>
      </w:r>
      <w:r>
        <w:rPr>
          <w:rFonts w:ascii="Times New Roman" w:hAnsi="Times New Roman" w:cs="Times New Roman"/>
          <w:sz w:val="24"/>
          <w:szCs w:val="24"/>
        </w:rPr>
        <w:t>io para maniobrar eficazmente”.</w:t>
      </w:r>
    </w:p>
    <w:p w:rsidR="00E9644E" w:rsidRPr="00616FA9" w:rsidRDefault="00E9644E" w:rsidP="00E9644E">
      <w:pPr>
        <w:spacing w:line="240" w:lineRule="auto"/>
        <w:jc w:val="both"/>
        <w:rPr>
          <w:rFonts w:ascii="Times New Roman" w:hAnsi="Times New Roman" w:cs="Times New Roman"/>
          <w:sz w:val="24"/>
          <w:szCs w:val="24"/>
        </w:rPr>
      </w:pPr>
      <w:r w:rsidRPr="00616FA9">
        <w:rPr>
          <w:rFonts w:ascii="Times New Roman" w:hAnsi="Times New Roman" w:cs="Times New Roman"/>
          <w:sz w:val="24"/>
          <w:szCs w:val="24"/>
        </w:rPr>
        <w:lastRenderedPageBreak/>
        <w:t>Los tipos nominales caerán hasta niveles cercanos a cero, la incertidumbre llevará a los agentes a acumular efectivo y activos muy líquidos y seguros, en detrimento de la inversión, lo que hará que la polític</w:t>
      </w:r>
      <w:r>
        <w:rPr>
          <w:rFonts w:ascii="Times New Roman" w:hAnsi="Times New Roman" w:cs="Times New Roman"/>
          <w:sz w:val="24"/>
          <w:szCs w:val="24"/>
        </w:rPr>
        <w:t>a monetaria sea poco efectiva. “</w:t>
      </w:r>
      <w:r w:rsidRPr="00616FA9">
        <w:rPr>
          <w:rFonts w:ascii="Times New Roman" w:hAnsi="Times New Roman" w:cs="Times New Roman"/>
          <w:sz w:val="24"/>
          <w:szCs w:val="24"/>
        </w:rPr>
        <w:t>La Fed y otros bancos centrales se quedarán sólo con cuatro opciones, cada una de el</w:t>
      </w:r>
      <w:r>
        <w:rPr>
          <w:rFonts w:ascii="Times New Roman" w:hAnsi="Times New Roman" w:cs="Times New Roman"/>
          <w:sz w:val="24"/>
          <w:szCs w:val="24"/>
        </w:rPr>
        <w:t>las con sus costes y beneficios”</w:t>
      </w:r>
      <w:r w:rsidRPr="00616FA9">
        <w:rPr>
          <w:rFonts w:ascii="Times New Roman" w:hAnsi="Times New Roman" w:cs="Times New Roman"/>
          <w:sz w:val="24"/>
          <w:szCs w:val="24"/>
        </w:rPr>
        <w:t>, so</w:t>
      </w:r>
      <w:r>
        <w:rPr>
          <w:rFonts w:ascii="Times New Roman" w:hAnsi="Times New Roman" w:cs="Times New Roman"/>
          <w:sz w:val="24"/>
          <w:szCs w:val="24"/>
        </w:rPr>
        <w:t>stiene el profesor de Finanzas.</w:t>
      </w:r>
    </w:p>
    <w:p w:rsidR="00E9644E" w:rsidRPr="0023557F" w:rsidRDefault="00E9644E" w:rsidP="00E9644E">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Las cuatro opciones</w:t>
      </w:r>
    </w:p>
    <w:p w:rsidR="00E9644E" w:rsidRPr="00616FA9" w:rsidRDefault="00E9644E" w:rsidP="00E9644E">
      <w:pPr>
        <w:spacing w:line="240" w:lineRule="auto"/>
        <w:jc w:val="both"/>
        <w:rPr>
          <w:rFonts w:ascii="Times New Roman" w:hAnsi="Times New Roman" w:cs="Times New Roman"/>
          <w:sz w:val="24"/>
          <w:szCs w:val="24"/>
        </w:rPr>
      </w:pPr>
      <w:r w:rsidRPr="0023557F">
        <w:rPr>
          <w:rFonts w:ascii="Times New Roman" w:hAnsi="Times New Roman" w:cs="Times New Roman"/>
          <w:sz w:val="24"/>
          <w:szCs w:val="24"/>
          <w:u w:val="single"/>
        </w:rPr>
        <w:t>La primera opción consiste en volver a usar los programas de estímulos</w:t>
      </w:r>
      <w:r w:rsidRPr="00616FA9">
        <w:rPr>
          <w:rFonts w:ascii="Times New Roman" w:hAnsi="Times New Roman" w:cs="Times New Roman"/>
          <w:sz w:val="24"/>
          <w:szCs w:val="24"/>
        </w:rPr>
        <w:t xml:space="preserve"> (quantitative easing o QE) comprando deuda soberana a largo plazo, activos privados e incrementand</w:t>
      </w:r>
      <w:r>
        <w:rPr>
          <w:rFonts w:ascii="Times New Roman" w:hAnsi="Times New Roman" w:cs="Times New Roman"/>
          <w:sz w:val="24"/>
          <w:szCs w:val="24"/>
        </w:rPr>
        <w:t xml:space="preserve">o la liquidez en los mercados. </w:t>
      </w:r>
    </w:p>
    <w:p w:rsidR="00E9644E" w:rsidRPr="00616FA9" w:rsidRDefault="00E9644E" w:rsidP="00E9644E">
      <w:pPr>
        <w:spacing w:line="240" w:lineRule="auto"/>
        <w:jc w:val="both"/>
        <w:rPr>
          <w:rFonts w:ascii="Times New Roman" w:hAnsi="Times New Roman" w:cs="Times New Roman"/>
          <w:sz w:val="24"/>
          <w:szCs w:val="24"/>
        </w:rPr>
      </w:pPr>
      <w:r w:rsidRPr="0023557F">
        <w:rPr>
          <w:rFonts w:ascii="Times New Roman" w:hAnsi="Times New Roman" w:cs="Times New Roman"/>
          <w:sz w:val="24"/>
          <w:szCs w:val="24"/>
          <w:u w:val="single"/>
        </w:rPr>
        <w:t>La segunda opción sería “que los bancos centrales vuelvan a probar con los tipos de interés negativos</w:t>
      </w:r>
      <w:r w:rsidRPr="00616FA9">
        <w:rPr>
          <w:rFonts w:ascii="Times New Roman" w:hAnsi="Times New Roman" w:cs="Times New Roman"/>
          <w:sz w:val="24"/>
          <w:szCs w:val="24"/>
        </w:rPr>
        <w:t xml:space="preserve">, como han hecho el BCE, el Banco de Japón o el Banco Nacional de Suiza, además de implementar el QE y las facilidades de crédito. Los tipos negativos imponen costes para los ahorradores y los bancos, que terminan traspasándolos a </w:t>
      </w:r>
      <w:r>
        <w:rPr>
          <w:rFonts w:ascii="Times New Roman" w:hAnsi="Times New Roman" w:cs="Times New Roman"/>
          <w:sz w:val="24"/>
          <w:szCs w:val="24"/>
        </w:rPr>
        <w:t>los clientes”, asegura Roubini.</w:t>
      </w:r>
    </w:p>
    <w:p w:rsidR="00E9644E" w:rsidRPr="00616FA9" w:rsidRDefault="00E9644E" w:rsidP="00E9644E">
      <w:pPr>
        <w:spacing w:line="240" w:lineRule="auto"/>
        <w:jc w:val="both"/>
        <w:rPr>
          <w:rFonts w:ascii="Times New Roman" w:hAnsi="Times New Roman" w:cs="Times New Roman"/>
          <w:sz w:val="24"/>
          <w:szCs w:val="24"/>
        </w:rPr>
      </w:pPr>
      <w:r w:rsidRPr="0023557F">
        <w:rPr>
          <w:rFonts w:ascii="Times New Roman" w:hAnsi="Times New Roman" w:cs="Times New Roman"/>
          <w:sz w:val="24"/>
          <w:szCs w:val="24"/>
          <w:u w:val="single"/>
        </w:rPr>
        <w:t>La tercera opción consiste en incrementar el objetivo de inflación que se marcan los institutos monetarios, que en Occidente se encuentra actualmente cerca del 2%</w:t>
      </w:r>
      <w:r>
        <w:rPr>
          <w:rFonts w:ascii="Times New Roman" w:hAnsi="Times New Roman" w:cs="Times New Roman"/>
          <w:sz w:val="24"/>
          <w:szCs w:val="24"/>
        </w:rPr>
        <w:t>. “</w:t>
      </w:r>
      <w:r w:rsidRPr="00616FA9">
        <w:rPr>
          <w:rFonts w:ascii="Times New Roman" w:hAnsi="Times New Roman" w:cs="Times New Roman"/>
          <w:sz w:val="24"/>
          <w:szCs w:val="24"/>
        </w:rPr>
        <w:t>Este tipo de política podría incrementar el tipo de interés de equilibrio hasta el 5 o el 6% y reducir el riesgo de caer en una tra</w:t>
      </w:r>
      <w:r>
        <w:rPr>
          <w:rFonts w:ascii="Times New Roman" w:hAnsi="Times New Roman" w:cs="Times New Roman"/>
          <w:sz w:val="24"/>
          <w:szCs w:val="24"/>
        </w:rPr>
        <w:t xml:space="preserve">mpa de liquidez y otra recesión” argumenta el experto. </w:t>
      </w:r>
    </w:p>
    <w:p w:rsidR="00E9644E" w:rsidRPr="00616FA9" w:rsidRDefault="00E9644E" w:rsidP="00E9644E">
      <w:pPr>
        <w:spacing w:line="240" w:lineRule="auto"/>
        <w:jc w:val="both"/>
        <w:rPr>
          <w:rFonts w:ascii="Times New Roman" w:hAnsi="Times New Roman" w:cs="Times New Roman"/>
          <w:sz w:val="24"/>
          <w:szCs w:val="24"/>
        </w:rPr>
      </w:pPr>
      <w:r w:rsidRPr="00616FA9">
        <w:rPr>
          <w:rFonts w:ascii="Times New Roman" w:hAnsi="Times New Roman" w:cs="Times New Roman"/>
          <w:sz w:val="24"/>
          <w:szCs w:val="24"/>
        </w:rPr>
        <w:t>El tipo de interés natural o de equilibrio es el coherente con el pleno empleo y una inflación constante, es decir, el que no alimenta burbujas ni recesiones, grosso modo. Este tipo se encuentra cerca del 0% ahora mismo, por lo que el tipo de interés de equilibrio debe moverse al compás de la inflación, lo que limita las maniobras de los bancos centrales. Por eso, una inflación más elevada permitiría a los banqueros centrales imponer unos tipos nominales más elevados, lo que daría mayor margen de ma</w:t>
      </w:r>
      <w:r>
        <w:rPr>
          <w:rFonts w:ascii="Times New Roman" w:hAnsi="Times New Roman" w:cs="Times New Roman"/>
          <w:sz w:val="24"/>
          <w:szCs w:val="24"/>
        </w:rPr>
        <w:t>niobra ante una nueva recesión.</w:t>
      </w:r>
    </w:p>
    <w:p w:rsidR="00E9644E" w:rsidRPr="00616FA9" w:rsidRDefault="00E9644E" w:rsidP="00E9644E">
      <w:pPr>
        <w:spacing w:line="240" w:lineRule="auto"/>
        <w:jc w:val="both"/>
        <w:rPr>
          <w:rFonts w:ascii="Times New Roman" w:hAnsi="Times New Roman" w:cs="Times New Roman"/>
          <w:sz w:val="24"/>
          <w:szCs w:val="24"/>
        </w:rPr>
      </w:pPr>
      <w:r w:rsidRPr="0023557F">
        <w:rPr>
          <w:rFonts w:ascii="Times New Roman" w:hAnsi="Times New Roman" w:cs="Times New Roman"/>
          <w:sz w:val="24"/>
          <w:szCs w:val="24"/>
          <w:u w:val="single"/>
        </w:rPr>
        <w:t>Por último, la cuarta opción es la opuesta a la anterior. Los bancos centrales podrían reducir su objetivo de inflación hasta el 0%, como ha sugerido el Banco Internacional de Pagos</w:t>
      </w:r>
      <w:r>
        <w:rPr>
          <w:rFonts w:ascii="Times New Roman" w:hAnsi="Times New Roman" w:cs="Times New Roman"/>
          <w:sz w:val="24"/>
          <w:szCs w:val="24"/>
        </w:rPr>
        <w:t>. “</w:t>
      </w:r>
      <w:r w:rsidRPr="00616FA9">
        <w:rPr>
          <w:rFonts w:ascii="Times New Roman" w:hAnsi="Times New Roman" w:cs="Times New Roman"/>
          <w:sz w:val="24"/>
          <w:szCs w:val="24"/>
        </w:rPr>
        <w:t xml:space="preserve">Un objetivo de inflación menor podría reducir la necesidad de recurrir a políticas no convencionales cuando los tipos están cerca de 0% </w:t>
      </w:r>
      <w:r>
        <w:rPr>
          <w:rFonts w:ascii="Times New Roman" w:hAnsi="Times New Roman" w:cs="Times New Roman"/>
          <w:sz w:val="24"/>
          <w:szCs w:val="24"/>
        </w:rPr>
        <w:t>y la inflación no llega al 2%”.</w:t>
      </w:r>
    </w:p>
    <w:p w:rsidR="00E9644E" w:rsidRPr="00E9644E" w:rsidRDefault="00E9644E" w:rsidP="00FF7079">
      <w:pPr>
        <w:spacing w:line="240" w:lineRule="auto"/>
        <w:jc w:val="both"/>
        <w:rPr>
          <w:rFonts w:ascii="Times New Roman" w:hAnsi="Times New Roman" w:cs="Times New Roman"/>
          <w:sz w:val="24"/>
          <w:szCs w:val="24"/>
        </w:rPr>
      </w:pPr>
      <w:r w:rsidRPr="00616FA9">
        <w:rPr>
          <w:rFonts w:ascii="Times New Roman" w:hAnsi="Times New Roman" w:cs="Times New Roman"/>
          <w:sz w:val="24"/>
          <w:szCs w:val="24"/>
        </w:rPr>
        <w:t>No obstante, Roubini cree que está opción es la menos adecuada de las cuatro porque unos objetivos de inflación tan reducidos podrían conducir a la deflación (caída prolongada de precios), lo que desembocaría en un incremento real de los pasivos</w:t>
      </w:r>
      <w:r>
        <w:rPr>
          <w:rFonts w:ascii="Times New Roman" w:hAnsi="Times New Roman" w:cs="Times New Roman"/>
          <w:sz w:val="24"/>
          <w:szCs w:val="24"/>
        </w:rPr>
        <w:t xml:space="preserve"> de los agentes más endeudados.</w:t>
      </w:r>
    </w:p>
    <w:p w:rsidR="00AD55A7" w:rsidRPr="00E9644E" w:rsidRDefault="00AD55A7" w:rsidP="00AD55A7">
      <w:pPr>
        <w:spacing w:line="240" w:lineRule="auto"/>
        <w:jc w:val="both"/>
        <w:rPr>
          <w:rFonts w:ascii="Times New Roman" w:hAnsi="Times New Roman" w:cs="Times New Roman"/>
          <w:noProof/>
          <w:sz w:val="24"/>
          <w:szCs w:val="24"/>
          <w:lang w:eastAsia="es-ES"/>
        </w:rPr>
      </w:pPr>
      <w:r w:rsidRPr="000A7D67">
        <w:rPr>
          <w:rFonts w:ascii="Times New Roman" w:hAnsi="Times New Roman" w:cs="Times New Roman"/>
          <w:noProof/>
          <w:sz w:val="24"/>
          <w:szCs w:val="24"/>
          <w:lang w:eastAsia="es-ES"/>
        </w:rPr>
        <w:t xml:space="preserve">- </w:t>
      </w:r>
      <w:r w:rsidRPr="00E9644E">
        <w:rPr>
          <w:rFonts w:ascii="Times New Roman" w:hAnsi="Times New Roman" w:cs="Times New Roman"/>
          <w:noProof/>
          <w:sz w:val="24"/>
          <w:szCs w:val="24"/>
          <w:u w:val="single"/>
          <w:lang w:eastAsia="es-ES"/>
        </w:rPr>
        <w:t>La posible aparición de una nueva crisis económica mundial</w:t>
      </w:r>
      <w:r w:rsidRPr="00E9644E">
        <w:rPr>
          <w:rFonts w:ascii="Times New Roman" w:hAnsi="Times New Roman" w:cs="Times New Roman"/>
          <w:noProof/>
          <w:sz w:val="24"/>
          <w:szCs w:val="24"/>
          <w:lang w:eastAsia="es-ES"/>
        </w:rPr>
        <w:t xml:space="preserve">  (Thinking Heads - </w:t>
      </w:r>
      <w:r w:rsidRPr="00E9644E">
        <w:rPr>
          <w:rFonts w:ascii="Times New Roman" w:hAnsi="Times New Roman" w:cs="Times New Roman"/>
          <w:b/>
          <w:noProof/>
          <w:sz w:val="24"/>
          <w:szCs w:val="24"/>
          <w:lang w:eastAsia="es-ES"/>
        </w:rPr>
        <w:t>6/11/17</w:t>
      </w:r>
      <w:r w:rsidRPr="00E9644E">
        <w:rPr>
          <w:rFonts w:ascii="Times New Roman" w:hAnsi="Times New Roman" w:cs="Times New Roman"/>
          <w:noProof/>
          <w:sz w:val="24"/>
          <w:szCs w:val="24"/>
          <w:lang w:eastAsia="es-ES"/>
        </w:rPr>
        <w:t>)</w:t>
      </w:r>
    </w:p>
    <w:p w:rsidR="00AD55A7" w:rsidRPr="000A7D67" w:rsidRDefault="00AD55A7" w:rsidP="00AD55A7">
      <w:pPr>
        <w:spacing w:line="240" w:lineRule="auto"/>
        <w:jc w:val="both"/>
        <w:rPr>
          <w:rFonts w:ascii="Times New Roman" w:hAnsi="Times New Roman" w:cs="Times New Roman"/>
          <w:sz w:val="24"/>
          <w:szCs w:val="24"/>
        </w:rPr>
      </w:pPr>
      <w:r w:rsidRPr="000A7D67">
        <w:rPr>
          <w:rFonts w:ascii="Times New Roman" w:hAnsi="Times New Roman" w:cs="Times New Roman"/>
          <w:sz w:val="24"/>
          <w:szCs w:val="24"/>
        </w:rPr>
        <w:t>Aunque parece que el mundo ha conseguido pasar pá</w:t>
      </w:r>
      <w:r w:rsidR="00871209">
        <w:rPr>
          <w:rFonts w:ascii="Times New Roman" w:hAnsi="Times New Roman" w:cs="Times New Roman"/>
          <w:sz w:val="24"/>
          <w:szCs w:val="24"/>
        </w:rPr>
        <w:t>gina sobre la crisis económica -</w:t>
      </w:r>
      <w:r w:rsidRPr="000A7D67">
        <w:rPr>
          <w:rFonts w:ascii="Times New Roman" w:hAnsi="Times New Roman" w:cs="Times New Roman"/>
          <w:sz w:val="24"/>
          <w:szCs w:val="24"/>
        </w:rPr>
        <w:t xml:space="preserve">al menos en lo que respecta a la macroeconomía y las previsiones de </w:t>
      </w:r>
      <w:r w:rsidR="00871209">
        <w:rPr>
          <w:rFonts w:ascii="Times New Roman" w:hAnsi="Times New Roman" w:cs="Times New Roman"/>
          <w:sz w:val="24"/>
          <w:szCs w:val="24"/>
        </w:rPr>
        <w:t>crecimiento-</w:t>
      </w:r>
      <w:r w:rsidRPr="000A7D67">
        <w:rPr>
          <w:rFonts w:ascii="Times New Roman" w:hAnsi="Times New Roman" w:cs="Times New Roman"/>
          <w:sz w:val="24"/>
          <w:szCs w:val="24"/>
        </w:rPr>
        <w:t xml:space="preserve"> los principales responsables de la política monetaria comienzan a plantearse el futuro. ¿Estamos preparados para una nueva crisis? ¿Tienen los bancos centrales políticas adecuadas para ello?</w:t>
      </w:r>
    </w:p>
    <w:p w:rsidR="00AD55A7" w:rsidRPr="000A7D67" w:rsidRDefault="00AD55A7" w:rsidP="00AD55A7">
      <w:pPr>
        <w:spacing w:line="240" w:lineRule="auto"/>
        <w:jc w:val="both"/>
        <w:rPr>
          <w:rFonts w:ascii="Times New Roman" w:hAnsi="Times New Roman" w:cs="Times New Roman"/>
          <w:sz w:val="24"/>
          <w:szCs w:val="24"/>
        </w:rPr>
      </w:pPr>
      <w:r w:rsidRPr="000A7D67">
        <w:rPr>
          <w:rFonts w:ascii="Times New Roman" w:hAnsi="Times New Roman" w:cs="Times New Roman"/>
          <w:sz w:val="24"/>
          <w:szCs w:val="24"/>
        </w:rPr>
        <w:t>Claves</w:t>
      </w:r>
    </w:p>
    <w:p w:rsidR="00E9644E" w:rsidRDefault="00AD55A7" w:rsidP="00AD5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7D67">
        <w:rPr>
          <w:rFonts w:ascii="Times New Roman" w:hAnsi="Times New Roman" w:cs="Times New Roman"/>
          <w:sz w:val="24"/>
          <w:szCs w:val="24"/>
        </w:rPr>
        <w:t>Las consecuencias de la política monetaria no convencional han sido mixtas, positivas para los mercados pero con escasos efectos en la actividad real.</w:t>
      </w:r>
    </w:p>
    <w:p w:rsidR="00AD55A7" w:rsidRPr="000A7D67" w:rsidRDefault="00AD55A7" w:rsidP="00AD55A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0A7D67">
        <w:rPr>
          <w:rFonts w:ascii="Times New Roman" w:hAnsi="Times New Roman" w:cs="Times New Roman"/>
          <w:sz w:val="24"/>
          <w:szCs w:val="24"/>
        </w:rPr>
        <w:t>Existe un consenso en apuntar que no existen políticas monetarias adecuadas para afrontar una nueva crisis y se proponen nuevos modelos: aumentar el objetivo de inflación, establecer una fijación de precios estable o temporal o una política fiscal más efectiva y planificada.</w:t>
      </w:r>
    </w:p>
    <w:p w:rsidR="00AD55A7" w:rsidRPr="000A7D67" w:rsidRDefault="00AD55A7" w:rsidP="00AD5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7D67">
        <w:rPr>
          <w:rFonts w:ascii="Times New Roman" w:hAnsi="Times New Roman" w:cs="Times New Roman"/>
          <w:sz w:val="24"/>
          <w:szCs w:val="24"/>
        </w:rPr>
        <w:t>Todas estas políticas tienen sus aspectos positivos y negativos, pero es necesario tener en cuenta que la política monetaria no convencional ha dejado en herencia efectos indirectos en los mercados emergentes y una posible politización de los bancos centrales.</w:t>
      </w:r>
    </w:p>
    <w:p w:rsidR="00AD55A7" w:rsidRPr="000A7D67" w:rsidRDefault="00AD55A7" w:rsidP="00AD55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7D67">
        <w:rPr>
          <w:rFonts w:ascii="Times New Roman" w:hAnsi="Times New Roman" w:cs="Times New Roman"/>
          <w:sz w:val="24"/>
          <w:szCs w:val="24"/>
        </w:rPr>
        <w:t>Todo ello debe ser tenido en cuenta para desarrollar un nuevo marco de política monetaria para poder afrontar una crisis en el futuro.</w:t>
      </w:r>
    </w:p>
    <w:p w:rsidR="00AD55A7" w:rsidRPr="000A7D67" w:rsidRDefault="00AD55A7" w:rsidP="00AD55A7">
      <w:pPr>
        <w:spacing w:line="240" w:lineRule="auto"/>
        <w:jc w:val="both"/>
        <w:rPr>
          <w:rFonts w:ascii="Times New Roman" w:hAnsi="Times New Roman" w:cs="Times New Roman"/>
          <w:sz w:val="24"/>
          <w:szCs w:val="24"/>
        </w:rPr>
      </w:pPr>
      <w:r w:rsidRPr="000A7D67">
        <w:rPr>
          <w:rFonts w:ascii="Times New Roman" w:hAnsi="Times New Roman" w:cs="Times New Roman"/>
          <w:sz w:val="24"/>
          <w:szCs w:val="24"/>
        </w:rPr>
        <w:t>A pesar de que por primera vez desde 2010 los países del G20 están creciendo y las previsiones del FMI para el crecimiento global son optimistas, algunos tienen una gran fuente de preocupación: ¿tienen los ministros de finanzas y los bancos centrales las suficientes armas y municiones para luchar contra la siguiente recesión cuando llegue? Oliver Blanchard, el ex economista jefe del FMI es escéptico: “No está claro que si una recesión viniera el año próximo tendríamo</w:t>
      </w:r>
      <w:r>
        <w:rPr>
          <w:rFonts w:ascii="Times New Roman" w:hAnsi="Times New Roman" w:cs="Times New Roman"/>
          <w:sz w:val="24"/>
          <w:szCs w:val="24"/>
        </w:rPr>
        <w:t>s las herramientas necesarias”.</w:t>
      </w:r>
    </w:p>
    <w:p w:rsidR="00AD55A7" w:rsidRPr="000A7D67" w:rsidRDefault="00AD55A7" w:rsidP="00AD55A7">
      <w:pPr>
        <w:spacing w:line="240" w:lineRule="auto"/>
        <w:jc w:val="both"/>
        <w:rPr>
          <w:rFonts w:ascii="Times New Roman" w:hAnsi="Times New Roman" w:cs="Times New Roman"/>
          <w:sz w:val="24"/>
          <w:szCs w:val="24"/>
        </w:rPr>
      </w:pPr>
      <w:r w:rsidRPr="000A7D67">
        <w:rPr>
          <w:rFonts w:ascii="Times New Roman" w:hAnsi="Times New Roman" w:cs="Times New Roman"/>
          <w:sz w:val="24"/>
          <w:szCs w:val="24"/>
        </w:rPr>
        <w:t>¿Qué hemos aprendido de las políticas económicas no convencionales?</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Como indica el ex gobernador del Banco Central de India Raghuram Rajan, “en los últimos años, los bancos centrales en países industriales han llevado a una serie de esfuerzos que se desviaron de la política monetaria ordinaria”. ¿Por qué se utilizaron estas políticas? ¿Funcionaron? ¿Cuál es el efecto de retirarlas? ¿Qué problemas plantean a largo plazo? Responder a estas preguntas, argumenta, puede aportar ideas sobre cómo los banqueros centrales pueden afrontar futuras crisis.</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¿Qué consecuencias han tenido estas políticas? En resumen, “los efectos de estas políticas extraordinarias son probablemente positivas para los mercados, de positivas a neutrales en términos de sus efectos en el señalamiento de la política monetaria e inciertas en términos de sus efectos en la actividad real”. Pero, ¿qué ocurre cuando estas políticas comienzan a relajarse?</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Un primer efecto sería que se revirtieran algunos de los impactos en los precios que estas políticas no convencionales crearon. Otro efecto podría verse en los mercados emergentes: si la consecuencia de estas políticas fue llevar inversores a estos mercados buscando mayores rendimientos, eliminar estas políticas podría traerles de vuelta a los mercados más maduros con profundas consecuencias para los emergentes.</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Para algunos, de hecho, estas políticas expansivas no deberían retirarse al proporcionar un instrumento seguro de corto plazo que no existe en el mundo. Para otros, existe un argumento central por el que los bancos centrales deberían reducir sus grandes balances: su posible politización. Con tantos activos en el balance, la tentación y la presión de los gobiernos para utilizarlos en algo que poco o nada tiene que ver con la política monetaria es muy alto.</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Propuestas para la política monetaria del futuro</w:t>
      </w:r>
    </w:p>
    <w:p w:rsidR="00AD55A7" w:rsidRPr="000A7D67" w:rsidRDefault="00AD55A7" w:rsidP="00AD55A7">
      <w:pPr>
        <w:spacing w:line="240" w:lineRule="auto"/>
        <w:jc w:val="both"/>
        <w:rPr>
          <w:rFonts w:ascii="Times New Roman" w:hAnsi="Times New Roman" w:cs="Times New Roman"/>
          <w:sz w:val="24"/>
          <w:szCs w:val="24"/>
        </w:rPr>
      </w:pPr>
      <w:r w:rsidRPr="000A7D67">
        <w:rPr>
          <w:rFonts w:ascii="Times New Roman" w:hAnsi="Times New Roman" w:cs="Times New Roman"/>
          <w:sz w:val="24"/>
          <w:szCs w:val="24"/>
        </w:rPr>
        <w:t>Existe la duda y temor de que no tengamos los instrumentos de política monetaria para hacer frente a una nueva cri</w:t>
      </w:r>
      <w:r>
        <w:rPr>
          <w:rFonts w:ascii="Times New Roman" w:hAnsi="Times New Roman" w:cs="Times New Roman"/>
          <w:sz w:val="24"/>
          <w:szCs w:val="24"/>
        </w:rPr>
        <w:t>sis</w:t>
      </w:r>
      <w:r w:rsidRPr="0023557F">
        <w:rPr>
          <w:rFonts w:ascii="Times New Roman" w:hAnsi="Times New Roman" w:cs="Times New Roman"/>
          <w:sz w:val="24"/>
          <w:szCs w:val="24"/>
          <w:u w:val="single"/>
        </w:rPr>
        <w:t>. ¿Qué es lo que se propone?</w:t>
      </w:r>
    </w:p>
    <w:p w:rsidR="00AD55A7" w:rsidRPr="000A7D67" w:rsidRDefault="00AD55A7" w:rsidP="00AD55A7">
      <w:pPr>
        <w:spacing w:line="240" w:lineRule="auto"/>
        <w:jc w:val="both"/>
        <w:rPr>
          <w:rFonts w:ascii="Times New Roman" w:hAnsi="Times New Roman" w:cs="Times New Roman"/>
          <w:sz w:val="24"/>
          <w:szCs w:val="24"/>
        </w:rPr>
      </w:pPr>
      <w:r w:rsidRPr="0023557F">
        <w:rPr>
          <w:rFonts w:ascii="Times New Roman" w:hAnsi="Times New Roman" w:cs="Times New Roman"/>
          <w:sz w:val="24"/>
          <w:szCs w:val="24"/>
          <w:u w:val="single"/>
        </w:rPr>
        <w:t>Rajan pone el foco en una de las lógicas que los banqueros centrales no suelen mencionar: su conocimiento sobre cómo gestionar la inflación</w:t>
      </w:r>
      <w:r w:rsidRPr="000A7D67">
        <w:rPr>
          <w:rFonts w:ascii="Times New Roman" w:hAnsi="Times New Roman" w:cs="Times New Roman"/>
          <w:sz w:val="24"/>
          <w:szCs w:val="24"/>
        </w:rPr>
        <w:t xml:space="preserve">. Porque ellos “saben mucho mejor cómo mover la inflación por debajo de los límites superiores de lo que saben sobre cómo empujarla </w:t>
      </w:r>
      <w:r w:rsidRPr="000A7D67">
        <w:rPr>
          <w:rFonts w:ascii="Times New Roman" w:hAnsi="Times New Roman" w:cs="Times New Roman"/>
          <w:sz w:val="24"/>
          <w:szCs w:val="24"/>
        </w:rPr>
        <w:lastRenderedPageBreak/>
        <w:t>hacia arriba”. Así, “los bancos centrales se han visto atrapados en un mandato del que saben menos sobre cómo obtener resultados”. El ejemplo del Banco de Japón es claro: lleva intentado subir la inflación desde hace 15 años. Aun así, defiende Rajan, no se puede nunca reconocer que no quedan instrumentos políticos puesto que esto llevaría al colapso de la inflación. Por eso, siempre debe afirmarse que quedan políticas que aún no se han utilizado y esperar y rezar pa</w:t>
      </w:r>
      <w:r>
        <w:rPr>
          <w:rFonts w:ascii="Times New Roman" w:hAnsi="Times New Roman" w:cs="Times New Roman"/>
          <w:sz w:val="24"/>
          <w:szCs w:val="24"/>
        </w:rPr>
        <w:t>ra no tener que sacarlas nunca.</w:t>
      </w:r>
    </w:p>
    <w:p w:rsidR="00E9644E"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 xml:space="preserve">Entonces, ¿qué se puede hacer? El ex presidente de la FED, Ben Bernanke es claro: “Mientras la FED ha utilizado otras políticas útiles en su caja de herramientas como el quantitative easing y la forward guidance, no tengo confianza en que la actual caja de herramientas monetaria sea suficiente para gestionar una recesión”.  Defiende la idea de que habría que ajustar el modelo de política monetaria para tener más “espacio” en el futuro. </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¿Qué propuestas existen?</w:t>
      </w:r>
      <w:r w:rsidR="00E9644E" w:rsidRPr="0023557F">
        <w:rPr>
          <w:rFonts w:ascii="Times New Roman" w:hAnsi="Times New Roman" w:cs="Times New Roman"/>
          <w:sz w:val="24"/>
          <w:szCs w:val="24"/>
          <w:u w:val="single"/>
        </w:rPr>
        <w:t xml:space="preserve"> </w:t>
      </w:r>
      <w:r w:rsidRPr="0023557F">
        <w:rPr>
          <w:rFonts w:ascii="Times New Roman" w:hAnsi="Times New Roman" w:cs="Times New Roman"/>
          <w:sz w:val="24"/>
          <w:szCs w:val="24"/>
          <w:u w:val="single"/>
        </w:rPr>
        <w:t>Existen varias. Para algunos, habría que establecer un objetivo de inflación más a</w:t>
      </w:r>
      <w:r w:rsidR="0023557F" w:rsidRPr="0023557F">
        <w:rPr>
          <w:rFonts w:ascii="Times New Roman" w:hAnsi="Times New Roman" w:cs="Times New Roman"/>
          <w:sz w:val="24"/>
          <w:szCs w:val="24"/>
          <w:u w:val="single"/>
        </w:rPr>
        <w:t>lto -en el tres o cuatro por ciento-</w:t>
      </w:r>
      <w:r w:rsidRPr="0023557F">
        <w:rPr>
          <w:rFonts w:ascii="Times New Roman" w:hAnsi="Times New Roman" w:cs="Times New Roman"/>
          <w:sz w:val="24"/>
          <w:szCs w:val="24"/>
          <w:u w:val="single"/>
        </w:rPr>
        <w:t>. Es sencillo de aplicar al seguir la misma lógica actual, aunque no sería muy popular y puede no funcionar.</w:t>
      </w:r>
    </w:p>
    <w:p w:rsidR="00AD55A7" w:rsidRPr="000A7D67" w:rsidRDefault="00AD55A7" w:rsidP="00AD55A7">
      <w:pPr>
        <w:spacing w:line="240" w:lineRule="auto"/>
        <w:jc w:val="both"/>
        <w:rPr>
          <w:rFonts w:ascii="Times New Roman" w:hAnsi="Times New Roman" w:cs="Times New Roman"/>
          <w:sz w:val="24"/>
          <w:szCs w:val="24"/>
        </w:rPr>
      </w:pPr>
      <w:r w:rsidRPr="0023557F">
        <w:rPr>
          <w:rFonts w:ascii="Times New Roman" w:hAnsi="Times New Roman" w:cs="Times New Roman"/>
          <w:sz w:val="24"/>
          <w:szCs w:val="24"/>
          <w:u w:val="single"/>
        </w:rPr>
        <w:t>Otra propuesta es establecer unos objetivos de nivel de precios.</w:t>
      </w:r>
      <w:r w:rsidRPr="000A7D67">
        <w:rPr>
          <w:rFonts w:ascii="Times New Roman" w:hAnsi="Times New Roman" w:cs="Times New Roman"/>
          <w:sz w:val="24"/>
          <w:szCs w:val="24"/>
        </w:rPr>
        <w:t xml:space="preserve"> Así, por ejemplo, el banco central intentará que el nivel de los precios crezca de un modo estable del 2 % y que, en el largo plazo, la inflación media sea del 2 %. Tiene diversas ventajas y es más flexible, pero también supone problemas al implicar un cambio muy profundo en la propia política de los bancos centrales y requeriría mucha información, educación y explicaci</w:t>
      </w:r>
      <w:r>
        <w:rPr>
          <w:rFonts w:ascii="Times New Roman" w:hAnsi="Times New Roman" w:cs="Times New Roman"/>
          <w:sz w:val="24"/>
          <w:szCs w:val="24"/>
        </w:rPr>
        <w:t>ón a los actores en el mercado.</w:t>
      </w:r>
    </w:p>
    <w:p w:rsidR="00AD55A7" w:rsidRPr="000A7D67" w:rsidRDefault="00AD55A7" w:rsidP="00AD55A7">
      <w:pPr>
        <w:spacing w:line="240" w:lineRule="auto"/>
        <w:jc w:val="both"/>
        <w:rPr>
          <w:rFonts w:ascii="Times New Roman" w:hAnsi="Times New Roman" w:cs="Times New Roman"/>
          <w:sz w:val="24"/>
          <w:szCs w:val="24"/>
        </w:rPr>
      </w:pPr>
      <w:r w:rsidRPr="0023557F">
        <w:rPr>
          <w:rFonts w:ascii="Times New Roman" w:hAnsi="Times New Roman" w:cs="Times New Roman"/>
          <w:sz w:val="24"/>
          <w:szCs w:val="24"/>
          <w:u w:val="single"/>
        </w:rPr>
        <w:t>Bernanke propone así un “objetivo de nivel de precios temporal” como nuevo marco para la política monetaria. Sería una medida temporal puesto que únicamente se aplicaría cuando los tipos de interés estuvieran en cero o cercanos a cero</w:t>
      </w:r>
      <w:r w:rsidRPr="000A7D67">
        <w:rPr>
          <w:rFonts w:ascii="Times New Roman" w:hAnsi="Times New Roman" w:cs="Times New Roman"/>
          <w:sz w:val="24"/>
          <w:szCs w:val="24"/>
        </w:rPr>
        <w:t>. Permite, además, una solución de compromiso: “cuando los tipos de interés están alejados del niveles cercanos a cero, el actual modelo de objetivo de inflación se mantendría. Cuando se esté en niveles cercanos a cero, lo que denomino objetivos de nivel de precios temporal se podría explicar o comunicar como parte de una estrategia global de inflación puesto que implica tener un objetivo de inflación media durante el período de tipos de interés cercanos a cero”. Así, la comunicación sería sobre objetivos de inflación, un concepto más familiar para el público y los agentes del mercado. Además, no requiere que la FED tenga una política más restrictiva</w:t>
      </w:r>
      <w:r>
        <w:rPr>
          <w:rFonts w:ascii="Times New Roman" w:hAnsi="Times New Roman" w:cs="Times New Roman"/>
          <w:sz w:val="24"/>
          <w:szCs w:val="24"/>
        </w:rPr>
        <w:t xml:space="preserve"> para contrarrestar los shocks.</w:t>
      </w:r>
    </w:p>
    <w:p w:rsidR="00AD55A7" w:rsidRPr="000A7D67" w:rsidRDefault="00AD55A7" w:rsidP="00AD55A7">
      <w:pPr>
        <w:spacing w:line="240" w:lineRule="auto"/>
        <w:jc w:val="both"/>
        <w:rPr>
          <w:rFonts w:ascii="Times New Roman" w:hAnsi="Times New Roman" w:cs="Times New Roman"/>
          <w:sz w:val="24"/>
          <w:szCs w:val="24"/>
        </w:rPr>
      </w:pPr>
      <w:r w:rsidRPr="000A7D67">
        <w:rPr>
          <w:rFonts w:ascii="Times New Roman" w:hAnsi="Times New Roman" w:cs="Times New Roman"/>
          <w:sz w:val="24"/>
          <w:szCs w:val="24"/>
        </w:rPr>
        <w:t>Parece así tener muchos beneficios. Preserva el compromiso con la estabilidad de precios, crea expectativas en los participantes del mercado que facilitarán las condiciones financieras en casos de episodios de tipos de interés cercanos a cero y puede ayudar a mitigar la frecuencia y severidad de estos episodios. Pero, al ser temporal, permiten integrarlos en los regímenes de inflación actuales, minimizando la necesidad de cambios en el marco de las políticas y la comunicación.</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Pero algunos son críticos con esta propuesta. Blanchard es pesimista con la idea de que las empresas y particulares gasten más durante una recesión por la promesa de que la inflación subirá rápidamente. Junto a Larry Summers, proponen una política fiscal más efectiva y planificada, con unos gobiernos que preparen un “agresivo estímulo fiscal en caso de recesión”. Con unos tipos de interés extremadamente bajos y una economía que parece que crecerá por encima de la inflación, “siempre puedes emitir deuda y nunca pagarla y el nivel de deuda nunca explotará” como un porcentaje del PIB.</w:t>
      </w:r>
    </w:p>
    <w:p w:rsidR="00AD55A7" w:rsidRPr="000A7D67" w:rsidRDefault="00AD55A7" w:rsidP="00AD55A7">
      <w:pPr>
        <w:spacing w:line="240" w:lineRule="auto"/>
        <w:jc w:val="both"/>
        <w:rPr>
          <w:rFonts w:ascii="Times New Roman" w:hAnsi="Times New Roman" w:cs="Times New Roman"/>
          <w:sz w:val="24"/>
          <w:szCs w:val="24"/>
        </w:rPr>
      </w:pPr>
      <w:r w:rsidRPr="000A7D67">
        <w:rPr>
          <w:rFonts w:ascii="Times New Roman" w:hAnsi="Times New Roman" w:cs="Times New Roman"/>
          <w:sz w:val="24"/>
          <w:szCs w:val="24"/>
        </w:rPr>
        <w:lastRenderedPageBreak/>
        <w:t>En su análisis, Rajan destacó dos aspectos que los banqueros centrales deberían tener en cuenta en su discusión sobre el futuro de la política monetaria no convencional. Por un lado,  los efectos indirectos de la política monetaria en los países industriales en los mercados emergentes, “¿merece la pena un pequeño efecto positivo en un país para un efecto negativo en el resto del mundo?”. Además, mostró las posibles tendencias de politización, la pérdida de independencia y el escrutinio púb</w:t>
      </w:r>
      <w:r>
        <w:rPr>
          <w:rFonts w:ascii="Times New Roman" w:hAnsi="Times New Roman" w:cs="Times New Roman"/>
          <w:sz w:val="24"/>
          <w:szCs w:val="24"/>
        </w:rPr>
        <w:t xml:space="preserve">lico de los Bancos Centrales.  </w:t>
      </w:r>
    </w:p>
    <w:p w:rsidR="00AD55A7" w:rsidRPr="0023557F" w:rsidRDefault="00AD55A7" w:rsidP="00AD55A7">
      <w:pPr>
        <w:spacing w:line="240" w:lineRule="auto"/>
        <w:jc w:val="both"/>
        <w:rPr>
          <w:rFonts w:ascii="Times New Roman" w:hAnsi="Times New Roman" w:cs="Times New Roman"/>
          <w:sz w:val="24"/>
          <w:szCs w:val="24"/>
          <w:u w:val="single"/>
        </w:rPr>
      </w:pPr>
      <w:r w:rsidRPr="0023557F">
        <w:rPr>
          <w:rFonts w:ascii="Times New Roman" w:hAnsi="Times New Roman" w:cs="Times New Roman"/>
          <w:sz w:val="24"/>
          <w:szCs w:val="24"/>
          <w:u w:val="single"/>
        </w:rPr>
        <w:t>Lo que parece claro es que no hay una visión compartida de qué herramientas son necesarias para gestionar la economía en el futuro, pero es fundamental encontrar un consenso sobre cómo actuar en caso de una nueva recesión.</w:t>
      </w:r>
    </w:p>
    <w:p w:rsidR="00071F11" w:rsidRDefault="00071F11" w:rsidP="00071F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E14F7">
        <w:rPr>
          <w:rFonts w:ascii="Times New Roman" w:hAnsi="Times New Roman" w:cs="Times New Roman"/>
          <w:sz w:val="24"/>
          <w:szCs w:val="24"/>
          <w:u w:val="single"/>
        </w:rPr>
        <w:t>El BCE avisa de que la próxima crisis estará ligada al mercado inmobiliario</w:t>
      </w:r>
      <w:r>
        <w:rPr>
          <w:rFonts w:ascii="Times New Roman" w:hAnsi="Times New Roman" w:cs="Times New Roman"/>
          <w:sz w:val="24"/>
          <w:szCs w:val="24"/>
        </w:rPr>
        <w:t xml:space="preserve"> (El Economista - </w:t>
      </w:r>
      <w:r>
        <w:rPr>
          <w:rFonts w:ascii="Times New Roman" w:hAnsi="Times New Roman" w:cs="Times New Roman"/>
          <w:b/>
          <w:sz w:val="24"/>
          <w:szCs w:val="24"/>
        </w:rPr>
        <w:t>5</w:t>
      </w:r>
      <w:r w:rsidRPr="006E14F7">
        <w:rPr>
          <w:rFonts w:ascii="Times New Roman" w:hAnsi="Times New Roman" w:cs="Times New Roman"/>
          <w:b/>
          <w:sz w:val="24"/>
          <w:szCs w:val="24"/>
        </w:rPr>
        <w:t>/9/18</w:t>
      </w:r>
      <w:r>
        <w:rPr>
          <w:rFonts w:ascii="Times New Roman" w:hAnsi="Times New Roman" w:cs="Times New Roman"/>
          <w:sz w:val="24"/>
          <w:szCs w:val="24"/>
        </w:rPr>
        <w:t>)</w:t>
      </w:r>
    </w:p>
    <w:p w:rsidR="00071F11" w:rsidRPr="00071F11" w:rsidRDefault="00071F11" w:rsidP="00071F11">
      <w:pPr>
        <w:spacing w:line="240" w:lineRule="auto"/>
        <w:jc w:val="both"/>
        <w:rPr>
          <w:rFonts w:ascii="Times New Roman" w:hAnsi="Times New Roman" w:cs="Times New Roman"/>
          <w:sz w:val="24"/>
          <w:szCs w:val="24"/>
          <w:u w:val="single"/>
        </w:rPr>
      </w:pPr>
      <w:r w:rsidRPr="00071F11">
        <w:rPr>
          <w:rFonts w:ascii="Times New Roman" w:hAnsi="Times New Roman" w:cs="Times New Roman"/>
          <w:sz w:val="24"/>
          <w:szCs w:val="24"/>
          <w:u w:val="single"/>
        </w:rPr>
        <w:t xml:space="preserve">La presidenta del Consejo de Supervisión del Banco Central Europeo (BCE), Danièle Nouy, ha alertado de que la próxima crisis económica estará ligada al mercado inmobiliario, aunque ha </w:t>
      </w:r>
      <w:r w:rsidR="00E9644E">
        <w:rPr>
          <w:rFonts w:ascii="Times New Roman" w:hAnsi="Times New Roman" w:cs="Times New Roman"/>
          <w:sz w:val="24"/>
          <w:szCs w:val="24"/>
          <w:u w:val="single"/>
        </w:rPr>
        <w:t>asegurado que los bancos están “mucho mejor preparados”</w:t>
      </w:r>
      <w:r w:rsidRPr="00071F11">
        <w:rPr>
          <w:rFonts w:ascii="Times New Roman" w:hAnsi="Times New Roman" w:cs="Times New Roman"/>
          <w:sz w:val="24"/>
          <w:szCs w:val="24"/>
          <w:u w:val="single"/>
        </w:rPr>
        <w:t xml:space="preserve"> para afrontarla que hace una década.</w:t>
      </w:r>
    </w:p>
    <w:p w:rsidR="00071F11" w:rsidRPr="00071F11" w:rsidRDefault="00071F11" w:rsidP="00071F11">
      <w:pPr>
        <w:spacing w:line="240" w:lineRule="auto"/>
        <w:jc w:val="both"/>
        <w:rPr>
          <w:rFonts w:ascii="Times New Roman" w:hAnsi="Times New Roman" w:cs="Times New Roman"/>
          <w:color w:val="FF0000"/>
          <w:sz w:val="24"/>
          <w:szCs w:val="24"/>
          <w:u w:val="single"/>
        </w:rPr>
      </w:pPr>
      <w:r w:rsidRPr="00071F11">
        <w:rPr>
          <w:rFonts w:ascii="Times New Roman" w:hAnsi="Times New Roman" w:cs="Times New Roman"/>
          <w:color w:val="FF0000"/>
          <w:sz w:val="24"/>
          <w:szCs w:val="24"/>
          <w:u w:val="single"/>
        </w:rPr>
        <w:t>En una entrevista con</w:t>
      </w:r>
      <w:r w:rsidR="00E9644E">
        <w:rPr>
          <w:rFonts w:ascii="Times New Roman" w:hAnsi="Times New Roman" w:cs="Times New Roman"/>
          <w:color w:val="FF0000"/>
          <w:sz w:val="24"/>
          <w:szCs w:val="24"/>
          <w:u w:val="single"/>
        </w:rPr>
        <w:t xml:space="preserve"> la agencia de noticias letona “Leta”, Nouy ha asegurado que lo “único” que sabe a “ciencia cierta”</w:t>
      </w:r>
      <w:r w:rsidRPr="00071F11">
        <w:rPr>
          <w:rFonts w:ascii="Times New Roman" w:hAnsi="Times New Roman" w:cs="Times New Roman"/>
          <w:color w:val="FF0000"/>
          <w:sz w:val="24"/>
          <w:szCs w:val="24"/>
          <w:u w:val="single"/>
        </w:rPr>
        <w:t xml:space="preserve"> es que habrá otra crisis, aunque desconoce cuándo o dónde surgirá.</w:t>
      </w:r>
    </w:p>
    <w:p w:rsidR="00071F11" w:rsidRPr="006E14F7" w:rsidRDefault="00071F11" w:rsidP="00071F11">
      <w:pPr>
        <w:spacing w:line="240" w:lineRule="auto"/>
        <w:jc w:val="both"/>
        <w:rPr>
          <w:rFonts w:ascii="Times New Roman" w:hAnsi="Times New Roman" w:cs="Times New Roman"/>
          <w:sz w:val="24"/>
          <w:szCs w:val="24"/>
        </w:rPr>
      </w:pPr>
      <w:r w:rsidRPr="006E14F7">
        <w:rPr>
          <w:rFonts w:ascii="Times New Roman" w:hAnsi="Times New Roman" w:cs="Times New Roman"/>
          <w:sz w:val="24"/>
          <w:szCs w:val="24"/>
        </w:rPr>
        <w:t xml:space="preserve">Nouy advirtió de que algunos bancos no han tenido el éxito suficiente en adquirir liquidez adicional en el mercado cuando se encuentran en situaciones difíciles a pesar </w:t>
      </w:r>
      <w:r w:rsidR="006F0DE5">
        <w:rPr>
          <w:rFonts w:ascii="Times New Roman" w:hAnsi="Times New Roman" w:cs="Times New Roman"/>
          <w:sz w:val="24"/>
          <w:szCs w:val="24"/>
        </w:rPr>
        <w:t>de los bajos tipos de interés. “</w:t>
      </w:r>
      <w:r w:rsidRPr="006E14F7">
        <w:rPr>
          <w:rFonts w:ascii="Times New Roman" w:hAnsi="Times New Roman" w:cs="Times New Roman"/>
          <w:sz w:val="24"/>
          <w:szCs w:val="24"/>
        </w:rPr>
        <w:t>Lo que aún falta es un seguro d</w:t>
      </w:r>
      <w:r w:rsidR="006F0DE5">
        <w:rPr>
          <w:rFonts w:ascii="Times New Roman" w:hAnsi="Times New Roman" w:cs="Times New Roman"/>
          <w:sz w:val="24"/>
          <w:szCs w:val="24"/>
        </w:rPr>
        <w:t>e depósitos europeo”</w:t>
      </w:r>
      <w:r>
        <w:rPr>
          <w:rFonts w:ascii="Times New Roman" w:hAnsi="Times New Roman" w:cs="Times New Roman"/>
          <w:sz w:val="24"/>
          <w:szCs w:val="24"/>
        </w:rPr>
        <w:t>, ha dicho.</w:t>
      </w:r>
    </w:p>
    <w:p w:rsidR="00071F11" w:rsidRPr="006E14F7" w:rsidRDefault="00ED5906" w:rsidP="00071F1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71F11" w:rsidRPr="006E14F7">
        <w:rPr>
          <w:rFonts w:ascii="Times New Roman" w:hAnsi="Times New Roman" w:cs="Times New Roman"/>
          <w:sz w:val="24"/>
          <w:szCs w:val="24"/>
        </w:rPr>
        <w:t>Sé que algunos países del este y el norte de Europa quieren ver una mayor deducción de los riesgos de los bancos de la zona euro antes de que se hagan más avances. Personalmente pienso que los riesgos se han reducido significativamente. Así que tenemo</w:t>
      </w:r>
      <w:r>
        <w:rPr>
          <w:rFonts w:ascii="Times New Roman" w:hAnsi="Times New Roman" w:cs="Times New Roman"/>
          <w:sz w:val="24"/>
          <w:szCs w:val="24"/>
        </w:rPr>
        <w:t>s que seguir adelante”</w:t>
      </w:r>
      <w:r w:rsidR="00071F11">
        <w:rPr>
          <w:rFonts w:ascii="Times New Roman" w:hAnsi="Times New Roman" w:cs="Times New Roman"/>
          <w:sz w:val="24"/>
          <w:szCs w:val="24"/>
        </w:rPr>
        <w:t>, añadió.</w:t>
      </w:r>
    </w:p>
    <w:p w:rsidR="00071F11" w:rsidRPr="006E14F7" w:rsidRDefault="00071F11" w:rsidP="00071F11">
      <w:pPr>
        <w:spacing w:line="240" w:lineRule="auto"/>
        <w:jc w:val="both"/>
        <w:rPr>
          <w:rFonts w:ascii="Times New Roman" w:hAnsi="Times New Roman" w:cs="Times New Roman"/>
          <w:sz w:val="24"/>
          <w:szCs w:val="24"/>
        </w:rPr>
      </w:pPr>
      <w:r w:rsidRPr="006E14F7">
        <w:rPr>
          <w:rFonts w:ascii="Times New Roman" w:hAnsi="Times New Roman" w:cs="Times New Roman"/>
          <w:sz w:val="24"/>
          <w:szCs w:val="24"/>
        </w:rPr>
        <w:t>La reguladora europea ha indicado que sospecha que la próxima crisis la ca</w:t>
      </w:r>
      <w:r w:rsidR="006F0DE5">
        <w:rPr>
          <w:rFonts w:ascii="Times New Roman" w:hAnsi="Times New Roman" w:cs="Times New Roman"/>
          <w:sz w:val="24"/>
          <w:szCs w:val="24"/>
        </w:rPr>
        <w:t>usará el mercado inmobiliario. “</w:t>
      </w:r>
      <w:r w:rsidRPr="006E14F7">
        <w:rPr>
          <w:rFonts w:ascii="Times New Roman" w:hAnsi="Times New Roman" w:cs="Times New Roman"/>
          <w:sz w:val="24"/>
          <w:szCs w:val="24"/>
        </w:rPr>
        <w:t>Muchas de las crisis anteriores han estado relacionadas con el mercado inmobiliario, aunque no sea de</w:t>
      </w:r>
      <w:r w:rsidR="006F0DE5">
        <w:rPr>
          <w:rFonts w:ascii="Times New Roman" w:hAnsi="Times New Roman" w:cs="Times New Roman"/>
          <w:sz w:val="24"/>
          <w:szCs w:val="24"/>
        </w:rPr>
        <w:t xml:space="preserve"> manera directa”</w:t>
      </w:r>
      <w:r>
        <w:rPr>
          <w:rFonts w:ascii="Times New Roman" w:hAnsi="Times New Roman" w:cs="Times New Roman"/>
          <w:sz w:val="24"/>
          <w:szCs w:val="24"/>
        </w:rPr>
        <w:t>, ha subrayado.</w:t>
      </w:r>
    </w:p>
    <w:p w:rsidR="00071F11" w:rsidRPr="006E14F7" w:rsidRDefault="00071F11" w:rsidP="00071F11">
      <w:pPr>
        <w:spacing w:line="240" w:lineRule="auto"/>
        <w:jc w:val="both"/>
        <w:rPr>
          <w:rFonts w:ascii="Times New Roman" w:hAnsi="Times New Roman" w:cs="Times New Roman"/>
          <w:sz w:val="24"/>
          <w:szCs w:val="24"/>
        </w:rPr>
      </w:pPr>
      <w:r w:rsidRPr="006E14F7">
        <w:rPr>
          <w:rFonts w:ascii="Times New Roman" w:hAnsi="Times New Roman" w:cs="Times New Roman"/>
          <w:sz w:val="24"/>
          <w:szCs w:val="24"/>
        </w:rPr>
        <w:t>No obstante, Nouy ha asegurado que, gracias a que el Mecanismo Único de Resolución es</w:t>
      </w:r>
      <w:r w:rsidR="006F0DE5">
        <w:rPr>
          <w:rFonts w:ascii="Times New Roman" w:hAnsi="Times New Roman" w:cs="Times New Roman"/>
          <w:sz w:val="24"/>
          <w:szCs w:val="24"/>
        </w:rPr>
        <w:t>tá en marcha, los bancos están “mucho mejor preparados” para afrontar un “shock”</w:t>
      </w:r>
      <w:r w:rsidRPr="006E14F7">
        <w:rPr>
          <w:rFonts w:ascii="Times New Roman" w:hAnsi="Times New Roman" w:cs="Times New Roman"/>
          <w:sz w:val="24"/>
          <w:szCs w:val="24"/>
        </w:rPr>
        <w:t xml:space="preserve"> económico, ya que los mecanismos de gesti</w:t>
      </w:r>
      <w:r w:rsidR="006F0DE5">
        <w:rPr>
          <w:rFonts w:ascii="Times New Roman" w:hAnsi="Times New Roman" w:cs="Times New Roman"/>
          <w:sz w:val="24"/>
          <w:szCs w:val="24"/>
        </w:rPr>
        <w:t>ón de crisis son “más fuertes”</w:t>
      </w:r>
      <w:r>
        <w:rPr>
          <w:rFonts w:ascii="Times New Roman" w:hAnsi="Times New Roman" w:cs="Times New Roman"/>
          <w:sz w:val="24"/>
          <w:szCs w:val="24"/>
        </w:rPr>
        <w:t>.</w:t>
      </w:r>
    </w:p>
    <w:p w:rsidR="00071F11" w:rsidRDefault="00071F11" w:rsidP="00071F11">
      <w:pPr>
        <w:spacing w:line="240" w:lineRule="auto"/>
        <w:jc w:val="both"/>
        <w:rPr>
          <w:rFonts w:ascii="Times New Roman" w:hAnsi="Times New Roman" w:cs="Times New Roman"/>
          <w:sz w:val="24"/>
          <w:szCs w:val="24"/>
        </w:rPr>
      </w:pPr>
      <w:r w:rsidRPr="006E14F7">
        <w:rPr>
          <w:rFonts w:ascii="Times New Roman" w:hAnsi="Times New Roman" w:cs="Times New Roman"/>
          <w:sz w:val="24"/>
          <w:szCs w:val="24"/>
        </w:rPr>
        <w:t>La reguladora ha alertado de que</w:t>
      </w:r>
      <w:r w:rsidR="006F0DE5">
        <w:rPr>
          <w:rFonts w:ascii="Times New Roman" w:hAnsi="Times New Roman" w:cs="Times New Roman"/>
          <w:sz w:val="24"/>
          <w:szCs w:val="24"/>
        </w:rPr>
        <w:t xml:space="preserve"> los tipos de interés variable “tienen riesgo” ya que no hay “garantía”</w:t>
      </w:r>
      <w:r w:rsidRPr="006E14F7">
        <w:rPr>
          <w:rFonts w:ascii="Times New Roman" w:hAnsi="Times New Roman" w:cs="Times New Roman"/>
          <w:sz w:val="24"/>
          <w:szCs w:val="24"/>
        </w:rPr>
        <w:t xml:space="preserve"> de que cuando suban, los beneficios de las compañías o los salarios de los trabaj</w:t>
      </w:r>
      <w:r w:rsidR="006F0DE5">
        <w:rPr>
          <w:rFonts w:ascii="Times New Roman" w:hAnsi="Times New Roman" w:cs="Times New Roman"/>
          <w:sz w:val="24"/>
          <w:szCs w:val="24"/>
        </w:rPr>
        <w:t>adores también se incrementen. “</w:t>
      </w:r>
      <w:r w:rsidRPr="006E14F7">
        <w:rPr>
          <w:rFonts w:ascii="Times New Roman" w:hAnsi="Times New Roman" w:cs="Times New Roman"/>
          <w:sz w:val="24"/>
          <w:szCs w:val="24"/>
        </w:rPr>
        <w:t>Vamos a seguir de cerca los desar</w:t>
      </w:r>
      <w:r w:rsidR="006F0DE5">
        <w:rPr>
          <w:rFonts w:ascii="Times New Roman" w:hAnsi="Times New Roman" w:cs="Times New Roman"/>
          <w:sz w:val="24"/>
          <w:szCs w:val="24"/>
        </w:rPr>
        <w:t>rollos del mercado inmobiliario”</w:t>
      </w:r>
      <w:r w:rsidRPr="006E14F7">
        <w:rPr>
          <w:rFonts w:ascii="Times New Roman" w:hAnsi="Times New Roman" w:cs="Times New Roman"/>
          <w:sz w:val="24"/>
          <w:szCs w:val="24"/>
        </w:rPr>
        <w:t>, ha esgrimido.</w:t>
      </w:r>
    </w:p>
    <w:p w:rsidR="00A53386" w:rsidRPr="00ED5906" w:rsidRDefault="00A53386" w:rsidP="00A53386">
      <w:pPr>
        <w:pStyle w:val="NormalWeb"/>
        <w:shd w:val="clear" w:color="auto" w:fill="FFFFFF"/>
        <w:spacing w:after="270"/>
        <w:jc w:val="both"/>
        <w:rPr>
          <w:i/>
          <w:spacing w:val="-1"/>
        </w:rPr>
      </w:pPr>
      <w:r w:rsidRPr="00ED5906">
        <w:rPr>
          <w:i/>
          <w:spacing w:val="-1"/>
        </w:rPr>
        <w:t>“Las crisis demoran mucho más en llegar de lo que uno cree, y luego se desarrollan mucho más rápido de lo que uno hubiera pensado”. Rüdiger Dornbusch</w:t>
      </w:r>
    </w:p>
    <w:p w:rsidR="00071F11" w:rsidRPr="00ED5906" w:rsidRDefault="00ED5906" w:rsidP="002A2D12">
      <w:pPr>
        <w:spacing w:line="240" w:lineRule="auto"/>
        <w:jc w:val="both"/>
        <w:rPr>
          <w:rFonts w:ascii="Times New Roman" w:hAnsi="Times New Roman" w:cs="Times New Roman"/>
          <w:i/>
          <w:spacing w:val="-1"/>
          <w:sz w:val="24"/>
          <w:szCs w:val="24"/>
        </w:rPr>
      </w:pPr>
      <w:r>
        <w:rPr>
          <w:rFonts w:ascii="Times New Roman" w:hAnsi="Times New Roman" w:cs="Times New Roman"/>
          <w:i/>
          <w:spacing w:val="-1"/>
          <w:sz w:val="24"/>
          <w:szCs w:val="24"/>
        </w:rPr>
        <w:t xml:space="preserve">La Ley de Stein </w:t>
      </w:r>
      <w:r w:rsidR="00A53386" w:rsidRPr="00ED5906">
        <w:rPr>
          <w:rFonts w:ascii="Times New Roman" w:hAnsi="Times New Roman" w:cs="Times New Roman"/>
          <w:i/>
          <w:spacing w:val="-1"/>
          <w:sz w:val="24"/>
          <w:szCs w:val="24"/>
        </w:rPr>
        <w:t>sostiene que si algo no puede seguir para siempre, se detendrá.</w:t>
      </w:r>
    </w:p>
    <w:p w:rsidR="00ED5906" w:rsidRDefault="00A53386" w:rsidP="00A53386">
      <w:pPr>
        <w:pStyle w:val="NormalWeb"/>
        <w:shd w:val="clear" w:color="auto" w:fill="FFFFFF"/>
        <w:spacing w:after="270"/>
        <w:jc w:val="both"/>
        <w:rPr>
          <w:b/>
          <w:spacing w:val="-1"/>
        </w:rPr>
      </w:pPr>
      <w:r w:rsidRPr="00ED5906">
        <w:rPr>
          <w:b/>
          <w:spacing w:val="-1"/>
        </w:rPr>
        <w:t>Tarde o temprano, el excepcionalismo financiero cederá ante las leyes de la economía. El mundo debe prepararse. Las consecuencias pueden ser graves, y sin punto de comparación con nada que haya sucedido en la historia reciente.</w:t>
      </w:r>
    </w:p>
    <w:p w:rsidR="008C0554" w:rsidRPr="00ED5906" w:rsidRDefault="008C0554" w:rsidP="00A53386">
      <w:pPr>
        <w:pStyle w:val="NormalWeb"/>
        <w:shd w:val="clear" w:color="auto" w:fill="FFFFFF"/>
        <w:spacing w:after="270"/>
        <w:jc w:val="both"/>
        <w:rPr>
          <w:b/>
          <w:spacing w:val="-1"/>
        </w:rPr>
      </w:pPr>
      <w:r w:rsidRPr="008C0554">
        <w:rPr>
          <w:b/>
          <w:spacing w:val="-1"/>
        </w:rPr>
        <w:lastRenderedPageBreak/>
        <w:t xml:space="preserve">- La </w:t>
      </w:r>
      <w:r w:rsidR="002801B5">
        <w:rPr>
          <w:b/>
          <w:spacing w:val="-1"/>
        </w:rPr>
        <w:t>“</w:t>
      </w:r>
      <w:r w:rsidRPr="008C0554">
        <w:rPr>
          <w:b/>
          <w:spacing w:val="-1"/>
        </w:rPr>
        <w:t>caja de herramientas</w:t>
      </w:r>
      <w:r w:rsidR="002801B5">
        <w:rPr>
          <w:b/>
          <w:spacing w:val="-1"/>
        </w:rPr>
        <w:t>”</w:t>
      </w:r>
      <w:r w:rsidRPr="008C0554">
        <w:rPr>
          <w:b/>
          <w:spacing w:val="-1"/>
        </w:rPr>
        <w:t xml:space="preserve"> del Banco Central Europeo (BCE)</w:t>
      </w:r>
    </w:p>
    <w:p w:rsidR="008C0554" w:rsidRDefault="008C0554" w:rsidP="008C0554">
      <w:pPr>
        <w:spacing w:line="240" w:lineRule="auto"/>
        <w:jc w:val="both"/>
        <w:rPr>
          <w:rFonts w:ascii="Times New Roman" w:hAnsi="Times New Roman" w:cs="Times New Roman"/>
          <w:b/>
          <w:color w:val="FF0000"/>
          <w:sz w:val="24"/>
          <w:szCs w:val="24"/>
        </w:rPr>
      </w:pPr>
      <w:r w:rsidRPr="001A7C59">
        <w:rPr>
          <w:noProof/>
          <w:lang w:eastAsia="es-ES"/>
        </w:rPr>
        <w:drawing>
          <wp:inline distT="0" distB="0" distL="0" distR="0" wp14:anchorId="1E85BDB7" wp14:editId="0BCBCA9C">
            <wp:extent cx="5731510" cy="2656840"/>
            <wp:effectExtent l="0" t="0" r="2540" b="0"/>
            <wp:docPr id="4" name="Imagen 4" descr="La inversión de la curva de tipos y la tasa de paro: la combinación que anticipa una crisis en EEUU">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14675" descr="La inversión de la curva de tipos y la tasa de paro: la combinación que anticipa una crisis en EEUU">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2656840"/>
                    </a:xfrm>
                    <a:prstGeom prst="rect">
                      <a:avLst/>
                    </a:prstGeom>
                    <a:noFill/>
                    <a:ln>
                      <a:noFill/>
                    </a:ln>
                  </pic:spPr>
                </pic:pic>
              </a:graphicData>
            </a:graphic>
          </wp:inline>
        </w:drawing>
      </w:r>
    </w:p>
    <w:p w:rsidR="008C0554" w:rsidRDefault="008C0554" w:rsidP="008C0554">
      <w:pPr>
        <w:spacing w:line="240" w:lineRule="auto"/>
        <w:jc w:val="both"/>
        <w:rPr>
          <w:rFonts w:ascii="Times New Roman" w:hAnsi="Times New Roman" w:cs="Times New Roman"/>
          <w:b/>
          <w:sz w:val="24"/>
          <w:szCs w:val="24"/>
        </w:rPr>
      </w:pPr>
      <w:r w:rsidRPr="00135716">
        <w:rPr>
          <w:rFonts w:ascii="Times New Roman" w:hAnsi="Times New Roman" w:cs="Times New Roman"/>
          <w:b/>
          <w:sz w:val="24"/>
          <w:szCs w:val="24"/>
        </w:rPr>
        <w:t>Banco Central Europeo (BCE)</w:t>
      </w:r>
    </w:p>
    <w:p w:rsidR="008C0554" w:rsidRPr="00135716" w:rsidRDefault="008C0554" w:rsidP="008C0554">
      <w:pPr>
        <w:spacing w:line="240" w:lineRule="auto"/>
        <w:jc w:val="both"/>
        <w:rPr>
          <w:rFonts w:ascii="Times New Roman" w:hAnsi="Times New Roman" w:cs="Times New Roman"/>
          <w:b/>
          <w:sz w:val="24"/>
          <w:szCs w:val="24"/>
        </w:rPr>
      </w:pPr>
      <w:r w:rsidRPr="00135716">
        <w:rPr>
          <w:rFonts w:ascii="Times New Roman" w:hAnsi="Times New Roman" w:cs="Times New Roman"/>
          <w:b/>
          <w:sz w:val="24"/>
          <w:szCs w:val="24"/>
        </w:rPr>
        <w:t>Funciones</w:t>
      </w:r>
    </w:p>
    <w:p w:rsidR="008C0554" w:rsidRPr="00135716" w:rsidRDefault="008C0554" w:rsidP="008C0554">
      <w:pPr>
        <w:pStyle w:val="NormalWeb"/>
        <w:shd w:val="clear" w:color="auto" w:fill="FFFFFF"/>
        <w:spacing w:before="0" w:beforeAutospacing="0" w:after="0" w:afterAutospacing="0"/>
        <w:jc w:val="both"/>
        <w:textAlignment w:val="baseline"/>
      </w:pPr>
      <w:r w:rsidRPr="00135716">
        <w:t>Las funciones del Sistema Europeo de Bancos Centrales (SEBC) y del Eurosistema están establecidas en el </w:t>
      </w:r>
      <w:r w:rsidRPr="006F0DE5">
        <w:rPr>
          <w:rStyle w:val="Textoennegrita"/>
          <w:rFonts w:eastAsiaTheme="majorEastAsia"/>
          <w:b w:val="0"/>
          <w:bdr w:val="none" w:sz="0" w:space="0" w:color="auto" w:frame="1"/>
        </w:rPr>
        <w:t>Tratado</w:t>
      </w:r>
      <w:r w:rsidRPr="00135716">
        <w:t> de Funcionamiento de la Unión Europea, y están especificadas en los </w:t>
      </w:r>
      <w:r w:rsidRPr="006F0DE5">
        <w:rPr>
          <w:rStyle w:val="Textoennegrita"/>
          <w:rFonts w:eastAsiaTheme="majorEastAsia"/>
          <w:b w:val="0"/>
          <w:bdr w:val="none" w:sz="0" w:space="0" w:color="auto" w:frame="1"/>
        </w:rPr>
        <w:t>Estatutos</w:t>
      </w:r>
      <w:r w:rsidRPr="00135716">
        <w:t> del Sistema Europeo de Bancos Centrales y del Banco Central Europeo, que son un protocolo anejo al Tratado.</w:t>
      </w:r>
    </w:p>
    <w:p w:rsidR="008C0554" w:rsidRDefault="008C0554" w:rsidP="008C0554">
      <w:pPr>
        <w:pStyle w:val="NormalWeb"/>
        <w:shd w:val="clear" w:color="auto" w:fill="FFFFFF"/>
        <w:spacing w:before="300" w:beforeAutospacing="0" w:after="0" w:afterAutospacing="0"/>
        <w:jc w:val="both"/>
        <w:textAlignment w:val="baseline"/>
      </w:pPr>
      <w:r w:rsidRPr="00135716">
        <w:t>En general, el Tratado de Funcionamiento de la Unión Europea se refiere al SEBC y no al Eurosistema, ya que su redacción se basó en el supuesto de que todos los Estados miembros de la UE adoptarían el euro. El Eurosistema está compuesto por el Banco Central Europeo (BCE) y los bancos centrales nacionales (BCN) de los Estados miembros de la UE cuya moneda es el euro, mientras que el SEBC está integrado por el BCE y los BCN de la totalidad de Estados miembros de la UE (apartado 1 del artículo 282 del Tratado). La distinción entre Eurosistema y SEBC se mantendrá en tanto existan Estados miembros que no hayan adoptado el euro.</w:t>
      </w:r>
    </w:p>
    <w:p w:rsidR="008C0554" w:rsidRPr="008C0554" w:rsidRDefault="008C0554" w:rsidP="008C0554">
      <w:pPr>
        <w:pStyle w:val="NormalWeb"/>
        <w:shd w:val="clear" w:color="auto" w:fill="FFFFFF"/>
        <w:spacing w:before="300" w:beforeAutospacing="0" w:after="0" w:afterAutospacing="0"/>
        <w:jc w:val="both"/>
        <w:textAlignment w:val="baseline"/>
        <w:rPr>
          <w:b/>
        </w:rPr>
      </w:pPr>
      <w:r w:rsidRPr="008C0554">
        <w:rPr>
          <w:b/>
        </w:rPr>
        <w:t>Objetivos</w:t>
      </w:r>
    </w:p>
    <w:p w:rsidR="008C0554" w:rsidRDefault="008C0554" w:rsidP="008C0554">
      <w:pPr>
        <w:pStyle w:val="NormalWeb"/>
        <w:shd w:val="clear" w:color="auto" w:fill="FFFFFF"/>
        <w:spacing w:before="0" w:beforeAutospacing="0" w:after="0" w:afterAutospacing="0"/>
        <w:jc w:val="both"/>
        <w:textAlignment w:val="baseline"/>
      </w:pPr>
    </w:p>
    <w:p w:rsidR="008C0554" w:rsidRPr="00135716" w:rsidRDefault="008C0554" w:rsidP="008C0554">
      <w:pPr>
        <w:pStyle w:val="NormalWeb"/>
        <w:shd w:val="clear" w:color="auto" w:fill="FFFFFF"/>
        <w:spacing w:before="0" w:beforeAutospacing="0" w:after="0" w:afterAutospacing="0"/>
        <w:jc w:val="both"/>
        <w:textAlignment w:val="baseline"/>
      </w:pPr>
      <w:r w:rsidRPr="00135716">
        <w:t>El objetivo principal del Eurosistema está enunciado en el apartado 1 del artículo 127 del Tratado:</w:t>
      </w:r>
    </w:p>
    <w:p w:rsidR="008C0554" w:rsidRPr="00135716" w:rsidRDefault="008C0554" w:rsidP="008C0554">
      <w:pPr>
        <w:pStyle w:val="NormalWeb"/>
        <w:shd w:val="clear" w:color="auto" w:fill="FFFFFF"/>
        <w:spacing w:before="300" w:beforeAutospacing="0" w:after="0" w:afterAutospacing="0"/>
        <w:jc w:val="both"/>
        <w:textAlignment w:val="baseline"/>
      </w:pPr>
      <w:r>
        <w:t>“</w:t>
      </w:r>
      <w:r w:rsidRPr="00135716">
        <w:t>El objetivo principal del Sistem</w:t>
      </w:r>
      <w:r>
        <w:t>a Europeo de Bancos Centrales, (</w:t>
      </w:r>
      <w:r w:rsidRPr="00135716">
        <w:t>…</w:t>
      </w:r>
      <w:r>
        <w:t>)</w:t>
      </w:r>
      <w:r w:rsidRPr="00135716">
        <w:t xml:space="preserve"> será man</w:t>
      </w:r>
      <w:r>
        <w:t>tener la estabilidad de precios”</w:t>
      </w:r>
      <w:r w:rsidRPr="00135716">
        <w:t>.</w:t>
      </w:r>
    </w:p>
    <w:p w:rsidR="008C0554" w:rsidRPr="00135716" w:rsidRDefault="008C0554" w:rsidP="008C0554">
      <w:pPr>
        <w:pStyle w:val="NormalWeb"/>
        <w:shd w:val="clear" w:color="auto" w:fill="FFFFFF"/>
        <w:spacing w:before="300" w:beforeAutospacing="0" w:after="0" w:afterAutospacing="0"/>
        <w:jc w:val="both"/>
        <w:textAlignment w:val="baseline"/>
      </w:pPr>
      <w:r>
        <w:t>El artículo 127 continua: “</w:t>
      </w:r>
      <w:r w:rsidRPr="00135716">
        <w:t xml:space="preserve">Sin perjuicio de este objetivo, el SEBC apoyará las políticas económicas generales de la Unión con el fin de contribuir a la realización de los objetivos de la Unión establecidos en el artículo 3 </w:t>
      </w:r>
      <w:r>
        <w:t>del Tratado de la Unión Europea”</w:t>
      </w:r>
      <w:r w:rsidRPr="00135716">
        <w:t>.</w:t>
      </w:r>
    </w:p>
    <w:p w:rsidR="008C0554" w:rsidRDefault="008C0554" w:rsidP="008C0554">
      <w:pPr>
        <w:pStyle w:val="NormalWeb"/>
        <w:shd w:val="clear" w:color="auto" w:fill="FFFFFF"/>
        <w:spacing w:before="300" w:beforeAutospacing="0" w:after="0" w:afterAutospacing="0"/>
        <w:jc w:val="both"/>
        <w:textAlignment w:val="baseline"/>
      </w:pPr>
      <w:r w:rsidRPr="00135716">
        <w:t xml:space="preserve">La Unión Europea tiene múltiples objetivos (artículo 3 del Tratado de la Unión Europea), entre los que se incluyen el desarrollo sostenible de Europa basado en un crecimiento </w:t>
      </w:r>
      <w:r w:rsidRPr="00135716">
        <w:lastRenderedPageBreak/>
        <w:t>económico equilibrado y en la estabilidad de los precios, y una economía social de mercado altamente competitiva, tendente al pleno empleo y al progreso social. En consecuencia, la estabilidad de precios no solo es el objetivo principal de la política monetaria del BCE, sino que constituye uno de los objetivos de la Unión Europea en su conjunto. Así, el Tratado de Funcionamiento de la Unión Europea y el Tratado de la Unión Europea definen una jerarquía de objetivos para el Eurosistema, y en ellos se especifica que la estabilidad de precios es la contribución más importante que la política monetaria puede aportar para lograr un entorno económico favorable y un elevado nivel de empleo.</w:t>
      </w:r>
    </w:p>
    <w:p w:rsidR="006D78F8" w:rsidRDefault="008C0554" w:rsidP="002801B5">
      <w:pPr>
        <w:pStyle w:val="NormalWeb"/>
        <w:shd w:val="clear" w:color="auto" w:fill="FFFFFF"/>
        <w:spacing w:before="300" w:beforeAutospacing="0" w:after="0" w:afterAutospacing="0"/>
        <w:jc w:val="both"/>
        <w:textAlignment w:val="baseline"/>
        <w:rPr>
          <w:b/>
        </w:rPr>
      </w:pPr>
      <w:r w:rsidRPr="008C0554">
        <w:rPr>
          <w:b/>
        </w:rPr>
        <w:t>Funciones básicas</w:t>
      </w:r>
    </w:p>
    <w:p w:rsidR="006F0DE5" w:rsidRDefault="006F0DE5" w:rsidP="002801B5">
      <w:pPr>
        <w:pStyle w:val="NormalWeb"/>
        <w:shd w:val="clear" w:color="auto" w:fill="FFFFFF"/>
        <w:spacing w:before="300" w:beforeAutospacing="0" w:after="0" w:afterAutospacing="0"/>
        <w:jc w:val="both"/>
        <w:textAlignment w:val="baseline"/>
        <w:rPr>
          <w:b/>
        </w:rPr>
      </w:pPr>
    </w:p>
    <w:p w:rsidR="008C0554" w:rsidRPr="00135716" w:rsidRDefault="008C0554" w:rsidP="008C0554">
      <w:pPr>
        <w:jc w:val="both"/>
        <w:rPr>
          <w:rFonts w:ascii="Times New Roman" w:hAnsi="Times New Roman" w:cs="Times New Roman"/>
          <w:sz w:val="24"/>
          <w:szCs w:val="24"/>
        </w:rPr>
      </w:pPr>
      <w:r w:rsidRPr="00135716">
        <w:rPr>
          <w:rFonts w:ascii="Times New Roman" w:hAnsi="Times New Roman" w:cs="Times New Roman"/>
          <w:sz w:val="24"/>
          <w:szCs w:val="24"/>
          <w:shd w:val="clear" w:color="auto" w:fill="FFFFFF"/>
        </w:rPr>
        <w:t>De conformidad con el apartado 2 del artículo 127 del Tratado de Funcionamiento de la Unión Europea, las funciones básicas que se llevarán a cabo a través del Eurosistema serán:</w:t>
      </w:r>
    </w:p>
    <w:p w:rsidR="008C0554" w:rsidRPr="00135716" w:rsidRDefault="008C0554" w:rsidP="008C0554">
      <w:pPr>
        <w:numPr>
          <w:ilvl w:val="0"/>
          <w:numId w:val="2"/>
        </w:numPr>
        <w:shd w:val="clear" w:color="auto" w:fill="FFFFFF"/>
        <w:spacing w:after="0" w:line="240" w:lineRule="auto"/>
        <w:ind w:left="420"/>
        <w:jc w:val="both"/>
        <w:textAlignment w:val="baseline"/>
        <w:rPr>
          <w:rFonts w:ascii="Times New Roman" w:hAnsi="Times New Roman" w:cs="Times New Roman"/>
          <w:sz w:val="24"/>
          <w:szCs w:val="24"/>
        </w:rPr>
      </w:pPr>
      <w:r w:rsidRPr="00135716">
        <w:rPr>
          <w:rFonts w:ascii="Times New Roman" w:hAnsi="Times New Roman" w:cs="Times New Roman"/>
          <w:sz w:val="24"/>
          <w:szCs w:val="24"/>
        </w:rPr>
        <w:t>definir y ejecutar la </w:t>
      </w:r>
      <w:hyperlink r:id="rId19" w:history="1">
        <w:r w:rsidRPr="00135716">
          <w:rPr>
            <w:rStyle w:val="Hipervnculo"/>
            <w:rFonts w:ascii="Times New Roman" w:hAnsi="Times New Roman" w:cs="Times New Roman"/>
            <w:color w:val="auto"/>
            <w:sz w:val="24"/>
            <w:szCs w:val="24"/>
            <w:bdr w:val="none" w:sz="0" w:space="0" w:color="auto" w:frame="1"/>
          </w:rPr>
          <w:t>política monetaria</w:t>
        </w:r>
      </w:hyperlink>
      <w:r w:rsidRPr="00135716">
        <w:rPr>
          <w:rFonts w:ascii="Times New Roman" w:hAnsi="Times New Roman" w:cs="Times New Roman"/>
          <w:sz w:val="24"/>
          <w:szCs w:val="24"/>
        </w:rPr>
        <w:t> de la zona del euro;</w:t>
      </w:r>
    </w:p>
    <w:p w:rsidR="008C0554" w:rsidRPr="00135716" w:rsidRDefault="008C0554" w:rsidP="008C0554">
      <w:pPr>
        <w:numPr>
          <w:ilvl w:val="0"/>
          <w:numId w:val="2"/>
        </w:numPr>
        <w:shd w:val="clear" w:color="auto" w:fill="FFFFFF"/>
        <w:spacing w:after="0" w:line="240" w:lineRule="auto"/>
        <w:ind w:left="420"/>
        <w:jc w:val="both"/>
        <w:textAlignment w:val="baseline"/>
        <w:rPr>
          <w:rFonts w:ascii="Times New Roman" w:hAnsi="Times New Roman" w:cs="Times New Roman"/>
          <w:sz w:val="24"/>
          <w:szCs w:val="24"/>
        </w:rPr>
      </w:pPr>
      <w:r w:rsidRPr="00135716">
        <w:rPr>
          <w:rFonts w:ascii="Times New Roman" w:hAnsi="Times New Roman" w:cs="Times New Roman"/>
          <w:sz w:val="24"/>
          <w:szCs w:val="24"/>
        </w:rPr>
        <w:t>realizar </w:t>
      </w:r>
      <w:hyperlink r:id="rId20" w:history="1">
        <w:r w:rsidRPr="00135716">
          <w:rPr>
            <w:rStyle w:val="Hipervnculo"/>
            <w:rFonts w:ascii="Times New Roman" w:hAnsi="Times New Roman" w:cs="Times New Roman"/>
            <w:color w:val="auto"/>
            <w:sz w:val="24"/>
            <w:szCs w:val="24"/>
            <w:bdr w:val="none" w:sz="0" w:space="0" w:color="auto" w:frame="1"/>
          </w:rPr>
          <w:t>operaciones de divisas</w:t>
        </w:r>
      </w:hyperlink>
      <w:r w:rsidRPr="00135716">
        <w:rPr>
          <w:rFonts w:ascii="Times New Roman" w:hAnsi="Times New Roman" w:cs="Times New Roman"/>
          <w:sz w:val="24"/>
          <w:szCs w:val="24"/>
        </w:rPr>
        <w:t>;</w:t>
      </w:r>
    </w:p>
    <w:p w:rsidR="008C0554" w:rsidRPr="00135716" w:rsidRDefault="008C0554" w:rsidP="008C0554">
      <w:pPr>
        <w:numPr>
          <w:ilvl w:val="0"/>
          <w:numId w:val="2"/>
        </w:numPr>
        <w:shd w:val="clear" w:color="auto" w:fill="FFFFFF"/>
        <w:spacing w:after="0" w:line="240" w:lineRule="auto"/>
        <w:ind w:left="420"/>
        <w:jc w:val="both"/>
        <w:textAlignment w:val="baseline"/>
        <w:rPr>
          <w:rFonts w:ascii="Times New Roman" w:hAnsi="Times New Roman" w:cs="Times New Roman"/>
          <w:sz w:val="24"/>
          <w:szCs w:val="24"/>
        </w:rPr>
      </w:pPr>
      <w:r w:rsidRPr="00135716">
        <w:rPr>
          <w:rFonts w:ascii="Times New Roman" w:hAnsi="Times New Roman" w:cs="Times New Roman"/>
          <w:sz w:val="24"/>
          <w:szCs w:val="24"/>
        </w:rPr>
        <w:t>poseer y gestionar las reservas oficiales de divisas de los países miembros de la zona del euro (</w:t>
      </w:r>
      <w:hyperlink r:id="rId21" w:history="1">
        <w:r w:rsidRPr="00135716">
          <w:rPr>
            <w:rStyle w:val="Hipervnculo"/>
            <w:rFonts w:ascii="Times New Roman" w:hAnsi="Times New Roman" w:cs="Times New Roman"/>
            <w:color w:val="auto"/>
            <w:sz w:val="24"/>
            <w:szCs w:val="24"/>
            <w:bdr w:val="none" w:sz="0" w:space="0" w:color="auto" w:frame="1"/>
          </w:rPr>
          <w:t>gestión de carteras</w:t>
        </w:r>
      </w:hyperlink>
      <w:r w:rsidRPr="00135716">
        <w:rPr>
          <w:rFonts w:ascii="Times New Roman" w:hAnsi="Times New Roman" w:cs="Times New Roman"/>
          <w:sz w:val="24"/>
          <w:szCs w:val="24"/>
        </w:rPr>
        <w:t>);</w:t>
      </w:r>
    </w:p>
    <w:p w:rsidR="008C0554" w:rsidRPr="00135716" w:rsidRDefault="008C0554" w:rsidP="008C0554">
      <w:pPr>
        <w:numPr>
          <w:ilvl w:val="0"/>
          <w:numId w:val="2"/>
        </w:numPr>
        <w:shd w:val="clear" w:color="auto" w:fill="FFFFFF"/>
        <w:spacing w:after="0" w:line="240" w:lineRule="auto"/>
        <w:ind w:left="420"/>
        <w:jc w:val="both"/>
        <w:textAlignment w:val="baseline"/>
        <w:rPr>
          <w:rFonts w:ascii="Times New Roman" w:hAnsi="Times New Roman" w:cs="Times New Roman"/>
          <w:sz w:val="24"/>
          <w:szCs w:val="24"/>
        </w:rPr>
      </w:pPr>
      <w:r w:rsidRPr="00135716">
        <w:rPr>
          <w:rFonts w:ascii="Times New Roman" w:hAnsi="Times New Roman" w:cs="Times New Roman"/>
          <w:sz w:val="24"/>
          <w:szCs w:val="24"/>
        </w:rPr>
        <w:t>promover el buen funcionamiento de los </w:t>
      </w:r>
      <w:hyperlink r:id="rId22" w:history="1">
        <w:r w:rsidRPr="00135716">
          <w:rPr>
            <w:rStyle w:val="Hipervnculo"/>
            <w:rFonts w:ascii="Times New Roman" w:hAnsi="Times New Roman" w:cs="Times New Roman"/>
            <w:color w:val="auto"/>
            <w:sz w:val="24"/>
            <w:szCs w:val="24"/>
            <w:bdr w:val="none" w:sz="0" w:space="0" w:color="auto" w:frame="1"/>
          </w:rPr>
          <w:t>sistemas de pago</w:t>
        </w:r>
      </w:hyperlink>
      <w:r w:rsidRPr="00135716">
        <w:rPr>
          <w:rFonts w:ascii="Times New Roman" w:hAnsi="Times New Roman" w:cs="Times New Roman"/>
          <w:sz w:val="24"/>
          <w:szCs w:val="24"/>
        </w:rPr>
        <w:t>.</w:t>
      </w:r>
    </w:p>
    <w:p w:rsidR="008C0554" w:rsidRDefault="008C0554" w:rsidP="008C0554">
      <w:pPr>
        <w:pStyle w:val="NormalWeb"/>
        <w:shd w:val="clear" w:color="auto" w:fill="FFFFFF"/>
        <w:spacing w:before="0" w:beforeAutospacing="0" w:after="0" w:afterAutospacing="0"/>
        <w:jc w:val="both"/>
        <w:textAlignment w:val="baseline"/>
      </w:pPr>
    </w:p>
    <w:p w:rsidR="008C0554" w:rsidRPr="00135716" w:rsidRDefault="008C0554" w:rsidP="008C0554">
      <w:pPr>
        <w:pStyle w:val="NormalWeb"/>
        <w:shd w:val="clear" w:color="auto" w:fill="FFFFFF"/>
        <w:spacing w:before="0" w:beforeAutospacing="0" w:after="0" w:afterAutospacing="0"/>
        <w:jc w:val="both"/>
        <w:textAlignment w:val="baseline"/>
      </w:pPr>
      <w:r w:rsidRPr="00135716">
        <w:t>Asimismo, en virtud del </w:t>
      </w:r>
      <w:hyperlink r:id="rId23" w:history="1">
        <w:r w:rsidRPr="00135716">
          <w:rPr>
            <w:rStyle w:val="Hipervnculo"/>
            <w:rFonts w:eastAsiaTheme="majorEastAsia"/>
            <w:color w:val="auto"/>
            <w:bdr w:val="none" w:sz="0" w:space="0" w:color="auto" w:frame="1"/>
          </w:rPr>
          <w:t>apartado 6 del artículo 127 del Tratado de Funcionamiento de la Unión Europea</w:t>
        </w:r>
      </w:hyperlink>
      <w:r w:rsidRPr="00135716">
        <w:t> y del </w:t>
      </w:r>
      <w:hyperlink r:id="rId24" w:history="1">
        <w:r w:rsidRPr="00135716">
          <w:rPr>
            <w:rStyle w:val="Hipervnculo"/>
            <w:rFonts w:eastAsiaTheme="majorEastAsia"/>
            <w:color w:val="auto"/>
            <w:bdr w:val="none" w:sz="0" w:space="0" w:color="auto" w:frame="1"/>
          </w:rPr>
          <w:t>Reglamento (UE) nº 1024/2013 del Consejo</w:t>
        </w:r>
      </w:hyperlink>
      <w:r>
        <w:t> (el “</w:t>
      </w:r>
      <w:r w:rsidRPr="00135716">
        <w:t>Reglamento</w:t>
      </w:r>
      <w:r>
        <w:t xml:space="preserve"> del MUS”</w:t>
      </w:r>
      <w:r w:rsidRPr="00135716">
        <w:t>), el BCE es responsable de tareas específicas relacionadas con la supervisión prudencial de las entidades de crédito radicadas en los Estados miembros participantes. El BCE desempeña estas funciones en el marco de un Mecanismo Único de Supervisión integrado por el BCE y las autoridades nacionales competentes. </w:t>
      </w:r>
    </w:p>
    <w:p w:rsidR="008C0554" w:rsidRPr="008C0554" w:rsidRDefault="008C0554" w:rsidP="008C0554">
      <w:pPr>
        <w:pStyle w:val="Ttulo2"/>
        <w:shd w:val="clear" w:color="auto" w:fill="FFFFFF"/>
        <w:spacing w:before="300" w:after="195" w:line="495" w:lineRule="atLeast"/>
        <w:jc w:val="both"/>
        <w:textAlignment w:val="baseline"/>
        <w:rPr>
          <w:rFonts w:ascii="Times New Roman" w:hAnsi="Times New Roman" w:cs="Times New Roman"/>
          <w:color w:val="auto"/>
          <w:sz w:val="24"/>
          <w:szCs w:val="24"/>
        </w:rPr>
      </w:pPr>
      <w:r w:rsidRPr="008C0554">
        <w:rPr>
          <w:rFonts w:ascii="Times New Roman" w:hAnsi="Times New Roman" w:cs="Times New Roman"/>
          <w:color w:val="auto"/>
          <w:sz w:val="24"/>
          <w:szCs w:val="24"/>
        </w:rPr>
        <w:t>Otras funciones</w:t>
      </w:r>
    </w:p>
    <w:p w:rsidR="008C0554" w:rsidRPr="00135716" w:rsidRDefault="00F753F8" w:rsidP="008C0554">
      <w:pPr>
        <w:numPr>
          <w:ilvl w:val="0"/>
          <w:numId w:val="3"/>
        </w:numPr>
        <w:shd w:val="clear" w:color="auto" w:fill="FFFFFF"/>
        <w:spacing w:after="0" w:line="240" w:lineRule="auto"/>
        <w:ind w:left="420"/>
        <w:jc w:val="both"/>
        <w:textAlignment w:val="baseline"/>
        <w:rPr>
          <w:rFonts w:ascii="Times New Roman" w:hAnsi="Times New Roman" w:cs="Times New Roman"/>
          <w:sz w:val="24"/>
          <w:szCs w:val="24"/>
        </w:rPr>
      </w:pPr>
      <w:hyperlink r:id="rId25" w:history="1">
        <w:r w:rsidR="008C0554" w:rsidRPr="00135716">
          <w:rPr>
            <w:rStyle w:val="Hipervnculo"/>
            <w:rFonts w:ascii="Times New Roman" w:hAnsi="Times New Roman" w:cs="Times New Roman"/>
            <w:color w:val="auto"/>
            <w:sz w:val="24"/>
            <w:szCs w:val="24"/>
            <w:bdr w:val="none" w:sz="0" w:space="0" w:color="auto" w:frame="1"/>
          </w:rPr>
          <w:t>Billetes</w:t>
        </w:r>
      </w:hyperlink>
      <w:r w:rsidR="008C0554" w:rsidRPr="00135716">
        <w:rPr>
          <w:rFonts w:ascii="Times New Roman" w:hAnsi="Times New Roman" w:cs="Times New Roman"/>
          <w:sz w:val="24"/>
          <w:szCs w:val="24"/>
        </w:rPr>
        <w:t>: el BCE tiene el derecho exclusivo de autorizar la emisión de billetes en la zona del euro.</w:t>
      </w:r>
    </w:p>
    <w:p w:rsidR="008C0554" w:rsidRPr="00135716" w:rsidRDefault="00F753F8" w:rsidP="008C0554">
      <w:pPr>
        <w:numPr>
          <w:ilvl w:val="0"/>
          <w:numId w:val="3"/>
        </w:numPr>
        <w:shd w:val="clear" w:color="auto" w:fill="FFFFFF"/>
        <w:spacing w:after="0" w:line="240" w:lineRule="auto"/>
        <w:ind w:left="420"/>
        <w:jc w:val="both"/>
        <w:textAlignment w:val="baseline"/>
        <w:rPr>
          <w:rFonts w:ascii="Times New Roman" w:hAnsi="Times New Roman" w:cs="Times New Roman"/>
          <w:sz w:val="24"/>
          <w:szCs w:val="24"/>
        </w:rPr>
      </w:pPr>
      <w:hyperlink r:id="rId26" w:history="1">
        <w:r w:rsidR="008C0554" w:rsidRPr="00135716">
          <w:rPr>
            <w:rStyle w:val="Hipervnculo"/>
            <w:rFonts w:ascii="Times New Roman" w:hAnsi="Times New Roman" w:cs="Times New Roman"/>
            <w:color w:val="auto"/>
            <w:sz w:val="24"/>
            <w:szCs w:val="24"/>
            <w:bdr w:val="none" w:sz="0" w:space="0" w:color="auto" w:frame="1"/>
          </w:rPr>
          <w:t>Estadísticas</w:t>
        </w:r>
      </w:hyperlink>
      <w:r w:rsidR="008C0554" w:rsidRPr="00135716">
        <w:rPr>
          <w:rFonts w:ascii="Times New Roman" w:hAnsi="Times New Roman" w:cs="Times New Roman"/>
          <w:sz w:val="24"/>
          <w:szCs w:val="24"/>
        </w:rPr>
        <w:t>: en colaboración con los BCN, el BCE recopila la información estadística necesaria para llevar a cabo las funciones del SEBC, obteniéndola de las autoridades nacionales o directamente de los agentes económicos.</w:t>
      </w:r>
    </w:p>
    <w:p w:rsidR="008C0554" w:rsidRPr="00135716" w:rsidRDefault="00F753F8" w:rsidP="008C0554">
      <w:pPr>
        <w:numPr>
          <w:ilvl w:val="0"/>
          <w:numId w:val="3"/>
        </w:numPr>
        <w:shd w:val="clear" w:color="auto" w:fill="FFFFFF"/>
        <w:spacing w:after="0" w:line="240" w:lineRule="auto"/>
        <w:ind w:left="420"/>
        <w:jc w:val="both"/>
        <w:textAlignment w:val="baseline"/>
        <w:rPr>
          <w:rFonts w:ascii="Times New Roman" w:hAnsi="Times New Roman" w:cs="Times New Roman"/>
          <w:sz w:val="24"/>
          <w:szCs w:val="24"/>
        </w:rPr>
      </w:pPr>
      <w:hyperlink r:id="rId27" w:history="1">
        <w:r w:rsidR="008C0554" w:rsidRPr="00135716">
          <w:rPr>
            <w:rStyle w:val="Hipervnculo"/>
            <w:rFonts w:ascii="Times New Roman" w:hAnsi="Times New Roman" w:cs="Times New Roman"/>
            <w:color w:val="auto"/>
            <w:sz w:val="24"/>
            <w:szCs w:val="24"/>
            <w:bdr w:val="none" w:sz="0" w:space="0" w:color="auto" w:frame="1"/>
          </w:rPr>
          <w:t>Estabilidad y supervisión financieras</w:t>
        </w:r>
      </w:hyperlink>
      <w:r w:rsidR="008C0554" w:rsidRPr="00135716">
        <w:rPr>
          <w:rFonts w:ascii="Times New Roman" w:hAnsi="Times New Roman" w:cs="Times New Roman"/>
          <w:sz w:val="24"/>
          <w:szCs w:val="24"/>
        </w:rPr>
        <w:t>: el Eurosistema contribuye al correcto funcionamiento de las políticas adoptadas por las autoridades competentes, en lo que se refiere a la supervisión prudencial de las entidades de crédito y a la estabilidad del sistema financiero.</w:t>
      </w:r>
    </w:p>
    <w:p w:rsidR="008C0554" w:rsidRPr="00135716" w:rsidRDefault="00F753F8" w:rsidP="008C0554">
      <w:pPr>
        <w:numPr>
          <w:ilvl w:val="0"/>
          <w:numId w:val="3"/>
        </w:numPr>
        <w:shd w:val="clear" w:color="auto" w:fill="FFFFFF"/>
        <w:spacing w:after="0" w:line="240" w:lineRule="auto"/>
        <w:ind w:left="420"/>
        <w:jc w:val="both"/>
        <w:textAlignment w:val="baseline"/>
        <w:rPr>
          <w:rFonts w:ascii="Times New Roman" w:hAnsi="Times New Roman" w:cs="Times New Roman"/>
          <w:sz w:val="24"/>
          <w:szCs w:val="24"/>
        </w:rPr>
      </w:pPr>
      <w:hyperlink r:id="rId28" w:history="1">
        <w:r w:rsidR="008C0554" w:rsidRPr="00135716">
          <w:rPr>
            <w:rStyle w:val="Hipervnculo"/>
            <w:rFonts w:ascii="Times New Roman" w:hAnsi="Times New Roman" w:cs="Times New Roman"/>
            <w:color w:val="auto"/>
            <w:sz w:val="24"/>
            <w:szCs w:val="24"/>
            <w:bdr w:val="none" w:sz="0" w:space="0" w:color="auto" w:frame="1"/>
          </w:rPr>
          <w:t>Cooperación europea</w:t>
        </w:r>
      </w:hyperlink>
      <w:r w:rsidR="008C0554" w:rsidRPr="00135716">
        <w:rPr>
          <w:rFonts w:ascii="Times New Roman" w:hAnsi="Times New Roman" w:cs="Times New Roman"/>
          <w:sz w:val="24"/>
          <w:szCs w:val="24"/>
        </w:rPr>
        <w:t> e </w:t>
      </w:r>
      <w:hyperlink r:id="rId29" w:history="1">
        <w:r w:rsidR="008C0554" w:rsidRPr="00135716">
          <w:rPr>
            <w:rStyle w:val="Hipervnculo"/>
            <w:rFonts w:ascii="Times New Roman" w:hAnsi="Times New Roman" w:cs="Times New Roman"/>
            <w:color w:val="auto"/>
            <w:sz w:val="24"/>
            <w:szCs w:val="24"/>
            <w:bdr w:val="none" w:sz="0" w:space="0" w:color="auto" w:frame="1"/>
          </w:rPr>
          <w:t>internacional:</w:t>
        </w:r>
      </w:hyperlink>
      <w:r w:rsidR="008C0554" w:rsidRPr="00135716">
        <w:rPr>
          <w:rFonts w:ascii="Times New Roman" w:hAnsi="Times New Roman" w:cs="Times New Roman"/>
          <w:sz w:val="24"/>
          <w:szCs w:val="24"/>
        </w:rPr>
        <w:t> el BCE mantiene relaciones de cooperación con instituciones, organismos y foros, tanto dentro de la UE como a escala internacional, en relación con las funciones asignadas al Eurosistema.</w:t>
      </w:r>
    </w:p>
    <w:p w:rsidR="008C0554" w:rsidRPr="008C0554" w:rsidRDefault="008C0554" w:rsidP="008C0554">
      <w:pPr>
        <w:pStyle w:val="Ttulo1"/>
        <w:shd w:val="clear" w:color="auto" w:fill="FFFFFF"/>
        <w:spacing w:before="195" w:after="375"/>
        <w:jc w:val="both"/>
        <w:textAlignment w:val="baseline"/>
        <w:rPr>
          <w:rFonts w:ascii="Times New Roman" w:hAnsi="Times New Roman" w:cs="Times New Roman"/>
          <w:color w:val="auto"/>
          <w:sz w:val="24"/>
          <w:szCs w:val="24"/>
        </w:rPr>
      </w:pPr>
      <w:r w:rsidRPr="008C0554">
        <w:rPr>
          <w:rFonts w:ascii="Times New Roman" w:hAnsi="Times New Roman" w:cs="Times New Roman"/>
          <w:color w:val="auto"/>
          <w:sz w:val="24"/>
          <w:szCs w:val="24"/>
        </w:rPr>
        <w:t>Política monetaria</w:t>
      </w:r>
    </w:p>
    <w:p w:rsidR="008C0554" w:rsidRPr="00E338A8" w:rsidRDefault="008C0554" w:rsidP="008C0554">
      <w:pPr>
        <w:pStyle w:val="NormalWeb"/>
        <w:shd w:val="clear" w:color="auto" w:fill="FFFFFF"/>
        <w:spacing w:before="0" w:beforeAutospacing="0" w:after="0" w:afterAutospacing="0"/>
        <w:jc w:val="both"/>
        <w:textAlignment w:val="baseline"/>
      </w:pPr>
      <w:r>
        <w:t>“</w:t>
      </w:r>
      <w:r w:rsidRPr="00E338A8">
        <w:t>El </w:t>
      </w:r>
      <w:r w:rsidRPr="00E338A8">
        <w:rPr>
          <w:rStyle w:val="Textoennegrita"/>
          <w:rFonts w:eastAsiaTheme="majorEastAsia"/>
          <w:bdr w:val="none" w:sz="0" w:space="0" w:color="auto" w:frame="1"/>
        </w:rPr>
        <w:t>objetivo principal </w:t>
      </w:r>
      <w:r w:rsidRPr="00E338A8">
        <w:t>del Siste</w:t>
      </w:r>
      <w:r>
        <w:t>ma Europeo de Bancos Centrales (…)</w:t>
      </w:r>
      <w:r w:rsidRPr="00E338A8">
        <w:t xml:space="preserve"> será mantener la esta</w:t>
      </w:r>
      <w:r>
        <w:t>bilidad de precios”</w:t>
      </w:r>
      <w:r w:rsidRPr="00E338A8">
        <w:t>. (Artículo 127 del Tratado de Funcionamiento de la Unión Europea).</w:t>
      </w:r>
    </w:p>
    <w:p w:rsidR="008C0554" w:rsidRPr="00E338A8" w:rsidRDefault="008C0554" w:rsidP="008C0554">
      <w:pPr>
        <w:pStyle w:val="NormalWeb"/>
        <w:shd w:val="clear" w:color="auto" w:fill="FFFFFF"/>
        <w:spacing w:before="300" w:beforeAutospacing="0" w:after="0" w:afterAutospacing="0"/>
        <w:jc w:val="both"/>
        <w:textAlignment w:val="baseline"/>
      </w:pPr>
      <w:r w:rsidRPr="00E338A8">
        <w:lastRenderedPageBreak/>
        <w:t>Este artículo es la disposición clave del capítulo sobre política monetaria del Tratado de Funcionamiento de la Unión Europea. Al centrar la política monetaria del BCE en este objetivo, el Tratado incorpora el pensamiento económico moderno sobre la función, el alcance y los límites de la política monetaria, y sienta las bases, en términos institucionales y organizativos, del sistema de banca central en la unión económica y monetaria.</w:t>
      </w:r>
    </w:p>
    <w:p w:rsidR="008C0554" w:rsidRPr="00E338A8" w:rsidRDefault="008C0554" w:rsidP="008C0554">
      <w:pPr>
        <w:pStyle w:val="NormalWeb"/>
        <w:shd w:val="clear" w:color="auto" w:fill="FFFFFF"/>
        <w:spacing w:before="300" w:beforeAutospacing="0" w:after="0" w:afterAutospacing="0"/>
        <w:jc w:val="both"/>
        <w:textAlignment w:val="baseline"/>
      </w:pPr>
      <w:r w:rsidRPr="00E338A8">
        <w:t>El objetivo del Consejo de Gobierno del Banco Central Europeo es mantener la inflación en un nivel inferior, aunque próximo, al 2% a medio plazo. A fin de lograr su objetivo principal, el Consejo de Gobierno basa sus decisiones en una estrategia de política monetaria articulada sobre dos pilares, y las aplica utilizando los instrumentos de su marco operativo.</w:t>
      </w:r>
    </w:p>
    <w:p w:rsidR="008C0554" w:rsidRPr="008C0554" w:rsidRDefault="008C0554" w:rsidP="008C0554">
      <w:pPr>
        <w:pStyle w:val="Ttulo1"/>
        <w:shd w:val="clear" w:color="auto" w:fill="FFFFFF"/>
        <w:spacing w:before="195" w:after="375"/>
        <w:jc w:val="both"/>
        <w:textAlignment w:val="baseline"/>
        <w:rPr>
          <w:rFonts w:ascii="Times New Roman" w:hAnsi="Times New Roman" w:cs="Times New Roman"/>
          <w:color w:val="auto"/>
          <w:sz w:val="24"/>
          <w:szCs w:val="24"/>
        </w:rPr>
      </w:pPr>
      <w:r w:rsidRPr="008C0554">
        <w:rPr>
          <w:rFonts w:ascii="Times New Roman" w:hAnsi="Times New Roman" w:cs="Times New Roman"/>
          <w:color w:val="auto"/>
          <w:sz w:val="24"/>
          <w:szCs w:val="24"/>
        </w:rPr>
        <w:t>Operaciones en divisas</w:t>
      </w:r>
    </w:p>
    <w:p w:rsidR="008C0554" w:rsidRPr="008C0554" w:rsidRDefault="008C0554" w:rsidP="008C0554">
      <w:pPr>
        <w:pStyle w:val="Ttulo1"/>
        <w:shd w:val="clear" w:color="auto" w:fill="FFFFFF"/>
        <w:spacing w:before="195" w:after="375"/>
        <w:jc w:val="both"/>
        <w:textAlignment w:val="baseline"/>
        <w:rPr>
          <w:rFonts w:ascii="Times New Roman" w:hAnsi="Times New Roman" w:cs="Times New Roman"/>
          <w:color w:val="auto"/>
          <w:sz w:val="24"/>
          <w:szCs w:val="24"/>
        </w:rPr>
      </w:pPr>
      <w:r w:rsidRPr="008C0554">
        <w:rPr>
          <w:rFonts w:ascii="Times New Roman" w:hAnsi="Times New Roman" w:cs="Times New Roman"/>
          <w:color w:val="auto"/>
          <w:sz w:val="24"/>
          <w:szCs w:val="24"/>
        </w:rPr>
        <w:t>Introducción</w:t>
      </w:r>
    </w:p>
    <w:p w:rsidR="008C0554" w:rsidRDefault="008C0554" w:rsidP="008C0554">
      <w:pPr>
        <w:pStyle w:val="NormalWeb"/>
        <w:shd w:val="clear" w:color="auto" w:fill="FFFFFF"/>
        <w:spacing w:before="0" w:beforeAutospacing="0" w:after="0" w:afterAutospacing="0"/>
        <w:jc w:val="both"/>
        <w:textAlignment w:val="baseline"/>
      </w:pPr>
      <w:r w:rsidRPr="00E338A8">
        <w:t>El Eurosistema realiza operaciones de divisas de acuerdo con lo dispuesto en los artículos 127 y 219 del Tratado de Funcionamiento de la Unión Europea. Las operaciones de divisas comprenden:</w:t>
      </w:r>
    </w:p>
    <w:p w:rsidR="008C0554" w:rsidRPr="00E338A8" w:rsidRDefault="008C0554" w:rsidP="008C0554">
      <w:pPr>
        <w:pStyle w:val="NormalWeb"/>
        <w:shd w:val="clear" w:color="auto" w:fill="FFFFFF"/>
        <w:spacing w:before="0" w:beforeAutospacing="0" w:after="0" w:afterAutospacing="0"/>
        <w:jc w:val="both"/>
        <w:textAlignment w:val="baseline"/>
      </w:pPr>
    </w:p>
    <w:p w:rsidR="008C0554" w:rsidRPr="00E338A8" w:rsidRDefault="008C0554" w:rsidP="008C0554">
      <w:pPr>
        <w:numPr>
          <w:ilvl w:val="0"/>
          <w:numId w:val="4"/>
        </w:numPr>
        <w:shd w:val="clear" w:color="auto" w:fill="FFFFFF"/>
        <w:spacing w:after="150" w:line="240" w:lineRule="auto"/>
        <w:ind w:left="420"/>
        <w:jc w:val="both"/>
        <w:textAlignment w:val="baseline"/>
        <w:rPr>
          <w:rFonts w:ascii="Times New Roman" w:hAnsi="Times New Roman" w:cs="Times New Roman"/>
          <w:sz w:val="24"/>
          <w:szCs w:val="24"/>
        </w:rPr>
      </w:pPr>
      <w:r w:rsidRPr="00E338A8">
        <w:rPr>
          <w:rFonts w:ascii="Times New Roman" w:hAnsi="Times New Roman" w:cs="Times New Roman"/>
          <w:sz w:val="24"/>
          <w:szCs w:val="24"/>
        </w:rPr>
        <w:t>intervenciones en divisas;</w:t>
      </w:r>
    </w:p>
    <w:p w:rsidR="008C0554" w:rsidRPr="00E338A8" w:rsidRDefault="008C0554" w:rsidP="008C0554">
      <w:pPr>
        <w:numPr>
          <w:ilvl w:val="0"/>
          <w:numId w:val="4"/>
        </w:numPr>
        <w:shd w:val="clear" w:color="auto" w:fill="FFFFFF"/>
        <w:spacing w:after="150" w:line="240" w:lineRule="auto"/>
        <w:ind w:left="420"/>
        <w:jc w:val="both"/>
        <w:textAlignment w:val="baseline"/>
        <w:rPr>
          <w:rFonts w:ascii="Times New Roman" w:hAnsi="Times New Roman" w:cs="Times New Roman"/>
          <w:sz w:val="24"/>
          <w:szCs w:val="24"/>
        </w:rPr>
      </w:pPr>
      <w:r w:rsidRPr="00E338A8">
        <w:rPr>
          <w:rFonts w:ascii="Times New Roman" w:hAnsi="Times New Roman" w:cs="Times New Roman"/>
          <w:sz w:val="24"/>
          <w:szCs w:val="24"/>
        </w:rPr>
        <w:t>operaciones tales como la venta de las rentas de intereses provenientes de los activ</w:t>
      </w:r>
      <w:r w:rsidR="006F0DE5">
        <w:rPr>
          <w:rFonts w:ascii="Times New Roman" w:hAnsi="Times New Roman" w:cs="Times New Roman"/>
          <w:sz w:val="24"/>
          <w:szCs w:val="24"/>
        </w:rPr>
        <w:t>os exteriores de reserva y las “operaciones comerciales”</w:t>
      </w:r>
      <w:r w:rsidRPr="00E338A8">
        <w:rPr>
          <w:rFonts w:ascii="Times New Roman" w:hAnsi="Times New Roman" w:cs="Times New Roman"/>
          <w:sz w:val="24"/>
          <w:szCs w:val="24"/>
        </w:rPr>
        <w:t>.</w:t>
      </w:r>
    </w:p>
    <w:p w:rsidR="008C0554" w:rsidRPr="008C0554" w:rsidRDefault="008C0554" w:rsidP="008C0554">
      <w:pPr>
        <w:pStyle w:val="Ttulo2"/>
        <w:shd w:val="clear" w:color="auto" w:fill="FFFFFF"/>
        <w:spacing w:before="375" w:after="195"/>
        <w:jc w:val="both"/>
        <w:textAlignment w:val="baseline"/>
        <w:rPr>
          <w:rFonts w:ascii="Times New Roman" w:hAnsi="Times New Roman" w:cs="Times New Roman"/>
          <w:color w:val="auto"/>
          <w:sz w:val="24"/>
          <w:szCs w:val="24"/>
        </w:rPr>
      </w:pPr>
      <w:bookmarkStart w:id="0" w:name="interventions"/>
      <w:bookmarkEnd w:id="0"/>
      <w:r w:rsidRPr="008C0554">
        <w:rPr>
          <w:rFonts w:ascii="Times New Roman" w:hAnsi="Times New Roman" w:cs="Times New Roman"/>
          <w:color w:val="auto"/>
          <w:sz w:val="24"/>
          <w:szCs w:val="24"/>
        </w:rPr>
        <w:t>Intervenciones en el mercado de divisas</w:t>
      </w:r>
    </w:p>
    <w:p w:rsidR="008C0554" w:rsidRPr="00E338A8" w:rsidRDefault="008C0554" w:rsidP="008C0554">
      <w:pPr>
        <w:pStyle w:val="Ttulo3"/>
        <w:shd w:val="clear" w:color="auto" w:fill="FFFFFF"/>
        <w:spacing w:before="0" w:after="195" w:line="240" w:lineRule="auto"/>
        <w:jc w:val="both"/>
        <w:textAlignment w:val="baseline"/>
        <w:rPr>
          <w:rFonts w:ascii="Times New Roman" w:hAnsi="Times New Roman" w:cs="Times New Roman"/>
          <w:color w:val="auto"/>
          <w:sz w:val="24"/>
          <w:szCs w:val="24"/>
        </w:rPr>
      </w:pPr>
      <w:r w:rsidRPr="00E338A8">
        <w:rPr>
          <w:rFonts w:ascii="Times New Roman" w:hAnsi="Times New Roman" w:cs="Times New Roman"/>
          <w:color w:val="auto"/>
          <w:sz w:val="24"/>
          <w:szCs w:val="24"/>
        </w:rPr>
        <w:t>Actuación unilateral o concertada</w:t>
      </w:r>
    </w:p>
    <w:p w:rsidR="008C0554" w:rsidRPr="00E338A8" w:rsidRDefault="008C0554" w:rsidP="008C0554">
      <w:pPr>
        <w:pStyle w:val="NormalWeb"/>
        <w:shd w:val="clear" w:color="auto" w:fill="FFFFFF"/>
        <w:spacing w:before="0" w:beforeAutospacing="0" w:after="0" w:afterAutospacing="0"/>
        <w:jc w:val="both"/>
        <w:textAlignment w:val="baseline"/>
      </w:pPr>
      <w:r w:rsidRPr="00E338A8">
        <w:t>En ausencia de acuerdos formales u orientaciones generales, el Eurosistema puede decidir, cuando lo estime necesario, realizar intervenciones en divisas, ya sea por sí mismo (intervenciones unilaterales) o en el marco de una intervención coordinada en la que participen otros bancos centrales (intervenciones concertadas).</w:t>
      </w:r>
    </w:p>
    <w:p w:rsidR="008C0554" w:rsidRPr="00E338A8" w:rsidRDefault="008C0554" w:rsidP="008C0554">
      <w:pPr>
        <w:pStyle w:val="Ttulo3"/>
        <w:shd w:val="clear" w:color="auto" w:fill="FFFFFF"/>
        <w:spacing w:before="300" w:after="195" w:line="240" w:lineRule="auto"/>
        <w:jc w:val="both"/>
        <w:textAlignment w:val="baseline"/>
        <w:rPr>
          <w:rFonts w:ascii="Times New Roman" w:hAnsi="Times New Roman" w:cs="Times New Roman"/>
          <w:color w:val="auto"/>
          <w:sz w:val="24"/>
          <w:szCs w:val="24"/>
        </w:rPr>
      </w:pPr>
      <w:r w:rsidRPr="00E338A8">
        <w:rPr>
          <w:rFonts w:ascii="Times New Roman" w:hAnsi="Times New Roman" w:cs="Times New Roman"/>
          <w:color w:val="auto"/>
          <w:sz w:val="24"/>
          <w:szCs w:val="24"/>
        </w:rPr>
        <w:t>Actuación centralizada o descentralizada</w:t>
      </w:r>
    </w:p>
    <w:p w:rsidR="008C0554" w:rsidRPr="00E338A8" w:rsidRDefault="008C0554" w:rsidP="008C0554">
      <w:pPr>
        <w:pStyle w:val="NormalWeb"/>
        <w:shd w:val="clear" w:color="auto" w:fill="FFFFFF"/>
        <w:spacing w:before="0" w:beforeAutospacing="0" w:after="0" w:afterAutospacing="0"/>
        <w:jc w:val="both"/>
        <w:textAlignment w:val="baseline"/>
      </w:pPr>
      <w:r w:rsidRPr="00E338A8">
        <w:t>Las intervenciones puede realizarlas directamente el BCE (de forma centralizada) o los BCN actuando en nombre y por cuenta del BCE (de forma descentralizada). El hecho de que la intervención sea centralizada o descentralizada es irrelevante desde el punto de vista del objetivo final que persigue la operación.</w:t>
      </w:r>
    </w:p>
    <w:p w:rsidR="008C0554" w:rsidRPr="00E338A8" w:rsidRDefault="008C0554" w:rsidP="008C0554">
      <w:pPr>
        <w:pStyle w:val="NormalWeb"/>
        <w:shd w:val="clear" w:color="auto" w:fill="FFFFFF"/>
        <w:spacing w:before="300" w:beforeAutospacing="0" w:after="0" w:afterAutospacing="0"/>
        <w:jc w:val="both"/>
        <w:textAlignment w:val="baseline"/>
      </w:pPr>
      <w:r w:rsidRPr="00E338A8">
        <w:t>Cualquier intervención relacionada con otras monedas de la UE se realiza sin perjuicio del objetivo principal del BCE de mantener la estabilidad de precios, y se lleva a cabo por el Eurosistema en estrecha colaboración con el correspondiente BCN no perteneciente a la zona del euro, en particular en lo referente a la financiación de la intervención…</w:t>
      </w:r>
    </w:p>
    <w:p w:rsidR="008C0554" w:rsidRPr="008C0554" w:rsidRDefault="008C0554" w:rsidP="008C0554">
      <w:pPr>
        <w:pStyle w:val="Ttulo1"/>
        <w:shd w:val="clear" w:color="auto" w:fill="FFFFFF"/>
        <w:spacing w:before="195" w:after="375"/>
        <w:jc w:val="both"/>
        <w:textAlignment w:val="baseline"/>
        <w:rPr>
          <w:rFonts w:ascii="Times New Roman" w:hAnsi="Times New Roman" w:cs="Times New Roman"/>
          <w:color w:val="auto"/>
          <w:sz w:val="24"/>
          <w:szCs w:val="24"/>
        </w:rPr>
      </w:pPr>
      <w:r w:rsidRPr="008C0554">
        <w:rPr>
          <w:rFonts w:ascii="Times New Roman" w:hAnsi="Times New Roman" w:cs="Times New Roman"/>
          <w:color w:val="auto"/>
          <w:sz w:val="24"/>
          <w:szCs w:val="24"/>
        </w:rPr>
        <w:t xml:space="preserve">Reservas exteriores y recursos propios </w:t>
      </w:r>
    </w:p>
    <w:p w:rsidR="008C0554" w:rsidRPr="00E338A8" w:rsidRDefault="008C0554" w:rsidP="008C0554">
      <w:pPr>
        <w:pStyle w:val="NormalWeb"/>
        <w:shd w:val="clear" w:color="auto" w:fill="F7F7F7"/>
        <w:spacing w:before="0" w:beforeAutospacing="0" w:after="0" w:afterAutospacing="0"/>
        <w:jc w:val="both"/>
        <w:textAlignment w:val="baseline"/>
      </w:pPr>
      <w:bookmarkStart w:id="1" w:name="foreign"/>
      <w:bookmarkEnd w:id="1"/>
      <w:r w:rsidRPr="00E338A8">
        <w:t>La cartera de reservas exteriores garantiza que el BCE disponga de liquidez suficiente para realizar sus </w:t>
      </w:r>
      <w:hyperlink r:id="rId30" w:history="1">
        <w:r w:rsidRPr="00E338A8">
          <w:rPr>
            <w:rStyle w:val="Hipervnculo"/>
            <w:rFonts w:eastAsiaTheme="majorEastAsia"/>
            <w:color w:val="auto"/>
            <w:bdr w:val="none" w:sz="0" w:space="0" w:color="auto" w:frame="1"/>
          </w:rPr>
          <w:t>operaciones de divisas</w:t>
        </w:r>
      </w:hyperlink>
      <w:r w:rsidRPr="00E338A8">
        <w:t xml:space="preserve"> cuando resulte necesario. Estas reservas exteriores se constituyeron originalmente mediante transferencias de activos exteriores de reserva de los </w:t>
      </w:r>
      <w:r w:rsidRPr="00E338A8">
        <w:lastRenderedPageBreak/>
        <w:t>BCN de la zona del euro cuando comenzó la tercera fase de la unión económica y monetaria el 1 de enero de 1999.</w:t>
      </w:r>
    </w:p>
    <w:p w:rsidR="008C0554" w:rsidRPr="00E338A8" w:rsidRDefault="008C0554" w:rsidP="008C0554">
      <w:pPr>
        <w:pStyle w:val="NormalWeb"/>
        <w:shd w:val="clear" w:color="auto" w:fill="F7F7F7"/>
        <w:spacing w:before="300" w:beforeAutospacing="0" w:after="0" w:afterAutospacing="0"/>
        <w:jc w:val="both"/>
        <w:textAlignment w:val="baseline"/>
      </w:pPr>
      <w:r w:rsidRPr="00E338A8">
        <w:t>La gestión de las reservas exteriores del BCE persigue, por orden de importancia, los siguientes objetivos: liquidez, seguridad y rentabilidad.</w:t>
      </w:r>
    </w:p>
    <w:p w:rsidR="008C0554" w:rsidRPr="00E338A8" w:rsidRDefault="008C0554" w:rsidP="008C0554">
      <w:pPr>
        <w:pStyle w:val="NormalWeb"/>
        <w:shd w:val="clear" w:color="auto" w:fill="F7F7F7"/>
        <w:spacing w:before="300" w:beforeAutospacing="0" w:after="0" w:afterAutospacing="0"/>
        <w:jc w:val="both"/>
        <w:textAlignment w:val="baseline"/>
      </w:pPr>
      <w:r w:rsidRPr="00E338A8">
        <w:t>La cartera de reservas exteriores del BCE está compuesta por dólares estadounidenses, yenes japoneses, renminbis chinos, oro y derechos especiales de giro. La composición de la cartera cambia con el tiempo, como consecuencia de las variaciones del valor de mercado de los activos invertidos y de las operaciones de divisas y oro realizadas por el BCE.</w:t>
      </w:r>
    </w:p>
    <w:p w:rsidR="008C0554" w:rsidRPr="00E338A8" w:rsidRDefault="008C0554" w:rsidP="008C0554">
      <w:pPr>
        <w:pStyle w:val="NormalWeb"/>
        <w:shd w:val="clear" w:color="auto" w:fill="F7F7F7"/>
        <w:spacing w:before="300" w:beforeAutospacing="0" w:after="0" w:afterAutospacing="0"/>
        <w:jc w:val="both"/>
        <w:textAlignment w:val="baseline"/>
      </w:pPr>
      <w:r w:rsidRPr="00E338A8">
        <w:t>Las reservas en dólares estadounidenses, yenes japoneses y renminbis chinos son gestionadas activamente por el BCE y por determinados BCN de la zona de euro que desean participar en esta actividad en calidad de agentes del BCE. Los BCN pueden mancomunar sus actividades operativas relacionadas con la gestión de las reservas exteriores del BCE con otros BCN. Por lo general, cada BCN o grupo de BCN gestiona una única cartera en dólares esta</w:t>
      </w:r>
      <w:r w:rsidR="00EF04BA">
        <w:t>d</w:t>
      </w:r>
      <w:r w:rsidRPr="00E338A8">
        <w:t>ounidenses o yenes japoneses en calidad de agente del BCE.</w:t>
      </w:r>
    </w:p>
    <w:p w:rsidR="008C0554" w:rsidRPr="00E338A8" w:rsidRDefault="008C0554" w:rsidP="008C0554">
      <w:pPr>
        <w:pStyle w:val="NormalWeb"/>
        <w:shd w:val="clear" w:color="auto" w:fill="F7F7F7"/>
        <w:spacing w:before="300" w:beforeAutospacing="0" w:after="0" w:afterAutospacing="0"/>
        <w:jc w:val="both"/>
        <w:textAlignment w:val="baseline"/>
      </w:pPr>
      <w:r w:rsidRPr="00E338A8">
        <w:t>El BCE realiza ventas de oro de conformidad con el Acuerdo sobre el oro de los Bancos Centrales y el Comunicado conjunto sobre el oro…</w:t>
      </w:r>
    </w:p>
    <w:p w:rsidR="008C0554" w:rsidRPr="008C0554" w:rsidRDefault="008C0554" w:rsidP="008C0554">
      <w:pPr>
        <w:pStyle w:val="Ttulo1"/>
        <w:shd w:val="clear" w:color="auto" w:fill="FFFFFF"/>
        <w:spacing w:before="195" w:after="375"/>
        <w:jc w:val="both"/>
        <w:textAlignment w:val="baseline"/>
        <w:rPr>
          <w:rFonts w:ascii="Times New Roman" w:hAnsi="Times New Roman" w:cs="Times New Roman"/>
          <w:color w:val="auto"/>
          <w:sz w:val="24"/>
          <w:szCs w:val="24"/>
        </w:rPr>
      </w:pPr>
      <w:r w:rsidRPr="008C0554">
        <w:rPr>
          <w:rFonts w:ascii="Times New Roman" w:hAnsi="Times New Roman" w:cs="Times New Roman"/>
          <w:color w:val="auto"/>
          <w:sz w:val="24"/>
          <w:szCs w:val="24"/>
        </w:rPr>
        <w:t>Pagos y valores</w:t>
      </w:r>
    </w:p>
    <w:p w:rsidR="008C0554" w:rsidRPr="008C0554" w:rsidRDefault="008C0554" w:rsidP="008C0554">
      <w:pPr>
        <w:pStyle w:val="Ttulo2"/>
        <w:shd w:val="clear" w:color="auto" w:fill="FFFFFF"/>
        <w:spacing w:before="375" w:after="195"/>
        <w:jc w:val="both"/>
        <w:textAlignment w:val="baseline"/>
        <w:rPr>
          <w:rFonts w:ascii="Times New Roman" w:hAnsi="Times New Roman" w:cs="Times New Roman"/>
          <w:color w:val="auto"/>
          <w:sz w:val="24"/>
          <w:szCs w:val="24"/>
        </w:rPr>
      </w:pPr>
      <w:r w:rsidRPr="008C0554">
        <w:rPr>
          <w:rFonts w:ascii="Times New Roman" w:hAnsi="Times New Roman" w:cs="Times New Roman"/>
          <w:color w:val="auto"/>
          <w:sz w:val="24"/>
          <w:szCs w:val="24"/>
        </w:rPr>
        <w:t>Las funciones del Eurosistema</w:t>
      </w:r>
    </w:p>
    <w:p w:rsidR="008C0554" w:rsidRPr="00E338A8" w:rsidRDefault="008C0554" w:rsidP="008C0554">
      <w:pPr>
        <w:pStyle w:val="NormalWeb"/>
        <w:shd w:val="clear" w:color="auto" w:fill="FFFFFF"/>
        <w:spacing w:before="0" w:beforeAutospacing="0" w:after="0" w:afterAutospacing="0"/>
        <w:jc w:val="both"/>
        <w:textAlignment w:val="baseline"/>
      </w:pPr>
      <w:r w:rsidRPr="00E338A8">
        <w:t>Al Eurosistema le ha sido asignada la función estatutaria de promover el buen funcionamiento de los sistemas de pago y de liquidación (véanse el apartado segundo del artículo 127 del Tratado de Funcionamiento de la Unión Europea y los artículos 3 y 22 de los Estatutos del Sistema Europeo de Bancos Centrales y del Banco Central Europeo).</w:t>
      </w:r>
    </w:p>
    <w:p w:rsidR="008C0554" w:rsidRDefault="008C0554" w:rsidP="008C0554">
      <w:pPr>
        <w:pStyle w:val="NormalWeb"/>
        <w:shd w:val="clear" w:color="auto" w:fill="FFFFFF"/>
        <w:spacing w:before="300" w:beforeAutospacing="0" w:after="0" w:afterAutospacing="0"/>
        <w:jc w:val="both"/>
        <w:textAlignment w:val="baseline"/>
      </w:pPr>
      <w:r w:rsidRPr="00E338A8">
        <w:t>El Eurosistema lleva a cabo sus f</w:t>
      </w:r>
      <w:r w:rsidR="006D78F8">
        <w:t>unciones de la siguiente manera:</w:t>
      </w:r>
    </w:p>
    <w:p w:rsidR="006D78F8" w:rsidRPr="00E338A8" w:rsidRDefault="006D78F8" w:rsidP="008C0554">
      <w:pPr>
        <w:pStyle w:val="NormalWeb"/>
        <w:shd w:val="clear" w:color="auto" w:fill="FFFFFF"/>
        <w:spacing w:before="300" w:beforeAutospacing="0" w:after="0" w:afterAutospacing="0"/>
        <w:jc w:val="both"/>
        <w:textAlignment w:val="baseline"/>
      </w:pPr>
    </w:p>
    <w:p w:rsidR="008C0554" w:rsidRPr="00E338A8" w:rsidRDefault="008C0554" w:rsidP="008C0554">
      <w:pPr>
        <w:numPr>
          <w:ilvl w:val="0"/>
          <w:numId w:val="5"/>
        </w:numPr>
        <w:shd w:val="clear" w:color="auto" w:fill="FFFFFF"/>
        <w:spacing w:after="0" w:line="240" w:lineRule="auto"/>
        <w:ind w:left="420"/>
        <w:jc w:val="both"/>
        <w:textAlignment w:val="baseline"/>
        <w:rPr>
          <w:rFonts w:ascii="Times New Roman" w:hAnsi="Times New Roman" w:cs="Times New Roman"/>
          <w:sz w:val="24"/>
          <w:szCs w:val="24"/>
        </w:rPr>
      </w:pPr>
      <w:r w:rsidRPr="00E338A8">
        <w:rPr>
          <w:rFonts w:ascii="Times New Roman" w:hAnsi="Times New Roman" w:cs="Times New Roman"/>
          <w:sz w:val="24"/>
          <w:szCs w:val="24"/>
        </w:rPr>
        <w:t>Ofrece servicios de pago y de liquidación de valores, gestionando un sistema de grandes pagos en euros (</w:t>
      </w:r>
      <w:hyperlink r:id="rId31" w:tooltip="Ir a: Pagos y mercados &gt; TARGET2" w:history="1">
        <w:r w:rsidRPr="00E338A8">
          <w:rPr>
            <w:rStyle w:val="Hipervnculo"/>
            <w:rFonts w:ascii="Times New Roman" w:hAnsi="Times New Roman" w:cs="Times New Roman"/>
            <w:color w:val="auto"/>
            <w:sz w:val="24"/>
            <w:szCs w:val="24"/>
            <w:bdr w:val="none" w:sz="0" w:space="0" w:color="auto" w:frame="1"/>
          </w:rPr>
          <w:t>TARGET2</w:t>
        </w:r>
      </w:hyperlink>
      <w:r w:rsidRPr="00E338A8">
        <w:rPr>
          <w:rFonts w:ascii="Times New Roman" w:hAnsi="Times New Roman" w:cs="Times New Roman"/>
          <w:sz w:val="24"/>
          <w:szCs w:val="24"/>
        </w:rPr>
        <w:t>), además de un mecanismo que permite el uso transfronterizo de los activos de garantía (</w:t>
      </w:r>
      <w:hyperlink r:id="rId32" w:tooltip="Ir a: Pagos y mercados &gt; CCBM" w:history="1">
        <w:r w:rsidRPr="00E338A8">
          <w:rPr>
            <w:rStyle w:val="Hipervnculo"/>
            <w:rFonts w:ascii="Times New Roman" w:hAnsi="Times New Roman" w:cs="Times New Roman"/>
            <w:color w:val="auto"/>
            <w:sz w:val="24"/>
            <w:szCs w:val="24"/>
            <w:bdr w:val="none" w:sz="0" w:space="0" w:color="auto" w:frame="1"/>
          </w:rPr>
          <w:t>CCBM</w:t>
        </w:r>
      </w:hyperlink>
      <w:r w:rsidRPr="00E338A8">
        <w:rPr>
          <w:rFonts w:ascii="Times New Roman" w:hAnsi="Times New Roman" w:cs="Times New Roman"/>
          <w:sz w:val="24"/>
          <w:szCs w:val="24"/>
        </w:rPr>
        <w:t>). Además, el Eurosistema trabaja en la creación de un servicio paneuropeo (</w:t>
      </w:r>
      <w:hyperlink r:id="rId33" w:tooltip="Pagos y mercados &gt; T2S" w:history="1">
        <w:r w:rsidRPr="00E338A8">
          <w:rPr>
            <w:rStyle w:val="Hipervnculo"/>
            <w:rFonts w:ascii="Times New Roman" w:hAnsi="Times New Roman" w:cs="Times New Roman"/>
            <w:color w:val="auto"/>
            <w:sz w:val="24"/>
            <w:szCs w:val="24"/>
            <w:bdr w:val="none" w:sz="0" w:space="0" w:color="auto" w:frame="1"/>
          </w:rPr>
          <w:t>T2S</w:t>
        </w:r>
      </w:hyperlink>
      <w:r w:rsidRPr="00E338A8">
        <w:rPr>
          <w:rFonts w:ascii="Times New Roman" w:hAnsi="Times New Roman" w:cs="Times New Roman"/>
          <w:sz w:val="24"/>
          <w:szCs w:val="24"/>
        </w:rPr>
        <w:t>) que permita a los depositarios centrales de valores liquidar operaciones de valores en dinero del banco central.</w:t>
      </w:r>
    </w:p>
    <w:p w:rsidR="008C0554" w:rsidRPr="00E338A8" w:rsidRDefault="008C0554" w:rsidP="008C0554">
      <w:pPr>
        <w:numPr>
          <w:ilvl w:val="0"/>
          <w:numId w:val="5"/>
        </w:numPr>
        <w:shd w:val="clear" w:color="auto" w:fill="FFFFFF"/>
        <w:spacing w:after="0" w:line="240" w:lineRule="auto"/>
        <w:ind w:left="420"/>
        <w:jc w:val="both"/>
        <w:textAlignment w:val="baseline"/>
        <w:rPr>
          <w:rFonts w:ascii="Times New Roman" w:hAnsi="Times New Roman" w:cs="Times New Roman"/>
          <w:sz w:val="24"/>
          <w:szCs w:val="24"/>
        </w:rPr>
      </w:pPr>
      <w:r w:rsidRPr="00E338A8">
        <w:rPr>
          <w:rFonts w:ascii="Times New Roman" w:hAnsi="Times New Roman" w:cs="Times New Roman"/>
          <w:sz w:val="24"/>
          <w:szCs w:val="24"/>
        </w:rPr>
        <w:t>Establece políticas de </w:t>
      </w:r>
      <w:hyperlink r:id="rId34" w:tooltip="Pagos y mercados &gt; Vigilancia" w:history="1">
        <w:r w:rsidRPr="00E338A8">
          <w:rPr>
            <w:rStyle w:val="Hipervnculo"/>
            <w:rFonts w:ascii="Times New Roman" w:hAnsi="Times New Roman" w:cs="Times New Roman"/>
            <w:color w:val="auto"/>
            <w:sz w:val="24"/>
            <w:szCs w:val="24"/>
            <w:bdr w:val="none" w:sz="0" w:space="0" w:color="auto" w:frame="1"/>
          </w:rPr>
          <w:t>vigilancia</w:t>
        </w:r>
      </w:hyperlink>
      <w:r w:rsidRPr="00E338A8">
        <w:rPr>
          <w:rFonts w:ascii="Times New Roman" w:hAnsi="Times New Roman" w:cs="Times New Roman"/>
          <w:sz w:val="24"/>
          <w:szCs w:val="24"/>
        </w:rPr>
        <w:t> y criterios aplicables a sistemas de grandes y pequeños pagos, instrumentos de pago, sistemas de compensación, sistemas de liquidación de valores y determinados proveedores externos de servicios. Asimismo, lleva a cabo actividades de vigilancia de estas infraestructuras, evaluando su cumplimiento de dichas políticas y criterios y, cuando lo estima necesario, sugiere modificaciones.</w:t>
      </w:r>
    </w:p>
    <w:p w:rsidR="006D78F8" w:rsidRDefault="008C0554" w:rsidP="006D78F8">
      <w:pPr>
        <w:numPr>
          <w:ilvl w:val="0"/>
          <w:numId w:val="5"/>
        </w:numPr>
        <w:shd w:val="clear" w:color="auto" w:fill="FFFFFF"/>
        <w:spacing w:after="150" w:line="240" w:lineRule="auto"/>
        <w:ind w:left="420"/>
        <w:jc w:val="both"/>
        <w:textAlignment w:val="baseline"/>
        <w:rPr>
          <w:rFonts w:ascii="Times New Roman" w:hAnsi="Times New Roman" w:cs="Times New Roman"/>
          <w:sz w:val="24"/>
          <w:szCs w:val="24"/>
        </w:rPr>
      </w:pPr>
      <w:r w:rsidRPr="00E338A8">
        <w:rPr>
          <w:rFonts w:ascii="Times New Roman" w:hAnsi="Times New Roman" w:cs="Times New Roman"/>
          <w:sz w:val="24"/>
          <w:szCs w:val="24"/>
        </w:rPr>
        <w:t>Además, el Eurosistema establece requisitos de continuidad de las actividades y coordina el trabajo de aplicación.</w:t>
      </w:r>
    </w:p>
    <w:p w:rsidR="008C0554" w:rsidRPr="006D78F8" w:rsidRDefault="008C0554" w:rsidP="006D78F8">
      <w:pPr>
        <w:numPr>
          <w:ilvl w:val="0"/>
          <w:numId w:val="5"/>
        </w:numPr>
        <w:shd w:val="clear" w:color="auto" w:fill="FFFFFF"/>
        <w:spacing w:after="150" w:line="240" w:lineRule="auto"/>
        <w:ind w:left="420"/>
        <w:jc w:val="both"/>
        <w:textAlignment w:val="baseline"/>
        <w:rPr>
          <w:rFonts w:ascii="Times New Roman" w:hAnsi="Times New Roman" w:cs="Times New Roman"/>
          <w:sz w:val="24"/>
          <w:szCs w:val="24"/>
        </w:rPr>
      </w:pPr>
      <w:r w:rsidRPr="006D78F8">
        <w:rPr>
          <w:rFonts w:ascii="Times New Roman" w:hAnsi="Times New Roman" w:cs="Times New Roman"/>
          <w:sz w:val="24"/>
          <w:szCs w:val="24"/>
        </w:rPr>
        <w:t>El Eurosistema realiza el seguimiento y, cuando resulta necesario, se posiciona sobre la evolución del mercado y las iniciativas legales que afectan a la vigilancia de las infraestructuras y acuerdos para los pagos y la compensación y liquidación de valores.</w:t>
      </w:r>
    </w:p>
    <w:p w:rsidR="008C0554" w:rsidRDefault="008C0554" w:rsidP="008C0554">
      <w:pPr>
        <w:numPr>
          <w:ilvl w:val="0"/>
          <w:numId w:val="5"/>
        </w:numPr>
        <w:shd w:val="clear" w:color="auto" w:fill="FFFFFF"/>
        <w:spacing w:after="0" w:line="240" w:lineRule="auto"/>
        <w:ind w:left="420"/>
        <w:jc w:val="both"/>
        <w:textAlignment w:val="baseline"/>
        <w:rPr>
          <w:rFonts w:ascii="Verdana" w:hAnsi="Verdana"/>
          <w:color w:val="191919"/>
        </w:rPr>
      </w:pPr>
      <w:r w:rsidRPr="00E338A8">
        <w:rPr>
          <w:rFonts w:ascii="Times New Roman" w:hAnsi="Times New Roman" w:cs="Times New Roman"/>
          <w:sz w:val="24"/>
          <w:szCs w:val="24"/>
        </w:rPr>
        <w:lastRenderedPageBreak/>
        <w:t>El Eurosistema actúa como catalizador del cambio, fomentando la eficiencia de los sistemas de pago y, en el ámbito de los sistemas de pequeños pagos, la migración a la </w:t>
      </w:r>
      <w:hyperlink r:id="rId35" w:tooltip="Pagos y mercados &gt; Zona Única de Pagos en Euros" w:history="1">
        <w:r w:rsidRPr="00E338A8">
          <w:rPr>
            <w:rStyle w:val="Hipervnculo"/>
            <w:rFonts w:ascii="Times New Roman" w:hAnsi="Times New Roman" w:cs="Times New Roman"/>
            <w:color w:val="auto"/>
            <w:sz w:val="24"/>
            <w:szCs w:val="24"/>
            <w:bdr w:val="none" w:sz="0" w:space="0" w:color="auto" w:frame="1"/>
          </w:rPr>
          <w:t>Zona Única de Pagos en Euros</w:t>
        </w:r>
      </w:hyperlink>
      <w:r w:rsidRPr="00E338A8">
        <w:rPr>
          <w:rFonts w:ascii="Times New Roman" w:hAnsi="Times New Roman" w:cs="Times New Roman"/>
          <w:sz w:val="24"/>
          <w:szCs w:val="24"/>
        </w:rPr>
        <w:t>. Además, fomenta la eficiencia de los mercados de valores promoviendo la armonización de las normas vigentes en el mercado y estimulando la supresión de los obstáculos para la integración.</w:t>
      </w:r>
    </w:p>
    <w:p w:rsidR="008C0554" w:rsidRDefault="008C0554" w:rsidP="008C0554">
      <w:pPr>
        <w:spacing w:line="240" w:lineRule="auto"/>
        <w:jc w:val="both"/>
        <w:rPr>
          <w:rFonts w:ascii="Times New Roman" w:hAnsi="Times New Roman" w:cs="Times New Roman"/>
          <w:b/>
          <w:color w:val="FF0000"/>
          <w:sz w:val="24"/>
          <w:szCs w:val="24"/>
        </w:rPr>
      </w:pPr>
    </w:p>
    <w:p w:rsidR="008C0554" w:rsidRDefault="008C0554" w:rsidP="008C0554">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2483EF5B" wp14:editId="74824ED9">
            <wp:extent cx="5731510" cy="4416814"/>
            <wp:effectExtent l="0" t="0" r="2540" b="317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4416814"/>
                    </a:xfrm>
                    <a:prstGeom prst="rect">
                      <a:avLst/>
                    </a:prstGeom>
                  </pic:spPr>
                </pic:pic>
              </a:graphicData>
            </a:graphic>
          </wp:inline>
        </w:drawing>
      </w:r>
    </w:p>
    <w:p w:rsidR="00173A11" w:rsidRDefault="00173A11" w:rsidP="008C0554">
      <w:pPr>
        <w:spacing w:line="240" w:lineRule="auto"/>
        <w:jc w:val="both"/>
        <w:rPr>
          <w:rFonts w:ascii="Times New Roman" w:hAnsi="Times New Roman" w:cs="Times New Roman"/>
          <w:b/>
          <w:color w:val="FF0000"/>
          <w:sz w:val="24"/>
          <w:szCs w:val="24"/>
        </w:rPr>
      </w:pPr>
    </w:p>
    <w:p w:rsidR="008C0554" w:rsidRDefault="008C0554" w:rsidP="008C0554">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17E24BFE" wp14:editId="5F8A1841">
            <wp:extent cx="5731510" cy="2345878"/>
            <wp:effectExtent l="0" t="0" r="254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345878"/>
                    </a:xfrm>
                    <a:prstGeom prst="rect">
                      <a:avLst/>
                    </a:prstGeom>
                  </pic:spPr>
                </pic:pic>
              </a:graphicData>
            </a:graphic>
          </wp:inline>
        </w:drawing>
      </w:r>
    </w:p>
    <w:p w:rsidR="006F0DE5" w:rsidRDefault="006F0DE5" w:rsidP="008C0554">
      <w:pPr>
        <w:spacing w:line="240" w:lineRule="auto"/>
        <w:jc w:val="both"/>
        <w:rPr>
          <w:rFonts w:ascii="Times New Roman" w:hAnsi="Times New Roman" w:cs="Times New Roman"/>
          <w:b/>
          <w:color w:val="FF0000"/>
          <w:sz w:val="24"/>
          <w:szCs w:val="24"/>
        </w:rPr>
      </w:pPr>
    </w:p>
    <w:p w:rsidR="006F0DE5" w:rsidRDefault="006F0DE5" w:rsidP="008C0554">
      <w:pPr>
        <w:spacing w:line="240" w:lineRule="auto"/>
        <w:jc w:val="both"/>
        <w:rPr>
          <w:rFonts w:ascii="Times New Roman" w:hAnsi="Times New Roman" w:cs="Times New Roman"/>
          <w:b/>
          <w:color w:val="FF0000"/>
          <w:sz w:val="24"/>
          <w:szCs w:val="24"/>
        </w:rPr>
      </w:pPr>
    </w:p>
    <w:p w:rsidR="006F0DE5" w:rsidRDefault="006F0DE5" w:rsidP="008C0554">
      <w:pPr>
        <w:spacing w:line="240" w:lineRule="auto"/>
        <w:jc w:val="both"/>
        <w:rPr>
          <w:rFonts w:ascii="Times New Roman" w:hAnsi="Times New Roman" w:cs="Times New Roman"/>
          <w:b/>
          <w:color w:val="FF0000"/>
          <w:sz w:val="24"/>
          <w:szCs w:val="24"/>
        </w:rPr>
      </w:pPr>
    </w:p>
    <w:p w:rsidR="008C0554" w:rsidRDefault="008C0554" w:rsidP="008C0554">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2B692C3F" wp14:editId="7CD3338A">
            <wp:extent cx="5731510" cy="1383278"/>
            <wp:effectExtent l="0" t="0" r="2540" b="762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1383278"/>
                    </a:xfrm>
                    <a:prstGeom prst="rect">
                      <a:avLst/>
                    </a:prstGeom>
                  </pic:spPr>
                </pic:pic>
              </a:graphicData>
            </a:graphic>
          </wp:inline>
        </w:drawing>
      </w:r>
    </w:p>
    <w:p w:rsidR="00173A11" w:rsidRDefault="00173A11" w:rsidP="008C0554">
      <w:pPr>
        <w:spacing w:line="240" w:lineRule="auto"/>
        <w:jc w:val="both"/>
        <w:rPr>
          <w:rFonts w:ascii="Times New Roman" w:hAnsi="Times New Roman" w:cs="Times New Roman"/>
          <w:b/>
          <w:color w:val="FF0000"/>
          <w:sz w:val="24"/>
          <w:szCs w:val="24"/>
        </w:rPr>
      </w:pPr>
    </w:p>
    <w:p w:rsidR="008C0554" w:rsidRDefault="008C0554" w:rsidP="008C0554">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734A830D" wp14:editId="0C927912">
            <wp:extent cx="5731510" cy="1716391"/>
            <wp:effectExtent l="0" t="0" r="254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1716391"/>
                    </a:xfrm>
                    <a:prstGeom prst="rect">
                      <a:avLst/>
                    </a:prstGeom>
                  </pic:spPr>
                </pic:pic>
              </a:graphicData>
            </a:graphic>
          </wp:inline>
        </w:drawing>
      </w:r>
    </w:p>
    <w:p w:rsidR="00173A11" w:rsidRDefault="00173A11" w:rsidP="008C0554">
      <w:pPr>
        <w:spacing w:line="240" w:lineRule="auto"/>
        <w:jc w:val="both"/>
        <w:rPr>
          <w:rFonts w:ascii="Times New Roman" w:hAnsi="Times New Roman" w:cs="Times New Roman"/>
          <w:b/>
          <w:color w:val="FF0000"/>
          <w:sz w:val="24"/>
          <w:szCs w:val="24"/>
        </w:rPr>
      </w:pPr>
    </w:p>
    <w:p w:rsidR="008C0554" w:rsidRDefault="008C0554" w:rsidP="008C0554">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01AC7F4D" wp14:editId="519C6B63">
            <wp:extent cx="5731510" cy="3056805"/>
            <wp:effectExtent l="0" t="0" r="254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056805"/>
                    </a:xfrm>
                    <a:prstGeom prst="rect">
                      <a:avLst/>
                    </a:prstGeom>
                  </pic:spPr>
                </pic:pic>
              </a:graphicData>
            </a:graphic>
          </wp:inline>
        </w:drawing>
      </w:r>
    </w:p>
    <w:p w:rsidR="008C0554" w:rsidRPr="008C0554" w:rsidRDefault="008C0554" w:rsidP="008C0554">
      <w:pPr>
        <w:pStyle w:val="NormalWeb"/>
        <w:shd w:val="clear" w:color="auto" w:fill="FFFFFF"/>
        <w:spacing w:before="0" w:beforeAutospacing="0" w:after="270" w:afterAutospacing="0"/>
        <w:jc w:val="both"/>
        <w:rPr>
          <w:spacing w:val="-1"/>
        </w:rPr>
      </w:pPr>
    </w:p>
    <w:p w:rsidR="008C0554" w:rsidRPr="008C0554" w:rsidRDefault="008C0554" w:rsidP="008C0554">
      <w:pPr>
        <w:pStyle w:val="NormalWeb"/>
        <w:shd w:val="clear" w:color="auto" w:fill="FFFFFF"/>
        <w:spacing w:before="0" w:beforeAutospacing="0" w:after="270" w:afterAutospacing="0"/>
        <w:jc w:val="both"/>
        <w:rPr>
          <w:b/>
          <w:spacing w:val="-1"/>
        </w:rPr>
      </w:pPr>
    </w:p>
    <w:p w:rsidR="006F0DE5" w:rsidRDefault="006F0DE5" w:rsidP="00173A11">
      <w:pPr>
        <w:spacing w:line="240" w:lineRule="auto"/>
        <w:jc w:val="both"/>
        <w:rPr>
          <w:rFonts w:ascii="Times New Roman" w:hAnsi="Times New Roman" w:cs="Times New Roman"/>
          <w:color w:val="FF0000"/>
          <w:sz w:val="24"/>
          <w:szCs w:val="24"/>
          <w:u w:val="single"/>
        </w:rPr>
      </w:pPr>
    </w:p>
    <w:p w:rsidR="00173A11" w:rsidRDefault="00173A11" w:rsidP="00173A11">
      <w:pPr>
        <w:spacing w:line="240" w:lineRule="auto"/>
        <w:jc w:val="both"/>
        <w:rPr>
          <w:rFonts w:ascii="Times New Roman" w:hAnsi="Times New Roman" w:cs="Times New Roman"/>
          <w:b/>
          <w:sz w:val="24"/>
          <w:szCs w:val="24"/>
        </w:rPr>
      </w:pPr>
      <w:r w:rsidRPr="00173A11">
        <w:rPr>
          <w:rFonts w:ascii="Times New Roman" w:hAnsi="Times New Roman" w:cs="Times New Roman"/>
          <w:b/>
          <w:sz w:val="24"/>
          <w:szCs w:val="24"/>
        </w:rPr>
        <w:lastRenderedPageBreak/>
        <w:t>- La respuesta del BCE a la crisis financiera</w:t>
      </w:r>
      <w:r w:rsidR="002801B5">
        <w:rPr>
          <w:rFonts w:ascii="Times New Roman" w:hAnsi="Times New Roman" w:cs="Times New Roman"/>
          <w:b/>
          <w:sz w:val="24"/>
          <w:szCs w:val="24"/>
        </w:rPr>
        <w:t xml:space="preserve"> (desde el año 2008, en adelante)</w:t>
      </w:r>
    </w:p>
    <w:p w:rsidR="00173A11" w:rsidRPr="00173A11" w:rsidRDefault="00173A11" w:rsidP="00173A11">
      <w:pPr>
        <w:spacing w:line="240" w:lineRule="auto"/>
        <w:jc w:val="both"/>
        <w:rPr>
          <w:rFonts w:ascii="Times New Roman" w:hAnsi="Times New Roman" w:cs="Times New Roman"/>
          <w:b/>
          <w:sz w:val="24"/>
          <w:szCs w:val="24"/>
        </w:rPr>
      </w:pPr>
      <w:r>
        <w:rPr>
          <w:noProof/>
          <w:lang w:eastAsia="es-ES"/>
        </w:rPr>
        <w:drawing>
          <wp:inline distT="0" distB="0" distL="0" distR="0" wp14:anchorId="0591F7DE" wp14:editId="4BDEBE37">
            <wp:extent cx="5734050" cy="2921000"/>
            <wp:effectExtent l="0" t="0" r="0" b="0"/>
            <wp:docPr id="5" name="Imagen 5" descr="Operador de Bolsa de Nuevao Y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perador de Bolsa de Nuevao York.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919706"/>
                    </a:xfrm>
                    <a:prstGeom prst="rect">
                      <a:avLst/>
                    </a:prstGeom>
                    <a:noFill/>
                    <a:ln>
                      <a:noFill/>
                    </a:ln>
                  </pic:spPr>
                </pic:pic>
              </a:graphicData>
            </a:graphic>
          </wp:inline>
        </w:drawing>
      </w:r>
    </w:p>
    <w:p w:rsidR="002801B5" w:rsidRPr="002801B5" w:rsidRDefault="00C012D5" w:rsidP="00173A11">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c</w:t>
      </w:r>
      <w:r w:rsidR="002801B5" w:rsidRPr="002801B5">
        <w:rPr>
          <w:rFonts w:ascii="Times New Roman" w:hAnsi="Times New Roman" w:cs="Times New Roman"/>
          <w:b/>
          <w:sz w:val="24"/>
          <w:szCs w:val="24"/>
        </w:rPr>
        <w:t>uentas</w:t>
      </w:r>
      <w:r w:rsidR="00B21A68">
        <w:rPr>
          <w:rFonts w:ascii="Times New Roman" w:hAnsi="Times New Roman" w:cs="Times New Roman"/>
          <w:b/>
          <w:sz w:val="24"/>
          <w:szCs w:val="24"/>
        </w:rPr>
        <w:t xml:space="preserve"> </w:t>
      </w:r>
      <w:r w:rsidR="00AE2A85">
        <w:rPr>
          <w:rFonts w:ascii="Times New Roman" w:hAnsi="Times New Roman" w:cs="Times New Roman"/>
          <w:b/>
          <w:sz w:val="24"/>
          <w:szCs w:val="24"/>
        </w:rPr>
        <w:t>d</w:t>
      </w:r>
      <w:r w:rsidR="002801B5">
        <w:rPr>
          <w:rFonts w:ascii="Times New Roman" w:hAnsi="Times New Roman" w:cs="Times New Roman"/>
          <w:b/>
          <w:sz w:val="24"/>
          <w:szCs w:val="24"/>
        </w:rPr>
        <w:t xml:space="preserve">el </w:t>
      </w:r>
      <w:r w:rsidR="00DE4761">
        <w:rPr>
          <w:rFonts w:ascii="Times New Roman" w:hAnsi="Times New Roman" w:cs="Times New Roman"/>
          <w:b/>
          <w:sz w:val="24"/>
          <w:szCs w:val="24"/>
        </w:rPr>
        <w:t>“</w:t>
      </w:r>
      <w:r w:rsidR="002801B5">
        <w:rPr>
          <w:rFonts w:ascii="Times New Roman" w:hAnsi="Times New Roman" w:cs="Times New Roman"/>
          <w:b/>
          <w:sz w:val="24"/>
          <w:szCs w:val="24"/>
        </w:rPr>
        <w:t>rescate</w:t>
      </w:r>
      <w:r w:rsidR="00DE4761">
        <w:rPr>
          <w:rFonts w:ascii="Times New Roman" w:hAnsi="Times New Roman" w:cs="Times New Roman"/>
          <w:b/>
          <w:sz w:val="24"/>
          <w:szCs w:val="24"/>
        </w:rPr>
        <w:t>”</w:t>
      </w:r>
      <w:r w:rsidR="002801B5">
        <w:rPr>
          <w:rFonts w:ascii="Times New Roman" w:hAnsi="Times New Roman" w:cs="Times New Roman"/>
          <w:b/>
          <w:sz w:val="24"/>
          <w:szCs w:val="24"/>
        </w:rPr>
        <w:t xml:space="preserve"> </w:t>
      </w:r>
      <w:r w:rsidR="00B21A68">
        <w:rPr>
          <w:rFonts w:ascii="Times New Roman" w:hAnsi="Times New Roman" w:cs="Times New Roman"/>
          <w:b/>
          <w:sz w:val="24"/>
          <w:szCs w:val="24"/>
        </w:rPr>
        <w:t>(</w:t>
      </w:r>
      <w:r w:rsidR="002801B5">
        <w:rPr>
          <w:rFonts w:ascii="Times New Roman" w:hAnsi="Times New Roman" w:cs="Times New Roman"/>
          <w:b/>
          <w:sz w:val="24"/>
          <w:szCs w:val="24"/>
        </w:rPr>
        <w:t>a la banca)</w:t>
      </w:r>
      <w:r w:rsidR="002801B5" w:rsidRPr="002801B5">
        <w:rPr>
          <w:rFonts w:ascii="Times New Roman" w:hAnsi="Times New Roman" w:cs="Times New Roman"/>
          <w:b/>
          <w:sz w:val="24"/>
          <w:szCs w:val="24"/>
        </w:rPr>
        <w:t xml:space="preserve"> y…</w:t>
      </w:r>
      <w:r>
        <w:rPr>
          <w:rFonts w:ascii="Times New Roman" w:hAnsi="Times New Roman" w:cs="Times New Roman"/>
          <w:b/>
          <w:sz w:val="24"/>
          <w:szCs w:val="24"/>
        </w:rPr>
        <w:t xml:space="preserve">los </w:t>
      </w:r>
      <w:r w:rsidR="002801B5" w:rsidRPr="002801B5">
        <w:rPr>
          <w:rFonts w:ascii="Times New Roman" w:hAnsi="Times New Roman" w:cs="Times New Roman"/>
          <w:b/>
          <w:sz w:val="24"/>
          <w:szCs w:val="24"/>
        </w:rPr>
        <w:t>cuentos</w:t>
      </w:r>
      <w:r w:rsidR="00B21A68">
        <w:rPr>
          <w:rFonts w:ascii="Times New Roman" w:hAnsi="Times New Roman" w:cs="Times New Roman"/>
          <w:b/>
          <w:sz w:val="24"/>
          <w:szCs w:val="24"/>
        </w:rPr>
        <w:t xml:space="preserve"> del</w:t>
      </w:r>
      <w:r w:rsidR="00821071">
        <w:rPr>
          <w:rFonts w:ascii="Times New Roman" w:hAnsi="Times New Roman" w:cs="Times New Roman"/>
          <w:b/>
          <w:sz w:val="24"/>
          <w:szCs w:val="24"/>
        </w:rPr>
        <w:t xml:space="preserve"> “rescate”</w:t>
      </w:r>
      <w:r w:rsidR="00DE4761">
        <w:rPr>
          <w:rFonts w:ascii="Times New Roman" w:hAnsi="Times New Roman" w:cs="Times New Roman"/>
          <w:b/>
          <w:sz w:val="24"/>
          <w:szCs w:val="24"/>
        </w:rPr>
        <w:t xml:space="preserve"> (</w:t>
      </w:r>
      <w:r w:rsidR="00AE2A85">
        <w:rPr>
          <w:rFonts w:ascii="Times New Roman" w:hAnsi="Times New Roman" w:cs="Times New Roman"/>
          <w:b/>
          <w:sz w:val="24"/>
          <w:szCs w:val="24"/>
        </w:rPr>
        <w:t>para</w:t>
      </w:r>
      <w:r w:rsidR="002801B5">
        <w:rPr>
          <w:rFonts w:ascii="Times New Roman" w:hAnsi="Times New Roman" w:cs="Times New Roman"/>
          <w:b/>
          <w:sz w:val="24"/>
          <w:szCs w:val="24"/>
        </w:rPr>
        <w:t xml:space="preserve"> </w:t>
      </w:r>
      <w:r w:rsidR="00DE4761">
        <w:rPr>
          <w:rFonts w:ascii="Times New Roman" w:hAnsi="Times New Roman" w:cs="Times New Roman"/>
          <w:b/>
          <w:sz w:val="24"/>
          <w:szCs w:val="24"/>
        </w:rPr>
        <w:t>“</w:t>
      </w:r>
      <w:r w:rsidR="00AE2A85">
        <w:rPr>
          <w:rFonts w:ascii="Times New Roman" w:hAnsi="Times New Roman" w:cs="Times New Roman"/>
          <w:b/>
          <w:sz w:val="24"/>
          <w:szCs w:val="24"/>
        </w:rPr>
        <w:t>tranquilizar</w:t>
      </w:r>
      <w:r w:rsidR="00DE4761">
        <w:rPr>
          <w:rFonts w:ascii="Times New Roman" w:hAnsi="Times New Roman" w:cs="Times New Roman"/>
          <w:b/>
          <w:sz w:val="24"/>
          <w:szCs w:val="24"/>
        </w:rPr>
        <w:t>”</w:t>
      </w:r>
      <w:r w:rsidR="006D78F8">
        <w:rPr>
          <w:rFonts w:ascii="Times New Roman" w:hAnsi="Times New Roman" w:cs="Times New Roman"/>
          <w:b/>
          <w:sz w:val="24"/>
          <w:szCs w:val="24"/>
        </w:rPr>
        <w:t xml:space="preserve"> a</w:t>
      </w:r>
      <w:r w:rsidR="002801B5">
        <w:rPr>
          <w:rFonts w:ascii="Times New Roman" w:hAnsi="Times New Roman" w:cs="Times New Roman"/>
          <w:b/>
          <w:sz w:val="24"/>
          <w:szCs w:val="24"/>
        </w:rPr>
        <w:t xml:space="preserve"> los mercados)</w:t>
      </w:r>
    </w:p>
    <w:p w:rsidR="00173A11" w:rsidRPr="00173A11" w:rsidRDefault="00173A11" w:rsidP="00173A11">
      <w:pPr>
        <w:spacing w:line="240" w:lineRule="auto"/>
        <w:jc w:val="both"/>
        <w:rPr>
          <w:rFonts w:ascii="Times New Roman" w:hAnsi="Times New Roman" w:cs="Times New Roman"/>
          <w:color w:val="FF0000"/>
          <w:sz w:val="24"/>
          <w:szCs w:val="24"/>
        </w:rPr>
      </w:pPr>
      <w:r w:rsidRPr="00173A11">
        <w:rPr>
          <w:rFonts w:ascii="Times New Roman" w:hAnsi="Times New Roman" w:cs="Times New Roman"/>
          <w:sz w:val="24"/>
          <w:szCs w:val="24"/>
        </w:rPr>
        <w:t xml:space="preserve">Fuente: La política monetaria del BCE - 2011 </w:t>
      </w:r>
    </w:p>
    <w:p w:rsidR="00173A11" w:rsidRPr="00085E13" w:rsidRDefault="00173A11" w:rsidP="00173A11">
      <w:pPr>
        <w:spacing w:line="240" w:lineRule="auto"/>
        <w:jc w:val="both"/>
        <w:rPr>
          <w:rFonts w:ascii="Times New Roman" w:hAnsi="Times New Roman" w:cs="Times New Roman"/>
          <w:sz w:val="24"/>
          <w:szCs w:val="24"/>
        </w:rPr>
      </w:pPr>
      <w:r w:rsidRPr="00085E13">
        <w:rPr>
          <w:rFonts w:ascii="Times New Roman" w:hAnsi="Times New Roman" w:cs="Times New Roman"/>
          <w:sz w:val="24"/>
          <w:szCs w:val="24"/>
        </w:rPr>
        <w:t>(…)</w:t>
      </w:r>
    </w:p>
    <w:p w:rsidR="00173A11" w:rsidRPr="0008411B" w:rsidRDefault="00173A11" w:rsidP="00173A11">
      <w:pPr>
        <w:autoSpaceDE w:val="0"/>
        <w:autoSpaceDN w:val="0"/>
        <w:adjustRightInd w:val="0"/>
        <w:spacing w:after="0" w:line="240" w:lineRule="auto"/>
        <w:jc w:val="both"/>
        <w:rPr>
          <w:rFonts w:ascii="Times New Roman" w:hAnsi="Times New Roman" w:cs="Times New Roman"/>
          <w:sz w:val="24"/>
          <w:szCs w:val="24"/>
        </w:rPr>
      </w:pPr>
      <w:r w:rsidRPr="0008411B">
        <w:rPr>
          <w:rFonts w:ascii="Times New Roman" w:hAnsi="Times New Roman" w:cs="Times New Roman"/>
          <w:sz w:val="24"/>
          <w:szCs w:val="24"/>
        </w:rPr>
        <w:t>La crisis reciente ha destacado la necesidad de dar un salto cualitativo para reforzar el marco institucional de la</w:t>
      </w:r>
      <w:r>
        <w:rPr>
          <w:rFonts w:ascii="Times New Roman" w:hAnsi="Times New Roman" w:cs="Times New Roman"/>
          <w:sz w:val="24"/>
          <w:szCs w:val="24"/>
        </w:rPr>
        <w:t xml:space="preserve"> </w:t>
      </w:r>
      <w:r w:rsidRPr="0008411B">
        <w:rPr>
          <w:rFonts w:ascii="Times New Roman" w:hAnsi="Times New Roman" w:cs="Times New Roman"/>
          <w:sz w:val="24"/>
          <w:szCs w:val="24"/>
        </w:rPr>
        <w:t>Unión Económica y Monetaria (UEM). Aunque los aspectos monetarios de la UEM han demostrado ser sólidos, se han puesto de manifiesto algunas debilidades de sus funciones económicas.</w:t>
      </w:r>
    </w:p>
    <w:p w:rsidR="00173A11" w:rsidRPr="0008411B" w:rsidRDefault="00173A11" w:rsidP="00173A11">
      <w:pPr>
        <w:autoSpaceDE w:val="0"/>
        <w:autoSpaceDN w:val="0"/>
        <w:adjustRightInd w:val="0"/>
        <w:spacing w:after="0" w:line="240" w:lineRule="auto"/>
        <w:jc w:val="both"/>
        <w:rPr>
          <w:rFonts w:ascii="Times New Roman" w:hAnsi="Times New Roman" w:cs="Times New Roman"/>
          <w:sz w:val="24"/>
          <w:szCs w:val="24"/>
        </w:rPr>
      </w:pPr>
    </w:p>
    <w:p w:rsidR="00173A11" w:rsidRPr="0008411B" w:rsidRDefault="00173A11" w:rsidP="00173A11">
      <w:pPr>
        <w:autoSpaceDE w:val="0"/>
        <w:autoSpaceDN w:val="0"/>
        <w:adjustRightInd w:val="0"/>
        <w:spacing w:after="0" w:line="240" w:lineRule="auto"/>
        <w:jc w:val="both"/>
        <w:rPr>
          <w:rFonts w:ascii="Times New Roman" w:hAnsi="Times New Roman" w:cs="Times New Roman"/>
          <w:sz w:val="24"/>
          <w:szCs w:val="24"/>
        </w:rPr>
      </w:pPr>
      <w:r w:rsidRPr="0008411B">
        <w:rPr>
          <w:rFonts w:ascii="Times New Roman" w:hAnsi="Times New Roman" w:cs="Times New Roman"/>
          <w:sz w:val="24"/>
          <w:szCs w:val="24"/>
        </w:rPr>
        <w:t>Por ello resulta necesario reforzar la gobernanza económica en la zona del euro, incluido el régimen fiscal recogido en el Pacto de Estabilidad y Crecimiento y los marcos nacionales de política económica. Asimismo, debemos desarrollar y aplicar un marco de supervisión riguroso y creíble.</w:t>
      </w:r>
    </w:p>
    <w:p w:rsidR="00173A11" w:rsidRDefault="00173A11" w:rsidP="00173A11">
      <w:pPr>
        <w:autoSpaceDE w:val="0"/>
        <w:autoSpaceDN w:val="0"/>
        <w:adjustRightInd w:val="0"/>
        <w:spacing w:after="0" w:line="240" w:lineRule="auto"/>
        <w:jc w:val="both"/>
        <w:rPr>
          <w:rFonts w:ascii="Times New Roman" w:hAnsi="Times New Roman" w:cs="Times New Roman"/>
          <w:sz w:val="24"/>
          <w:szCs w:val="24"/>
        </w:rPr>
      </w:pPr>
    </w:p>
    <w:p w:rsidR="00173A11" w:rsidRDefault="00173A11" w:rsidP="00173A11">
      <w:pPr>
        <w:autoSpaceDE w:val="0"/>
        <w:autoSpaceDN w:val="0"/>
        <w:adjustRightInd w:val="0"/>
        <w:spacing w:after="0" w:line="240" w:lineRule="auto"/>
        <w:jc w:val="both"/>
        <w:rPr>
          <w:rFonts w:ascii="Times New Roman" w:hAnsi="Times New Roman" w:cs="Times New Roman"/>
          <w:sz w:val="24"/>
          <w:szCs w:val="24"/>
        </w:rPr>
      </w:pPr>
      <w:r w:rsidRPr="0008411B">
        <w:rPr>
          <w:rFonts w:ascii="Times New Roman" w:hAnsi="Times New Roman" w:cs="Times New Roman"/>
          <w:sz w:val="24"/>
          <w:szCs w:val="24"/>
        </w:rPr>
        <w:t>L</w:t>
      </w:r>
      <w:r>
        <w:rPr>
          <w:rFonts w:ascii="Times New Roman" w:hAnsi="Times New Roman" w:cs="Times New Roman"/>
          <w:sz w:val="24"/>
          <w:szCs w:val="24"/>
        </w:rPr>
        <w:t xml:space="preserve">a respuesta del BCE a la crisis </w:t>
      </w:r>
      <w:r w:rsidRPr="0008411B">
        <w:rPr>
          <w:rFonts w:ascii="Times New Roman" w:hAnsi="Times New Roman" w:cs="Times New Roman"/>
          <w:sz w:val="24"/>
          <w:szCs w:val="24"/>
        </w:rPr>
        <w:t>financiera</w:t>
      </w:r>
    </w:p>
    <w:p w:rsidR="00173A11" w:rsidRPr="0008411B" w:rsidRDefault="00173A11" w:rsidP="00173A11">
      <w:pPr>
        <w:autoSpaceDE w:val="0"/>
        <w:autoSpaceDN w:val="0"/>
        <w:adjustRightInd w:val="0"/>
        <w:spacing w:after="0" w:line="240" w:lineRule="auto"/>
        <w:jc w:val="both"/>
        <w:rPr>
          <w:rFonts w:ascii="Times New Roman" w:hAnsi="Times New Roman" w:cs="Times New Roman"/>
          <w:sz w:val="24"/>
          <w:szCs w:val="24"/>
        </w:rPr>
      </w:pPr>
    </w:p>
    <w:p w:rsidR="00173A11" w:rsidRDefault="00173A11" w:rsidP="00173A11">
      <w:pPr>
        <w:autoSpaceDE w:val="0"/>
        <w:autoSpaceDN w:val="0"/>
        <w:adjustRightInd w:val="0"/>
        <w:spacing w:after="0" w:line="240" w:lineRule="auto"/>
        <w:jc w:val="both"/>
        <w:rPr>
          <w:rFonts w:ascii="Times New Roman" w:hAnsi="Times New Roman" w:cs="Times New Roman"/>
          <w:sz w:val="24"/>
          <w:szCs w:val="24"/>
        </w:rPr>
      </w:pPr>
      <w:r w:rsidRPr="00DC47E9">
        <w:rPr>
          <w:rFonts w:ascii="Times New Roman" w:hAnsi="Times New Roman" w:cs="Times New Roman"/>
          <w:sz w:val="24"/>
          <w:szCs w:val="24"/>
          <w:u w:val="single"/>
        </w:rPr>
        <w:t>El segundo reto que el BCE tuvo que afrontar desde la publicación de la segunda edición de este libro fue la crisis financiera mundial que comenzó en 2007 y que estalló en el otoño de 2008. En épocas de tanta incertidumbre, contar con una estrategia de política monetaria sólida y solvente es un gran activo. El objetivo claro e inequívoco de mantener la estabilidad de precios constituyó el núcleo central en torno al cual giraron todas las decisiones del BCE y sirvió de punto de referencia para coordinar las expectativas del sector privado. La credibilidad del BCE garantizó que se pudiera mantener la estabilidad de precios. En este sentido ha quedado demostrada la solidez de la estrategia de política monetaria del BCE</w:t>
      </w:r>
      <w:r w:rsidRPr="0008411B">
        <w:rPr>
          <w:rFonts w:ascii="Times New Roman" w:hAnsi="Times New Roman" w:cs="Times New Roman"/>
          <w:sz w:val="24"/>
          <w:szCs w:val="24"/>
        </w:rPr>
        <w:t>.</w:t>
      </w:r>
    </w:p>
    <w:p w:rsidR="00173A11" w:rsidRDefault="00173A11" w:rsidP="00173A11">
      <w:pPr>
        <w:autoSpaceDE w:val="0"/>
        <w:autoSpaceDN w:val="0"/>
        <w:adjustRightInd w:val="0"/>
        <w:spacing w:after="0" w:line="240" w:lineRule="auto"/>
        <w:jc w:val="both"/>
        <w:rPr>
          <w:rFonts w:ascii="Times New Roman" w:hAnsi="Times New Roman" w:cs="Times New Roman"/>
          <w:sz w:val="24"/>
          <w:szCs w:val="24"/>
        </w:rPr>
      </w:pPr>
    </w:p>
    <w:p w:rsidR="00173A11" w:rsidRDefault="00173A11" w:rsidP="00173A11">
      <w:pPr>
        <w:autoSpaceDE w:val="0"/>
        <w:autoSpaceDN w:val="0"/>
        <w:adjustRightInd w:val="0"/>
        <w:spacing w:after="0" w:line="240" w:lineRule="auto"/>
        <w:jc w:val="both"/>
        <w:rPr>
          <w:rFonts w:ascii="Times New Roman" w:hAnsi="Times New Roman" w:cs="Times New Roman"/>
          <w:sz w:val="24"/>
          <w:szCs w:val="24"/>
        </w:rPr>
      </w:pPr>
      <w:r w:rsidRPr="0008411B">
        <w:rPr>
          <w:rFonts w:ascii="Times New Roman" w:hAnsi="Times New Roman" w:cs="Times New Roman"/>
          <w:sz w:val="24"/>
          <w:szCs w:val="24"/>
        </w:rPr>
        <w:t>Durante l</w:t>
      </w:r>
      <w:r>
        <w:rPr>
          <w:rFonts w:ascii="Times New Roman" w:hAnsi="Times New Roman" w:cs="Times New Roman"/>
          <w:sz w:val="24"/>
          <w:szCs w:val="24"/>
        </w:rPr>
        <w:t xml:space="preserve">a crisis, la política monetaria </w:t>
      </w:r>
      <w:r w:rsidRPr="0008411B">
        <w:rPr>
          <w:rFonts w:ascii="Times New Roman" w:hAnsi="Times New Roman" w:cs="Times New Roman"/>
          <w:sz w:val="24"/>
          <w:szCs w:val="24"/>
        </w:rPr>
        <w:t>reacci</w:t>
      </w:r>
      <w:r>
        <w:rPr>
          <w:rFonts w:ascii="Times New Roman" w:hAnsi="Times New Roman" w:cs="Times New Roman"/>
          <w:sz w:val="24"/>
          <w:szCs w:val="24"/>
        </w:rPr>
        <w:t xml:space="preserve">onó frente a las perturbaciones </w:t>
      </w:r>
      <w:r w:rsidRPr="0008411B">
        <w:rPr>
          <w:rFonts w:ascii="Times New Roman" w:hAnsi="Times New Roman" w:cs="Times New Roman"/>
          <w:sz w:val="24"/>
          <w:szCs w:val="24"/>
        </w:rPr>
        <w:t>económicas y</w:t>
      </w:r>
      <w:r>
        <w:rPr>
          <w:rFonts w:ascii="Times New Roman" w:hAnsi="Times New Roman" w:cs="Times New Roman"/>
          <w:sz w:val="24"/>
          <w:szCs w:val="24"/>
        </w:rPr>
        <w:t xml:space="preserve"> financieras con la orientación a medio plazo adecuada para </w:t>
      </w:r>
      <w:r w:rsidRPr="0008411B">
        <w:rPr>
          <w:rFonts w:ascii="Times New Roman" w:hAnsi="Times New Roman" w:cs="Times New Roman"/>
          <w:sz w:val="24"/>
          <w:szCs w:val="24"/>
        </w:rPr>
        <w:t>lograr el fi</w:t>
      </w:r>
      <w:r>
        <w:rPr>
          <w:rFonts w:ascii="Times New Roman" w:hAnsi="Times New Roman" w:cs="Times New Roman"/>
          <w:sz w:val="24"/>
          <w:szCs w:val="24"/>
        </w:rPr>
        <w:t xml:space="preserve">rme anclaje de las expectativas </w:t>
      </w:r>
      <w:r w:rsidRPr="0008411B">
        <w:rPr>
          <w:rFonts w:ascii="Times New Roman" w:hAnsi="Times New Roman" w:cs="Times New Roman"/>
          <w:sz w:val="24"/>
          <w:szCs w:val="24"/>
        </w:rPr>
        <w:t>de infla</w:t>
      </w:r>
      <w:r>
        <w:rPr>
          <w:rFonts w:ascii="Times New Roman" w:hAnsi="Times New Roman" w:cs="Times New Roman"/>
          <w:sz w:val="24"/>
          <w:szCs w:val="24"/>
        </w:rPr>
        <w:t xml:space="preserve">ción en niveles compatibles con </w:t>
      </w:r>
      <w:r w:rsidRPr="0008411B">
        <w:rPr>
          <w:rFonts w:ascii="Times New Roman" w:hAnsi="Times New Roman" w:cs="Times New Roman"/>
          <w:sz w:val="24"/>
          <w:szCs w:val="24"/>
        </w:rPr>
        <w:t>el obje</w:t>
      </w:r>
      <w:r>
        <w:rPr>
          <w:rFonts w:ascii="Times New Roman" w:hAnsi="Times New Roman" w:cs="Times New Roman"/>
          <w:sz w:val="24"/>
          <w:szCs w:val="24"/>
        </w:rPr>
        <w:t xml:space="preserve">tivo del Consejo de Gobierno de </w:t>
      </w:r>
      <w:r w:rsidRPr="0008411B">
        <w:rPr>
          <w:rFonts w:ascii="Times New Roman" w:hAnsi="Times New Roman" w:cs="Times New Roman"/>
          <w:sz w:val="24"/>
          <w:szCs w:val="24"/>
        </w:rPr>
        <w:t>mant</w:t>
      </w:r>
      <w:r>
        <w:rPr>
          <w:rFonts w:ascii="Times New Roman" w:hAnsi="Times New Roman" w:cs="Times New Roman"/>
          <w:sz w:val="24"/>
          <w:szCs w:val="24"/>
        </w:rPr>
        <w:t xml:space="preserve">ener las tasas de inflación por </w:t>
      </w:r>
      <w:r w:rsidRPr="0008411B">
        <w:rPr>
          <w:rFonts w:ascii="Times New Roman" w:hAnsi="Times New Roman" w:cs="Times New Roman"/>
          <w:sz w:val="24"/>
          <w:szCs w:val="24"/>
        </w:rPr>
        <w:t xml:space="preserve">debajo </w:t>
      </w:r>
      <w:r>
        <w:rPr>
          <w:rFonts w:ascii="Times New Roman" w:hAnsi="Times New Roman" w:cs="Times New Roman"/>
          <w:sz w:val="24"/>
          <w:szCs w:val="24"/>
        </w:rPr>
        <w:t xml:space="preserve">del 2 %, aunque próximas a este </w:t>
      </w:r>
      <w:r w:rsidRPr="0008411B">
        <w:rPr>
          <w:rFonts w:ascii="Times New Roman" w:hAnsi="Times New Roman" w:cs="Times New Roman"/>
          <w:sz w:val="24"/>
          <w:szCs w:val="24"/>
        </w:rPr>
        <w:t>valor, en e</w:t>
      </w:r>
      <w:r>
        <w:rPr>
          <w:rFonts w:ascii="Times New Roman" w:hAnsi="Times New Roman" w:cs="Times New Roman"/>
          <w:sz w:val="24"/>
          <w:szCs w:val="24"/>
        </w:rPr>
        <w:t xml:space="preserve">l medio </w:t>
      </w:r>
      <w:r>
        <w:rPr>
          <w:rFonts w:ascii="Times New Roman" w:hAnsi="Times New Roman" w:cs="Times New Roman"/>
          <w:sz w:val="24"/>
          <w:szCs w:val="24"/>
        </w:rPr>
        <w:lastRenderedPageBreak/>
        <w:t xml:space="preserve">plazo. Esta orientación a medio plazo supuso que la </w:t>
      </w:r>
      <w:r w:rsidRPr="0008411B">
        <w:rPr>
          <w:rFonts w:ascii="Times New Roman" w:hAnsi="Times New Roman" w:cs="Times New Roman"/>
          <w:sz w:val="24"/>
          <w:szCs w:val="24"/>
        </w:rPr>
        <w:t>políti</w:t>
      </w:r>
      <w:r>
        <w:rPr>
          <w:rFonts w:ascii="Times New Roman" w:hAnsi="Times New Roman" w:cs="Times New Roman"/>
          <w:sz w:val="24"/>
          <w:szCs w:val="24"/>
        </w:rPr>
        <w:t xml:space="preserve">ca monetaria tuviera que ir más </w:t>
      </w:r>
      <w:r w:rsidRPr="0008411B">
        <w:rPr>
          <w:rFonts w:ascii="Times New Roman" w:hAnsi="Times New Roman" w:cs="Times New Roman"/>
          <w:sz w:val="24"/>
          <w:szCs w:val="24"/>
        </w:rPr>
        <w:t>allá de l</w:t>
      </w:r>
      <w:r>
        <w:rPr>
          <w:rFonts w:ascii="Times New Roman" w:hAnsi="Times New Roman" w:cs="Times New Roman"/>
          <w:sz w:val="24"/>
          <w:szCs w:val="24"/>
        </w:rPr>
        <w:t xml:space="preserve">os movimientos a corto plazo de </w:t>
      </w:r>
      <w:r w:rsidRPr="0008411B">
        <w:rPr>
          <w:rFonts w:ascii="Times New Roman" w:hAnsi="Times New Roman" w:cs="Times New Roman"/>
          <w:sz w:val="24"/>
          <w:szCs w:val="24"/>
        </w:rPr>
        <w:t>los precios y solucionar las di</w:t>
      </w:r>
      <w:r>
        <w:rPr>
          <w:rFonts w:ascii="Times New Roman" w:hAnsi="Times New Roman" w:cs="Times New Roman"/>
          <w:sz w:val="24"/>
          <w:szCs w:val="24"/>
        </w:rPr>
        <w:t xml:space="preserve">sfunciones </w:t>
      </w:r>
      <w:r w:rsidRPr="0008411B">
        <w:rPr>
          <w:rFonts w:ascii="Times New Roman" w:hAnsi="Times New Roman" w:cs="Times New Roman"/>
          <w:sz w:val="24"/>
          <w:szCs w:val="24"/>
        </w:rPr>
        <w:t>observadas</w:t>
      </w:r>
      <w:r>
        <w:rPr>
          <w:rFonts w:ascii="Times New Roman" w:hAnsi="Times New Roman" w:cs="Times New Roman"/>
          <w:sz w:val="24"/>
          <w:szCs w:val="24"/>
        </w:rPr>
        <w:t xml:space="preserve"> en el mecanismo de transmisión </w:t>
      </w:r>
      <w:r w:rsidRPr="0008411B">
        <w:rPr>
          <w:rFonts w:ascii="Times New Roman" w:hAnsi="Times New Roman" w:cs="Times New Roman"/>
          <w:sz w:val="24"/>
          <w:szCs w:val="24"/>
        </w:rPr>
        <w:t>moneta</w:t>
      </w:r>
      <w:r>
        <w:rPr>
          <w:rFonts w:ascii="Times New Roman" w:hAnsi="Times New Roman" w:cs="Times New Roman"/>
          <w:sz w:val="24"/>
          <w:szCs w:val="24"/>
        </w:rPr>
        <w:t xml:space="preserve">ria. Fue el análisis monetario, </w:t>
      </w:r>
      <w:r w:rsidRPr="0008411B">
        <w:rPr>
          <w:rFonts w:ascii="Times New Roman" w:hAnsi="Times New Roman" w:cs="Times New Roman"/>
          <w:sz w:val="24"/>
          <w:szCs w:val="24"/>
        </w:rPr>
        <w:t>en c</w:t>
      </w:r>
      <w:r>
        <w:rPr>
          <w:rFonts w:ascii="Times New Roman" w:hAnsi="Times New Roman" w:cs="Times New Roman"/>
          <w:sz w:val="24"/>
          <w:szCs w:val="24"/>
        </w:rPr>
        <w:t xml:space="preserve">oncreto, el que garantizó dicha </w:t>
      </w:r>
      <w:r w:rsidRPr="0008411B">
        <w:rPr>
          <w:rFonts w:ascii="Times New Roman" w:hAnsi="Times New Roman" w:cs="Times New Roman"/>
          <w:sz w:val="24"/>
          <w:szCs w:val="24"/>
        </w:rPr>
        <w:t>orientació</w:t>
      </w:r>
      <w:r>
        <w:rPr>
          <w:rFonts w:ascii="Times New Roman" w:hAnsi="Times New Roman" w:cs="Times New Roman"/>
          <w:sz w:val="24"/>
          <w:szCs w:val="24"/>
        </w:rPr>
        <w:t xml:space="preserve">n a medio plazo en la ejecución </w:t>
      </w:r>
      <w:r w:rsidRPr="0008411B">
        <w:rPr>
          <w:rFonts w:ascii="Times New Roman" w:hAnsi="Times New Roman" w:cs="Times New Roman"/>
          <w:sz w:val="24"/>
          <w:szCs w:val="24"/>
        </w:rPr>
        <w:t>de la política monetaria.</w:t>
      </w:r>
    </w:p>
    <w:p w:rsidR="00173A11" w:rsidRDefault="00173A11" w:rsidP="00173A11">
      <w:pPr>
        <w:autoSpaceDE w:val="0"/>
        <w:autoSpaceDN w:val="0"/>
        <w:adjustRightInd w:val="0"/>
        <w:spacing w:after="0" w:line="240" w:lineRule="auto"/>
        <w:jc w:val="both"/>
        <w:rPr>
          <w:rFonts w:ascii="Times New Roman" w:hAnsi="Times New Roman" w:cs="Times New Roman"/>
          <w:sz w:val="24"/>
          <w:szCs w:val="24"/>
        </w:rPr>
      </w:pPr>
    </w:p>
    <w:p w:rsidR="00173A11" w:rsidRPr="00DC47E9" w:rsidRDefault="00173A11" w:rsidP="00173A11">
      <w:pPr>
        <w:autoSpaceDE w:val="0"/>
        <w:autoSpaceDN w:val="0"/>
        <w:adjustRightInd w:val="0"/>
        <w:spacing w:after="0" w:line="240" w:lineRule="auto"/>
        <w:jc w:val="both"/>
        <w:rPr>
          <w:rFonts w:ascii="Times New Roman" w:hAnsi="Times New Roman" w:cs="Times New Roman"/>
          <w:color w:val="FF0000"/>
          <w:sz w:val="24"/>
          <w:szCs w:val="24"/>
          <w:u w:val="single"/>
        </w:rPr>
      </w:pPr>
      <w:r w:rsidRPr="00DC47E9">
        <w:rPr>
          <w:rFonts w:ascii="Times New Roman" w:hAnsi="Times New Roman" w:cs="Times New Roman"/>
          <w:color w:val="FF0000"/>
          <w:sz w:val="24"/>
          <w:szCs w:val="24"/>
          <w:u w:val="single"/>
        </w:rPr>
        <w:t>En los momentos de agudización de las tensiones y de la incertidumbre, el BCE utilizó sus operaciones de liquidez de manera pragmática. Además de recortar los tipos de interés oficiales hasta niveles históricamente reducidos, el Consejo de Gobierno decidió adoptar una serie de medidas no convencionales, conocidas como apoyo al crédito, para restablecer el mecanismo de transmisión de la política monetaria. Todas las medidas no convencionales son de carácter temporal y, en general, están diseñadas para retirarse automáticamente de forma gradual. Todas tienen por objeto garantizar el mantenimiento continuado de la estabilidad de precios en el medio plazo…</w:t>
      </w:r>
    </w:p>
    <w:p w:rsidR="00173A11" w:rsidRPr="00177F32" w:rsidRDefault="00173A11" w:rsidP="00173A11">
      <w:pPr>
        <w:autoSpaceDE w:val="0"/>
        <w:autoSpaceDN w:val="0"/>
        <w:adjustRightInd w:val="0"/>
        <w:spacing w:after="0" w:line="240" w:lineRule="auto"/>
        <w:jc w:val="both"/>
        <w:rPr>
          <w:rFonts w:ascii="Times New Roman" w:hAnsi="Times New Roman" w:cs="Times New Roman"/>
          <w:sz w:val="24"/>
          <w:szCs w:val="24"/>
        </w:rPr>
      </w:pPr>
    </w:p>
    <w:p w:rsidR="00173A11" w:rsidRPr="00177F32" w:rsidRDefault="00173A11" w:rsidP="00173A11">
      <w:pPr>
        <w:spacing w:line="240" w:lineRule="auto"/>
        <w:jc w:val="both"/>
        <w:rPr>
          <w:rFonts w:ascii="Times New Roman" w:hAnsi="Times New Roman" w:cs="Times New Roman"/>
          <w:sz w:val="24"/>
          <w:szCs w:val="24"/>
        </w:rPr>
      </w:pPr>
      <w:r w:rsidRPr="00177F32">
        <w:rPr>
          <w:rFonts w:ascii="Times New Roman" w:hAnsi="Times New Roman" w:cs="Times New Roman"/>
          <w:sz w:val="24"/>
          <w:szCs w:val="24"/>
        </w:rPr>
        <w:t>Nuevos mecanismos de cooperación transfronteriza</w:t>
      </w:r>
    </w:p>
    <w:p w:rsidR="00173A11" w:rsidRDefault="00173A11" w:rsidP="00173A11">
      <w:pPr>
        <w:spacing w:line="240" w:lineRule="auto"/>
        <w:jc w:val="both"/>
        <w:rPr>
          <w:rFonts w:ascii="Times New Roman" w:hAnsi="Times New Roman" w:cs="Times New Roman"/>
          <w:sz w:val="24"/>
          <w:szCs w:val="24"/>
        </w:rPr>
      </w:pPr>
      <w:r w:rsidRPr="00177F32">
        <w:rPr>
          <w:rFonts w:ascii="Times New Roman" w:hAnsi="Times New Roman" w:cs="Times New Roman"/>
          <w:sz w:val="24"/>
          <w:szCs w:val="24"/>
        </w:rPr>
        <w:t>Con el f</w:t>
      </w:r>
      <w:r>
        <w:rPr>
          <w:rFonts w:ascii="Times New Roman" w:hAnsi="Times New Roman" w:cs="Times New Roman"/>
          <w:sz w:val="24"/>
          <w:szCs w:val="24"/>
        </w:rPr>
        <w:t xml:space="preserve">in de hacer frente a las graves </w:t>
      </w:r>
      <w:r w:rsidRPr="00177F32">
        <w:rPr>
          <w:rFonts w:ascii="Times New Roman" w:hAnsi="Times New Roman" w:cs="Times New Roman"/>
          <w:sz w:val="24"/>
          <w:szCs w:val="24"/>
        </w:rPr>
        <w:t>tensio</w:t>
      </w:r>
      <w:r>
        <w:rPr>
          <w:rFonts w:ascii="Times New Roman" w:hAnsi="Times New Roman" w:cs="Times New Roman"/>
          <w:sz w:val="24"/>
          <w:szCs w:val="24"/>
        </w:rPr>
        <w:t xml:space="preserve">nes registradas en los mercados </w:t>
      </w:r>
      <w:r w:rsidRPr="00177F32">
        <w:rPr>
          <w:rFonts w:ascii="Times New Roman" w:hAnsi="Times New Roman" w:cs="Times New Roman"/>
          <w:sz w:val="24"/>
          <w:szCs w:val="24"/>
        </w:rPr>
        <w:t>financieros, en</w:t>
      </w:r>
      <w:r>
        <w:rPr>
          <w:rFonts w:ascii="Times New Roman" w:hAnsi="Times New Roman" w:cs="Times New Roman"/>
          <w:sz w:val="24"/>
          <w:szCs w:val="24"/>
        </w:rPr>
        <w:t xml:space="preserve"> 2010 se crearon los siguientes programas: el Mecanismo </w:t>
      </w:r>
      <w:r w:rsidRPr="00177F32">
        <w:rPr>
          <w:rFonts w:ascii="Times New Roman" w:hAnsi="Times New Roman" w:cs="Times New Roman"/>
          <w:sz w:val="24"/>
          <w:szCs w:val="24"/>
        </w:rPr>
        <w:t>Europeo de</w:t>
      </w:r>
      <w:r>
        <w:rPr>
          <w:rFonts w:ascii="Times New Roman" w:hAnsi="Times New Roman" w:cs="Times New Roman"/>
          <w:sz w:val="24"/>
          <w:szCs w:val="24"/>
        </w:rPr>
        <w:t xml:space="preserve"> Estabilización Financiera </w:t>
      </w:r>
      <w:r w:rsidRPr="00177F32">
        <w:rPr>
          <w:rFonts w:ascii="Times New Roman" w:hAnsi="Times New Roman" w:cs="Times New Roman"/>
          <w:sz w:val="24"/>
          <w:szCs w:val="24"/>
        </w:rPr>
        <w:t>(</w:t>
      </w:r>
      <w:r>
        <w:rPr>
          <w:rFonts w:ascii="Times New Roman" w:hAnsi="Times New Roman" w:cs="Times New Roman"/>
          <w:sz w:val="24"/>
          <w:szCs w:val="24"/>
        </w:rPr>
        <w:t xml:space="preserve">MEEF) y la Facilidad Europea de </w:t>
      </w:r>
      <w:r w:rsidRPr="00177F32">
        <w:rPr>
          <w:rFonts w:ascii="Times New Roman" w:hAnsi="Times New Roman" w:cs="Times New Roman"/>
          <w:sz w:val="24"/>
          <w:szCs w:val="24"/>
        </w:rPr>
        <w:t>Estab</w:t>
      </w:r>
      <w:r>
        <w:rPr>
          <w:rFonts w:ascii="Times New Roman" w:hAnsi="Times New Roman" w:cs="Times New Roman"/>
          <w:sz w:val="24"/>
          <w:szCs w:val="24"/>
        </w:rPr>
        <w:t xml:space="preserve">ilización Financiera (FEEF). El </w:t>
      </w:r>
      <w:r w:rsidRPr="00177F32">
        <w:rPr>
          <w:rFonts w:ascii="Times New Roman" w:hAnsi="Times New Roman" w:cs="Times New Roman"/>
          <w:sz w:val="24"/>
          <w:szCs w:val="24"/>
        </w:rPr>
        <w:t>MEE</w:t>
      </w:r>
      <w:r>
        <w:rPr>
          <w:rFonts w:ascii="Times New Roman" w:hAnsi="Times New Roman" w:cs="Times New Roman"/>
          <w:sz w:val="24"/>
          <w:szCs w:val="24"/>
        </w:rPr>
        <w:t xml:space="preserve">F lleva funcionando desde el 10 </w:t>
      </w:r>
      <w:r w:rsidRPr="00177F32">
        <w:rPr>
          <w:rFonts w:ascii="Times New Roman" w:hAnsi="Times New Roman" w:cs="Times New Roman"/>
          <w:sz w:val="24"/>
          <w:szCs w:val="24"/>
        </w:rPr>
        <w:t>de mayo de</w:t>
      </w:r>
      <w:r>
        <w:rPr>
          <w:rFonts w:ascii="Times New Roman" w:hAnsi="Times New Roman" w:cs="Times New Roman"/>
          <w:sz w:val="24"/>
          <w:szCs w:val="24"/>
        </w:rPr>
        <w:t xml:space="preserve"> 2010 y la FEEF está plenamente </w:t>
      </w:r>
      <w:r w:rsidRPr="00177F32">
        <w:rPr>
          <w:rFonts w:ascii="Times New Roman" w:hAnsi="Times New Roman" w:cs="Times New Roman"/>
          <w:sz w:val="24"/>
          <w:szCs w:val="24"/>
        </w:rPr>
        <w:t>operativa desde el 4 de agosto de</w:t>
      </w:r>
      <w:r>
        <w:rPr>
          <w:rFonts w:ascii="Times New Roman" w:hAnsi="Times New Roman" w:cs="Times New Roman"/>
          <w:sz w:val="24"/>
          <w:szCs w:val="24"/>
        </w:rPr>
        <w:t xml:space="preserve"> </w:t>
      </w:r>
      <w:r w:rsidRPr="00177F32">
        <w:rPr>
          <w:rFonts w:ascii="Times New Roman" w:hAnsi="Times New Roman" w:cs="Times New Roman"/>
          <w:sz w:val="24"/>
          <w:szCs w:val="24"/>
        </w:rPr>
        <w:t>2010. La FEEF está autorizada a emitir</w:t>
      </w:r>
      <w:r>
        <w:rPr>
          <w:rFonts w:ascii="Times New Roman" w:hAnsi="Times New Roman" w:cs="Times New Roman"/>
          <w:sz w:val="24"/>
          <w:szCs w:val="24"/>
        </w:rPr>
        <w:t xml:space="preserve"> </w:t>
      </w:r>
      <w:r w:rsidRPr="00177F32">
        <w:rPr>
          <w:rFonts w:ascii="Times New Roman" w:hAnsi="Times New Roman" w:cs="Times New Roman"/>
          <w:sz w:val="24"/>
          <w:szCs w:val="24"/>
        </w:rPr>
        <w:t>bonos en el mercado, garantizados por</w:t>
      </w:r>
      <w:r>
        <w:rPr>
          <w:rFonts w:ascii="Times New Roman" w:hAnsi="Times New Roman" w:cs="Times New Roman"/>
          <w:sz w:val="24"/>
          <w:szCs w:val="24"/>
        </w:rPr>
        <w:t xml:space="preserve"> </w:t>
      </w:r>
      <w:r w:rsidRPr="00177F32">
        <w:rPr>
          <w:rFonts w:ascii="Times New Roman" w:hAnsi="Times New Roman" w:cs="Times New Roman"/>
          <w:sz w:val="24"/>
          <w:szCs w:val="24"/>
        </w:rPr>
        <w:t>los países de la zona del euro. Los préstamos</w:t>
      </w:r>
      <w:r>
        <w:rPr>
          <w:rFonts w:ascii="Times New Roman" w:hAnsi="Times New Roman" w:cs="Times New Roman"/>
          <w:sz w:val="24"/>
          <w:szCs w:val="24"/>
        </w:rPr>
        <w:t xml:space="preserve"> </w:t>
      </w:r>
      <w:r w:rsidRPr="00177F32">
        <w:rPr>
          <w:rFonts w:ascii="Times New Roman" w:hAnsi="Times New Roman" w:cs="Times New Roman"/>
          <w:sz w:val="24"/>
          <w:szCs w:val="24"/>
        </w:rPr>
        <w:t>concedidos a un país en dificultades</w:t>
      </w:r>
      <w:r>
        <w:rPr>
          <w:rFonts w:ascii="Times New Roman" w:hAnsi="Times New Roman" w:cs="Times New Roman"/>
          <w:sz w:val="24"/>
          <w:szCs w:val="24"/>
        </w:rPr>
        <w:t xml:space="preserve"> </w:t>
      </w:r>
      <w:r w:rsidRPr="00177F32">
        <w:rPr>
          <w:rFonts w:ascii="Times New Roman" w:hAnsi="Times New Roman" w:cs="Times New Roman"/>
          <w:sz w:val="24"/>
          <w:szCs w:val="24"/>
        </w:rPr>
        <w:t>a</w:t>
      </w:r>
      <w:r>
        <w:rPr>
          <w:rFonts w:ascii="Times New Roman" w:hAnsi="Times New Roman" w:cs="Times New Roman"/>
          <w:sz w:val="24"/>
          <w:szCs w:val="24"/>
        </w:rPr>
        <w:t xml:space="preserve">l amparo de estos dos programas deben ir acompañados de una </w:t>
      </w:r>
      <w:r w:rsidRPr="00177F32">
        <w:rPr>
          <w:rFonts w:ascii="Times New Roman" w:hAnsi="Times New Roman" w:cs="Times New Roman"/>
          <w:sz w:val="24"/>
          <w:szCs w:val="24"/>
        </w:rPr>
        <w:t>serie de cond</w:t>
      </w:r>
      <w:r>
        <w:rPr>
          <w:rFonts w:ascii="Times New Roman" w:hAnsi="Times New Roman" w:cs="Times New Roman"/>
          <w:sz w:val="24"/>
          <w:szCs w:val="24"/>
        </w:rPr>
        <w:t xml:space="preserve">iciones detalladas y estrictas. </w:t>
      </w:r>
      <w:r w:rsidRPr="00177F32">
        <w:rPr>
          <w:rFonts w:ascii="Times New Roman" w:hAnsi="Times New Roman" w:cs="Times New Roman"/>
          <w:sz w:val="24"/>
          <w:szCs w:val="24"/>
        </w:rPr>
        <w:t xml:space="preserve">En marzo de 2011, el Consejo </w:t>
      </w:r>
      <w:r>
        <w:rPr>
          <w:rFonts w:ascii="Times New Roman" w:hAnsi="Times New Roman" w:cs="Times New Roman"/>
          <w:sz w:val="24"/>
          <w:szCs w:val="24"/>
        </w:rPr>
        <w:t xml:space="preserve">de la </w:t>
      </w:r>
      <w:r w:rsidRPr="00177F32">
        <w:rPr>
          <w:rFonts w:ascii="Times New Roman" w:hAnsi="Times New Roman" w:cs="Times New Roman"/>
          <w:sz w:val="24"/>
          <w:szCs w:val="24"/>
        </w:rPr>
        <w:t>UE acordó</w:t>
      </w:r>
      <w:r>
        <w:rPr>
          <w:rFonts w:ascii="Times New Roman" w:hAnsi="Times New Roman" w:cs="Times New Roman"/>
          <w:sz w:val="24"/>
          <w:szCs w:val="24"/>
        </w:rPr>
        <w:t xml:space="preserve"> establecer un marco permanente </w:t>
      </w:r>
      <w:r w:rsidRPr="00177F32">
        <w:rPr>
          <w:rFonts w:ascii="Times New Roman" w:hAnsi="Times New Roman" w:cs="Times New Roman"/>
          <w:sz w:val="24"/>
          <w:szCs w:val="24"/>
        </w:rPr>
        <w:t xml:space="preserve">de </w:t>
      </w:r>
      <w:r>
        <w:rPr>
          <w:rFonts w:ascii="Times New Roman" w:hAnsi="Times New Roman" w:cs="Times New Roman"/>
          <w:sz w:val="24"/>
          <w:szCs w:val="24"/>
        </w:rPr>
        <w:t xml:space="preserve">gestión de crisis, el Mecanismo Europeo de Estabilidad (MEDE). El MEDE complementará el nuevo </w:t>
      </w:r>
      <w:r w:rsidRPr="00177F32">
        <w:rPr>
          <w:rFonts w:ascii="Times New Roman" w:hAnsi="Times New Roman" w:cs="Times New Roman"/>
          <w:sz w:val="24"/>
          <w:szCs w:val="24"/>
        </w:rPr>
        <w:t>marco d</w:t>
      </w:r>
      <w:r>
        <w:rPr>
          <w:rFonts w:ascii="Times New Roman" w:hAnsi="Times New Roman" w:cs="Times New Roman"/>
          <w:sz w:val="24"/>
          <w:szCs w:val="24"/>
        </w:rPr>
        <w:t xml:space="preserve">e gobernanza reforzado a partir </w:t>
      </w:r>
      <w:r w:rsidRPr="00177F32">
        <w:rPr>
          <w:rFonts w:ascii="Times New Roman" w:hAnsi="Times New Roman" w:cs="Times New Roman"/>
          <w:sz w:val="24"/>
          <w:szCs w:val="24"/>
        </w:rPr>
        <w:t>de junio de 2013</w:t>
      </w:r>
      <w:r>
        <w:rPr>
          <w:rFonts w:ascii="Times New Roman" w:hAnsi="Times New Roman" w:cs="Times New Roman"/>
          <w:sz w:val="24"/>
          <w:szCs w:val="24"/>
        </w:rPr>
        <w:t>…</w:t>
      </w:r>
    </w:p>
    <w:p w:rsidR="00173A11" w:rsidRDefault="00173A11" w:rsidP="00173A11">
      <w:pPr>
        <w:spacing w:line="240" w:lineRule="auto"/>
        <w:jc w:val="both"/>
        <w:rPr>
          <w:rFonts w:ascii="Times New Roman" w:hAnsi="Times New Roman" w:cs="Times New Roman"/>
          <w:sz w:val="24"/>
          <w:szCs w:val="24"/>
        </w:rPr>
      </w:pPr>
    </w:p>
    <w:p w:rsidR="00173A11" w:rsidRDefault="00173A11" w:rsidP="00173A11">
      <w:pPr>
        <w:spacing w:line="240" w:lineRule="auto"/>
        <w:jc w:val="both"/>
        <w:rPr>
          <w:rFonts w:ascii="Times New Roman" w:hAnsi="Times New Roman" w:cs="Times New Roman"/>
          <w:sz w:val="24"/>
          <w:szCs w:val="24"/>
        </w:rPr>
      </w:pPr>
      <w:r w:rsidRPr="00177F32">
        <w:rPr>
          <w:rFonts w:ascii="Times New Roman" w:hAnsi="Times New Roman" w:cs="Times New Roman"/>
          <w:noProof/>
          <w:sz w:val="24"/>
          <w:szCs w:val="24"/>
          <w:lang w:eastAsia="es-ES"/>
        </w:rPr>
        <w:drawing>
          <wp:inline distT="0" distB="0" distL="0" distR="0" wp14:anchorId="3E38882D" wp14:editId="19CD062F">
            <wp:extent cx="5727700" cy="3663950"/>
            <wp:effectExtent l="0" t="0" r="635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666387"/>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sidRPr="00177F32">
        <w:rPr>
          <w:rFonts w:ascii="Times New Roman" w:hAnsi="Times New Roman" w:cs="Times New Roman"/>
          <w:noProof/>
          <w:sz w:val="24"/>
          <w:szCs w:val="24"/>
          <w:lang w:eastAsia="es-ES"/>
        </w:rPr>
        <w:lastRenderedPageBreak/>
        <w:drawing>
          <wp:inline distT="0" distB="0" distL="0" distR="0" wp14:anchorId="6972F8C3" wp14:editId="7ABE39D0">
            <wp:extent cx="5728970" cy="3975100"/>
            <wp:effectExtent l="0" t="0" r="5080" b="635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976863"/>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3784">
        <w:rPr>
          <w:rFonts w:ascii="Times New Roman" w:hAnsi="Times New Roman" w:cs="Times New Roman"/>
          <w:noProof/>
          <w:sz w:val="24"/>
          <w:szCs w:val="24"/>
          <w:lang w:eastAsia="es-ES"/>
        </w:rPr>
        <w:drawing>
          <wp:inline distT="0" distB="0" distL="0" distR="0" wp14:anchorId="6EBCCCC2" wp14:editId="5C081367">
            <wp:extent cx="4768850" cy="464820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772691" cy="4651944"/>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E3784">
        <w:rPr>
          <w:rFonts w:ascii="Times New Roman" w:hAnsi="Times New Roman" w:cs="Times New Roman"/>
          <w:noProof/>
          <w:sz w:val="24"/>
          <w:szCs w:val="24"/>
          <w:lang w:eastAsia="es-ES"/>
        </w:rPr>
        <w:drawing>
          <wp:inline distT="0" distB="0" distL="0" distR="0" wp14:anchorId="3CDD4A08" wp14:editId="106DF92A">
            <wp:extent cx="4782217" cy="2676899"/>
            <wp:effectExtent l="0" t="0" r="0" b="952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782217" cy="2676899"/>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3784">
        <w:rPr>
          <w:rFonts w:ascii="Times New Roman" w:hAnsi="Times New Roman" w:cs="Times New Roman"/>
          <w:noProof/>
          <w:sz w:val="24"/>
          <w:szCs w:val="24"/>
          <w:lang w:eastAsia="es-ES"/>
        </w:rPr>
        <w:drawing>
          <wp:inline distT="0" distB="0" distL="0" distR="0" wp14:anchorId="65FC7515" wp14:editId="212482A5">
            <wp:extent cx="4815477" cy="3473450"/>
            <wp:effectExtent l="0" t="0" r="4445"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820323" cy="3476945"/>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3784">
        <w:rPr>
          <w:rFonts w:ascii="Times New Roman" w:hAnsi="Times New Roman" w:cs="Times New Roman"/>
          <w:noProof/>
          <w:sz w:val="24"/>
          <w:szCs w:val="24"/>
          <w:lang w:eastAsia="es-ES"/>
        </w:rPr>
        <w:drawing>
          <wp:inline distT="0" distB="0" distL="0" distR="0" wp14:anchorId="10B4A985" wp14:editId="7DD801EB">
            <wp:extent cx="4841936" cy="2305050"/>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848902" cy="2308366"/>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b/>
          <w:sz w:val="24"/>
          <w:szCs w:val="24"/>
        </w:rPr>
      </w:pPr>
      <w:r w:rsidRPr="00085E13">
        <w:rPr>
          <w:rFonts w:ascii="Times New Roman" w:hAnsi="Times New Roman" w:cs="Times New Roman"/>
          <w:b/>
          <w:sz w:val="24"/>
          <w:szCs w:val="24"/>
        </w:rPr>
        <w:lastRenderedPageBreak/>
        <w:t>Papel de la política monetaria y ventajas de la estabilidad de precios</w:t>
      </w:r>
    </w:p>
    <w:p w:rsidR="00173A11" w:rsidRPr="00085E13"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puede y qué no puede hacer </w:t>
      </w:r>
      <w:r w:rsidRPr="00085E13">
        <w:rPr>
          <w:rFonts w:ascii="Times New Roman" w:hAnsi="Times New Roman" w:cs="Times New Roman"/>
          <w:sz w:val="24"/>
          <w:szCs w:val="24"/>
        </w:rPr>
        <w:t>la política monetaria?</w:t>
      </w:r>
    </w:p>
    <w:p w:rsidR="00173A11" w:rsidRPr="00DC47E9" w:rsidRDefault="00173A11" w:rsidP="00173A11">
      <w:pPr>
        <w:spacing w:line="240" w:lineRule="auto"/>
        <w:jc w:val="both"/>
        <w:rPr>
          <w:rFonts w:ascii="Times New Roman" w:hAnsi="Times New Roman" w:cs="Times New Roman"/>
          <w:sz w:val="24"/>
          <w:szCs w:val="24"/>
          <w:u w:val="single"/>
        </w:rPr>
      </w:pPr>
      <w:r w:rsidRPr="00DC47E9">
        <w:rPr>
          <w:rFonts w:ascii="Times New Roman" w:hAnsi="Times New Roman" w:cs="Times New Roman"/>
          <w:sz w:val="24"/>
          <w:szCs w:val="24"/>
          <w:u w:val="single"/>
        </w:rPr>
        <w:t>La política monetaria influye en la economía, ya que el banco central es el único emisor de billetes y el único proveedor de reservas bancarias, es decir, es el monopolista de la oferta de la base monetaria. En virtud de este monopolio, el banco central puede influir en las condiciones del mercado monetario y controlar los tipos de interés a corto plazo.</w:t>
      </w:r>
    </w:p>
    <w:p w:rsidR="00173A11" w:rsidRPr="00085E13" w:rsidRDefault="00173A11" w:rsidP="00173A11">
      <w:pPr>
        <w:spacing w:line="240" w:lineRule="auto"/>
        <w:jc w:val="both"/>
        <w:rPr>
          <w:rFonts w:ascii="Times New Roman" w:hAnsi="Times New Roman" w:cs="Times New Roman"/>
          <w:sz w:val="24"/>
          <w:szCs w:val="24"/>
        </w:rPr>
      </w:pPr>
      <w:r w:rsidRPr="00DC47E9">
        <w:rPr>
          <w:rFonts w:ascii="Times New Roman" w:hAnsi="Times New Roman" w:cs="Times New Roman"/>
          <w:sz w:val="24"/>
          <w:szCs w:val="24"/>
          <w:u w:val="single"/>
        </w:rPr>
        <w:t>En el corto plazo, una variación de los tipos de interés del mercado monetario inducida por el banco central pone en marcha una serie de mecanismos y de acciones de los agentes económicos que, finalmente, repercuten en la evolución de variables económicas como el producto o los precios</w:t>
      </w:r>
      <w:r>
        <w:rPr>
          <w:rFonts w:ascii="Times New Roman" w:hAnsi="Times New Roman" w:cs="Times New Roman"/>
          <w:sz w:val="24"/>
          <w:szCs w:val="24"/>
        </w:rPr>
        <w:t xml:space="preserve">. Este proceso -también denominado mecanismo de </w:t>
      </w:r>
      <w:r w:rsidRPr="00085E13">
        <w:rPr>
          <w:rFonts w:ascii="Times New Roman" w:hAnsi="Times New Roman" w:cs="Times New Roman"/>
          <w:sz w:val="24"/>
          <w:szCs w:val="24"/>
        </w:rPr>
        <w:t>trans</w:t>
      </w:r>
      <w:r>
        <w:rPr>
          <w:rFonts w:ascii="Times New Roman" w:hAnsi="Times New Roman" w:cs="Times New Roman"/>
          <w:sz w:val="24"/>
          <w:szCs w:val="24"/>
        </w:rPr>
        <w:t xml:space="preserve">misión de la política monetaria-  </w:t>
      </w:r>
      <w:r w:rsidRPr="00085E13">
        <w:rPr>
          <w:rFonts w:ascii="Times New Roman" w:hAnsi="Times New Roman" w:cs="Times New Roman"/>
          <w:sz w:val="24"/>
          <w:szCs w:val="24"/>
        </w:rPr>
        <w:t>es complejo y, aunque sus características</w:t>
      </w:r>
      <w:r>
        <w:rPr>
          <w:rFonts w:ascii="Times New Roman" w:hAnsi="Times New Roman" w:cs="Times New Roman"/>
          <w:sz w:val="24"/>
          <w:szCs w:val="24"/>
        </w:rPr>
        <w:t xml:space="preserve"> </w:t>
      </w:r>
      <w:r w:rsidRPr="00085E13">
        <w:rPr>
          <w:rFonts w:ascii="Times New Roman" w:hAnsi="Times New Roman" w:cs="Times New Roman"/>
          <w:sz w:val="24"/>
          <w:szCs w:val="24"/>
        </w:rPr>
        <w:t>gen</w:t>
      </w:r>
      <w:r>
        <w:rPr>
          <w:rFonts w:ascii="Times New Roman" w:hAnsi="Times New Roman" w:cs="Times New Roman"/>
          <w:sz w:val="24"/>
          <w:szCs w:val="24"/>
        </w:rPr>
        <w:t xml:space="preserve">erales son conocidas, no existe </w:t>
      </w:r>
      <w:r w:rsidRPr="00085E13">
        <w:rPr>
          <w:rFonts w:ascii="Times New Roman" w:hAnsi="Times New Roman" w:cs="Times New Roman"/>
          <w:sz w:val="24"/>
          <w:szCs w:val="24"/>
        </w:rPr>
        <w:t>una persp</w:t>
      </w:r>
      <w:r>
        <w:rPr>
          <w:rFonts w:ascii="Times New Roman" w:hAnsi="Times New Roman" w:cs="Times New Roman"/>
          <w:sz w:val="24"/>
          <w:szCs w:val="24"/>
        </w:rPr>
        <w:t xml:space="preserve">ectiva única e incontestable de </w:t>
      </w:r>
      <w:r w:rsidRPr="00085E13">
        <w:rPr>
          <w:rFonts w:ascii="Times New Roman" w:hAnsi="Times New Roman" w:cs="Times New Roman"/>
          <w:sz w:val="24"/>
          <w:szCs w:val="24"/>
        </w:rPr>
        <w:t>todos los aspectos relacionados con él.</w:t>
      </w:r>
    </w:p>
    <w:p w:rsidR="00173A11" w:rsidRPr="00DC47E9" w:rsidRDefault="00173A11" w:rsidP="00173A11">
      <w:pPr>
        <w:spacing w:line="240" w:lineRule="auto"/>
        <w:jc w:val="both"/>
        <w:rPr>
          <w:rFonts w:ascii="Times New Roman" w:hAnsi="Times New Roman" w:cs="Times New Roman"/>
          <w:sz w:val="24"/>
          <w:szCs w:val="24"/>
          <w:u w:val="single"/>
        </w:rPr>
      </w:pPr>
      <w:r w:rsidRPr="00085E13">
        <w:rPr>
          <w:rFonts w:ascii="Times New Roman" w:hAnsi="Times New Roman" w:cs="Times New Roman"/>
          <w:sz w:val="24"/>
          <w:szCs w:val="24"/>
        </w:rPr>
        <w:t>La neutralida</w:t>
      </w:r>
      <w:r>
        <w:rPr>
          <w:rFonts w:ascii="Times New Roman" w:hAnsi="Times New Roman" w:cs="Times New Roman"/>
          <w:sz w:val="24"/>
          <w:szCs w:val="24"/>
        </w:rPr>
        <w:t xml:space="preserve">d del dinero es una proposición ampliamente aceptada y validada </w:t>
      </w:r>
      <w:r w:rsidRPr="00085E13">
        <w:rPr>
          <w:rFonts w:ascii="Times New Roman" w:hAnsi="Times New Roman" w:cs="Times New Roman"/>
          <w:sz w:val="24"/>
          <w:szCs w:val="24"/>
        </w:rPr>
        <w:t>emp</w:t>
      </w:r>
      <w:r>
        <w:rPr>
          <w:rFonts w:ascii="Times New Roman" w:hAnsi="Times New Roman" w:cs="Times New Roman"/>
          <w:sz w:val="24"/>
          <w:szCs w:val="24"/>
        </w:rPr>
        <w:t xml:space="preserve">íricamente por los economistas. </w:t>
      </w:r>
      <w:r w:rsidRPr="00DC47E9">
        <w:rPr>
          <w:rFonts w:ascii="Times New Roman" w:hAnsi="Times New Roman" w:cs="Times New Roman"/>
          <w:sz w:val="24"/>
          <w:szCs w:val="24"/>
          <w:u w:val="single"/>
        </w:rPr>
        <w:t>A largo plazo, es decir, una vez efectuados todos los ajustes en la economía, un cambio en la cantidad de dinero en circulación, manteniéndose constantes el resto de las variables, se traducirá en una variación del nivel general de los precios y no provocará cambios permanentes en las variables reales, como el producto real o el desempleo. En definitiva, un cambio en la cantidad de dinero en circulación constituye una modificación de la unidad de cuenta (y, en consecuencia, del nivel general de los precios), que deja las demás variables inalteradas…</w:t>
      </w:r>
    </w:p>
    <w:p w:rsidR="00173A11" w:rsidRPr="00085E13" w:rsidRDefault="00173A11" w:rsidP="00173A11">
      <w:pPr>
        <w:spacing w:line="240" w:lineRule="auto"/>
        <w:jc w:val="both"/>
        <w:rPr>
          <w:rFonts w:ascii="Times New Roman" w:hAnsi="Times New Roman" w:cs="Times New Roman"/>
          <w:sz w:val="24"/>
          <w:szCs w:val="24"/>
        </w:rPr>
      </w:pPr>
      <w:r w:rsidRPr="00085E13">
        <w:rPr>
          <w:rFonts w:ascii="Times New Roman" w:hAnsi="Times New Roman" w:cs="Times New Roman"/>
          <w:sz w:val="24"/>
          <w:szCs w:val="24"/>
        </w:rPr>
        <w:t>El mecanismo y los canales de transmisión</w:t>
      </w:r>
      <w:r>
        <w:rPr>
          <w:rFonts w:ascii="Times New Roman" w:hAnsi="Times New Roman" w:cs="Times New Roman"/>
          <w:sz w:val="24"/>
          <w:szCs w:val="24"/>
        </w:rPr>
        <w:t xml:space="preserve"> de la política monetaria</w:t>
      </w:r>
    </w:p>
    <w:p w:rsidR="00173A11" w:rsidRDefault="00173A11" w:rsidP="00173A11">
      <w:pPr>
        <w:spacing w:line="240" w:lineRule="auto"/>
        <w:jc w:val="both"/>
        <w:rPr>
          <w:rFonts w:ascii="Times New Roman" w:hAnsi="Times New Roman" w:cs="Times New Roman"/>
          <w:sz w:val="24"/>
          <w:szCs w:val="24"/>
        </w:rPr>
      </w:pPr>
      <w:r w:rsidRPr="00085E13">
        <w:rPr>
          <w:rFonts w:ascii="Times New Roman" w:hAnsi="Times New Roman" w:cs="Times New Roman"/>
          <w:sz w:val="24"/>
          <w:szCs w:val="24"/>
        </w:rPr>
        <w:t>El proce</w:t>
      </w:r>
      <w:r>
        <w:rPr>
          <w:rFonts w:ascii="Times New Roman" w:hAnsi="Times New Roman" w:cs="Times New Roman"/>
          <w:sz w:val="24"/>
          <w:szCs w:val="24"/>
        </w:rPr>
        <w:t xml:space="preserve">so por el que las decisiones de </w:t>
      </w:r>
      <w:r w:rsidRPr="00085E13">
        <w:rPr>
          <w:rFonts w:ascii="Times New Roman" w:hAnsi="Times New Roman" w:cs="Times New Roman"/>
          <w:sz w:val="24"/>
          <w:szCs w:val="24"/>
        </w:rPr>
        <w:t xml:space="preserve">política monetaria </w:t>
      </w:r>
      <w:r>
        <w:rPr>
          <w:rFonts w:ascii="Times New Roman" w:hAnsi="Times New Roman" w:cs="Times New Roman"/>
          <w:sz w:val="24"/>
          <w:szCs w:val="24"/>
        </w:rPr>
        <w:t xml:space="preserve">afectan a la economía, </w:t>
      </w:r>
      <w:r w:rsidRPr="00085E13">
        <w:rPr>
          <w:rFonts w:ascii="Times New Roman" w:hAnsi="Times New Roman" w:cs="Times New Roman"/>
          <w:sz w:val="24"/>
          <w:szCs w:val="24"/>
        </w:rPr>
        <w:t xml:space="preserve">en </w:t>
      </w:r>
      <w:r>
        <w:rPr>
          <w:rFonts w:ascii="Times New Roman" w:hAnsi="Times New Roman" w:cs="Times New Roman"/>
          <w:sz w:val="24"/>
          <w:szCs w:val="24"/>
        </w:rPr>
        <w:t xml:space="preserve">general, y al nivel de precios, </w:t>
      </w:r>
      <w:r w:rsidRPr="00085E13">
        <w:rPr>
          <w:rFonts w:ascii="Times New Roman" w:hAnsi="Times New Roman" w:cs="Times New Roman"/>
          <w:sz w:val="24"/>
          <w:szCs w:val="24"/>
        </w:rPr>
        <w:t>en parti</w:t>
      </w:r>
      <w:r>
        <w:rPr>
          <w:rFonts w:ascii="Times New Roman" w:hAnsi="Times New Roman" w:cs="Times New Roman"/>
          <w:sz w:val="24"/>
          <w:szCs w:val="24"/>
        </w:rPr>
        <w:t xml:space="preserve">cular, se conoce como mecanismo </w:t>
      </w:r>
      <w:r w:rsidRPr="00085E13">
        <w:rPr>
          <w:rFonts w:ascii="Times New Roman" w:hAnsi="Times New Roman" w:cs="Times New Roman"/>
          <w:sz w:val="24"/>
          <w:szCs w:val="24"/>
        </w:rPr>
        <w:t>de transm</w:t>
      </w:r>
      <w:r>
        <w:rPr>
          <w:rFonts w:ascii="Times New Roman" w:hAnsi="Times New Roman" w:cs="Times New Roman"/>
          <w:sz w:val="24"/>
          <w:szCs w:val="24"/>
        </w:rPr>
        <w:t xml:space="preserve">isión de la política monetaria. </w:t>
      </w:r>
      <w:r w:rsidRPr="00085E13">
        <w:rPr>
          <w:rFonts w:ascii="Times New Roman" w:hAnsi="Times New Roman" w:cs="Times New Roman"/>
          <w:sz w:val="24"/>
          <w:szCs w:val="24"/>
        </w:rPr>
        <w:t>La</w:t>
      </w:r>
      <w:r>
        <w:rPr>
          <w:rFonts w:ascii="Times New Roman" w:hAnsi="Times New Roman" w:cs="Times New Roman"/>
          <w:sz w:val="24"/>
          <w:szCs w:val="24"/>
        </w:rPr>
        <w:t xml:space="preserve"> transmisión de los impulsos de </w:t>
      </w:r>
      <w:r w:rsidRPr="00085E13">
        <w:rPr>
          <w:rFonts w:ascii="Times New Roman" w:hAnsi="Times New Roman" w:cs="Times New Roman"/>
          <w:sz w:val="24"/>
          <w:szCs w:val="24"/>
        </w:rPr>
        <w:t>la política</w:t>
      </w:r>
      <w:r>
        <w:rPr>
          <w:rFonts w:ascii="Times New Roman" w:hAnsi="Times New Roman" w:cs="Times New Roman"/>
          <w:sz w:val="24"/>
          <w:szCs w:val="24"/>
        </w:rPr>
        <w:t xml:space="preserve"> monetaria al sector real de la </w:t>
      </w:r>
      <w:r w:rsidRPr="00085E13">
        <w:rPr>
          <w:rFonts w:ascii="Times New Roman" w:hAnsi="Times New Roman" w:cs="Times New Roman"/>
          <w:sz w:val="24"/>
          <w:szCs w:val="24"/>
        </w:rPr>
        <w:t xml:space="preserve">economía va </w:t>
      </w:r>
      <w:r>
        <w:rPr>
          <w:rFonts w:ascii="Times New Roman" w:hAnsi="Times New Roman" w:cs="Times New Roman"/>
          <w:sz w:val="24"/>
          <w:szCs w:val="24"/>
        </w:rPr>
        <w:t xml:space="preserve">asociada a distintos mecanismos </w:t>
      </w:r>
      <w:r w:rsidRPr="00085E13">
        <w:rPr>
          <w:rFonts w:ascii="Times New Roman" w:hAnsi="Times New Roman" w:cs="Times New Roman"/>
          <w:sz w:val="24"/>
          <w:szCs w:val="24"/>
        </w:rPr>
        <w:t>y acc</w:t>
      </w:r>
      <w:r>
        <w:rPr>
          <w:rFonts w:ascii="Times New Roman" w:hAnsi="Times New Roman" w:cs="Times New Roman"/>
          <w:sz w:val="24"/>
          <w:szCs w:val="24"/>
        </w:rPr>
        <w:t xml:space="preserve">iones de los agentes económicos en diversas fases del proceso. </w:t>
      </w:r>
      <w:r w:rsidRPr="00085E13">
        <w:rPr>
          <w:rFonts w:ascii="Times New Roman" w:hAnsi="Times New Roman" w:cs="Times New Roman"/>
          <w:sz w:val="24"/>
          <w:szCs w:val="24"/>
        </w:rPr>
        <w:t>En consec</w:t>
      </w:r>
      <w:r>
        <w:rPr>
          <w:rFonts w:ascii="Times New Roman" w:hAnsi="Times New Roman" w:cs="Times New Roman"/>
          <w:sz w:val="24"/>
          <w:szCs w:val="24"/>
        </w:rPr>
        <w:t xml:space="preserve">uencia, las medidas de política </w:t>
      </w:r>
      <w:r w:rsidRPr="00085E13">
        <w:rPr>
          <w:rFonts w:ascii="Times New Roman" w:hAnsi="Times New Roman" w:cs="Times New Roman"/>
          <w:sz w:val="24"/>
          <w:szCs w:val="24"/>
        </w:rPr>
        <w:t>mo</w:t>
      </w:r>
      <w:r>
        <w:rPr>
          <w:rFonts w:ascii="Times New Roman" w:hAnsi="Times New Roman" w:cs="Times New Roman"/>
          <w:sz w:val="24"/>
          <w:szCs w:val="24"/>
        </w:rPr>
        <w:t xml:space="preserve">netaria suelen tardar un tiempo </w:t>
      </w:r>
      <w:r w:rsidRPr="00085E13">
        <w:rPr>
          <w:rFonts w:ascii="Times New Roman" w:hAnsi="Times New Roman" w:cs="Times New Roman"/>
          <w:sz w:val="24"/>
          <w:szCs w:val="24"/>
        </w:rPr>
        <w:t>consider</w:t>
      </w:r>
      <w:r>
        <w:rPr>
          <w:rFonts w:ascii="Times New Roman" w:hAnsi="Times New Roman" w:cs="Times New Roman"/>
          <w:sz w:val="24"/>
          <w:szCs w:val="24"/>
        </w:rPr>
        <w:t xml:space="preserve">able en influir en la evolución </w:t>
      </w:r>
      <w:r w:rsidRPr="00085E13">
        <w:rPr>
          <w:rFonts w:ascii="Times New Roman" w:hAnsi="Times New Roman" w:cs="Times New Roman"/>
          <w:sz w:val="24"/>
          <w:szCs w:val="24"/>
        </w:rPr>
        <w:t>de los precios. Además, la ma</w:t>
      </w:r>
      <w:r>
        <w:rPr>
          <w:rFonts w:ascii="Times New Roman" w:hAnsi="Times New Roman" w:cs="Times New Roman"/>
          <w:sz w:val="24"/>
          <w:szCs w:val="24"/>
        </w:rPr>
        <w:t xml:space="preserve">gnitud y </w:t>
      </w:r>
      <w:r w:rsidRPr="00085E13">
        <w:rPr>
          <w:rFonts w:ascii="Times New Roman" w:hAnsi="Times New Roman" w:cs="Times New Roman"/>
          <w:sz w:val="24"/>
          <w:szCs w:val="24"/>
        </w:rPr>
        <w:t>la inte</w:t>
      </w:r>
      <w:r>
        <w:rPr>
          <w:rFonts w:ascii="Times New Roman" w:hAnsi="Times New Roman" w:cs="Times New Roman"/>
          <w:sz w:val="24"/>
          <w:szCs w:val="24"/>
        </w:rPr>
        <w:t xml:space="preserve">nsidad de los distintos efectos </w:t>
      </w:r>
      <w:r w:rsidRPr="00085E13">
        <w:rPr>
          <w:rFonts w:ascii="Times New Roman" w:hAnsi="Times New Roman" w:cs="Times New Roman"/>
          <w:sz w:val="24"/>
          <w:szCs w:val="24"/>
        </w:rPr>
        <w:t>pueden va</w:t>
      </w:r>
      <w:r>
        <w:rPr>
          <w:rFonts w:ascii="Times New Roman" w:hAnsi="Times New Roman" w:cs="Times New Roman"/>
          <w:sz w:val="24"/>
          <w:szCs w:val="24"/>
        </w:rPr>
        <w:t xml:space="preserve">riar en función de la situación </w:t>
      </w:r>
      <w:r w:rsidRPr="00085E13">
        <w:rPr>
          <w:rFonts w:ascii="Times New Roman" w:hAnsi="Times New Roman" w:cs="Times New Roman"/>
          <w:sz w:val="24"/>
          <w:szCs w:val="24"/>
        </w:rPr>
        <w:t>de la economía, lo que hace que resulte</w:t>
      </w:r>
      <w:r>
        <w:rPr>
          <w:rFonts w:ascii="Times New Roman" w:hAnsi="Times New Roman" w:cs="Times New Roman"/>
          <w:sz w:val="24"/>
          <w:szCs w:val="24"/>
        </w:rPr>
        <w:t xml:space="preserve"> </w:t>
      </w:r>
      <w:r w:rsidRPr="0013136D">
        <w:rPr>
          <w:rFonts w:ascii="Times New Roman" w:hAnsi="Times New Roman" w:cs="Times New Roman"/>
          <w:sz w:val="24"/>
          <w:szCs w:val="24"/>
        </w:rPr>
        <w:t>difícil</w:t>
      </w:r>
      <w:r>
        <w:rPr>
          <w:rFonts w:ascii="Times New Roman" w:hAnsi="Times New Roman" w:cs="Times New Roman"/>
          <w:sz w:val="24"/>
          <w:szCs w:val="24"/>
        </w:rPr>
        <w:t xml:space="preserve"> estimar el impacto preciso. En </w:t>
      </w:r>
      <w:r w:rsidRPr="0013136D">
        <w:rPr>
          <w:rFonts w:ascii="Times New Roman" w:hAnsi="Times New Roman" w:cs="Times New Roman"/>
          <w:sz w:val="24"/>
          <w:szCs w:val="24"/>
        </w:rPr>
        <w:t>conjun</w:t>
      </w:r>
      <w:r>
        <w:rPr>
          <w:rFonts w:ascii="Times New Roman" w:hAnsi="Times New Roman" w:cs="Times New Roman"/>
          <w:sz w:val="24"/>
          <w:szCs w:val="24"/>
        </w:rPr>
        <w:t xml:space="preserve">to, los bancos centrales suelen </w:t>
      </w:r>
      <w:r w:rsidRPr="0013136D">
        <w:rPr>
          <w:rFonts w:ascii="Times New Roman" w:hAnsi="Times New Roman" w:cs="Times New Roman"/>
          <w:sz w:val="24"/>
          <w:szCs w:val="24"/>
        </w:rPr>
        <w:t>tener que</w:t>
      </w:r>
      <w:r>
        <w:rPr>
          <w:rFonts w:ascii="Times New Roman" w:hAnsi="Times New Roman" w:cs="Times New Roman"/>
          <w:sz w:val="24"/>
          <w:szCs w:val="24"/>
        </w:rPr>
        <w:t xml:space="preserve"> afrontar retardos prolongados, </w:t>
      </w:r>
      <w:r w:rsidRPr="0013136D">
        <w:rPr>
          <w:rFonts w:ascii="Times New Roman" w:hAnsi="Times New Roman" w:cs="Times New Roman"/>
          <w:sz w:val="24"/>
          <w:szCs w:val="24"/>
        </w:rPr>
        <w:t xml:space="preserve">variables </w:t>
      </w:r>
      <w:r>
        <w:rPr>
          <w:rFonts w:ascii="Times New Roman" w:hAnsi="Times New Roman" w:cs="Times New Roman"/>
          <w:sz w:val="24"/>
          <w:szCs w:val="24"/>
        </w:rPr>
        <w:t xml:space="preserve">e inciertos en la ejecución de </w:t>
      </w:r>
      <w:r w:rsidRPr="0013136D">
        <w:rPr>
          <w:rFonts w:ascii="Times New Roman" w:hAnsi="Times New Roman" w:cs="Times New Roman"/>
          <w:sz w:val="24"/>
          <w:szCs w:val="24"/>
        </w:rPr>
        <w:t>la política monetaria</w:t>
      </w:r>
      <w:r>
        <w:rPr>
          <w:rFonts w:ascii="Times New Roman" w:hAnsi="Times New Roman" w:cs="Times New Roman"/>
          <w:sz w:val="24"/>
          <w:szCs w:val="24"/>
        </w:rPr>
        <w:t>…</w:t>
      </w:r>
    </w:p>
    <w:p w:rsidR="00173A11" w:rsidRPr="00DC47E9" w:rsidRDefault="00173A11" w:rsidP="00173A1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Por tanto, </w:t>
      </w:r>
      <w:r w:rsidRPr="00DC47E9">
        <w:rPr>
          <w:rFonts w:ascii="Times New Roman" w:hAnsi="Times New Roman" w:cs="Times New Roman"/>
          <w:sz w:val="24"/>
          <w:szCs w:val="24"/>
          <w:u w:val="single"/>
        </w:rPr>
        <w:t>la senda que debe seguir la política monetaria depende siempre de la naturaleza, la magnitud y la duración de las perturbaciones que afecten a la economía. Un reto constante para el banco central es identificar los factores que determinan las tendencias de los precios con el objeto de establecer la respuesta de política monetaria adecuada…</w:t>
      </w:r>
    </w:p>
    <w:p w:rsidR="00173A11" w:rsidRPr="006F0DE5"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bancos centrales </w:t>
      </w:r>
      <w:r w:rsidRPr="0013136D">
        <w:rPr>
          <w:rFonts w:ascii="Times New Roman" w:hAnsi="Times New Roman" w:cs="Times New Roman"/>
          <w:sz w:val="24"/>
          <w:szCs w:val="24"/>
        </w:rPr>
        <w:t>tienen</w:t>
      </w:r>
      <w:r>
        <w:rPr>
          <w:rFonts w:ascii="Times New Roman" w:hAnsi="Times New Roman" w:cs="Times New Roman"/>
          <w:sz w:val="24"/>
          <w:szCs w:val="24"/>
        </w:rPr>
        <w:t xml:space="preserve"> que hacer frente a un complejo </w:t>
      </w:r>
      <w:r w:rsidRPr="0013136D">
        <w:rPr>
          <w:rFonts w:ascii="Times New Roman" w:hAnsi="Times New Roman" w:cs="Times New Roman"/>
          <w:sz w:val="24"/>
          <w:szCs w:val="24"/>
        </w:rPr>
        <w:t>entrama</w:t>
      </w:r>
      <w:r>
        <w:rPr>
          <w:rFonts w:ascii="Times New Roman" w:hAnsi="Times New Roman" w:cs="Times New Roman"/>
          <w:sz w:val="24"/>
          <w:szCs w:val="24"/>
        </w:rPr>
        <w:t xml:space="preserve">do de interacciones económicas. </w:t>
      </w:r>
      <w:r w:rsidRPr="0013136D">
        <w:rPr>
          <w:rFonts w:ascii="Times New Roman" w:hAnsi="Times New Roman" w:cs="Times New Roman"/>
          <w:sz w:val="24"/>
          <w:szCs w:val="24"/>
        </w:rPr>
        <w:t>Los pri</w:t>
      </w:r>
      <w:r>
        <w:rPr>
          <w:rFonts w:ascii="Times New Roman" w:hAnsi="Times New Roman" w:cs="Times New Roman"/>
          <w:sz w:val="24"/>
          <w:szCs w:val="24"/>
        </w:rPr>
        <w:t xml:space="preserve">ncipales canales de transmisión </w:t>
      </w:r>
      <w:r w:rsidRPr="0013136D">
        <w:rPr>
          <w:rFonts w:ascii="Times New Roman" w:hAnsi="Times New Roman" w:cs="Times New Roman"/>
          <w:sz w:val="24"/>
          <w:szCs w:val="24"/>
        </w:rPr>
        <w:t>de l</w:t>
      </w:r>
      <w:r>
        <w:rPr>
          <w:rFonts w:ascii="Times New Roman" w:hAnsi="Times New Roman" w:cs="Times New Roman"/>
          <w:sz w:val="24"/>
          <w:szCs w:val="24"/>
        </w:rPr>
        <w:t xml:space="preserve">a política monetaria se recogen </w:t>
      </w:r>
      <w:r w:rsidRPr="0013136D">
        <w:rPr>
          <w:rFonts w:ascii="Times New Roman" w:hAnsi="Times New Roman" w:cs="Times New Roman"/>
          <w:sz w:val="24"/>
          <w:szCs w:val="24"/>
        </w:rPr>
        <w:t>de forma es</w:t>
      </w:r>
      <w:r>
        <w:rPr>
          <w:rFonts w:ascii="Times New Roman" w:hAnsi="Times New Roman" w:cs="Times New Roman"/>
          <w:sz w:val="24"/>
          <w:szCs w:val="24"/>
        </w:rPr>
        <w:t xml:space="preserve">quemática en la parte izquierda </w:t>
      </w:r>
      <w:r w:rsidRPr="0013136D">
        <w:rPr>
          <w:rFonts w:ascii="Times New Roman" w:hAnsi="Times New Roman" w:cs="Times New Roman"/>
          <w:sz w:val="24"/>
          <w:szCs w:val="24"/>
        </w:rPr>
        <w:t xml:space="preserve">del </w:t>
      </w:r>
      <w:r w:rsidRPr="006F0DE5">
        <w:rPr>
          <w:rFonts w:ascii="Times New Roman" w:hAnsi="Times New Roman" w:cs="Times New Roman"/>
          <w:sz w:val="24"/>
          <w:szCs w:val="24"/>
        </w:rPr>
        <w:t>gráfico 3.1.</w:t>
      </w:r>
    </w:p>
    <w:p w:rsidR="00173A11"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3136D">
        <w:rPr>
          <w:rFonts w:ascii="Times New Roman" w:hAnsi="Times New Roman" w:cs="Times New Roman"/>
          <w:noProof/>
          <w:sz w:val="24"/>
          <w:szCs w:val="24"/>
          <w:lang w:eastAsia="es-ES"/>
        </w:rPr>
        <w:drawing>
          <wp:inline distT="0" distB="0" distL="0" distR="0" wp14:anchorId="62CE93D3" wp14:editId="2A09DE72">
            <wp:extent cx="4749283" cy="3841750"/>
            <wp:effectExtent l="0" t="0" r="0" b="635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749283" cy="3841750"/>
                    </a:xfrm>
                    <a:prstGeom prst="rect">
                      <a:avLst/>
                    </a:prstGeom>
                  </pic:spPr>
                </pic:pic>
              </a:graphicData>
            </a:graphic>
          </wp:inline>
        </w:drawing>
      </w:r>
    </w:p>
    <w:p w:rsidR="00173A11" w:rsidRPr="004D608F" w:rsidRDefault="00173A11" w:rsidP="00173A11">
      <w:pPr>
        <w:spacing w:line="240" w:lineRule="auto"/>
        <w:jc w:val="both"/>
        <w:rPr>
          <w:rFonts w:ascii="Times New Roman" w:hAnsi="Times New Roman" w:cs="Times New Roman"/>
          <w:sz w:val="24"/>
          <w:szCs w:val="24"/>
        </w:rPr>
      </w:pPr>
      <w:r w:rsidRPr="004D608F">
        <w:rPr>
          <w:rFonts w:ascii="Times New Roman" w:hAnsi="Times New Roman" w:cs="Times New Roman"/>
          <w:sz w:val="24"/>
          <w:szCs w:val="24"/>
        </w:rPr>
        <w:t>Estab</w:t>
      </w:r>
      <w:r>
        <w:rPr>
          <w:rFonts w:ascii="Times New Roman" w:hAnsi="Times New Roman" w:cs="Times New Roman"/>
          <w:sz w:val="24"/>
          <w:szCs w:val="24"/>
        </w:rPr>
        <w:t xml:space="preserve">ilidad financiera y estabilidad </w:t>
      </w:r>
      <w:r w:rsidRPr="004D608F">
        <w:rPr>
          <w:rFonts w:ascii="Times New Roman" w:hAnsi="Times New Roman" w:cs="Times New Roman"/>
          <w:sz w:val="24"/>
          <w:szCs w:val="24"/>
        </w:rPr>
        <w:t>de precios</w:t>
      </w:r>
    </w:p>
    <w:p w:rsidR="00173A11" w:rsidRDefault="00173A11" w:rsidP="00173A11">
      <w:pPr>
        <w:spacing w:line="240" w:lineRule="auto"/>
        <w:jc w:val="both"/>
        <w:rPr>
          <w:rFonts w:ascii="Times New Roman" w:hAnsi="Times New Roman" w:cs="Times New Roman"/>
          <w:sz w:val="24"/>
          <w:szCs w:val="24"/>
        </w:rPr>
      </w:pPr>
      <w:r w:rsidRPr="004D608F">
        <w:rPr>
          <w:rFonts w:ascii="Times New Roman" w:hAnsi="Times New Roman" w:cs="Times New Roman"/>
          <w:sz w:val="24"/>
          <w:szCs w:val="24"/>
        </w:rPr>
        <w:t>Algu</w:t>
      </w:r>
      <w:r>
        <w:rPr>
          <w:rFonts w:ascii="Times New Roman" w:hAnsi="Times New Roman" w:cs="Times New Roman"/>
          <w:sz w:val="24"/>
          <w:szCs w:val="24"/>
        </w:rPr>
        <w:t xml:space="preserve">nos bancos centrales desempeñan </w:t>
      </w:r>
      <w:r w:rsidRPr="004D608F">
        <w:rPr>
          <w:rFonts w:ascii="Times New Roman" w:hAnsi="Times New Roman" w:cs="Times New Roman"/>
          <w:sz w:val="24"/>
          <w:szCs w:val="24"/>
        </w:rPr>
        <w:t>un imp</w:t>
      </w:r>
      <w:r>
        <w:rPr>
          <w:rFonts w:ascii="Times New Roman" w:hAnsi="Times New Roman" w:cs="Times New Roman"/>
          <w:sz w:val="24"/>
          <w:szCs w:val="24"/>
        </w:rPr>
        <w:t xml:space="preserve">ortante papel en la consecución </w:t>
      </w:r>
      <w:r w:rsidRPr="004D608F">
        <w:rPr>
          <w:rFonts w:ascii="Times New Roman" w:hAnsi="Times New Roman" w:cs="Times New Roman"/>
          <w:sz w:val="24"/>
          <w:szCs w:val="24"/>
        </w:rPr>
        <w:t>de la estabilidad financiera. Actualme</w:t>
      </w:r>
      <w:r>
        <w:rPr>
          <w:rFonts w:ascii="Times New Roman" w:hAnsi="Times New Roman" w:cs="Times New Roman"/>
          <w:sz w:val="24"/>
          <w:szCs w:val="24"/>
        </w:rPr>
        <w:t xml:space="preserve">nte, </w:t>
      </w:r>
      <w:r w:rsidRPr="004D608F">
        <w:rPr>
          <w:rFonts w:ascii="Times New Roman" w:hAnsi="Times New Roman" w:cs="Times New Roman"/>
          <w:sz w:val="24"/>
          <w:szCs w:val="24"/>
        </w:rPr>
        <w:t>la estabi</w:t>
      </w:r>
      <w:r>
        <w:rPr>
          <w:rFonts w:ascii="Times New Roman" w:hAnsi="Times New Roman" w:cs="Times New Roman"/>
          <w:sz w:val="24"/>
          <w:szCs w:val="24"/>
        </w:rPr>
        <w:t xml:space="preserve">lidad de precios es el objetivo </w:t>
      </w:r>
      <w:r w:rsidRPr="004D608F">
        <w:rPr>
          <w:rFonts w:ascii="Times New Roman" w:hAnsi="Times New Roman" w:cs="Times New Roman"/>
          <w:sz w:val="24"/>
          <w:szCs w:val="24"/>
        </w:rPr>
        <w:t xml:space="preserve">prioritario </w:t>
      </w:r>
      <w:r>
        <w:rPr>
          <w:rFonts w:ascii="Times New Roman" w:hAnsi="Times New Roman" w:cs="Times New Roman"/>
          <w:sz w:val="24"/>
          <w:szCs w:val="24"/>
        </w:rPr>
        <w:t xml:space="preserve">de la mayor parte de los bancos </w:t>
      </w:r>
      <w:r w:rsidRPr="004D608F">
        <w:rPr>
          <w:rFonts w:ascii="Times New Roman" w:hAnsi="Times New Roman" w:cs="Times New Roman"/>
          <w:sz w:val="24"/>
          <w:szCs w:val="24"/>
        </w:rPr>
        <w:t>cen</w:t>
      </w:r>
      <w:r>
        <w:rPr>
          <w:rFonts w:ascii="Times New Roman" w:hAnsi="Times New Roman" w:cs="Times New Roman"/>
          <w:sz w:val="24"/>
          <w:szCs w:val="24"/>
        </w:rPr>
        <w:t xml:space="preserve">trales del mundo, mientras que, </w:t>
      </w:r>
      <w:r w:rsidRPr="004D608F">
        <w:rPr>
          <w:rFonts w:ascii="Times New Roman" w:hAnsi="Times New Roman" w:cs="Times New Roman"/>
          <w:sz w:val="24"/>
          <w:szCs w:val="24"/>
        </w:rPr>
        <w:t>en la mayoría d</w:t>
      </w:r>
      <w:r>
        <w:rPr>
          <w:rFonts w:ascii="Times New Roman" w:hAnsi="Times New Roman" w:cs="Times New Roman"/>
          <w:sz w:val="24"/>
          <w:szCs w:val="24"/>
        </w:rPr>
        <w:t xml:space="preserve">e los casos, la responsabilidad </w:t>
      </w:r>
      <w:r w:rsidRPr="004D608F">
        <w:rPr>
          <w:rFonts w:ascii="Times New Roman" w:hAnsi="Times New Roman" w:cs="Times New Roman"/>
          <w:sz w:val="24"/>
          <w:szCs w:val="24"/>
        </w:rPr>
        <w:t>en el ámbi</w:t>
      </w:r>
      <w:r>
        <w:rPr>
          <w:rFonts w:ascii="Times New Roman" w:hAnsi="Times New Roman" w:cs="Times New Roman"/>
          <w:sz w:val="24"/>
          <w:szCs w:val="24"/>
        </w:rPr>
        <w:t xml:space="preserve">to de la estabilidad financiera está menos formalizada o recae </w:t>
      </w:r>
      <w:r w:rsidRPr="004D608F">
        <w:rPr>
          <w:rFonts w:ascii="Times New Roman" w:hAnsi="Times New Roman" w:cs="Times New Roman"/>
          <w:sz w:val="24"/>
          <w:szCs w:val="24"/>
        </w:rPr>
        <w:t>en el secto</w:t>
      </w:r>
      <w:r>
        <w:rPr>
          <w:rFonts w:ascii="Times New Roman" w:hAnsi="Times New Roman" w:cs="Times New Roman"/>
          <w:sz w:val="24"/>
          <w:szCs w:val="24"/>
        </w:rPr>
        <w:t xml:space="preserve">r público. Puede que los bancos </w:t>
      </w:r>
      <w:r w:rsidRPr="004D608F">
        <w:rPr>
          <w:rFonts w:ascii="Times New Roman" w:hAnsi="Times New Roman" w:cs="Times New Roman"/>
          <w:sz w:val="24"/>
          <w:szCs w:val="24"/>
        </w:rPr>
        <w:t>cen</w:t>
      </w:r>
      <w:r>
        <w:rPr>
          <w:rFonts w:ascii="Times New Roman" w:hAnsi="Times New Roman" w:cs="Times New Roman"/>
          <w:sz w:val="24"/>
          <w:szCs w:val="24"/>
        </w:rPr>
        <w:t xml:space="preserve">trales con el mandato explícito </w:t>
      </w:r>
      <w:r w:rsidRPr="004D608F">
        <w:rPr>
          <w:rFonts w:ascii="Times New Roman" w:hAnsi="Times New Roman" w:cs="Times New Roman"/>
          <w:sz w:val="24"/>
          <w:szCs w:val="24"/>
        </w:rPr>
        <w:t>de man</w:t>
      </w:r>
      <w:r>
        <w:rPr>
          <w:rFonts w:ascii="Times New Roman" w:hAnsi="Times New Roman" w:cs="Times New Roman"/>
          <w:sz w:val="24"/>
          <w:szCs w:val="24"/>
        </w:rPr>
        <w:t xml:space="preserve">tener la estabilidad financiera </w:t>
      </w:r>
      <w:r w:rsidRPr="004D608F">
        <w:rPr>
          <w:rFonts w:ascii="Times New Roman" w:hAnsi="Times New Roman" w:cs="Times New Roman"/>
          <w:sz w:val="24"/>
          <w:szCs w:val="24"/>
        </w:rPr>
        <w:t>necesit</w:t>
      </w:r>
      <w:r>
        <w:rPr>
          <w:rFonts w:ascii="Times New Roman" w:hAnsi="Times New Roman" w:cs="Times New Roman"/>
          <w:sz w:val="24"/>
          <w:szCs w:val="24"/>
        </w:rPr>
        <w:t xml:space="preserve">en utilizar sus instrumentos de </w:t>
      </w:r>
      <w:r w:rsidRPr="004D608F">
        <w:rPr>
          <w:rFonts w:ascii="Times New Roman" w:hAnsi="Times New Roman" w:cs="Times New Roman"/>
          <w:sz w:val="24"/>
          <w:szCs w:val="24"/>
        </w:rPr>
        <w:t xml:space="preserve">política </w:t>
      </w:r>
      <w:r>
        <w:rPr>
          <w:rFonts w:ascii="Times New Roman" w:hAnsi="Times New Roman" w:cs="Times New Roman"/>
          <w:sz w:val="24"/>
          <w:szCs w:val="24"/>
        </w:rPr>
        <w:t xml:space="preserve">monetaria para lograr este fin, </w:t>
      </w:r>
      <w:r w:rsidRPr="004D608F">
        <w:rPr>
          <w:rFonts w:ascii="Times New Roman" w:hAnsi="Times New Roman" w:cs="Times New Roman"/>
          <w:sz w:val="24"/>
          <w:szCs w:val="24"/>
        </w:rPr>
        <w:t>con independe</w:t>
      </w:r>
      <w:r>
        <w:rPr>
          <w:rFonts w:ascii="Times New Roman" w:hAnsi="Times New Roman" w:cs="Times New Roman"/>
          <w:sz w:val="24"/>
          <w:szCs w:val="24"/>
        </w:rPr>
        <w:t xml:space="preserve">ncia de los posibles conflictos </w:t>
      </w:r>
      <w:r w:rsidRPr="004D608F">
        <w:rPr>
          <w:rFonts w:ascii="Times New Roman" w:hAnsi="Times New Roman" w:cs="Times New Roman"/>
          <w:sz w:val="24"/>
          <w:szCs w:val="24"/>
        </w:rPr>
        <w:t>que se puedan plantear con</w:t>
      </w:r>
      <w:r>
        <w:rPr>
          <w:rFonts w:ascii="Times New Roman" w:hAnsi="Times New Roman" w:cs="Times New Roman"/>
          <w:sz w:val="24"/>
          <w:szCs w:val="24"/>
        </w:rPr>
        <w:t xml:space="preserve"> el </w:t>
      </w:r>
      <w:r w:rsidRPr="004D608F">
        <w:rPr>
          <w:rFonts w:ascii="Times New Roman" w:hAnsi="Times New Roman" w:cs="Times New Roman"/>
          <w:sz w:val="24"/>
          <w:szCs w:val="24"/>
        </w:rPr>
        <w:t>objetivo de estabilidad de precios. En</w:t>
      </w:r>
      <w:r>
        <w:rPr>
          <w:rFonts w:ascii="Times New Roman" w:hAnsi="Times New Roman" w:cs="Times New Roman"/>
          <w:sz w:val="24"/>
          <w:szCs w:val="24"/>
        </w:rPr>
        <w:t xml:space="preserve"> </w:t>
      </w:r>
      <w:r w:rsidRPr="004D608F">
        <w:rPr>
          <w:rFonts w:ascii="Times New Roman" w:hAnsi="Times New Roman" w:cs="Times New Roman"/>
          <w:sz w:val="24"/>
          <w:szCs w:val="24"/>
        </w:rPr>
        <w:t>cuanto a</w:t>
      </w:r>
      <w:r>
        <w:rPr>
          <w:rFonts w:ascii="Times New Roman" w:hAnsi="Times New Roman" w:cs="Times New Roman"/>
          <w:sz w:val="24"/>
          <w:szCs w:val="24"/>
        </w:rPr>
        <w:t xml:space="preserve"> la política monetaria del BCE, </w:t>
      </w:r>
      <w:r w:rsidRPr="004D608F">
        <w:rPr>
          <w:rFonts w:ascii="Times New Roman" w:hAnsi="Times New Roman" w:cs="Times New Roman"/>
          <w:sz w:val="24"/>
          <w:szCs w:val="24"/>
        </w:rPr>
        <w:t>la contribuc</w:t>
      </w:r>
      <w:r>
        <w:rPr>
          <w:rFonts w:ascii="Times New Roman" w:hAnsi="Times New Roman" w:cs="Times New Roman"/>
          <w:sz w:val="24"/>
          <w:szCs w:val="24"/>
        </w:rPr>
        <w:t xml:space="preserve">ión a la estabilidad financiera </w:t>
      </w:r>
      <w:r w:rsidRPr="004D608F">
        <w:rPr>
          <w:rFonts w:ascii="Times New Roman" w:hAnsi="Times New Roman" w:cs="Times New Roman"/>
          <w:sz w:val="24"/>
          <w:szCs w:val="24"/>
        </w:rPr>
        <w:t>q</w:t>
      </w:r>
      <w:r>
        <w:rPr>
          <w:rFonts w:ascii="Times New Roman" w:hAnsi="Times New Roman" w:cs="Times New Roman"/>
          <w:sz w:val="24"/>
          <w:szCs w:val="24"/>
        </w:rPr>
        <w:t xml:space="preserve">ueda subordinada al objetivo de </w:t>
      </w:r>
      <w:r w:rsidRPr="004D608F">
        <w:rPr>
          <w:rFonts w:ascii="Times New Roman" w:hAnsi="Times New Roman" w:cs="Times New Roman"/>
          <w:sz w:val="24"/>
          <w:szCs w:val="24"/>
        </w:rPr>
        <w:t>estabilida</w:t>
      </w:r>
      <w:r>
        <w:rPr>
          <w:rFonts w:ascii="Times New Roman" w:hAnsi="Times New Roman" w:cs="Times New Roman"/>
          <w:sz w:val="24"/>
          <w:szCs w:val="24"/>
        </w:rPr>
        <w:t xml:space="preserve">d de precios. </w:t>
      </w:r>
      <w:r w:rsidRPr="004D608F">
        <w:rPr>
          <w:rFonts w:ascii="Times New Roman" w:hAnsi="Times New Roman" w:cs="Times New Roman"/>
          <w:sz w:val="24"/>
          <w:szCs w:val="24"/>
        </w:rPr>
        <w:t>Esta res</w:t>
      </w:r>
      <w:r>
        <w:rPr>
          <w:rFonts w:ascii="Times New Roman" w:hAnsi="Times New Roman" w:cs="Times New Roman"/>
          <w:sz w:val="24"/>
          <w:szCs w:val="24"/>
        </w:rPr>
        <w:t xml:space="preserve">ponsabilidad refleja la opinión </w:t>
      </w:r>
      <w:r w:rsidRPr="004D608F">
        <w:rPr>
          <w:rFonts w:ascii="Times New Roman" w:hAnsi="Times New Roman" w:cs="Times New Roman"/>
          <w:sz w:val="24"/>
          <w:szCs w:val="24"/>
        </w:rPr>
        <w:t>de que, en últ</w:t>
      </w:r>
      <w:r>
        <w:rPr>
          <w:rFonts w:ascii="Times New Roman" w:hAnsi="Times New Roman" w:cs="Times New Roman"/>
          <w:sz w:val="24"/>
          <w:szCs w:val="24"/>
        </w:rPr>
        <w:t xml:space="preserve">ima instancia, la estabilidad </w:t>
      </w:r>
      <w:r w:rsidRPr="004D608F">
        <w:rPr>
          <w:rFonts w:ascii="Times New Roman" w:hAnsi="Times New Roman" w:cs="Times New Roman"/>
          <w:sz w:val="24"/>
          <w:szCs w:val="24"/>
        </w:rPr>
        <w:t>de p</w:t>
      </w:r>
      <w:r>
        <w:rPr>
          <w:rFonts w:ascii="Times New Roman" w:hAnsi="Times New Roman" w:cs="Times New Roman"/>
          <w:sz w:val="24"/>
          <w:szCs w:val="24"/>
        </w:rPr>
        <w:t xml:space="preserve">recios es la mejor contribución </w:t>
      </w:r>
      <w:r w:rsidRPr="004D608F">
        <w:rPr>
          <w:rFonts w:ascii="Times New Roman" w:hAnsi="Times New Roman" w:cs="Times New Roman"/>
          <w:sz w:val="24"/>
          <w:szCs w:val="24"/>
        </w:rPr>
        <w:t>que pu</w:t>
      </w:r>
      <w:r>
        <w:rPr>
          <w:rFonts w:ascii="Times New Roman" w:hAnsi="Times New Roman" w:cs="Times New Roman"/>
          <w:sz w:val="24"/>
          <w:szCs w:val="24"/>
        </w:rPr>
        <w:t xml:space="preserve">ede hacer la política monetaria </w:t>
      </w:r>
      <w:r w:rsidRPr="004D608F">
        <w:rPr>
          <w:rFonts w:ascii="Times New Roman" w:hAnsi="Times New Roman" w:cs="Times New Roman"/>
          <w:sz w:val="24"/>
          <w:szCs w:val="24"/>
        </w:rPr>
        <w:t>para favorecer la estabilidad financiera</w:t>
      </w:r>
      <w:r>
        <w:rPr>
          <w:rFonts w:ascii="Times New Roman" w:hAnsi="Times New Roman" w:cs="Times New Roman"/>
          <w:sz w:val="24"/>
          <w:szCs w:val="24"/>
        </w:rPr>
        <w:t>…</w:t>
      </w:r>
    </w:p>
    <w:p w:rsidR="00173A11" w:rsidRPr="004D608F" w:rsidRDefault="00173A11" w:rsidP="00173A11">
      <w:pPr>
        <w:spacing w:line="240" w:lineRule="auto"/>
        <w:jc w:val="both"/>
        <w:rPr>
          <w:rFonts w:ascii="Times New Roman" w:hAnsi="Times New Roman" w:cs="Times New Roman"/>
          <w:sz w:val="24"/>
          <w:szCs w:val="24"/>
        </w:rPr>
      </w:pPr>
      <w:r w:rsidRPr="004D608F">
        <w:rPr>
          <w:rFonts w:ascii="Times New Roman" w:hAnsi="Times New Roman" w:cs="Times New Roman"/>
          <w:sz w:val="24"/>
          <w:szCs w:val="24"/>
        </w:rPr>
        <w:t>Re</w:t>
      </w:r>
      <w:r>
        <w:rPr>
          <w:rFonts w:ascii="Times New Roman" w:hAnsi="Times New Roman" w:cs="Times New Roman"/>
          <w:sz w:val="24"/>
          <w:szCs w:val="24"/>
        </w:rPr>
        <w:t xml:space="preserve">spuesta de los bancos centrales </w:t>
      </w:r>
      <w:r w:rsidRPr="004D608F">
        <w:rPr>
          <w:rFonts w:ascii="Times New Roman" w:hAnsi="Times New Roman" w:cs="Times New Roman"/>
          <w:sz w:val="24"/>
          <w:szCs w:val="24"/>
        </w:rPr>
        <w:t>a los precios de los activos</w:t>
      </w:r>
    </w:p>
    <w:p w:rsidR="00173A11" w:rsidRPr="00DC47E9" w:rsidRDefault="00173A11" w:rsidP="00173A11">
      <w:pPr>
        <w:spacing w:line="240" w:lineRule="auto"/>
        <w:jc w:val="both"/>
        <w:rPr>
          <w:rFonts w:ascii="Times New Roman" w:hAnsi="Times New Roman" w:cs="Times New Roman"/>
          <w:sz w:val="24"/>
          <w:szCs w:val="24"/>
          <w:u w:val="single"/>
        </w:rPr>
      </w:pPr>
      <w:r w:rsidRPr="00DC47E9">
        <w:rPr>
          <w:rFonts w:ascii="Times New Roman" w:hAnsi="Times New Roman" w:cs="Times New Roman"/>
          <w:sz w:val="24"/>
          <w:szCs w:val="24"/>
          <w:u w:val="single"/>
        </w:rPr>
        <w:t>En ocasiones, los precios de los activos parecen aumentar por encima de los niveles que se consideran acordes con una valoración adecuada del activo subyacente. Esta situación puede indicar la existencia de una “burbuja” en el mercado de activos, es decir, un aumento rápido y sostenido de los precios que revertirá, posiblemente causando distorsiones, en algún momento en el futuro. Cuando se generan estas burbujas, el contenido informativo de los precios de los activos desaparece…</w:t>
      </w:r>
    </w:p>
    <w:p w:rsidR="00173A11" w:rsidRPr="00DC47E9" w:rsidRDefault="00173A11" w:rsidP="00173A11">
      <w:pPr>
        <w:spacing w:line="240" w:lineRule="auto"/>
        <w:jc w:val="both"/>
        <w:rPr>
          <w:rFonts w:ascii="Times New Roman" w:hAnsi="Times New Roman" w:cs="Times New Roman"/>
          <w:sz w:val="24"/>
          <w:szCs w:val="24"/>
          <w:u w:val="single"/>
        </w:rPr>
      </w:pPr>
      <w:r w:rsidRPr="00DC47E9">
        <w:rPr>
          <w:rFonts w:ascii="Times New Roman" w:hAnsi="Times New Roman" w:cs="Times New Roman"/>
          <w:sz w:val="24"/>
          <w:szCs w:val="24"/>
          <w:u w:val="single"/>
        </w:rPr>
        <w:t xml:space="preserve">Por consiguiente, las burbujas de precios de los activos plantean un importante reto para la estrategia de política monetaria de un banco central. Para detectar una burbuja especulativa, es necesario conocer bien cuál es probable que sea la valoración “correcta” de los activos. Estos escenarios suelen estar sometidos a una incertidumbre considerable, de modo que a los </w:t>
      </w:r>
      <w:r w:rsidRPr="00DC47E9">
        <w:rPr>
          <w:rFonts w:ascii="Times New Roman" w:hAnsi="Times New Roman" w:cs="Times New Roman"/>
          <w:sz w:val="24"/>
          <w:szCs w:val="24"/>
          <w:u w:val="single"/>
        </w:rPr>
        <w:lastRenderedPageBreak/>
        <w:t>responsables de la política monetaria les puede resultar difícil identificar las burbujas de los precios de los activos en tiempo real, especialmente cuando se encuentran en una fase incipiente. En consecuencia, estas burbujas con frecuencia solo pueden identificarse con cierto grado de seguridad a posteriori…</w:t>
      </w:r>
    </w:p>
    <w:p w:rsidR="00173A11" w:rsidRDefault="00173A11" w:rsidP="00173A11">
      <w:pPr>
        <w:spacing w:line="240" w:lineRule="auto"/>
        <w:jc w:val="both"/>
        <w:rPr>
          <w:rFonts w:ascii="Times New Roman" w:hAnsi="Times New Roman" w:cs="Times New Roman"/>
          <w:sz w:val="24"/>
          <w:szCs w:val="24"/>
        </w:rPr>
      </w:pPr>
      <w:r w:rsidRPr="004D608F">
        <w:rPr>
          <w:rFonts w:ascii="Times New Roman" w:hAnsi="Times New Roman" w:cs="Times New Roman"/>
          <w:sz w:val="24"/>
          <w:szCs w:val="24"/>
        </w:rPr>
        <w:t>La l</w:t>
      </w:r>
      <w:r>
        <w:rPr>
          <w:rFonts w:ascii="Times New Roman" w:hAnsi="Times New Roman" w:cs="Times New Roman"/>
          <w:sz w:val="24"/>
          <w:szCs w:val="24"/>
        </w:rPr>
        <w:t xml:space="preserve">iteratura ha considerado varios </w:t>
      </w:r>
      <w:r w:rsidRPr="004D608F">
        <w:rPr>
          <w:rFonts w:ascii="Times New Roman" w:hAnsi="Times New Roman" w:cs="Times New Roman"/>
          <w:sz w:val="24"/>
          <w:szCs w:val="24"/>
        </w:rPr>
        <w:t>en</w:t>
      </w:r>
      <w:r>
        <w:rPr>
          <w:rFonts w:ascii="Times New Roman" w:hAnsi="Times New Roman" w:cs="Times New Roman"/>
          <w:sz w:val="24"/>
          <w:szCs w:val="24"/>
        </w:rPr>
        <w:t xml:space="preserve">foques que los bancos centrales </w:t>
      </w:r>
      <w:r w:rsidRPr="004D608F">
        <w:rPr>
          <w:rFonts w:ascii="Times New Roman" w:hAnsi="Times New Roman" w:cs="Times New Roman"/>
          <w:sz w:val="24"/>
          <w:szCs w:val="24"/>
        </w:rPr>
        <w:t>podrían utili</w:t>
      </w:r>
      <w:r>
        <w:rPr>
          <w:rFonts w:ascii="Times New Roman" w:hAnsi="Times New Roman" w:cs="Times New Roman"/>
          <w:sz w:val="24"/>
          <w:szCs w:val="24"/>
        </w:rPr>
        <w:t xml:space="preserve">zar en respuesta a las burbujas </w:t>
      </w:r>
      <w:r w:rsidRPr="004D608F">
        <w:rPr>
          <w:rFonts w:ascii="Times New Roman" w:hAnsi="Times New Roman" w:cs="Times New Roman"/>
          <w:sz w:val="24"/>
          <w:szCs w:val="24"/>
        </w:rPr>
        <w:t>de pre</w:t>
      </w:r>
      <w:r>
        <w:rPr>
          <w:rFonts w:ascii="Times New Roman" w:hAnsi="Times New Roman" w:cs="Times New Roman"/>
          <w:sz w:val="24"/>
          <w:szCs w:val="24"/>
        </w:rPr>
        <w:t xml:space="preserve">cios de los activos. El enfoque más radical consiste en incluir </w:t>
      </w:r>
      <w:r w:rsidRPr="004D608F">
        <w:rPr>
          <w:rFonts w:ascii="Times New Roman" w:hAnsi="Times New Roman" w:cs="Times New Roman"/>
          <w:sz w:val="24"/>
          <w:szCs w:val="24"/>
        </w:rPr>
        <w:t>directam</w:t>
      </w:r>
      <w:r>
        <w:rPr>
          <w:rFonts w:ascii="Times New Roman" w:hAnsi="Times New Roman" w:cs="Times New Roman"/>
          <w:sz w:val="24"/>
          <w:szCs w:val="24"/>
        </w:rPr>
        <w:t xml:space="preserve">ente los precios de los activos </w:t>
      </w:r>
      <w:r w:rsidRPr="004D608F">
        <w:rPr>
          <w:rFonts w:ascii="Times New Roman" w:hAnsi="Times New Roman" w:cs="Times New Roman"/>
          <w:sz w:val="24"/>
          <w:szCs w:val="24"/>
        </w:rPr>
        <w:t xml:space="preserve">en el </w:t>
      </w:r>
      <w:r>
        <w:rPr>
          <w:rFonts w:ascii="Times New Roman" w:hAnsi="Times New Roman" w:cs="Times New Roman"/>
          <w:sz w:val="24"/>
          <w:szCs w:val="24"/>
        </w:rPr>
        <w:t xml:space="preserve">índice de precios que define la </w:t>
      </w:r>
      <w:r w:rsidRPr="004D608F">
        <w:rPr>
          <w:rFonts w:ascii="Times New Roman" w:hAnsi="Times New Roman" w:cs="Times New Roman"/>
          <w:sz w:val="24"/>
          <w:szCs w:val="24"/>
        </w:rPr>
        <w:t>estabilidad de precios</w:t>
      </w:r>
      <w:r>
        <w:rPr>
          <w:rFonts w:ascii="Times New Roman" w:hAnsi="Times New Roman" w:cs="Times New Roman"/>
          <w:sz w:val="24"/>
          <w:szCs w:val="24"/>
        </w:rPr>
        <w:t>…</w:t>
      </w:r>
    </w:p>
    <w:p w:rsidR="00173A11" w:rsidRDefault="00173A11"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Otra opción, apoyada por </w:t>
      </w:r>
      <w:r w:rsidRPr="004D608F">
        <w:rPr>
          <w:rFonts w:ascii="Times New Roman" w:hAnsi="Times New Roman" w:cs="Times New Roman"/>
          <w:sz w:val="24"/>
          <w:szCs w:val="24"/>
        </w:rPr>
        <w:t>much</w:t>
      </w:r>
      <w:r>
        <w:rPr>
          <w:rFonts w:ascii="Times New Roman" w:hAnsi="Times New Roman" w:cs="Times New Roman"/>
          <w:sz w:val="24"/>
          <w:szCs w:val="24"/>
        </w:rPr>
        <w:t xml:space="preserve">os bancos centrales antes de la </w:t>
      </w:r>
      <w:r w:rsidRPr="004D608F">
        <w:rPr>
          <w:rFonts w:ascii="Times New Roman" w:hAnsi="Times New Roman" w:cs="Times New Roman"/>
          <w:sz w:val="24"/>
          <w:szCs w:val="24"/>
        </w:rPr>
        <w:t>crisis fi</w:t>
      </w:r>
      <w:r>
        <w:rPr>
          <w:rFonts w:ascii="Times New Roman" w:hAnsi="Times New Roman" w:cs="Times New Roman"/>
          <w:sz w:val="24"/>
          <w:szCs w:val="24"/>
        </w:rPr>
        <w:t xml:space="preserve">nanciera mundial, es abstenerse </w:t>
      </w:r>
      <w:r w:rsidRPr="004D608F">
        <w:rPr>
          <w:rFonts w:ascii="Times New Roman" w:hAnsi="Times New Roman" w:cs="Times New Roman"/>
          <w:sz w:val="24"/>
          <w:szCs w:val="24"/>
        </w:rPr>
        <w:t>de recurrir a la polí</w:t>
      </w:r>
      <w:r>
        <w:rPr>
          <w:rFonts w:ascii="Times New Roman" w:hAnsi="Times New Roman" w:cs="Times New Roman"/>
          <w:sz w:val="24"/>
          <w:szCs w:val="24"/>
        </w:rPr>
        <w:t xml:space="preserve">tica monetaria para </w:t>
      </w:r>
      <w:r w:rsidRPr="004D608F">
        <w:rPr>
          <w:rFonts w:ascii="Times New Roman" w:hAnsi="Times New Roman" w:cs="Times New Roman"/>
          <w:sz w:val="24"/>
          <w:szCs w:val="24"/>
        </w:rPr>
        <w:t>hacer fren</w:t>
      </w:r>
      <w:r>
        <w:rPr>
          <w:rFonts w:ascii="Times New Roman" w:hAnsi="Times New Roman" w:cs="Times New Roman"/>
          <w:sz w:val="24"/>
          <w:szCs w:val="24"/>
        </w:rPr>
        <w:t xml:space="preserve">te a estas burbujas pero, en su lugar, “limpiar” sus efectos después de </w:t>
      </w:r>
      <w:r w:rsidRPr="004D608F">
        <w:rPr>
          <w:rFonts w:ascii="Times New Roman" w:hAnsi="Times New Roman" w:cs="Times New Roman"/>
          <w:sz w:val="24"/>
          <w:szCs w:val="24"/>
        </w:rPr>
        <w:t>que haya estallado</w:t>
      </w:r>
      <w:r>
        <w:rPr>
          <w:rFonts w:ascii="Times New Roman" w:hAnsi="Times New Roman" w:cs="Times New Roman"/>
          <w:sz w:val="24"/>
          <w:szCs w:val="24"/>
        </w:rPr>
        <w:t>…</w:t>
      </w:r>
    </w:p>
    <w:p w:rsidR="00173A11" w:rsidRDefault="00173A11" w:rsidP="00173A11">
      <w:pPr>
        <w:spacing w:line="240" w:lineRule="auto"/>
        <w:jc w:val="both"/>
        <w:rPr>
          <w:rFonts w:ascii="Times New Roman" w:hAnsi="Times New Roman" w:cs="Times New Roman"/>
          <w:sz w:val="24"/>
          <w:szCs w:val="24"/>
        </w:rPr>
      </w:pPr>
      <w:r w:rsidRPr="004D608F">
        <w:rPr>
          <w:rFonts w:ascii="Times New Roman" w:hAnsi="Times New Roman" w:cs="Times New Roman"/>
          <w:sz w:val="24"/>
          <w:szCs w:val="24"/>
        </w:rPr>
        <w:t>Un enfoque q</w:t>
      </w:r>
      <w:r>
        <w:rPr>
          <w:rFonts w:ascii="Times New Roman" w:hAnsi="Times New Roman" w:cs="Times New Roman"/>
          <w:sz w:val="24"/>
          <w:szCs w:val="24"/>
        </w:rPr>
        <w:t xml:space="preserve">ue ha adquirido una popularidad </w:t>
      </w:r>
      <w:r w:rsidRPr="004D608F">
        <w:rPr>
          <w:rFonts w:ascii="Times New Roman" w:hAnsi="Times New Roman" w:cs="Times New Roman"/>
          <w:sz w:val="24"/>
          <w:szCs w:val="24"/>
        </w:rPr>
        <w:t>c</w:t>
      </w:r>
      <w:r>
        <w:rPr>
          <w:rFonts w:ascii="Times New Roman" w:hAnsi="Times New Roman" w:cs="Times New Roman"/>
          <w:sz w:val="24"/>
          <w:szCs w:val="24"/>
        </w:rPr>
        <w:t xml:space="preserve">reciente con el tiempo es el de “intervenir en contra” de los excesos </w:t>
      </w:r>
      <w:r w:rsidRPr="004D608F">
        <w:rPr>
          <w:rFonts w:ascii="Times New Roman" w:hAnsi="Times New Roman" w:cs="Times New Roman"/>
          <w:sz w:val="24"/>
          <w:szCs w:val="24"/>
        </w:rPr>
        <w:t>de los mercados fina</w:t>
      </w:r>
      <w:r>
        <w:rPr>
          <w:rFonts w:ascii="Times New Roman" w:hAnsi="Times New Roman" w:cs="Times New Roman"/>
          <w:sz w:val="24"/>
          <w:szCs w:val="24"/>
        </w:rPr>
        <w:t xml:space="preserve">ncieros. Este enfoque no supone establecer objetivos </w:t>
      </w:r>
      <w:r w:rsidRPr="004D608F">
        <w:rPr>
          <w:rFonts w:ascii="Times New Roman" w:hAnsi="Times New Roman" w:cs="Times New Roman"/>
          <w:sz w:val="24"/>
          <w:szCs w:val="24"/>
        </w:rPr>
        <w:t>concretos</w:t>
      </w:r>
      <w:r>
        <w:rPr>
          <w:rFonts w:ascii="Times New Roman" w:hAnsi="Times New Roman" w:cs="Times New Roman"/>
          <w:sz w:val="24"/>
          <w:szCs w:val="24"/>
        </w:rPr>
        <w:t xml:space="preserve"> de precios para un determinado </w:t>
      </w:r>
      <w:r w:rsidRPr="004D608F">
        <w:rPr>
          <w:rFonts w:ascii="Times New Roman" w:hAnsi="Times New Roman" w:cs="Times New Roman"/>
          <w:sz w:val="24"/>
          <w:szCs w:val="24"/>
        </w:rPr>
        <w:t>acti</w:t>
      </w:r>
      <w:r>
        <w:rPr>
          <w:rFonts w:ascii="Times New Roman" w:hAnsi="Times New Roman" w:cs="Times New Roman"/>
          <w:sz w:val="24"/>
          <w:szCs w:val="24"/>
        </w:rPr>
        <w:t xml:space="preserve">vo o índice, sino que trata más </w:t>
      </w:r>
      <w:r w:rsidRPr="004D608F">
        <w:rPr>
          <w:rFonts w:ascii="Times New Roman" w:hAnsi="Times New Roman" w:cs="Times New Roman"/>
          <w:sz w:val="24"/>
          <w:szCs w:val="24"/>
        </w:rPr>
        <w:t>bie</w:t>
      </w:r>
      <w:r>
        <w:rPr>
          <w:rFonts w:ascii="Times New Roman" w:hAnsi="Times New Roman" w:cs="Times New Roman"/>
          <w:sz w:val="24"/>
          <w:szCs w:val="24"/>
        </w:rPr>
        <w:t xml:space="preserve">n de asegurar que la evaluación </w:t>
      </w:r>
      <w:r w:rsidRPr="004D608F">
        <w:rPr>
          <w:rFonts w:ascii="Times New Roman" w:hAnsi="Times New Roman" w:cs="Times New Roman"/>
          <w:sz w:val="24"/>
          <w:szCs w:val="24"/>
        </w:rPr>
        <w:t>general sobre</w:t>
      </w:r>
      <w:r>
        <w:rPr>
          <w:rFonts w:ascii="Times New Roman" w:hAnsi="Times New Roman" w:cs="Times New Roman"/>
          <w:sz w:val="24"/>
          <w:szCs w:val="24"/>
        </w:rPr>
        <w:t xml:space="preserve"> la que se basan las decisiones de política monetaria incorpore </w:t>
      </w:r>
      <w:r w:rsidRPr="004D608F">
        <w:rPr>
          <w:rFonts w:ascii="Times New Roman" w:hAnsi="Times New Roman" w:cs="Times New Roman"/>
          <w:sz w:val="24"/>
          <w:szCs w:val="24"/>
        </w:rPr>
        <w:t>un análisis de</w:t>
      </w:r>
      <w:r>
        <w:rPr>
          <w:rFonts w:ascii="Times New Roman" w:hAnsi="Times New Roman" w:cs="Times New Roman"/>
          <w:sz w:val="24"/>
          <w:szCs w:val="24"/>
        </w:rPr>
        <w:t xml:space="preserve"> los riesgos a medio y </w:t>
      </w:r>
      <w:r w:rsidRPr="004D608F">
        <w:rPr>
          <w:rFonts w:ascii="Times New Roman" w:hAnsi="Times New Roman" w:cs="Times New Roman"/>
          <w:sz w:val="24"/>
          <w:szCs w:val="24"/>
        </w:rPr>
        <w:t>largo plazo</w:t>
      </w:r>
      <w:r>
        <w:rPr>
          <w:rFonts w:ascii="Times New Roman" w:hAnsi="Times New Roman" w:cs="Times New Roman"/>
          <w:sz w:val="24"/>
          <w:szCs w:val="24"/>
        </w:rPr>
        <w:t xml:space="preserve"> para la estabilidad de precios </w:t>
      </w:r>
      <w:r w:rsidRPr="004D608F">
        <w:rPr>
          <w:rFonts w:ascii="Times New Roman" w:hAnsi="Times New Roman" w:cs="Times New Roman"/>
          <w:sz w:val="24"/>
          <w:szCs w:val="24"/>
        </w:rPr>
        <w:t>d</w:t>
      </w:r>
      <w:r>
        <w:rPr>
          <w:rFonts w:ascii="Times New Roman" w:hAnsi="Times New Roman" w:cs="Times New Roman"/>
          <w:sz w:val="24"/>
          <w:szCs w:val="24"/>
        </w:rPr>
        <w:t xml:space="preserve">erivados de la evolución de los </w:t>
      </w:r>
      <w:r w:rsidRPr="004D608F">
        <w:rPr>
          <w:rFonts w:ascii="Times New Roman" w:hAnsi="Times New Roman" w:cs="Times New Roman"/>
          <w:sz w:val="24"/>
          <w:szCs w:val="24"/>
        </w:rPr>
        <w:t>precios de los activos</w:t>
      </w:r>
      <w:r>
        <w:rPr>
          <w:rFonts w:ascii="Times New Roman" w:hAnsi="Times New Roman" w:cs="Times New Roman"/>
          <w:sz w:val="24"/>
          <w:szCs w:val="24"/>
        </w:rPr>
        <w:t>…</w:t>
      </w:r>
    </w:p>
    <w:p w:rsidR="00173A11" w:rsidRPr="004D608F" w:rsidRDefault="00173A11" w:rsidP="00173A11">
      <w:pPr>
        <w:spacing w:line="240" w:lineRule="auto"/>
        <w:jc w:val="both"/>
        <w:rPr>
          <w:rFonts w:ascii="Times New Roman" w:hAnsi="Times New Roman" w:cs="Times New Roman"/>
          <w:sz w:val="24"/>
          <w:szCs w:val="24"/>
        </w:rPr>
      </w:pPr>
      <w:r w:rsidRPr="004D608F">
        <w:rPr>
          <w:rFonts w:ascii="Times New Roman" w:hAnsi="Times New Roman" w:cs="Times New Roman"/>
          <w:sz w:val="24"/>
          <w:szCs w:val="24"/>
        </w:rPr>
        <w:t>Un a</w:t>
      </w:r>
      <w:r>
        <w:rPr>
          <w:rFonts w:ascii="Times New Roman" w:hAnsi="Times New Roman" w:cs="Times New Roman"/>
          <w:sz w:val="24"/>
          <w:szCs w:val="24"/>
        </w:rPr>
        <w:t xml:space="preserve">rgumento importante a favor del </w:t>
      </w:r>
      <w:r w:rsidRPr="004D608F">
        <w:rPr>
          <w:rFonts w:ascii="Times New Roman" w:hAnsi="Times New Roman" w:cs="Times New Roman"/>
          <w:sz w:val="24"/>
          <w:szCs w:val="24"/>
        </w:rPr>
        <w:t>enfoque</w:t>
      </w:r>
      <w:r>
        <w:rPr>
          <w:rFonts w:ascii="Times New Roman" w:hAnsi="Times New Roman" w:cs="Times New Roman"/>
          <w:sz w:val="24"/>
          <w:szCs w:val="24"/>
        </w:rPr>
        <w:t xml:space="preserve"> de “intervenir en contra de la tendencia” es su simetría implícita. En </w:t>
      </w:r>
      <w:r w:rsidRPr="004D608F">
        <w:rPr>
          <w:rFonts w:ascii="Times New Roman" w:hAnsi="Times New Roman" w:cs="Times New Roman"/>
          <w:sz w:val="24"/>
          <w:szCs w:val="24"/>
        </w:rPr>
        <w:t>contraposic</w:t>
      </w:r>
      <w:r>
        <w:rPr>
          <w:rFonts w:ascii="Times New Roman" w:hAnsi="Times New Roman" w:cs="Times New Roman"/>
          <w:sz w:val="24"/>
          <w:szCs w:val="24"/>
        </w:rPr>
        <w:t>ión con el enfoque de “limpieza”</w:t>
      </w:r>
      <w:r w:rsidRPr="004D608F">
        <w:rPr>
          <w:rFonts w:ascii="Times New Roman" w:hAnsi="Times New Roman" w:cs="Times New Roman"/>
          <w:sz w:val="24"/>
          <w:szCs w:val="24"/>
        </w:rPr>
        <w:t>, según el cual la política monetaria</w:t>
      </w:r>
      <w:r>
        <w:rPr>
          <w:rFonts w:ascii="Times New Roman" w:hAnsi="Times New Roman" w:cs="Times New Roman"/>
          <w:sz w:val="24"/>
          <w:szCs w:val="24"/>
        </w:rPr>
        <w:t xml:space="preserve"> </w:t>
      </w:r>
      <w:r w:rsidRPr="004D608F">
        <w:rPr>
          <w:rFonts w:ascii="Times New Roman" w:hAnsi="Times New Roman" w:cs="Times New Roman"/>
          <w:sz w:val="24"/>
          <w:szCs w:val="24"/>
        </w:rPr>
        <w:t>actúa principalmente para apoyar</w:t>
      </w:r>
      <w:r>
        <w:rPr>
          <w:rFonts w:ascii="Times New Roman" w:hAnsi="Times New Roman" w:cs="Times New Roman"/>
          <w:sz w:val="24"/>
          <w:szCs w:val="24"/>
        </w:rPr>
        <w:t xml:space="preserve"> </w:t>
      </w:r>
      <w:r w:rsidRPr="004D608F">
        <w:rPr>
          <w:rFonts w:ascii="Times New Roman" w:hAnsi="Times New Roman" w:cs="Times New Roman"/>
          <w:sz w:val="24"/>
          <w:szCs w:val="24"/>
        </w:rPr>
        <w:t>a la economía cuando se produce</w:t>
      </w:r>
      <w:r>
        <w:rPr>
          <w:rFonts w:ascii="Times New Roman" w:hAnsi="Times New Roman" w:cs="Times New Roman"/>
          <w:sz w:val="24"/>
          <w:szCs w:val="24"/>
        </w:rPr>
        <w:t xml:space="preserve"> </w:t>
      </w:r>
      <w:r w:rsidRPr="004D608F">
        <w:rPr>
          <w:rFonts w:ascii="Times New Roman" w:hAnsi="Times New Roman" w:cs="Times New Roman"/>
          <w:sz w:val="24"/>
          <w:szCs w:val="24"/>
        </w:rPr>
        <w:t xml:space="preserve">un </w:t>
      </w:r>
      <w:r>
        <w:rPr>
          <w:rFonts w:ascii="Times New Roman" w:hAnsi="Times New Roman" w:cs="Times New Roman"/>
          <w:sz w:val="24"/>
          <w:szCs w:val="24"/>
        </w:rPr>
        <w:t xml:space="preserve">descenso acusado de los precios </w:t>
      </w:r>
      <w:r w:rsidRPr="004D608F">
        <w:rPr>
          <w:rFonts w:ascii="Times New Roman" w:hAnsi="Times New Roman" w:cs="Times New Roman"/>
          <w:sz w:val="24"/>
          <w:szCs w:val="24"/>
        </w:rPr>
        <w:t>de los a</w:t>
      </w:r>
      <w:r>
        <w:rPr>
          <w:rFonts w:ascii="Times New Roman" w:hAnsi="Times New Roman" w:cs="Times New Roman"/>
          <w:sz w:val="24"/>
          <w:szCs w:val="24"/>
        </w:rPr>
        <w:t xml:space="preserve">ctivos, ya se habrían utilizado </w:t>
      </w:r>
      <w:r w:rsidRPr="004D608F">
        <w:rPr>
          <w:rFonts w:ascii="Times New Roman" w:hAnsi="Times New Roman" w:cs="Times New Roman"/>
          <w:sz w:val="24"/>
          <w:szCs w:val="24"/>
        </w:rPr>
        <w:t>los tipos de interés para contrarr</w:t>
      </w:r>
      <w:r>
        <w:rPr>
          <w:rFonts w:ascii="Times New Roman" w:hAnsi="Times New Roman" w:cs="Times New Roman"/>
          <w:sz w:val="24"/>
          <w:szCs w:val="24"/>
        </w:rPr>
        <w:t xml:space="preserve">estar la </w:t>
      </w:r>
      <w:r w:rsidRPr="004D608F">
        <w:rPr>
          <w:rFonts w:ascii="Times New Roman" w:hAnsi="Times New Roman" w:cs="Times New Roman"/>
          <w:sz w:val="24"/>
          <w:szCs w:val="24"/>
        </w:rPr>
        <w:t>formaci</w:t>
      </w:r>
      <w:r>
        <w:rPr>
          <w:rFonts w:ascii="Times New Roman" w:hAnsi="Times New Roman" w:cs="Times New Roman"/>
          <w:sz w:val="24"/>
          <w:szCs w:val="24"/>
        </w:rPr>
        <w:t xml:space="preserve">ón de una burbuja de precios de </w:t>
      </w:r>
      <w:r w:rsidRPr="004D608F">
        <w:rPr>
          <w:rFonts w:ascii="Times New Roman" w:hAnsi="Times New Roman" w:cs="Times New Roman"/>
          <w:sz w:val="24"/>
          <w:szCs w:val="24"/>
        </w:rPr>
        <w:t xml:space="preserve">los </w:t>
      </w:r>
      <w:r>
        <w:rPr>
          <w:rFonts w:ascii="Times New Roman" w:hAnsi="Times New Roman" w:cs="Times New Roman"/>
          <w:sz w:val="24"/>
          <w:szCs w:val="24"/>
        </w:rPr>
        <w:t xml:space="preserve">activos. Además, y a diferencia </w:t>
      </w:r>
      <w:r w:rsidRPr="004D608F">
        <w:rPr>
          <w:rFonts w:ascii="Times New Roman" w:hAnsi="Times New Roman" w:cs="Times New Roman"/>
          <w:sz w:val="24"/>
          <w:szCs w:val="24"/>
        </w:rPr>
        <w:t>del planteam</w:t>
      </w:r>
      <w:r>
        <w:rPr>
          <w:rFonts w:ascii="Times New Roman" w:hAnsi="Times New Roman" w:cs="Times New Roman"/>
          <w:sz w:val="24"/>
          <w:szCs w:val="24"/>
        </w:rPr>
        <w:t xml:space="preserve">iento consistente en establecer </w:t>
      </w:r>
      <w:r w:rsidRPr="004D608F">
        <w:rPr>
          <w:rFonts w:ascii="Times New Roman" w:hAnsi="Times New Roman" w:cs="Times New Roman"/>
          <w:sz w:val="24"/>
          <w:szCs w:val="24"/>
        </w:rPr>
        <w:t xml:space="preserve">un </w:t>
      </w:r>
      <w:r>
        <w:rPr>
          <w:rFonts w:ascii="Times New Roman" w:hAnsi="Times New Roman" w:cs="Times New Roman"/>
          <w:sz w:val="24"/>
          <w:szCs w:val="24"/>
        </w:rPr>
        <w:t xml:space="preserve">objetivo de precios de activos, </w:t>
      </w:r>
      <w:r w:rsidRPr="004D608F">
        <w:rPr>
          <w:rFonts w:ascii="Times New Roman" w:hAnsi="Times New Roman" w:cs="Times New Roman"/>
          <w:sz w:val="24"/>
          <w:szCs w:val="24"/>
        </w:rPr>
        <w:t>la re</w:t>
      </w:r>
      <w:r>
        <w:rPr>
          <w:rFonts w:ascii="Times New Roman" w:hAnsi="Times New Roman" w:cs="Times New Roman"/>
          <w:sz w:val="24"/>
          <w:szCs w:val="24"/>
        </w:rPr>
        <w:t xml:space="preserve">acción de la política monetaria </w:t>
      </w:r>
      <w:r w:rsidRPr="004D608F">
        <w:rPr>
          <w:rFonts w:ascii="Times New Roman" w:hAnsi="Times New Roman" w:cs="Times New Roman"/>
          <w:sz w:val="24"/>
          <w:szCs w:val="24"/>
        </w:rPr>
        <w:t xml:space="preserve">no sería </w:t>
      </w:r>
      <w:r>
        <w:rPr>
          <w:rFonts w:ascii="Times New Roman" w:hAnsi="Times New Roman" w:cs="Times New Roman"/>
          <w:sz w:val="24"/>
          <w:szCs w:val="24"/>
        </w:rPr>
        <w:t xml:space="preserve">automática, sino que implicaría </w:t>
      </w:r>
      <w:r w:rsidRPr="004D608F">
        <w:rPr>
          <w:rFonts w:ascii="Times New Roman" w:hAnsi="Times New Roman" w:cs="Times New Roman"/>
          <w:sz w:val="24"/>
          <w:szCs w:val="24"/>
        </w:rPr>
        <w:t xml:space="preserve">una valoración </w:t>
      </w:r>
      <w:r>
        <w:rPr>
          <w:rFonts w:ascii="Times New Roman" w:hAnsi="Times New Roman" w:cs="Times New Roman"/>
          <w:sz w:val="24"/>
          <w:szCs w:val="24"/>
        </w:rPr>
        <w:t xml:space="preserve">del origen de la </w:t>
      </w:r>
      <w:r w:rsidRPr="004D608F">
        <w:rPr>
          <w:rFonts w:ascii="Times New Roman" w:hAnsi="Times New Roman" w:cs="Times New Roman"/>
          <w:sz w:val="24"/>
          <w:szCs w:val="24"/>
        </w:rPr>
        <w:t>burb</w:t>
      </w:r>
      <w:r>
        <w:rPr>
          <w:rFonts w:ascii="Times New Roman" w:hAnsi="Times New Roman" w:cs="Times New Roman"/>
          <w:sz w:val="24"/>
          <w:szCs w:val="24"/>
        </w:rPr>
        <w:t xml:space="preserve">uja y del estado de la economía </w:t>
      </w:r>
      <w:r w:rsidRPr="004D608F">
        <w:rPr>
          <w:rFonts w:ascii="Times New Roman" w:hAnsi="Times New Roman" w:cs="Times New Roman"/>
          <w:sz w:val="24"/>
          <w:szCs w:val="24"/>
        </w:rPr>
        <w:t>cuando se genera</w:t>
      </w:r>
      <w:r>
        <w:rPr>
          <w:rFonts w:ascii="Times New Roman" w:hAnsi="Times New Roman" w:cs="Times New Roman"/>
          <w:sz w:val="24"/>
          <w:szCs w:val="24"/>
        </w:rPr>
        <w:t>…</w:t>
      </w:r>
    </w:p>
    <w:p w:rsidR="00173A11" w:rsidRPr="00DC47E9" w:rsidRDefault="00173A11" w:rsidP="00173A11">
      <w:pPr>
        <w:spacing w:line="240" w:lineRule="auto"/>
        <w:jc w:val="both"/>
        <w:rPr>
          <w:rFonts w:ascii="Times New Roman" w:hAnsi="Times New Roman" w:cs="Times New Roman"/>
          <w:sz w:val="24"/>
          <w:szCs w:val="24"/>
          <w:u w:val="single"/>
        </w:rPr>
      </w:pPr>
      <w:r w:rsidRPr="00570D63">
        <w:rPr>
          <w:rFonts w:ascii="Times New Roman" w:hAnsi="Times New Roman" w:cs="Times New Roman"/>
          <w:sz w:val="24"/>
          <w:szCs w:val="24"/>
        </w:rPr>
        <w:t>A este resp</w:t>
      </w:r>
      <w:r>
        <w:rPr>
          <w:rFonts w:ascii="Times New Roman" w:hAnsi="Times New Roman" w:cs="Times New Roman"/>
          <w:sz w:val="24"/>
          <w:szCs w:val="24"/>
        </w:rPr>
        <w:t xml:space="preserve">ecto, </w:t>
      </w:r>
      <w:r w:rsidRPr="00DC47E9">
        <w:rPr>
          <w:rFonts w:ascii="Times New Roman" w:hAnsi="Times New Roman" w:cs="Times New Roman"/>
          <w:sz w:val="24"/>
          <w:szCs w:val="24"/>
          <w:u w:val="single"/>
        </w:rPr>
        <w:t>la estrategia de política monetaria basada en dos pilares del BCE ofrece un marco adecuado para poner en evidencia las condiciones y las circunstancias en las que una evolución tendencial sostenida del precio de los activos puede afectar negativamente a la estabilidad macroeconómica. Aunque el BCE no establece un objetivo de precios de los activos, realiza un atento seguimiento de determinados fenómenos financieros (como los crecientes excesos en la creación de dinero y de crédito) que, si se detectan conjuntamente con inflación del precio de los activos, pueden revelar la naturaleza de aquellos e informar sobre si deben o no ser tenidos en cuenta al trazar uno u otro rumbo de la política monetaria. El análisis monetario ayuda a valorar la evolución de los precios de los activos y hasta qué punto plantean un riesgo para la estabilidad de precios en un futuro más lejano. Esta es la manera en que los elementos del enfoque de “intervenir en contra de la tendencia” se han incorporado a la estrategia del BCE. Además, el contraste periódico de los resultados del análisis económico con los del análisis monetario prolonga el horizonte para el que el BCE traza la posible evolución de los precios de consumo. Gracias a la perspectiva a medio y a largo plazo que proporciona el pilar monetario y al seguimiento sistemático de la evolución monetaria y del crédito que se realiza en el análisis monetario, la estrategia de dos pilares no pasa por alto el papel que puede desempeñar esta evolución como factor determinante de la inflación de los precios de consumo a medio y a largo plazo…</w:t>
      </w:r>
    </w:p>
    <w:p w:rsidR="00173A11" w:rsidRDefault="00173A11" w:rsidP="00173A11">
      <w:pPr>
        <w:spacing w:line="240" w:lineRule="auto"/>
        <w:jc w:val="both"/>
        <w:rPr>
          <w:rFonts w:ascii="Times New Roman" w:hAnsi="Times New Roman" w:cs="Times New Roman"/>
          <w:b/>
          <w:sz w:val="24"/>
          <w:szCs w:val="24"/>
        </w:rPr>
      </w:pPr>
    </w:p>
    <w:p w:rsidR="00173A11" w:rsidRDefault="00173A11" w:rsidP="00173A11">
      <w:pPr>
        <w:spacing w:line="240" w:lineRule="auto"/>
        <w:jc w:val="both"/>
        <w:rPr>
          <w:rFonts w:ascii="Times New Roman" w:hAnsi="Times New Roman" w:cs="Times New Roman"/>
          <w:b/>
          <w:sz w:val="24"/>
          <w:szCs w:val="24"/>
        </w:rPr>
      </w:pPr>
    </w:p>
    <w:p w:rsidR="00173A11" w:rsidRPr="00570D63" w:rsidRDefault="00173A11" w:rsidP="00173A11">
      <w:pPr>
        <w:spacing w:line="240" w:lineRule="auto"/>
        <w:jc w:val="both"/>
        <w:rPr>
          <w:rFonts w:ascii="Times New Roman" w:hAnsi="Times New Roman" w:cs="Times New Roman"/>
          <w:b/>
          <w:sz w:val="24"/>
          <w:szCs w:val="24"/>
        </w:rPr>
      </w:pPr>
      <w:r w:rsidRPr="00570D63">
        <w:rPr>
          <w:rFonts w:ascii="Times New Roman" w:hAnsi="Times New Roman" w:cs="Times New Roman"/>
          <w:b/>
          <w:sz w:val="24"/>
          <w:szCs w:val="24"/>
        </w:rPr>
        <w:lastRenderedPageBreak/>
        <w:t xml:space="preserve">La estrategia de política </w:t>
      </w:r>
      <w:r w:rsidR="00ED5906" w:rsidRPr="00570D63">
        <w:rPr>
          <w:rFonts w:ascii="Times New Roman" w:hAnsi="Times New Roman" w:cs="Times New Roman"/>
          <w:b/>
          <w:sz w:val="24"/>
          <w:szCs w:val="24"/>
        </w:rPr>
        <w:t>mone</w:t>
      </w:r>
      <w:r w:rsidR="00ED5906">
        <w:rPr>
          <w:rFonts w:ascii="Times New Roman" w:hAnsi="Times New Roman" w:cs="Times New Roman"/>
          <w:b/>
          <w:sz w:val="24"/>
          <w:szCs w:val="24"/>
        </w:rPr>
        <w:t>ta</w:t>
      </w:r>
      <w:r w:rsidR="00ED5906" w:rsidRPr="00570D63">
        <w:rPr>
          <w:rFonts w:ascii="Times New Roman" w:hAnsi="Times New Roman" w:cs="Times New Roman"/>
          <w:b/>
          <w:sz w:val="24"/>
          <w:szCs w:val="24"/>
        </w:rPr>
        <w:t>ria</w:t>
      </w:r>
      <w:r w:rsidRPr="00570D63">
        <w:rPr>
          <w:rFonts w:ascii="Times New Roman" w:hAnsi="Times New Roman" w:cs="Times New Roman"/>
          <w:b/>
          <w:sz w:val="24"/>
          <w:szCs w:val="24"/>
        </w:rPr>
        <w:t xml:space="preserve"> del BCE: un punto de referencia en la crisis fi</w:t>
      </w:r>
      <w:r>
        <w:rPr>
          <w:rFonts w:ascii="Times New Roman" w:hAnsi="Times New Roman" w:cs="Times New Roman"/>
          <w:b/>
          <w:sz w:val="24"/>
          <w:szCs w:val="24"/>
        </w:rPr>
        <w:t>n</w:t>
      </w:r>
      <w:r w:rsidRPr="00570D63">
        <w:rPr>
          <w:rFonts w:ascii="Times New Roman" w:hAnsi="Times New Roman" w:cs="Times New Roman"/>
          <w:b/>
          <w:sz w:val="24"/>
          <w:szCs w:val="24"/>
        </w:rPr>
        <w:t>anciera</w:t>
      </w:r>
    </w:p>
    <w:p w:rsidR="00173A11" w:rsidRPr="00570D63" w:rsidRDefault="00173A11" w:rsidP="00173A11">
      <w:pPr>
        <w:spacing w:line="240" w:lineRule="auto"/>
        <w:jc w:val="both"/>
        <w:rPr>
          <w:rFonts w:ascii="Times New Roman" w:hAnsi="Times New Roman" w:cs="Times New Roman"/>
          <w:sz w:val="24"/>
          <w:szCs w:val="24"/>
        </w:rPr>
      </w:pPr>
      <w:r w:rsidRPr="00570D63">
        <w:rPr>
          <w:rFonts w:ascii="Times New Roman" w:hAnsi="Times New Roman" w:cs="Times New Roman"/>
          <w:sz w:val="24"/>
          <w:szCs w:val="24"/>
        </w:rPr>
        <w:t>L</w:t>
      </w:r>
      <w:r>
        <w:rPr>
          <w:rFonts w:ascii="Times New Roman" w:hAnsi="Times New Roman" w:cs="Times New Roman"/>
          <w:sz w:val="24"/>
          <w:szCs w:val="24"/>
        </w:rPr>
        <w:t xml:space="preserve">a respuesta del BCE a la crisis </w:t>
      </w:r>
      <w:r w:rsidRPr="00570D63">
        <w:rPr>
          <w:rFonts w:ascii="Times New Roman" w:hAnsi="Times New Roman" w:cs="Times New Roman"/>
          <w:sz w:val="24"/>
          <w:szCs w:val="24"/>
        </w:rPr>
        <w:t>financiera</w:t>
      </w:r>
    </w:p>
    <w:p w:rsidR="00173A11" w:rsidRDefault="00173A11" w:rsidP="00173A11">
      <w:pPr>
        <w:spacing w:line="240" w:lineRule="auto"/>
        <w:jc w:val="both"/>
        <w:rPr>
          <w:rFonts w:ascii="Times New Roman" w:hAnsi="Times New Roman" w:cs="Times New Roman"/>
          <w:sz w:val="24"/>
          <w:szCs w:val="24"/>
        </w:rPr>
      </w:pPr>
      <w:r w:rsidRPr="00570D63">
        <w:rPr>
          <w:rFonts w:ascii="Times New Roman" w:hAnsi="Times New Roman" w:cs="Times New Roman"/>
          <w:sz w:val="24"/>
          <w:szCs w:val="24"/>
        </w:rPr>
        <w:t>Una bue</w:t>
      </w:r>
      <w:r>
        <w:rPr>
          <w:rFonts w:ascii="Times New Roman" w:hAnsi="Times New Roman" w:cs="Times New Roman"/>
          <w:sz w:val="24"/>
          <w:szCs w:val="24"/>
        </w:rPr>
        <w:t xml:space="preserve">na estrategia debe ser adecuada tanto en épocas normales como </w:t>
      </w:r>
      <w:r w:rsidRPr="00570D63">
        <w:rPr>
          <w:rFonts w:ascii="Times New Roman" w:hAnsi="Times New Roman" w:cs="Times New Roman"/>
          <w:sz w:val="24"/>
          <w:szCs w:val="24"/>
        </w:rPr>
        <w:t xml:space="preserve">cuando </w:t>
      </w:r>
      <w:r>
        <w:rPr>
          <w:rFonts w:ascii="Times New Roman" w:hAnsi="Times New Roman" w:cs="Times New Roman"/>
          <w:sz w:val="24"/>
          <w:szCs w:val="24"/>
        </w:rPr>
        <w:t xml:space="preserve">los responsables de la política </w:t>
      </w:r>
      <w:r w:rsidRPr="00570D63">
        <w:rPr>
          <w:rFonts w:ascii="Times New Roman" w:hAnsi="Times New Roman" w:cs="Times New Roman"/>
          <w:sz w:val="24"/>
          <w:szCs w:val="24"/>
        </w:rPr>
        <w:t>monetaria af</w:t>
      </w:r>
      <w:r>
        <w:rPr>
          <w:rFonts w:ascii="Times New Roman" w:hAnsi="Times New Roman" w:cs="Times New Roman"/>
          <w:sz w:val="24"/>
          <w:szCs w:val="24"/>
        </w:rPr>
        <w:t xml:space="preserve">rontan un aumento de la </w:t>
      </w:r>
      <w:r w:rsidRPr="00570D63">
        <w:rPr>
          <w:rFonts w:ascii="Times New Roman" w:hAnsi="Times New Roman" w:cs="Times New Roman"/>
          <w:sz w:val="24"/>
          <w:szCs w:val="24"/>
        </w:rPr>
        <w:t>incertidumbre</w:t>
      </w:r>
      <w:r>
        <w:rPr>
          <w:rFonts w:ascii="Times New Roman" w:hAnsi="Times New Roman" w:cs="Times New Roman"/>
          <w:sz w:val="24"/>
          <w:szCs w:val="24"/>
        </w:rPr>
        <w:t xml:space="preserve">. Durante la crisis financiera, </w:t>
      </w:r>
      <w:r w:rsidRPr="00570D63">
        <w:rPr>
          <w:rFonts w:ascii="Times New Roman" w:hAnsi="Times New Roman" w:cs="Times New Roman"/>
          <w:sz w:val="24"/>
          <w:szCs w:val="24"/>
        </w:rPr>
        <w:t>la e</w:t>
      </w:r>
      <w:r>
        <w:rPr>
          <w:rFonts w:ascii="Times New Roman" w:hAnsi="Times New Roman" w:cs="Times New Roman"/>
          <w:sz w:val="24"/>
          <w:szCs w:val="24"/>
        </w:rPr>
        <w:t xml:space="preserve">strategia de política monetaria del BCE continuó sirviendo de </w:t>
      </w:r>
      <w:r w:rsidRPr="00570D63">
        <w:rPr>
          <w:rFonts w:ascii="Times New Roman" w:hAnsi="Times New Roman" w:cs="Times New Roman"/>
          <w:sz w:val="24"/>
          <w:szCs w:val="24"/>
        </w:rPr>
        <w:t>punto de</w:t>
      </w:r>
      <w:r>
        <w:rPr>
          <w:rFonts w:ascii="Times New Roman" w:hAnsi="Times New Roman" w:cs="Times New Roman"/>
          <w:sz w:val="24"/>
          <w:szCs w:val="24"/>
        </w:rPr>
        <w:t xml:space="preserve"> referencia para las decisiones </w:t>
      </w:r>
      <w:r w:rsidRPr="00570D63">
        <w:rPr>
          <w:rFonts w:ascii="Times New Roman" w:hAnsi="Times New Roman" w:cs="Times New Roman"/>
          <w:sz w:val="24"/>
          <w:szCs w:val="24"/>
        </w:rPr>
        <w:t>en este á</w:t>
      </w:r>
      <w:r>
        <w:rPr>
          <w:rFonts w:ascii="Times New Roman" w:hAnsi="Times New Roman" w:cs="Times New Roman"/>
          <w:sz w:val="24"/>
          <w:szCs w:val="24"/>
        </w:rPr>
        <w:t xml:space="preserve">mbito. La experiencia adquirida </w:t>
      </w:r>
      <w:r w:rsidRPr="00570D63">
        <w:rPr>
          <w:rFonts w:ascii="Times New Roman" w:hAnsi="Times New Roman" w:cs="Times New Roman"/>
          <w:sz w:val="24"/>
          <w:szCs w:val="24"/>
        </w:rPr>
        <w:t>dur</w:t>
      </w:r>
      <w:r>
        <w:rPr>
          <w:rFonts w:ascii="Times New Roman" w:hAnsi="Times New Roman" w:cs="Times New Roman"/>
          <w:sz w:val="24"/>
          <w:szCs w:val="24"/>
        </w:rPr>
        <w:t xml:space="preserve">ante la crisis ha demostrado la </w:t>
      </w:r>
      <w:r w:rsidRPr="00570D63">
        <w:rPr>
          <w:rFonts w:ascii="Times New Roman" w:hAnsi="Times New Roman" w:cs="Times New Roman"/>
          <w:sz w:val="24"/>
          <w:szCs w:val="24"/>
        </w:rPr>
        <w:t>solidez</w:t>
      </w:r>
      <w:r>
        <w:rPr>
          <w:rFonts w:ascii="Times New Roman" w:hAnsi="Times New Roman" w:cs="Times New Roman"/>
          <w:sz w:val="24"/>
          <w:szCs w:val="24"/>
        </w:rPr>
        <w:t xml:space="preserve"> y la eficacia del marco basado </w:t>
      </w:r>
      <w:r w:rsidRPr="00570D63">
        <w:rPr>
          <w:rFonts w:ascii="Times New Roman" w:hAnsi="Times New Roman" w:cs="Times New Roman"/>
          <w:sz w:val="24"/>
          <w:szCs w:val="24"/>
        </w:rPr>
        <w:t>en dos p</w:t>
      </w:r>
      <w:r>
        <w:rPr>
          <w:rFonts w:ascii="Times New Roman" w:hAnsi="Times New Roman" w:cs="Times New Roman"/>
          <w:sz w:val="24"/>
          <w:szCs w:val="24"/>
        </w:rPr>
        <w:t xml:space="preserve">ilares. Permitió que el Consejo </w:t>
      </w:r>
      <w:r w:rsidRPr="00570D63">
        <w:rPr>
          <w:rFonts w:ascii="Times New Roman" w:hAnsi="Times New Roman" w:cs="Times New Roman"/>
          <w:sz w:val="24"/>
          <w:szCs w:val="24"/>
        </w:rPr>
        <w:t>de Gobie</w:t>
      </w:r>
      <w:r>
        <w:rPr>
          <w:rFonts w:ascii="Times New Roman" w:hAnsi="Times New Roman" w:cs="Times New Roman"/>
          <w:sz w:val="24"/>
          <w:szCs w:val="24"/>
        </w:rPr>
        <w:t xml:space="preserve">rno adoptase un amplio conjunto de medidas y se centrase en la </w:t>
      </w:r>
      <w:r w:rsidRPr="00570D63">
        <w:rPr>
          <w:rFonts w:ascii="Times New Roman" w:hAnsi="Times New Roman" w:cs="Times New Roman"/>
          <w:sz w:val="24"/>
          <w:szCs w:val="24"/>
        </w:rPr>
        <w:t>estabilidad de precios a medio plazo.</w:t>
      </w:r>
    </w:p>
    <w:p w:rsidR="00AE2A85" w:rsidRDefault="00AE2A85" w:rsidP="00173A11">
      <w:pPr>
        <w:spacing w:line="240" w:lineRule="auto"/>
        <w:jc w:val="both"/>
        <w:rPr>
          <w:rFonts w:ascii="Times New Roman" w:hAnsi="Times New Roman" w:cs="Times New Roman"/>
          <w:sz w:val="24"/>
          <w:szCs w:val="24"/>
        </w:rPr>
      </w:pPr>
    </w:p>
    <w:p w:rsidR="00AE2A85" w:rsidRDefault="00AE2A85" w:rsidP="00173A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74BC">
        <w:rPr>
          <w:rFonts w:ascii="Times New Roman" w:hAnsi="Times New Roman" w:cs="Times New Roman"/>
          <w:noProof/>
          <w:sz w:val="24"/>
          <w:szCs w:val="24"/>
          <w:lang w:eastAsia="es-ES"/>
        </w:rPr>
        <w:drawing>
          <wp:inline distT="0" distB="0" distL="0" distR="0" wp14:anchorId="3246E09B" wp14:editId="64236DED">
            <wp:extent cx="4768849" cy="60388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772691" cy="6043715"/>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sidRPr="00570D63">
        <w:rPr>
          <w:rFonts w:ascii="Times New Roman" w:hAnsi="Times New Roman" w:cs="Times New Roman"/>
          <w:sz w:val="24"/>
          <w:szCs w:val="24"/>
        </w:rPr>
        <w:lastRenderedPageBreak/>
        <w:t>Ciertam</w:t>
      </w:r>
      <w:r>
        <w:rPr>
          <w:rFonts w:ascii="Times New Roman" w:hAnsi="Times New Roman" w:cs="Times New Roman"/>
          <w:sz w:val="24"/>
          <w:szCs w:val="24"/>
        </w:rPr>
        <w:t xml:space="preserve">ente, los principales elementos </w:t>
      </w:r>
      <w:r w:rsidRPr="00570D63">
        <w:rPr>
          <w:rFonts w:ascii="Times New Roman" w:hAnsi="Times New Roman" w:cs="Times New Roman"/>
          <w:sz w:val="24"/>
          <w:szCs w:val="24"/>
        </w:rPr>
        <w:t>de la estrategia han servido de ori</w:t>
      </w:r>
      <w:r>
        <w:rPr>
          <w:rFonts w:ascii="Times New Roman" w:hAnsi="Times New Roman" w:cs="Times New Roman"/>
          <w:sz w:val="24"/>
          <w:szCs w:val="24"/>
        </w:rPr>
        <w:t xml:space="preserve">entación </w:t>
      </w:r>
      <w:r w:rsidRPr="00570D63">
        <w:rPr>
          <w:rFonts w:ascii="Times New Roman" w:hAnsi="Times New Roman" w:cs="Times New Roman"/>
          <w:sz w:val="24"/>
          <w:szCs w:val="24"/>
        </w:rPr>
        <w:t xml:space="preserve">para </w:t>
      </w:r>
      <w:r>
        <w:rPr>
          <w:rFonts w:ascii="Times New Roman" w:hAnsi="Times New Roman" w:cs="Times New Roman"/>
          <w:sz w:val="24"/>
          <w:szCs w:val="24"/>
        </w:rPr>
        <w:t xml:space="preserve">formular y explicar la política </w:t>
      </w:r>
      <w:r w:rsidRPr="00570D63">
        <w:rPr>
          <w:rFonts w:ascii="Times New Roman" w:hAnsi="Times New Roman" w:cs="Times New Roman"/>
          <w:sz w:val="24"/>
          <w:szCs w:val="24"/>
        </w:rPr>
        <w:t>monetari</w:t>
      </w:r>
      <w:r>
        <w:rPr>
          <w:rFonts w:ascii="Times New Roman" w:hAnsi="Times New Roman" w:cs="Times New Roman"/>
          <w:sz w:val="24"/>
          <w:szCs w:val="24"/>
        </w:rPr>
        <w:t xml:space="preserve">a del BCE desde la introducción del euro. </w:t>
      </w:r>
    </w:p>
    <w:p w:rsidR="00173A11" w:rsidRPr="00AE2A85" w:rsidRDefault="00173A11" w:rsidP="00173A11">
      <w:pPr>
        <w:spacing w:line="240" w:lineRule="auto"/>
        <w:jc w:val="both"/>
        <w:rPr>
          <w:rFonts w:ascii="Times New Roman" w:hAnsi="Times New Roman" w:cs="Times New Roman"/>
          <w:sz w:val="24"/>
          <w:szCs w:val="24"/>
          <w:u w:val="single"/>
        </w:rPr>
      </w:pPr>
      <w:r w:rsidRPr="00DC47E9">
        <w:rPr>
          <w:rFonts w:ascii="Times New Roman" w:hAnsi="Times New Roman" w:cs="Times New Roman"/>
          <w:sz w:val="24"/>
          <w:szCs w:val="24"/>
          <w:u w:val="single"/>
        </w:rPr>
        <w:t>Para responder a la crisis financiera, el Eurosistema ha adoptado medidas sin precedentes en cuanto a su naturaleza, alcance y magnitud, y representan una respuesta extraordinaria a unas circunstancias excepcionales en un entorno de incertidumbre inusualmente elevada y de inestabilidad en los mercados financieros. Además de las medidas convencionales de reducción de los tipos de interés hasta niveles históricamente bajos, el Consejo de Gobierno decidió adoptar medidas no convencionales que incluyeron medidas de apoyo al crédito y el program</w:t>
      </w:r>
      <w:r w:rsidR="00AE2A85">
        <w:rPr>
          <w:rFonts w:ascii="Times New Roman" w:hAnsi="Times New Roman" w:cs="Times New Roman"/>
          <w:sz w:val="24"/>
          <w:szCs w:val="24"/>
          <w:u w:val="single"/>
        </w:rPr>
        <w:t>a para los mercados de valores.</w:t>
      </w:r>
      <w:r>
        <w:rPr>
          <w:rFonts w:ascii="Times New Roman" w:hAnsi="Times New Roman" w:cs="Times New Roman"/>
          <w:sz w:val="24"/>
          <w:szCs w:val="24"/>
        </w:rPr>
        <w:t xml:space="preserve">             </w:t>
      </w:r>
    </w:p>
    <w:p w:rsidR="00AE2A85" w:rsidRPr="00DC47E9" w:rsidRDefault="00AE2A85" w:rsidP="00AE2A85">
      <w:pPr>
        <w:spacing w:line="240" w:lineRule="auto"/>
        <w:jc w:val="both"/>
        <w:rPr>
          <w:rFonts w:ascii="Times New Roman" w:hAnsi="Times New Roman" w:cs="Times New Roman"/>
          <w:sz w:val="24"/>
          <w:szCs w:val="24"/>
          <w:u w:val="single"/>
        </w:rPr>
      </w:pPr>
      <w:r w:rsidRPr="00DC47E9">
        <w:rPr>
          <w:rFonts w:ascii="Times New Roman" w:hAnsi="Times New Roman" w:cs="Times New Roman"/>
          <w:sz w:val="24"/>
          <w:szCs w:val="24"/>
          <w:u w:val="single"/>
        </w:rPr>
        <w:t>La estrategia de salida del BCE comprende un conjunto de principios para orientarle en la retirada de las diversas medidas no convencionales adoptadas durante la crisis financiera. Mantener durante demasiado tiempo una política monetaria acomodaticia entraña el riesgo de que surjan presiones inflacionistas en el futuro y también prepara el camino para futuros desequilibrios en los mercados financieros. En un entorno de tipos de interés extraordinariamente reducidos y de abundante liquidez, era fundamental el compromiso creíble del banco central de revertir las medidas convencionales y no convencionales cuando la situación volviese a la normalidad. Ciertamente, el BCE subrayó que las medidas no convencionales se habían establecido teniendo presente la estrategia de salida…</w:t>
      </w:r>
    </w:p>
    <w:p w:rsidR="00AE2A85" w:rsidRDefault="00AE2A85" w:rsidP="00173A11">
      <w:pPr>
        <w:spacing w:line="240" w:lineRule="auto"/>
        <w:jc w:val="both"/>
        <w:rPr>
          <w:rFonts w:ascii="Times New Roman" w:hAnsi="Times New Roman" w:cs="Times New Roman"/>
          <w:sz w:val="24"/>
          <w:szCs w:val="24"/>
        </w:rPr>
      </w:pPr>
    </w:p>
    <w:p w:rsidR="00173A11" w:rsidRDefault="00173A11" w:rsidP="00173A11">
      <w:pPr>
        <w:spacing w:line="240" w:lineRule="auto"/>
        <w:jc w:val="both"/>
        <w:rPr>
          <w:rFonts w:ascii="Times New Roman" w:hAnsi="Times New Roman" w:cs="Times New Roman"/>
          <w:sz w:val="24"/>
          <w:szCs w:val="24"/>
        </w:rPr>
      </w:pPr>
      <w:r w:rsidRPr="003B74BC">
        <w:rPr>
          <w:rFonts w:ascii="Times New Roman" w:hAnsi="Times New Roman" w:cs="Times New Roman"/>
          <w:noProof/>
          <w:sz w:val="24"/>
          <w:szCs w:val="24"/>
          <w:lang w:eastAsia="es-ES"/>
        </w:rPr>
        <w:drawing>
          <wp:inline distT="0" distB="0" distL="0" distR="0" wp14:anchorId="4DA6A639" wp14:editId="0D43AF67">
            <wp:extent cx="5732667" cy="4267200"/>
            <wp:effectExtent l="0" t="0" r="1905"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4266339"/>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p>
    <w:p w:rsidR="00173A11" w:rsidRDefault="00173A11" w:rsidP="00173A11">
      <w:pPr>
        <w:spacing w:line="240" w:lineRule="auto"/>
        <w:jc w:val="both"/>
        <w:rPr>
          <w:rFonts w:ascii="Times New Roman" w:hAnsi="Times New Roman" w:cs="Times New Roman"/>
          <w:sz w:val="24"/>
          <w:szCs w:val="24"/>
        </w:rPr>
      </w:pPr>
      <w:r w:rsidRPr="003B74BC">
        <w:rPr>
          <w:rFonts w:ascii="Times New Roman" w:hAnsi="Times New Roman" w:cs="Times New Roman"/>
          <w:noProof/>
          <w:sz w:val="24"/>
          <w:szCs w:val="24"/>
          <w:lang w:eastAsia="es-ES"/>
        </w:rPr>
        <w:lastRenderedPageBreak/>
        <w:drawing>
          <wp:inline distT="0" distB="0" distL="0" distR="0" wp14:anchorId="78ACBBF6" wp14:editId="15B3B964">
            <wp:extent cx="5727700" cy="3797300"/>
            <wp:effectExtent l="0" t="0" r="635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799826"/>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sidRPr="003B74BC">
        <w:rPr>
          <w:rFonts w:ascii="Times New Roman" w:hAnsi="Times New Roman" w:cs="Times New Roman"/>
          <w:noProof/>
          <w:sz w:val="24"/>
          <w:szCs w:val="24"/>
          <w:lang w:eastAsia="es-ES"/>
        </w:rPr>
        <w:drawing>
          <wp:inline distT="0" distB="0" distL="0" distR="0" wp14:anchorId="2ADBEFE5" wp14:editId="528EF15E">
            <wp:extent cx="5733184" cy="4914900"/>
            <wp:effectExtent l="0" t="0" r="127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3184" cy="4914900"/>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sidRPr="003B74BC">
        <w:rPr>
          <w:rFonts w:ascii="Times New Roman" w:hAnsi="Times New Roman" w:cs="Times New Roman"/>
          <w:noProof/>
          <w:sz w:val="24"/>
          <w:szCs w:val="24"/>
          <w:lang w:eastAsia="es-ES"/>
        </w:rPr>
        <w:lastRenderedPageBreak/>
        <w:drawing>
          <wp:inline distT="0" distB="0" distL="0" distR="0" wp14:anchorId="50CE806F" wp14:editId="1D2201A3">
            <wp:extent cx="5727700" cy="2984500"/>
            <wp:effectExtent l="0" t="0" r="635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986485"/>
                    </a:xfrm>
                    <a:prstGeom prst="rect">
                      <a:avLst/>
                    </a:prstGeom>
                  </pic:spPr>
                </pic:pic>
              </a:graphicData>
            </a:graphic>
          </wp:inline>
        </w:drawing>
      </w:r>
    </w:p>
    <w:p w:rsidR="00AE2A85" w:rsidRDefault="00AE2A85" w:rsidP="00173A11">
      <w:pPr>
        <w:spacing w:line="240" w:lineRule="auto"/>
        <w:jc w:val="both"/>
        <w:rPr>
          <w:rFonts w:ascii="Times New Roman" w:hAnsi="Times New Roman" w:cs="Times New Roman"/>
          <w:sz w:val="24"/>
          <w:szCs w:val="24"/>
        </w:rPr>
      </w:pPr>
    </w:p>
    <w:p w:rsidR="00173A11" w:rsidRDefault="00173A11" w:rsidP="00173A11">
      <w:pPr>
        <w:spacing w:line="240" w:lineRule="auto"/>
        <w:jc w:val="both"/>
        <w:rPr>
          <w:rFonts w:ascii="Times New Roman" w:hAnsi="Times New Roman" w:cs="Times New Roman"/>
          <w:sz w:val="24"/>
          <w:szCs w:val="24"/>
        </w:rPr>
      </w:pPr>
      <w:r w:rsidRPr="00EB2A48">
        <w:rPr>
          <w:rFonts w:ascii="Times New Roman" w:hAnsi="Times New Roman" w:cs="Times New Roman"/>
          <w:noProof/>
          <w:sz w:val="24"/>
          <w:szCs w:val="24"/>
          <w:lang w:eastAsia="es-ES"/>
        </w:rPr>
        <w:drawing>
          <wp:inline distT="0" distB="0" distL="0" distR="0" wp14:anchorId="3CA57F7D" wp14:editId="3418BDDF">
            <wp:extent cx="5732741" cy="4883150"/>
            <wp:effectExtent l="0" t="0" r="1905"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4882102"/>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sidRPr="00EB2A48">
        <w:rPr>
          <w:rFonts w:ascii="Times New Roman" w:hAnsi="Times New Roman" w:cs="Times New Roman"/>
          <w:noProof/>
          <w:sz w:val="24"/>
          <w:szCs w:val="24"/>
          <w:lang w:eastAsia="es-ES"/>
        </w:rPr>
        <w:lastRenderedPageBreak/>
        <w:drawing>
          <wp:inline distT="0" distB="0" distL="0" distR="0" wp14:anchorId="3438D739" wp14:editId="03A57CED">
            <wp:extent cx="5730907" cy="3708400"/>
            <wp:effectExtent l="0" t="0" r="3175" b="635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708790"/>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sz w:val="24"/>
          <w:szCs w:val="24"/>
        </w:rPr>
      </w:pPr>
      <w:r w:rsidRPr="00EB2A48">
        <w:rPr>
          <w:rFonts w:ascii="Times New Roman" w:hAnsi="Times New Roman" w:cs="Times New Roman"/>
          <w:noProof/>
          <w:sz w:val="24"/>
          <w:szCs w:val="24"/>
          <w:lang w:eastAsia="es-ES"/>
        </w:rPr>
        <w:drawing>
          <wp:inline distT="0" distB="0" distL="0" distR="0" wp14:anchorId="7EB6540E" wp14:editId="33C393A0">
            <wp:extent cx="5727370" cy="4159250"/>
            <wp:effectExtent l="0" t="0" r="6985"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4162256"/>
                    </a:xfrm>
                    <a:prstGeom prst="rect">
                      <a:avLst/>
                    </a:prstGeom>
                  </pic:spPr>
                </pic:pic>
              </a:graphicData>
            </a:graphic>
          </wp:inline>
        </w:drawing>
      </w:r>
    </w:p>
    <w:p w:rsidR="00AE2A85" w:rsidRDefault="00AE2A85" w:rsidP="00173A11">
      <w:pPr>
        <w:spacing w:line="240" w:lineRule="auto"/>
        <w:jc w:val="both"/>
        <w:rPr>
          <w:rFonts w:ascii="Times New Roman" w:hAnsi="Times New Roman" w:cs="Times New Roman"/>
          <w:b/>
          <w:sz w:val="24"/>
          <w:szCs w:val="24"/>
        </w:rPr>
      </w:pPr>
    </w:p>
    <w:p w:rsidR="00AE2A85" w:rsidRDefault="00AE2A85" w:rsidP="00173A11">
      <w:pPr>
        <w:spacing w:line="240" w:lineRule="auto"/>
        <w:jc w:val="both"/>
        <w:rPr>
          <w:rFonts w:ascii="Times New Roman" w:hAnsi="Times New Roman" w:cs="Times New Roman"/>
          <w:b/>
          <w:sz w:val="24"/>
          <w:szCs w:val="24"/>
        </w:rPr>
      </w:pPr>
    </w:p>
    <w:p w:rsidR="00173A11" w:rsidRDefault="00173A11" w:rsidP="00173A11">
      <w:pPr>
        <w:spacing w:line="240" w:lineRule="auto"/>
        <w:jc w:val="both"/>
        <w:rPr>
          <w:rFonts w:ascii="Times New Roman" w:hAnsi="Times New Roman" w:cs="Times New Roman"/>
          <w:b/>
          <w:sz w:val="24"/>
          <w:szCs w:val="24"/>
        </w:rPr>
      </w:pPr>
      <w:r w:rsidRPr="00EB2A48">
        <w:rPr>
          <w:rFonts w:ascii="Times New Roman" w:hAnsi="Times New Roman" w:cs="Times New Roman"/>
          <w:b/>
          <w:sz w:val="24"/>
          <w:szCs w:val="24"/>
        </w:rPr>
        <w:lastRenderedPageBreak/>
        <w:t>Ejecución de la política monetaria</w:t>
      </w:r>
    </w:p>
    <w:p w:rsidR="00173A11" w:rsidRDefault="00173A11" w:rsidP="00173A11">
      <w:pPr>
        <w:spacing w:line="240" w:lineRule="auto"/>
        <w:jc w:val="both"/>
        <w:rPr>
          <w:rFonts w:ascii="Times New Roman" w:hAnsi="Times New Roman" w:cs="Times New Roman"/>
          <w:b/>
          <w:sz w:val="24"/>
          <w:szCs w:val="24"/>
        </w:rPr>
      </w:pPr>
      <w:r w:rsidRPr="00EB2A48">
        <w:rPr>
          <w:rFonts w:ascii="Times New Roman" w:hAnsi="Times New Roman" w:cs="Times New Roman"/>
          <w:b/>
          <w:noProof/>
          <w:sz w:val="24"/>
          <w:szCs w:val="24"/>
          <w:lang w:eastAsia="es-ES"/>
        </w:rPr>
        <w:drawing>
          <wp:inline distT="0" distB="0" distL="0" distR="0" wp14:anchorId="71032263" wp14:editId="204B11D3">
            <wp:extent cx="5731510" cy="3901836"/>
            <wp:effectExtent l="0" t="0" r="2540" b="381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901836"/>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b/>
          <w:sz w:val="24"/>
          <w:szCs w:val="24"/>
        </w:rPr>
      </w:pPr>
      <w:r w:rsidRPr="00EE27BA">
        <w:rPr>
          <w:rFonts w:ascii="Times New Roman" w:hAnsi="Times New Roman" w:cs="Times New Roman"/>
          <w:b/>
          <w:noProof/>
          <w:sz w:val="24"/>
          <w:szCs w:val="24"/>
          <w:lang w:eastAsia="es-ES"/>
        </w:rPr>
        <w:drawing>
          <wp:inline distT="0" distB="0" distL="0" distR="0" wp14:anchorId="7AF787D1" wp14:editId="052257AA">
            <wp:extent cx="5730829" cy="4171950"/>
            <wp:effectExtent l="0" t="0" r="381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172446"/>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b/>
          <w:sz w:val="24"/>
          <w:szCs w:val="24"/>
        </w:rPr>
      </w:pPr>
      <w:r w:rsidRPr="00EE27BA">
        <w:rPr>
          <w:rFonts w:ascii="Times New Roman" w:hAnsi="Times New Roman" w:cs="Times New Roman"/>
          <w:b/>
          <w:noProof/>
          <w:sz w:val="24"/>
          <w:szCs w:val="24"/>
          <w:lang w:eastAsia="es-ES"/>
        </w:rPr>
        <w:lastRenderedPageBreak/>
        <w:drawing>
          <wp:inline distT="0" distB="0" distL="0" distR="0" wp14:anchorId="1189B641" wp14:editId="6B219681">
            <wp:extent cx="5731510" cy="4316390"/>
            <wp:effectExtent l="0" t="0" r="2540" b="8255"/>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4316390"/>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b/>
          <w:sz w:val="24"/>
          <w:szCs w:val="24"/>
        </w:rPr>
      </w:pPr>
      <w:r w:rsidRPr="00EB2A48">
        <w:rPr>
          <w:rFonts w:ascii="Times New Roman" w:hAnsi="Times New Roman" w:cs="Times New Roman"/>
          <w:b/>
          <w:noProof/>
          <w:sz w:val="24"/>
          <w:szCs w:val="24"/>
          <w:lang w:eastAsia="es-ES"/>
        </w:rPr>
        <w:drawing>
          <wp:inline distT="0" distB="0" distL="0" distR="0" wp14:anchorId="0297CA3A" wp14:editId="1435D430">
            <wp:extent cx="5726818" cy="4032250"/>
            <wp:effectExtent l="0" t="0" r="7620" b="635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4035554"/>
                    </a:xfrm>
                    <a:prstGeom prst="rect">
                      <a:avLst/>
                    </a:prstGeom>
                  </pic:spPr>
                </pic:pic>
              </a:graphicData>
            </a:graphic>
          </wp:inline>
        </w:drawing>
      </w:r>
    </w:p>
    <w:p w:rsidR="00173A11" w:rsidRDefault="00173A11" w:rsidP="00173A11">
      <w:pPr>
        <w:spacing w:line="240" w:lineRule="auto"/>
        <w:jc w:val="both"/>
        <w:rPr>
          <w:rFonts w:ascii="Times New Roman" w:hAnsi="Times New Roman" w:cs="Times New Roman"/>
          <w:b/>
          <w:sz w:val="24"/>
          <w:szCs w:val="24"/>
        </w:rPr>
      </w:pPr>
      <w:r w:rsidRPr="00EB2A48">
        <w:rPr>
          <w:rFonts w:ascii="Times New Roman" w:hAnsi="Times New Roman" w:cs="Times New Roman"/>
          <w:b/>
          <w:noProof/>
          <w:sz w:val="24"/>
          <w:szCs w:val="24"/>
          <w:lang w:eastAsia="es-ES"/>
        </w:rPr>
        <w:lastRenderedPageBreak/>
        <w:drawing>
          <wp:inline distT="0" distB="0" distL="0" distR="0" wp14:anchorId="7019E2FE" wp14:editId="2C262BE7">
            <wp:extent cx="5732145" cy="4679950"/>
            <wp:effectExtent l="0" t="0" r="1905" b="635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4679432"/>
                    </a:xfrm>
                    <a:prstGeom prst="rect">
                      <a:avLst/>
                    </a:prstGeom>
                  </pic:spPr>
                </pic:pic>
              </a:graphicData>
            </a:graphic>
          </wp:inline>
        </w:drawing>
      </w:r>
    </w:p>
    <w:p w:rsidR="008258F5" w:rsidRPr="00EE27BA" w:rsidRDefault="008258F5" w:rsidP="008258F5">
      <w:pPr>
        <w:spacing w:line="240" w:lineRule="auto"/>
        <w:jc w:val="both"/>
        <w:rPr>
          <w:rFonts w:ascii="Times New Roman" w:hAnsi="Times New Roman" w:cs="Times New Roman"/>
          <w:b/>
          <w:sz w:val="24"/>
          <w:szCs w:val="24"/>
        </w:rPr>
      </w:pPr>
      <w:r w:rsidRPr="00EE27BA">
        <w:rPr>
          <w:rFonts w:ascii="Times New Roman" w:hAnsi="Times New Roman" w:cs="Times New Roman"/>
          <w:b/>
          <w:sz w:val="24"/>
          <w:szCs w:val="24"/>
        </w:rPr>
        <w:t>La repuesta del BCE a la crisis financiera (desde el otoño de 2008)</w:t>
      </w:r>
    </w:p>
    <w:p w:rsidR="008258F5" w:rsidRPr="00DC47E9" w:rsidRDefault="008258F5" w:rsidP="008258F5">
      <w:pPr>
        <w:spacing w:line="240" w:lineRule="auto"/>
        <w:jc w:val="both"/>
        <w:rPr>
          <w:rFonts w:ascii="Times New Roman" w:hAnsi="Times New Roman" w:cs="Times New Roman"/>
          <w:sz w:val="24"/>
          <w:szCs w:val="24"/>
          <w:u w:val="single"/>
        </w:rPr>
      </w:pPr>
      <w:r w:rsidRPr="00DC47E9">
        <w:rPr>
          <w:rFonts w:ascii="Times New Roman" w:hAnsi="Times New Roman" w:cs="Times New Roman"/>
          <w:sz w:val="24"/>
          <w:szCs w:val="24"/>
          <w:u w:val="single"/>
        </w:rPr>
        <w:t>Tras la quiebra de la institución financiera estadounidense Lehman Brothers el 15 de septiembre de 2008, las turbulencias financieras se convirtieron en una crisis financiera y económica global. La creciente incertidumbre sobre la salud financiera de la mayor parte de las principales entidades de crédito de todo el mundo colapsó la actividad en un gran número de segmentos de los mercados financieros. La crisis también empezó a propagarse al sector real, observándose un deterioro rápido y sincronizado de la situación económica en la mayoría de las principales economías y una caída en picado del comercio mundial.</w:t>
      </w:r>
    </w:p>
    <w:p w:rsidR="008258F5" w:rsidRPr="00DC47E9" w:rsidRDefault="008258F5" w:rsidP="008258F5">
      <w:pPr>
        <w:spacing w:line="240" w:lineRule="auto"/>
        <w:jc w:val="both"/>
        <w:rPr>
          <w:rFonts w:ascii="Times New Roman" w:hAnsi="Times New Roman" w:cs="Times New Roman"/>
          <w:sz w:val="24"/>
          <w:szCs w:val="24"/>
          <w:u w:val="single"/>
        </w:rPr>
      </w:pPr>
      <w:r w:rsidRPr="00DC47E9">
        <w:rPr>
          <w:rFonts w:ascii="Times New Roman" w:hAnsi="Times New Roman" w:cs="Times New Roman"/>
          <w:sz w:val="24"/>
          <w:szCs w:val="24"/>
          <w:u w:val="single"/>
        </w:rPr>
        <w:t>El BCE, como otros importantes bancos centrales, redujo sus tipos de interés oficiales hasta situarlos en niveles históricamente bajos y se embarcó en una serie de medidas de política monetaria no convencionales, con vistas a preservar la estabilidad de precios, estabilizar la situación financiera y limitar el contagio a la economía real.</w:t>
      </w:r>
    </w:p>
    <w:p w:rsidR="008258F5" w:rsidRPr="00EE27BA" w:rsidRDefault="008258F5" w:rsidP="008258F5">
      <w:pPr>
        <w:spacing w:line="240" w:lineRule="auto"/>
        <w:jc w:val="both"/>
        <w:rPr>
          <w:rFonts w:ascii="Times New Roman" w:hAnsi="Times New Roman" w:cs="Times New Roman"/>
          <w:sz w:val="24"/>
          <w:szCs w:val="24"/>
        </w:rPr>
      </w:pPr>
      <w:r w:rsidRPr="00EE27BA">
        <w:rPr>
          <w:rFonts w:ascii="Times New Roman" w:hAnsi="Times New Roman" w:cs="Times New Roman"/>
          <w:sz w:val="24"/>
          <w:szCs w:val="24"/>
        </w:rPr>
        <w:t>En lo que se refiere a la ejecución norma</w:t>
      </w:r>
      <w:r>
        <w:rPr>
          <w:rFonts w:ascii="Times New Roman" w:hAnsi="Times New Roman" w:cs="Times New Roman"/>
          <w:sz w:val="24"/>
          <w:szCs w:val="24"/>
        </w:rPr>
        <w:t xml:space="preserve">l </w:t>
      </w:r>
      <w:r w:rsidRPr="00EE27BA">
        <w:rPr>
          <w:rFonts w:ascii="Times New Roman" w:hAnsi="Times New Roman" w:cs="Times New Roman"/>
          <w:sz w:val="24"/>
          <w:szCs w:val="24"/>
        </w:rPr>
        <w:t>de l</w:t>
      </w:r>
      <w:r>
        <w:rPr>
          <w:rFonts w:ascii="Times New Roman" w:hAnsi="Times New Roman" w:cs="Times New Roman"/>
          <w:sz w:val="24"/>
          <w:szCs w:val="24"/>
        </w:rPr>
        <w:t xml:space="preserve">a política monetaria, en primer </w:t>
      </w:r>
      <w:r w:rsidRPr="00EE27BA">
        <w:rPr>
          <w:rFonts w:ascii="Times New Roman" w:hAnsi="Times New Roman" w:cs="Times New Roman"/>
          <w:sz w:val="24"/>
          <w:szCs w:val="24"/>
        </w:rPr>
        <w:t xml:space="preserve">lugar el </w:t>
      </w:r>
      <w:r>
        <w:rPr>
          <w:rFonts w:ascii="Times New Roman" w:hAnsi="Times New Roman" w:cs="Times New Roman"/>
          <w:sz w:val="24"/>
          <w:szCs w:val="24"/>
        </w:rPr>
        <w:t xml:space="preserve">BCE redujo los tipos de interés </w:t>
      </w:r>
      <w:r w:rsidRPr="00EE27BA">
        <w:rPr>
          <w:rFonts w:ascii="Times New Roman" w:hAnsi="Times New Roman" w:cs="Times New Roman"/>
          <w:sz w:val="24"/>
          <w:szCs w:val="24"/>
        </w:rPr>
        <w:t>ofic</w:t>
      </w:r>
      <w:r>
        <w:rPr>
          <w:rFonts w:ascii="Times New Roman" w:hAnsi="Times New Roman" w:cs="Times New Roman"/>
          <w:sz w:val="24"/>
          <w:szCs w:val="24"/>
        </w:rPr>
        <w:t xml:space="preserve">iales 50 puntos básicos el 8 de </w:t>
      </w:r>
      <w:r w:rsidRPr="00EE27BA">
        <w:rPr>
          <w:rFonts w:ascii="Times New Roman" w:hAnsi="Times New Roman" w:cs="Times New Roman"/>
          <w:sz w:val="24"/>
          <w:szCs w:val="24"/>
        </w:rPr>
        <w:t>octubre</w:t>
      </w:r>
      <w:r>
        <w:rPr>
          <w:rFonts w:ascii="Times New Roman" w:hAnsi="Times New Roman" w:cs="Times New Roman"/>
          <w:sz w:val="24"/>
          <w:szCs w:val="24"/>
        </w:rPr>
        <w:t xml:space="preserve"> de 2008 en un acción histórica </w:t>
      </w:r>
      <w:r w:rsidRPr="00EE27BA">
        <w:rPr>
          <w:rFonts w:ascii="Times New Roman" w:hAnsi="Times New Roman" w:cs="Times New Roman"/>
          <w:sz w:val="24"/>
          <w:szCs w:val="24"/>
        </w:rPr>
        <w:t>de con</w:t>
      </w:r>
      <w:r>
        <w:rPr>
          <w:rFonts w:ascii="Times New Roman" w:hAnsi="Times New Roman" w:cs="Times New Roman"/>
          <w:sz w:val="24"/>
          <w:szCs w:val="24"/>
        </w:rPr>
        <w:t xml:space="preserve">certación con otros importantes </w:t>
      </w:r>
      <w:r w:rsidRPr="00EE27BA">
        <w:rPr>
          <w:rFonts w:ascii="Times New Roman" w:hAnsi="Times New Roman" w:cs="Times New Roman"/>
          <w:sz w:val="24"/>
          <w:szCs w:val="24"/>
        </w:rPr>
        <w:t xml:space="preserve">bancos </w:t>
      </w:r>
      <w:r>
        <w:rPr>
          <w:rFonts w:ascii="Times New Roman" w:hAnsi="Times New Roman" w:cs="Times New Roman"/>
          <w:sz w:val="24"/>
          <w:szCs w:val="24"/>
        </w:rPr>
        <w:t xml:space="preserve">centrales, a saber, el Banco de </w:t>
      </w:r>
      <w:r w:rsidRPr="00EE27BA">
        <w:rPr>
          <w:rFonts w:ascii="Times New Roman" w:hAnsi="Times New Roman" w:cs="Times New Roman"/>
          <w:sz w:val="24"/>
          <w:szCs w:val="24"/>
        </w:rPr>
        <w:t>Canadá, el Bank of Englan</w:t>
      </w:r>
      <w:r>
        <w:rPr>
          <w:rFonts w:ascii="Times New Roman" w:hAnsi="Times New Roman" w:cs="Times New Roman"/>
          <w:sz w:val="24"/>
          <w:szCs w:val="24"/>
        </w:rPr>
        <w:t xml:space="preserve">d, la Reserva </w:t>
      </w:r>
      <w:r w:rsidRPr="00EE27BA">
        <w:rPr>
          <w:rFonts w:ascii="Times New Roman" w:hAnsi="Times New Roman" w:cs="Times New Roman"/>
          <w:sz w:val="24"/>
          <w:szCs w:val="24"/>
        </w:rPr>
        <w:t>Fed</w:t>
      </w:r>
      <w:r>
        <w:rPr>
          <w:rFonts w:ascii="Times New Roman" w:hAnsi="Times New Roman" w:cs="Times New Roman"/>
          <w:sz w:val="24"/>
          <w:szCs w:val="24"/>
        </w:rPr>
        <w:t xml:space="preserve">eral, el Sveriges Riksbank y el </w:t>
      </w:r>
      <w:r w:rsidRPr="00EE27BA">
        <w:rPr>
          <w:rFonts w:ascii="Times New Roman" w:hAnsi="Times New Roman" w:cs="Times New Roman"/>
          <w:sz w:val="24"/>
          <w:szCs w:val="24"/>
        </w:rPr>
        <w:t>Banco Nac</w:t>
      </w:r>
      <w:r>
        <w:rPr>
          <w:rFonts w:ascii="Times New Roman" w:hAnsi="Times New Roman" w:cs="Times New Roman"/>
          <w:sz w:val="24"/>
          <w:szCs w:val="24"/>
        </w:rPr>
        <w:t xml:space="preserve">ional de Suiza. Posteriormente, teniendo en cuenta la debilidad </w:t>
      </w:r>
      <w:r w:rsidRPr="00EE27BA">
        <w:rPr>
          <w:rFonts w:ascii="Times New Roman" w:hAnsi="Times New Roman" w:cs="Times New Roman"/>
          <w:sz w:val="24"/>
          <w:szCs w:val="24"/>
        </w:rPr>
        <w:t>de l</w:t>
      </w:r>
      <w:r>
        <w:rPr>
          <w:rFonts w:ascii="Times New Roman" w:hAnsi="Times New Roman" w:cs="Times New Roman"/>
          <w:sz w:val="24"/>
          <w:szCs w:val="24"/>
        </w:rPr>
        <w:t xml:space="preserve">as perspectivas económicas y la </w:t>
      </w:r>
      <w:r w:rsidRPr="00EE27BA">
        <w:rPr>
          <w:rFonts w:ascii="Times New Roman" w:hAnsi="Times New Roman" w:cs="Times New Roman"/>
          <w:sz w:val="24"/>
          <w:szCs w:val="24"/>
        </w:rPr>
        <w:t>significa</w:t>
      </w:r>
      <w:r>
        <w:rPr>
          <w:rFonts w:ascii="Times New Roman" w:hAnsi="Times New Roman" w:cs="Times New Roman"/>
          <w:sz w:val="24"/>
          <w:szCs w:val="24"/>
        </w:rPr>
        <w:t xml:space="preserve">tiva disminución de los riesgos </w:t>
      </w:r>
      <w:r w:rsidRPr="00EE27BA">
        <w:rPr>
          <w:rFonts w:ascii="Times New Roman" w:hAnsi="Times New Roman" w:cs="Times New Roman"/>
          <w:sz w:val="24"/>
          <w:szCs w:val="24"/>
        </w:rPr>
        <w:t>al alza pa</w:t>
      </w:r>
      <w:r>
        <w:rPr>
          <w:rFonts w:ascii="Times New Roman" w:hAnsi="Times New Roman" w:cs="Times New Roman"/>
          <w:sz w:val="24"/>
          <w:szCs w:val="24"/>
        </w:rPr>
        <w:t xml:space="preserve">ra la estabilidad de precios en </w:t>
      </w:r>
      <w:r w:rsidRPr="00EE27BA">
        <w:rPr>
          <w:rFonts w:ascii="Times New Roman" w:hAnsi="Times New Roman" w:cs="Times New Roman"/>
          <w:sz w:val="24"/>
          <w:szCs w:val="24"/>
        </w:rPr>
        <w:t>el medi</w:t>
      </w:r>
      <w:r>
        <w:rPr>
          <w:rFonts w:ascii="Times New Roman" w:hAnsi="Times New Roman" w:cs="Times New Roman"/>
          <w:sz w:val="24"/>
          <w:szCs w:val="24"/>
        </w:rPr>
        <w:t xml:space="preserve">o plazo, el Consejo de Gobierno </w:t>
      </w:r>
      <w:r w:rsidRPr="00EE27BA">
        <w:rPr>
          <w:rFonts w:ascii="Times New Roman" w:hAnsi="Times New Roman" w:cs="Times New Roman"/>
          <w:sz w:val="24"/>
          <w:szCs w:val="24"/>
        </w:rPr>
        <w:t xml:space="preserve">volvió </w:t>
      </w:r>
      <w:r>
        <w:rPr>
          <w:rFonts w:ascii="Times New Roman" w:hAnsi="Times New Roman" w:cs="Times New Roman"/>
          <w:sz w:val="24"/>
          <w:szCs w:val="24"/>
        </w:rPr>
        <w:t xml:space="preserve">a recortar los tipos de interés </w:t>
      </w:r>
      <w:r w:rsidRPr="00EE27BA">
        <w:rPr>
          <w:rFonts w:ascii="Times New Roman" w:hAnsi="Times New Roman" w:cs="Times New Roman"/>
          <w:sz w:val="24"/>
          <w:szCs w:val="24"/>
        </w:rPr>
        <w:t>oficiales. El</w:t>
      </w:r>
      <w:r>
        <w:rPr>
          <w:rFonts w:ascii="Times New Roman" w:hAnsi="Times New Roman" w:cs="Times New Roman"/>
          <w:sz w:val="24"/>
          <w:szCs w:val="24"/>
        </w:rPr>
        <w:t xml:space="preserve"> tipo principal </w:t>
      </w:r>
      <w:r>
        <w:rPr>
          <w:rFonts w:ascii="Times New Roman" w:hAnsi="Times New Roman" w:cs="Times New Roman"/>
          <w:sz w:val="24"/>
          <w:szCs w:val="24"/>
        </w:rPr>
        <w:lastRenderedPageBreak/>
        <w:t xml:space="preserve">de financiación </w:t>
      </w:r>
      <w:r w:rsidRPr="00EE27BA">
        <w:rPr>
          <w:rFonts w:ascii="Times New Roman" w:hAnsi="Times New Roman" w:cs="Times New Roman"/>
          <w:sz w:val="24"/>
          <w:szCs w:val="24"/>
        </w:rPr>
        <w:t>s</w:t>
      </w:r>
      <w:r>
        <w:rPr>
          <w:rFonts w:ascii="Times New Roman" w:hAnsi="Times New Roman" w:cs="Times New Roman"/>
          <w:sz w:val="24"/>
          <w:szCs w:val="24"/>
        </w:rPr>
        <w:t xml:space="preserve">e redujo un total de 325 puntos </w:t>
      </w:r>
      <w:r w:rsidRPr="00EE27BA">
        <w:rPr>
          <w:rFonts w:ascii="Times New Roman" w:hAnsi="Times New Roman" w:cs="Times New Roman"/>
          <w:sz w:val="24"/>
          <w:szCs w:val="24"/>
        </w:rPr>
        <w:t>básic</w:t>
      </w:r>
      <w:r>
        <w:rPr>
          <w:rFonts w:ascii="Times New Roman" w:hAnsi="Times New Roman" w:cs="Times New Roman"/>
          <w:sz w:val="24"/>
          <w:szCs w:val="24"/>
        </w:rPr>
        <w:t xml:space="preserve">os, hasta el 1 %, en un período </w:t>
      </w:r>
      <w:r w:rsidRPr="00EE27BA">
        <w:rPr>
          <w:rFonts w:ascii="Times New Roman" w:hAnsi="Times New Roman" w:cs="Times New Roman"/>
          <w:sz w:val="24"/>
          <w:szCs w:val="24"/>
        </w:rPr>
        <w:t>de tan so</w:t>
      </w:r>
      <w:r>
        <w:rPr>
          <w:rFonts w:ascii="Times New Roman" w:hAnsi="Times New Roman" w:cs="Times New Roman"/>
          <w:sz w:val="24"/>
          <w:szCs w:val="24"/>
        </w:rPr>
        <w:t xml:space="preserve">lo siete meses, es decir, entre </w:t>
      </w:r>
      <w:r w:rsidRPr="00EE27BA">
        <w:rPr>
          <w:rFonts w:ascii="Times New Roman" w:hAnsi="Times New Roman" w:cs="Times New Roman"/>
          <w:sz w:val="24"/>
          <w:szCs w:val="24"/>
        </w:rPr>
        <w:t>octubre de 2008 y mayo</w:t>
      </w:r>
      <w:r>
        <w:rPr>
          <w:rFonts w:ascii="Times New Roman" w:hAnsi="Times New Roman" w:cs="Times New Roman"/>
          <w:sz w:val="24"/>
          <w:szCs w:val="24"/>
        </w:rPr>
        <w:t xml:space="preserve"> de 2009 (véase </w:t>
      </w:r>
      <w:r w:rsidRPr="00EE27BA">
        <w:rPr>
          <w:rFonts w:ascii="Times New Roman" w:hAnsi="Times New Roman" w:cs="Times New Roman"/>
          <w:sz w:val="24"/>
          <w:szCs w:val="24"/>
        </w:rPr>
        <w:t>gráfico 5.1).</w:t>
      </w:r>
    </w:p>
    <w:p w:rsidR="008258F5" w:rsidRPr="00EE27BA" w:rsidRDefault="008258F5" w:rsidP="008258F5">
      <w:pPr>
        <w:spacing w:line="240" w:lineRule="auto"/>
        <w:jc w:val="both"/>
        <w:rPr>
          <w:rFonts w:ascii="Times New Roman" w:hAnsi="Times New Roman" w:cs="Times New Roman"/>
          <w:sz w:val="24"/>
          <w:szCs w:val="24"/>
        </w:rPr>
      </w:pPr>
      <w:r w:rsidRPr="00EE27BA">
        <w:rPr>
          <w:rFonts w:ascii="Times New Roman" w:hAnsi="Times New Roman" w:cs="Times New Roman"/>
          <w:sz w:val="24"/>
          <w:szCs w:val="24"/>
        </w:rPr>
        <w:t>Al mismo</w:t>
      </w:r>
      <w:r>
        <w:rPr>
          <w:rFonts w:ascii="Times New Roman" w:hAnsi="Times New Roman" w:cs="Times New Roman"/>
          <w:sz w:val="24"/>
          <w:szCs w:val="24"/>
        </w:rPr>
        <w:t xml:space="preserve"> tiempo, y en plena consonancia con el objetivo primordial de </w:t>
      </w:r>
      <w:r w:rsidRPr="00EE27BA">
        <w:rPr>
          <w:rFonts w:ascii="Times New Roman" w:hAnsi="Times New Roman" w:cs="Times New Roman"/>
          <w:sz w:val="24"/>
          <w:szCs w:val="24"/>
        </w:rPr>
        <w:t>mant</w:t>
      </w:r>
      <w:r>
        <w:rPr>
          <w:rFonts w:ascii="Times New Roman" w:hAnsi="Times New Roman" w:cs="Times New Roman"/>
          <w:sz w:val="24"/>
          <w:szCs w:val="24"/>
        </w:rPr>
        <w:t xml:space="preserve">ener la estabilidad de precios, </w:t>
      </w:r>
      <w:r w:rsidRPr="00EE27BA">
        <w:rPr>
          <w:rFonts w:ascii="Times New Roman" w:hAnsi="Times New Roman" w:cs="Times New Roman"/>
          <w:sz w:val="24"/>
          <w:szCs w:val="24"/>
        </w:rPr>
        <w:t>el</w:t>
      </w:r>
      <w:r>
        <w:rPr>
          <w:rFonts w:ascii="Times New Roman" w:hAnsi="Times New Roman" w:cs="Times New Roman"/>
          <w:sz w:val="24"/>
          <w:szCs w:val="24"/>
        </w:rPr>
        <w:t xml:space="preserve"> Consejo de Gobierno adoptó una </w:t>
      </w:r>
      <w:r w:rsidRPr="00EE27BA">
        <w:rPr>
          <w:rFonts w:ascii="Times New Roman" w:hAnsi="Times New Roman" w:cs="Times New Roman"/>
          <w:sz w:val="24"/>
          <w:szCs w:val="24"/>
        </w:rPr>
        <w:t>ser</w:t>
      </w:r>
      <w:r>
        <w:rPr>
          <w:rFonts w:ascii="Times New Roman" w:hAnsi="Times New Roman" w:cs="Times New Roman"/>
          <w:sz w:val="24"/>
          <w:szCs w:val="24"/>
        </w:rPr>
        <w:t xml:space="preserve">ie de medidas no convencionales </w:t>
      </w:r>
      <w:r w:rsidRPr="00EE27BA">
        <w:rPr>
          <w:rFonts w:ascii="Times New Roman" w:hAnsi="Times New Roman" w:cs="Times New Roman"/>
          <w:sz w:val="24"/>
          <w:szCs w:val="24"/>
        </w:rPr>
        <w:t>de carác</w:t>
      </w:r>
      <w:r>
        <w:rPr>
          <w:rFonts w:ascii="Times New Roman" w:hAnsi="Times New Roman" w:cs="Times New Roman"/>
          <w:sz w:val="24"/>
          <w:szCs w:val="24"/>
        </w:rPr>
        <w:t xml:space="preserve">ter transitorio para apoyar las </w:t>
      </w:r>
      <w:r w:rsidRPr="00EE27BA">
        <w:rPr>
          <w:rFonts w:ascii="Times New Roman" w:hAnsi="Times New Roman" w:cs="Times New Roman"/>
          <w:sz w:val="24"/>
          <w:szCs w:val="24"/>
        </w:rPr>
        <w:t>condiciones</w:t>
      </w:r>
      <w:r>
        <w:rPr>
          <w:rFonts w:ascii="Times New Roman" w:hAnsi="Times New Roman" w:cs="Times New Roman"/>
          <w:sz w:val="24"/>
          <w:szCs w:val="24"/>
        </w:rPr>
        <w:t xml:space="preserve"> de financiación y los flujos </w:t>
      </w:r>
      <w:r w:rsidRPr="00EE27BA">
        <w:rPr>
          <w:rFonts w:ascii="Times New Roman" w:hAnsi="Times New Roman" w:cs="Times New Roman"/>
          <w:sz w:val="24"/>
          <w:szCs w:val="24"/>
        </w:rPr>
        <w:t>de c</w:t>
      </w:r>
      <w:r>
        <w:rPr>
          <w:rFonts w:ascii="Times New Roman" w:hAnsi="Times New Roman" w:cs="Times New Roman"/>
          <w:sz w:val="24"/>
          <w:szCs w:val="24"/>
        </w:rPr>
        <w:t xml:space="preserve">rédito a la economía de la zona </w:t>
      </w:r>
      <w:r w:rsidRPr="00EE27BA">
        <w:rPr>
          <w:rFonts w:ascii="Times New Roman" w:hAnsi="Times New Roman" w:cs="Times New Roman"/>
          <w:sz w:val="24"/>
          <w:szCs w:val="24"/>
        </w:rPr>
        <w:t>del</w:t>
      </w:r>
      <w:r>
        <w:rPr>
          <w:rFonts w:ascii="Times New Roman" w:hAnsi="Times New Roman" w:cs="Times New Roman"/>
          <w:sz w:val="24"/>
          <w:szCs w:val="24"/>
        </w:rPr>
        <w:t xml:space="preserve"> euro en mayor medida de lo que </w:t>
      </w:r>
      <w:r w:rsidRPr="00EE27BA">
        <w:rPr>
          <w:rFonts w:ascii="Times New Roman" w:hAnsi="Times New Roman" w:cs="Times New Roman"/>
          <w:sz w:val="24"/>
          <w:szCs w:val="24"/>
        </w:rPr>
        <w:t>podría logr</w:t>
      </w:r>
      <w:r>
        <w:rPr>
          <w:rFonts w:ascii="Times New Roman" w:hAnsi="Times New Roman" w:cs="Times New Roman"/>
          <w:sz w:val="24"/>
          <w:szCs w:val="24"/>
        </w:rPr>
        <w:t>arse solamente con la reducción de los tipos de interés ofi</w:t>
      </w:r>
      <w:r w:rsidRPr="00EE27BA">
        <w:rPr>
          <w:rFonts w:ascii="Times New Roman" w:hAnsi="Times New Roman" w:cs="Times New Roman"/>
          <w:sz w:val="24"/>
          <w:szCs w:val="24"/>
        </w:rPr>
        <w:t>ciales.</w:t>
      </w:r>
      <w:r>
        <w:rPr>
          <w:rFonts w:ascii="Times New Roman" w:hAnsi="Times New Roman" w:cs="Times New Roman"/>
          <w:sz w:val="24"/>
          <w:szCs w:val="24"/>
        </w:rPr>
        <w:t xml:space="preserve"> Si no se hubieran abordado los </w:t>
      </w:r>
      <w:r w:rsidRPr="00EE27BA">
        <w:rPr>
          <w:rFonts w:ascii="Times New Roman" w:hAnsi="Times New Roman" w:cs="Times New Roman"/>
          <w:sz w:val="24"/>
          <w:szCs w:val="24"/>
        </w:rPr>
        <w:t>persist</w:t>
      </w:r>
      <w:r>
        <w:rPr>
          <w:rFonts w:ascii="Times New Roman" w:hAnsi="Times New Roman" w:cs="Times New Roman"/>
          <w:sz w:val="24"/>
          <w:szCs w:val="24"/>
        </w:rPr>
        <w:t xml:space="preserve">entes problemas de financiación </w:t>
      </w:r>
      <w:r w:rsidRPr="00EE27BA">
        <w:rPr>
          <w:rFonts w:ascii="Times New Roman" w:hAnsi="Times New Roman" w:cs="Times New Roman"/>
          <w:sz w:val="24"/>
          <w:szCs w:val="24"/>
        </w:rPr>
        <w:t>de las</w:t>
      </w:r>
      <w:r>
        <w:rPr>
          <w:rFonts w:ascii="Times New Roman" w:hAnsi="Times New Roman" w:cs="Times New Roman"/>
          <w:sz w:val="24"/>
          <w:szCs w:val="24"/>
        </w:rPr>
        <w:t xml:space="preserve"> instituciones financieras, el </w:t>
      </w:r>
      <w:r w:rsidRPr="00EE27BA">
        <w:rPr>
          <w:rFonts w:ascii="Times New Roman" w:hAnsi="Times New Roman" w:cs="Times New Roman"/>
          <w:sz w:val="24"/>
          <w:szCs w:val="24"/>
        </w:rPr>
        <w:t xml:space="preserve">BCE </w:t>
      </w:r>
      <w:r>
        <w:rPr>
          <w:rFonts w:ascii="Times New Roman" w:hAnsi="Times New Roman" w:cs="Times New Roman"/>
          <w:sz w:val="24"/>
          <w:szCs w:val="24"/>
        </w:rPr>
        <w:t xml:space="preserve">habría corrido el riesgo de que </w:t>
      </w:r>
      <w:r w:rsidRPr="00EE27BA">
        <w:rPr>
          <w:rFonts w:ascii="Times New Roman" w:hAnsi="Times New Roman" w:cs="Times New Roman"/>
          <w:sz w:val="24"/>
          <w:szCs w:val="24"/>
        </w:rPr>
        <w:t xml:space="preserve">los </w:t>
      </w:r>
      <w:r>
        <w:rPr>
          <w:rFonts w:ascii="Times New Roman" w:hAnsi="Times New Roman" w:cs="Times New Roman"/>
          <w:sz w:val="24"/>
          <w:szCs w:val="24"/>
        </w:rPr>
        <w:t xml:space="preserve">cambios efectuados en los tipos </w:t>
      </w:r>
      <w:r w:rsidRPr="00EE27BA">
        <w:rPr>
          <w:rFonts w:ascii="Times New Roman" w:hAnsi="Times New Roman" w:cs="Times New Roman"/>
          <w:sz w:val="24"/>
          <w:szCs w:val="24"/>
        </w:rPr>
        <w:t>de interés oficiales h</w:t>
      </w:r>
      <w:r>
        <w:rPr>
          <w:rFonts w:ascii="Times New Roman" w:hAnsi="Times New Roman" w:cs="Times New Roman"/>
          <w:sz w:val="24"/>
          <w:szCs w:val="24"/>
        </w:rPr>
        <w:t xml:space="preserve">ubieran sido significativamente menos efectivos que </w:t>
      </w:r>
      <w:r w:rsidRPr="00EE27BA">
        <w:rPr>
          <w:rFonts w:ascii="Times New Roman" w:hAnsi="Times New Roman" w:cs="Times New Roman"/>
          <w:sz w:val="24"/>
          <w:szCs w:val="24"/>
        </w:rPr>
        <w:t>en ép</w:t>
      </w:r>
      <w:r>
        <w:rPr>
          <w:rFonts w:ascii="Times New Roman" w:hAnsi="Times New Roman" w:cs="Times New Roman"/>
          <w:sz w:val="24"/>
          <w:szCs w:val="24"/>
        </w:rPr>
        <w:t xml:space="preserve">ocas normales. Estas medidas se </w:t>
      </w:r>
      <w:r w:rsidRPr="00EE27BA">
        <w:rPr>
          <w:rFonts w:ascii="Times New Roman" w:hAnsi="Times New Roman" w:cs="Times New Roman"/>
          <w:sz w:val="24"/>
          <w:szCs w:val="24"/>
        </w:rPr>
        <w:t>d</w:t>
      </w:r>
      <w:r>
        <w:rPr>
          <w:rFonts w:ascii="Times New Roman" w:hAnsi="Times New Roman" w:cs="Times New Roman"/>
          <w:sz w:val="24"/>
          <w:szCs w:val="24"/>
        </w:rPr>
        <w:t xml:space="preserve">enominaron posteriormente apoyo </w:t>
      </w:r>
      <w:r w:rsidRPr="00EE27BA">
        <w:rPr>
          <w:rFonts w:ascii="Times New Roman" w:hAnsi="Times New Roman" w:cs="Times New Roman"/>
          <w:sz w:val="24"/>
          <w:szCs w:val="24"/>
        </w:rPr>
        <w:t>al crédito,</w:t>
      </w:r>
      <w:r>
        <w:rPr>
          <w:rFonts w:ascii="Times New Roman" w:hAnsi="Times New Roman" w:cs="Times New Roman"/>
          <w:sz w:val="24"/>
          <w:szCs w:val="24"/>
        </w:rPr>
        <w:t xml:space="preserve"> y constaron de cinco elementos clave, que se describen en el </w:t>
      </w:r>
      <w:r w:rsidRPr="00EE27BA">
        <w:rPr>
          <w:rFonts w:ascii="Times New Roman" w:hAnsi="Times New Roman" w:cs="Times New Roman"/>
          <w:sz w:val="24"/>
          <w:szCs w:val="24"/>
        </w:rPr>
        <w:t>recuadro 5.1.</w:t>
      </w:r>
    </w:p>
    <w:p w:rsidR="008258F5" w:rsidRDefault="008258F5" w:rsidP="008258F5">
      <w:pPr>
        <w:spacing w:line="240" w:lineRule="auto"/>
        <w:jc w:val="both"/>
        <w:rPr>
          <w:rFonts w:ascii="Times New Roman" w:hAnsi="Times New Roman" w:cs="Times New Roman"/>
          <w:sz w:val="24"/>
          <w:szCs w:val="24"/>
        </w:rPr>
      </w:pPr>
      <w:r w:rsidRPr="00DC47E9">
        <w:rPr>
          <w:rFonts w:ascii="Times New Roman" w:hAnsi="Times New Roman" w:cs="Times New Roman"/>
          <w:sz w:val="24"/>
          <w:szCs w:val="24"/>
          <w:u w:val="single"/>
        </w:rPr>
        <w:t>A lo largo de 2009 se observaron señales crecientes de mejora en la situación de los mercados financieros, aunque seguía reinando la incertidumbre</w:t>
      </w:r>
      <w:r>
        <w:rPr>
          <w:rFonts w:ascii="Times New Roman" w:hAnsi="Times New Roman" w:cs="Times New Roman"/>
          <w:sz w:val="24"/>
          <w:szCs w:val="24"/>
        </w:rPr>
        <w:t xml:space="preserve">. Así </w:t>
      </w:r>
      <w:r w:rsidRPr="00EE27BA">
        <w:rPr>
          <w:rFonts w:ascii="Times New Roman" w:hAnsi="Times New Roman" w:cs="Times New Roman"/>
          <w:sz w:val="24"/>
          <w:szCs w:val="24"/>
        </w:rPr>
        <w:t>pues, en línea co</w:t>
      </w:r>
      <w:r>
        <w:rPr>
          <w:rFonts w:ascii="Times New Roman" w:hAnsi="Times New Roman" w:cs="Times New Roman"/>
          <w:sz w:val="24"/>
          <w:szCs w:val="24"/>
        </w:rPr>
        <w:t xml:space="preserve">n su estrategia de salida, en diciembre </w:t>
      </w:r>
      <w:r w:rsidRPr="00EE27BA">
        <w:rPr>
          <w:rFonts w:ascii="Times New Roman" w:hAnsi="Times New Roman" w:cs="Times New Roman"/>
          <w:sz w:val="24"/>
          <w:szCs w:val="24"/>
        </w:rPr>
        <w:t>de 200</w:t>
      </w:r>
      <w:r>
        <w:rPr>
          <w:rFonts w:ascii="Times New Roman" w:hAnsi="Times New Roman" w:cs="Times New Roman"/>
          <w:sz w:val="24"/>
          <w:szCs w:val="24"/>
        </w:rPr>
        <w:t xml:space="preserve">9 el Consejo de Gobierno inició </w:t>
      </w:r>
      <w:r w:rsidRPr="00EE27BA">
        <w:rPr>
          <w:rFonts w:ascii="Times New Roman" w:hAnsi="Times New Roman" w:cs="Times New Roman"/>
          <w:sz w:val="24"/>
          <w:szCs w:val="24"/>
        </w:rPr>
        <w:t>una ret</w:t>
      </w:r>
      <w:r>
        <w:rPr>
          <w:rFonts w:ascii="Times New Roman" w:hAnsi="Times New Roman" w:cs="Times New Roman"/>
          <w:sz w:val="24"/>
          <w:szCs w:val="24"/>
        </w:rPr>
        <w:t xml:space="preserve">irada gradual de las medidas no </w:t>
      </w:r>
      <w:r w:rsidRPr="00EE27BA">
        <w:rPr>
          <w:rFonts w:ascii="Times New Roman" w:hAnsi="Times New Roman" w:cs="Times New Roman"/>
          <w:sz w:val="24"/>
          <w:szCs w:val="24"/>
        </w:rPr>
        <w:t>conv</w:t>
      </w:r>
      <w:r>
        <w:rPr>
          <w:rFonts w:ascii="Times New Roman" w:hAnsi="Times New Roman" w:cs="Times New Roman"/>
          <w:sz w:val="24"/>
          <w:szCs w:val="24"/>
        </w:rPr>
        <w:t xml:space="preserve">encionales que habían dejado de </w:t>
      </w:r>
      <w:r w:rsidRPr="00EE27BA">
        <w:rPr>
          <w:rFonts w:ascii="Times New Roman" w:hAnsi="Times New Roman" w:cs="Times New Roman"/>
          <w:sz w:val="24"/>
          <w:szCs w:val="24"/>
        </w:rPr>
        <w:t xml:space="preserve">ser </w:t>
      </w:r>
      <w:r>
        <w:rPr>
          <w:rFonts w:ascii="Times New Roman" w:hAnsi="Times New Roman" w:cs="Times New Roman"/>
          <w:sz w:val="24"/>
          <w:szCs w:val="24"/>
        </w:rPr>
        <w:t xml:space="preserve">necesarias, pero se mantuvieron </w:t>
      </w:r>
      <w:r w:rsidRPr="00EE27BA">
        <w:rPr>
          <w:rFonts w:ascii="Times New Roman" w:hAnsi="Times New Roman" w:cs="Times New Roman"/>
          <w:sz w:val="24"/>
          <w:szCs w:val="24"/>
        </w:rPr>
        <w:t xml:space="preserve">otros </w:t>
      </w:r>
      <w:r>
        <w:rPr>
          <w:rFonts w:ascii="Times New Roman" w:hAnsi="Times New Roman" w:cs="Times New Roman"/>
          <w:sz w:val="24"/>
          <w:szCs w:val="24"/>
        </w:rPr>
        <w:t xml:space="preserve">elementos del apoyo al crédito. </w:t>
      </w:r>
      <w:r w:rsidRPr="00EE27BA">
        <w:rPr>
          <w:rFonts w:ascii="Times New Roman" w:hAnsi="Times New Roman" w:cs="Times New Roman"/>
          <w:sz w:val="24"/>
          <w:szCs w:val="24"/>
        </w:rPr>
        <w:t>Concretam</w:t>
      </w:r>
      <w:r>
        <w:rPr>
          <w:rFonts w:ascii="Times New Roman" w:hAnsi="Times New Roman" w:cs="Times New Roman"/>
          <w:sz w:val="24"/>
          <w:szCs w:val="24"/>
        </w:rPr>
        <w:t xml:space="preserve">ente, se anunció el fin de las </w:t>
      </w:r>
      <w:r w:rsidRPr="00EE27BA">
        <w:rPr>
          <w:rFonts w:ascii="Times New Roman" w:hAnsi="Times New Roman" w:cs="Times New Roman"/>
          <w:sz w:val="24"/>
          <w:szCs w:val="24"/>
        </w:rPr>
        <w:t>operac</w:t>
      </w:r>
      <w:r>
        <w:rPr>
          <w:rFonts w:ascii="Times New Roman" w:hAnsi="Times New Roman" w:cs="Times New Roman"/>
          <w:sz w:val="24"/>
          <w:szCs w:val="24"/>
        </w:rPr>
        <w:t xml:space="preserve">iones de financiación a un año, </w:t>
      </w:r>
      <w:r w:rsidRPr="00EE27BA">
        <w:rPr>
          <w:rFonts w:ascii="Times New Roman" w:hAnsi="Times New Roman" w:cs="Times New Roman"/>
          <w:sz w:val="24"/>
          <w:szCs w:val="24"/>
        </w:rPr>
        <w:t>despu</w:t>
      </w:r>
      <w:r>
        <w:rPr>
          <w:rFonts w:ascii="Times New Roman" w:hAnsi="Times New Roman" w:cs="Times New Roman"/>
          <w:sz w:val="24"/>
          <w:szCs w:val="24"/>
        </w:rPr>
        <w:t xml:space="preserve">és de que se hubieran efectuado </w:t>
      </w:r>
      <w:r w:rsidRPr="00EE27BA">
        <w:rPr>
          <w:rFonts w:ascii="Times New Roman" w:hAnsi="Times New Roman" w:cs="Times New Roman"/>
          <w:sz w:val="24"/>
          <w:szCs w:val="24"/>
        </w:rPr>
        <w:t>tres op</w:t>
      </w:r>
      <w:r>
        <w:rPr>
          <w:rFonts w:ascii="Times New Roman" w:hAnsi="Times New Roman" w:cs="Times New Roman"/>
          <w:sz w:val="24"/>
          <w:szCs w:val="24"/>
        </w:rPr>
        <w:t xml:space="preserve">eraciones de este tipo en 2009. </w:t>
      </w:r>
      <w:r w:rsidRPr="00EE27BA">
        <w:rPr>
          <w:rFonts w:ascii="Times New Roman" w:hAnsi="Times New Roman" w:cs="Times New Roman"/>
          <w:sz w:val="24"/>
          <w:szCs w:val="24"/>
        </w:rPr>
        <w:t>Tamb</w:t>
      </w:r>
      <w:r>
        <w:rPr>
          <w:rFonts w:ascii="Times New Roman" w:hAnsi="Times New Roman" w:cs="Times New Roman"/>
          <w:sz w:val="24"/>
          <w:szCs w:val="24"/>
        </w:rPr>
        <w:t xml:space="preserve">ién se retiraron otras medidas, </w:t>
      </w:r>
      <w:r w:rsidRPr="00EE27BA">
        <w:rPr>
          <w:rFonts w:ascii="Times New Roman" w:hAnsi="Times New Roman" w:cs="Times New Roman"/>
          <w:sz w:val="24"/>
          <w:szCs w:val="24"/>
        </w:rPr>
        <w:t xml:space="preserve">pero </w:t>
      </w:r>
      <w:r>
        <w:rPr>
          <w:rFonts w:ascii="Times New Roman" w:hAnsi="Times New Roman" w:cs="Times New Roman"/>
          <w:sz w:val="24"/>
          <w:szCs w:val="24"/>
        </w:rPr>
        <w:t xml:space="preserve">esta retirada no duró demasiado </w:t>
      </w:r>
      <w:r w:rsidRPr="00EE27BA">
        <w:rPr>
          <w:rFonts w:ascii="Times New Roman" w:hAnsi="Times New Roman" w:cs="Times New Roman"/>
          <w:sz w:val="24"/>
          <w:szCs w:val="24"/>
        </w:rPr>
        <w:t>debido</w:t>
      </w:r>
      <w:r>
        <w:rPr>
          <w:rFonts w:ascii="Times New Roman" w:hAnsi="Times New Roman" w:cs="Times New Roman"/>
          <w:sz w:val="24"/>
          <w:szCs w:val="24"/>
        </w:rPr>
        <w:t xml:space="preserve"> a la aparición subsiguiente de </w:t>
      </w:r>
      <w:r w:rsidRPr="00EE27BA">
        <w:rPr>
          <w:rFonts w:ascii="Times New Roman" w:hAnsi="Times New Roman" w:cs="Times New Roman"/>
          <w:sz w:val="24"/>
          <w:szCs w:val="24"/>
        </w:rPr>
        <w:t>tension</w:t>
      </w:r>
      <w:r>
        <w:rPr>
          <w:rFonts w:ascii="Times New Roman" w:hAnsi="Times New Roman" w:cs="Times New Roman"/>
          <w:sz w:val="24"/>
          <w:szCs w:val="24"/>
        </w:rPr>
        <w:t xml:space="preserve">es en algunos mercados de deuda </w:t>
      </w:r>
      <w:r w:rsidRPr="00EE27BA">
        <w:rPr>
          <w:rFonts w:ascii="Times New Roman" w:hAnsi="Times New Roman" w:cs="Times New Roman"/>
          <w:sz w:val="24"/>
          <w:szCs w:val="24"/>
        </w:rPr>
        <w:t>soberana.</w:t>
      </w:r>
    </w:p>
    <w:p w:rsidR="008258F5" w:rsidRDefault="008258F5" w:rsidP="008258F5">
      <w:pPr>
        <w:spacing w:line="240" w:lineRule="auto"/>
        <w:jc w:val="both"/>
        <w:rPr>
          <w:rFonts w:ascii="Times New Roman" w:hAnsi="Times New Roman" w:cs="Times New Roman"/>
          <w:sz w:val="24"/>
          <w:szCs w:val="24"/>
        </w:rPr>
      </w:pPr>
      <w:r w:rsidRPr="00DC47E9">
        <w:rPr>
          <w:rFonts w:ascii="Times New Roman" w:hAnsi="Times New Roman" w:cs="Times New Roman"/>
          <w:sz w:val="24"/>
          <w:szCs w:val="24"/>
          <w:u w:val="single"/>
        </w:rPr>
        <w:t>A principios de 2010 reaparecieron las tensiones en algunos segmentos de los mercados financieros, en particular en los mercados de deuda pública de algunos países de la zona del euro</w:t>
      </w:r>
      <w:r>
        <w:rPr>
          <w:rFonts w:ascii="Times New Roman" w:hAnsi="Times New Roman" w:cs="Times New Roman"/>
          <w:sz w:val="24"/>
          <w:szCs w:val="24"/>
        </w:rPr>
        <w:t xml:space="preserve">. Este hecho se debió, </w:t>
      </w:r>
      <w:r w:rsidRPr="0039657A">
        <w:rPr>
          <w:rFonts w:ascii="Times New Roman" w:hAnsi="Times New Roman" w:cs="Times New Roman"/>
          <w:sz w:val="24"/>
          <w:szCs w:val="24"/>
        </w:rPr>
        <w:t>prin</w:t>
      </w:r>
      <w:r>
        <w:rPr>
          <w:rFonts w:ascii="Times New Roman" w:hAnsi="Times New Roman" w:cs="Times New Roman"/>
          <w:sz w:val="24"/>
          <w:szCs w:val="24"/>
        </w:rPr>
        <w:t xml:space="preserve">cipalmente, a que se acentuó la </w:t>
      </w:r>
      <w:r w:rsidRPr="0039657A">
        <w:rPr>
          <w:rFonts w:ascii="Times New Roman" w:hAnsi="Times New Roman" w:cs="Times New Roman"/>
          <w:sz w:val="24"/>
          <w:szCs w:val="24"/>
        </w:rPr>
        <w:t>inquietud de los mercados acerca de</w:t>
      </w:r>
      <w:r>
        <w:rPr>
          <w:rFonts w:ascii="Times New Roman" w:hAnsi="Times New Roman" w:cs="Times New Roman"/>
          <w:sz w:val="24"/>
          <w:szCs w:val="24"/>
        </w:rPr>
        <w:t xml:space="preserve"> </w:t>
      </w:r>
      <w:r w:rsidRPr="0039657A">
        <w:rPr>
          <w:rFonts w:ascii="Times New Roman" w:hAnsi="Times New Roman" w:cs="Times New Roman"/>
          <w:sz w:val="24"/>
          <w:szCs w:val="24"/>
        </w:rPr>
        <w:t>la sostenibilidad de las finanzas públicas</w:t>
      </w:r>
      <w:r>
        <w:rPr>
          <w:rFonts w:ascii="Times New Roman" w:hAnsi="Times New Roman" w:cs="Times New Roman"/>
          <w:sz w:val="24"/>
          <w:szCs w:val="24"/>
        </w:rPr>
        <w:t xml:space="preserve"> </w:t>
      </w:r>
      <w:r w:rsidRPr="0039657A">
        <w:rPr>
          <w:rFonts w:ascii="Times New Roman" w:hAnsi="Times New Roman" w:cs="Times New Roman"/>
          <w:sz w:val="24"/>
          <w:szCs w:val="24"/>
        </w:rPr>
        <w:t>ante el aumento de la deuda y los</w:t>
      </w:r>
      <w:r>
        <w:rPr>
          <w:rFonts w:ascii="Times New Roman" w:hAnsi="Times New Roman" w:cs="Times New Roman"/>
          <w:sz w:val="24"/>
          <w:szCs w:val="24"/>
        </w:rPr>
        <w:t xml:space="preserve"> </w:t>
      </w:r>
      <w:r w:rsidRPr="0039657A">
        <w:rPr>
          <w:rFonts w:ascii="Times New Roman" w:hAnsi="Times New Roman" w:cs="Times New Roman"/>
          <w:sz w:val="24"/>
          <w:szCs w:val="24"/>
        </w:rPr>
        <w:t>déficits públicos, lo que provocó la</w:t>
      </w:r>
      <w:r>
        <w:rPr>
          <w:rFonts w:ascii="Times New Roman" w:hAnsi="Times New Roman" w:cs="Times New Roman"/>
          <w:sz w:val="24"/>
          <w:szCs w:val="24"/>
        </w:rPr>
        <w:t xml:space="preserve"> </w:t>
      </w:r>
      <w:r w:rsidRPr="0039657A">
        <w:rPr>
          <w:rFonts w:ascii="Times New Roman" w:hAnsi="Times New Roman" w:cs="Times New Roman"/>
          <w:sz w:val="24"/>
          <w:szCs w:val="24"/>
        </w:rPr>
        <w:t>paralización de algunos mercados</w:t>
      </w:r>
      <w:r>
        <w:rPr>
          <w:rFonts w:ascii="Times New Roman" w:hAnsi="Times New Roman" w:cs="Times New Roman"/>
          <w:sz w:val="24"/>
          <w:szCs w:val="24"/>
        </w:rPr>
        <w:t xml:space="preserve"> </w:t>
      </w:r>
      <w:r w:rsidRPr="0039657A">
        <w:rPr>
          <w:rFonts w:ascii="Times New Roman" w:hAnsi="Times New Roman" w:cs="Times New Roman"/>
          <w:sz w:val="24"/>
          <w:szCs w:val="24"/>
        </w:rPr>
        <w:t>secundarios.</w:t>
      </w:r>
    </w:p>
    <w:p w:rsidR="008258F5" w:rsidRDefault="008258F5" w:rsidP="008258F5">
      <w:pPr>
        <w:spacing w:line="240" w:lineRule="auto"/>
        <w:jc w:val="both"/>
        <w:rPr>
          <w:rFonts w:ascii="Times New Roman" w:hAnsi="Times New Roman" w:cs="Times New Roman"/>
          <w:sz w:val="24"/>
          <w:szCs w:val="24"/>
        </w:rPr>
      </w:pPr>
      <w:r w:rsidRPr="0039657A">
        <w:rPr>
          <w:rFonts w:ascii="Times New Roman" w:hAnsi="Times New Roman" w:cs="Times New Roman"/>
          <w:sz w:val="24"/>
          <w:szCs w:val="24"/>
        </w:rPr>
        <w:t>Para logr</w:t>
      </w:r>
      <w:r>
        <w:rPr>
          <w:rFonts w:ascii="Times New Roman" w:hAnsi="Times New Roman" w:cs="Times New Roman"/>
          <w:sz w:val="24"/>
          <w:szCs w:val="24"/>
        </w:rPr>
        <w:t xml:space="preserve">ar la profundidad y la liquidez en los segmentos disfuncionales </w:t>
      </w:r>
      <w:r w:rsidRPr="0039657A">
        <w:rPr>
          <w:rFonts w:ascii="Times New Roman" w:hAnsi="Times New Roman" w:cs="Times New Roman"/>
          <w:sz w:val="24"/>
          <w:szCs w:val="24"/>
        </w:rPr>
        <w:t>del me</w:t>
      </w:r>
      <w:r>
        <w:rPr>
          <w:rFonts w:ascii="Times New Roman" w:hAnsi="Times New Roman" w:cs="Times New Roman"/>
          <w:sz w:val="24"/>
          <w:szCs w:val="24"/>
        </w:rPr>
        <w:t xml:space="preserve">rcado y restablecer el correcto funcionamiento del mecanismo de </w:t>
      </w:r>
      <w:r w:rsidRPr="0039657A">
        <w:rPr>
          <w:rFonts w:ascii="Times New Roman" w:hAnsi="Times New Roman" w:cs="Times New Roman"/>
          <w:sz w:val="24"/>
          <w:szCs w:val="24"/>
        </w:rPr>
        <w:t>transm</w:t>
      </w:r>
      <w:r>
        <w:rPr>
          <w:rFonts w:ascii="Times New Roman" w:hAnsi="Times New Roman" w:cs="Times New Roman"/>
          <w:sz w:val="24"/>
          <w:szCs w:val="24"/>
        </w:rPr>
        <w:t xml:space="preserve">isión de la política monetaria, </w:t>
      </w:r>
      <w:r w:rsidRPr="0039657A">
        <w:rPr>
          <w:rFonts w:ascii="Times New Roman" w:hAnsi="Times New Roman" w:cs="Times New Roman"/>
          <w:sz w:val="24"/>
          <w:szCs w:val="24"/>
        </w:rPr>
        <w:t>e</w:t>
      </w:r>
      <w:r>
        <w:rPr>
          <w:rFonts w:ascii="Times New Roman" w:hAnsi="Times New Roman" w:cs="Times New Roman"/>
          <w:sz w:val="24"/>
          <w:szCs w:val="24"/>
        </w:rPr>
        <w:t xml:space="preserve">l 10 de mayo de 2010 el Consejo </w:t>
      </w:r>
      <w:r w:rsidRPr="0039657A">
        <w:rPr>
          <w:rFonts w:ascii="Times New Roman" w:hAnsi="Times New Roman" w:cs="Times New Roman"/>
          <w:sz w:val="24"/>
          <w:szCs w:val="24"/>
        </w:rPr>
        <w:t>de Gobierno anunció diversas me</w:t>
      </w:r>
      <w:r>
        <w:rPr>
          <w:rFonts w:ascii="Times New Roman" w:hAnsi="Times New Roman" w:cs="Times New Roman"/>
          <w:sz w:val="24"/>
          <w:szCs w:val="24"/>
        </w:rPr>
        <w:t xml:space="preserve">didas. </w:t>
      </w:r>
      <w:r w:rsidRPr="0039657A">
        <w:rPr>
          <w:rFonts w:ascii="Times New Roman" w:hAnsi="Times New Roman" w:cs="Times New Roman"/>
          <w:sz w:val="24"/>
          <w:szCs w:val="24"/>
        </w:rPr>
        <w:t>Concretamente, introdujo el programa</w:t>
      </w:r>
      <w:r>
        <w:rPr>
          <w:rFonts w:ascii="Times New Roman" w:hAnsi="Times New Roman" w:cs="Times New Roman"/>
          <w:sz w:val="24"/>
          <w:szCs w:val="24"/>
        </w:rPr>
        <w:t xml:space="preserve"> </w:t>
      </w:r>
      <w:r w:rsidRPr="0039657A">
        <w:rPr>
          <w:rFonts w:ascii="Times New Roman" w:hAnsi="Times New Roman" w:cs="Times New Roman"/>
          <w:sz w:val="24"/>
          <w:szCs w:val="24"/>
        </w:rPr>
        <w:t>para</w:t>
      </w:r>
      <w:r>
        <w:rPr>
          <w:rFonts w:ascii="Times New Roman" w:hAnsi="Times New Roman" w:cs="Times New Roman"/>
          <w:sz w:val="24"/>
          <w:szCs w:val="24"/>
        </w:rPr>
        <w:t xml:space="preserve"> los mercados de valores con el </w:t>
      </w:r>
      <w:r w:rsidRPr="0039657A">
        <w:rPr>
          <w:rFonts w:ascii="Times New Roman" w:hAnsi="Times New Roman" w:cs="Times New Roman"/>
          <w:sz w:val="24"/>
          <w:szCs w:val="24"/>
        </w:rPr>
        <w:t>fin d</w:t>
      </w:r>
      <w:r>
        <w:rPr>
          <w:rFonts w:ascii="Times New Roman" w:hAnsi="Times New Roman" w:cs="Times New Roman"/>
          <w:sz w:val="24"/>
          <w:szCs w:val="24"/>
        </w:rPr>
        <w:t xml:space="preserve">e intervenir en los mercados de </w:t>
      </w:r>
      <w:r w:rsidRPr="0039657A">
        <w:rPr>
          <w:rFonts w:ascii="Times New Roman" w:hAnsi="Times New Roman" w:cs="Times New Roman"/>
          <w:sz w:val="24"/>
          <w:szCs w:val="24"/>
        </w:rPr>
        <w:t>deuda p</w:t>
      </w:r>
      <w:r>
        <w:rPr>
          <w:rFonts w:ascii="Times New Roman" w:hAnsi="Times New Roman" w:cs="Times New Roman"/>
          <w:sz w:val="24"/>
          <w:szCs w:val="24"/>
        </w:rPr>
        <w:t xml:space="preserve">ública y privada de la zona del </w:t>
      </w:r>
      <w:r w:rsidRPr="0039657A">
        <w:rPr>
          <w:rFonts w:ascii="Times New Roman" w:hAnsi="Times New Roman" w:cs="Times New Roman"/>
          <w:sz w:val="24"/>
          <w:szCs w:val="24"/>
        </w:rPr>
        <w:t>eur</w:t>
      </w:r>
      <w:r>
        <w:rPr>
          <w:rFonts w:ascii="Times New Roman" w:hAnsi="Times New Roman" w:cs="Times New Roman"/>
          <w:sz w:val="24"/>
          <w:szCs w:val="24"/>
        </w:rPr>
        <w:t xml:space="preserve">o (véase recuadro 5.1). Además, </w:t>
      </w:r>
      <w:r w:rsidRPr="0039657A">
        <w:rPr>
          <w:rFonts w:ascii="Times New Roman" w:hAnsi="Times New Roman" w:cs="Times New Roman"/>
          <w:sz w:val="24"/>
          <w:szCs w:val="24"/>
        </w:rPr>
        <w:t>el Con</w:t>
      </w:r>
      <w:r>
        <w:rPr>
          <w:rFonts w:ascii="Times New Roman" w:hAnsi="Times New Roman" w:cs="Times New Roman"/>
          <w:sz w:val="24"/>
          <w:szCs w:val="24"/>
        </w:rPr>
        <w:t xml:space="preserve">sejo de Gobierno puso en marcha </w:t>
      </w:r>
      <w:r w:rsidRPr="0039657A">
        <w:rPr>
          <w:rFonts w:ascii="Times New Roman" w:hAnsi="Times New Roman" w:cs="Times New Roman"/>
          <w:sz w:val="24"/>
          <w:szCs w:val="24"/>
        </w:rPr>
        <w:t>de nuevo algunas de las medi</w:t>
      </w:r>
      <w:r>
        <w:rPr>
          <w:rFonts w:ascii="Times New Roman" w:hAnsi="Times New Roman" w:cs="Times New Roman"/>
          <w:sz w:val="24"/>
          <w:szCs w:val="24"/>
        </w:rPr>
        <w:t xml:space="preserve">das </w:t>
      </w:r>
      <w:r w:rsidRPr="0039657A">
        <w:rPr>
          <w:rFonts w:ascii="Times New Roman" w:hAnsi="Times New Roman" w:cs="Times New Roman"/>
          <w:sz w:val="24"/>
          <w:szCs w:val="24"/>
        </w:rPr>
        <w:t>no co</w:t>
      </w:r>
      <w:r>
        <w:rPr>
          <w:rFonts w:ascii="Times New Roman" w:hAnsi="Times New Roman" w:cs="Times New Roman"/>
          <w:sz w:val="24"/>
          <w:szCs w:val="24"/>
        </w:rPr>
        <w:t xml:space="preserve">nvencionales que había retirado </w:t>
      </w:r>
      <w:r w:rsidRPr="0039657A">
        <w:rPr>
          <w:rFonts w:ascii="Times New Roman" w:hAnsi="Times New Roman" w:cs="Times New Roman"/>
          <w:sz w:val="24"/>
          <w:szCs w:val="24"/>
        </w:rPr>
        <w:t>anterio</w:t>
      </w:r>
      <w:r>
        <w:rPr>
          <w:rFonts w:ascii="Times New Roman" w:hAnsi="Times New Roman" w:cs="Times New Roman"/>
          <w:sz w:val="24"/>
          <w:szCs w:val="24"/>
        </w:rPr>
        <w:t xml:space="preserve">rmente, con objeto de evitar el </w:t>
      </w:r>
      <w:r w:rsidRPr="0039657A">
        <w:rPr>
          <w:rFonts w:ascii="Times New Roman" w:hAnsi="Times New Roman" w:cs="Times New Roman"/>
          <w:sz w:val="24"/>
          <w:szCs w:val="24"/>
        </w:rPr>
        <w:t>co</w:t>
      </w:r>
      <w:r>
        <w:rPr>
          <w:rFonts w:ascii="Times New Roman" w:hAnsi="Times New Roman" w:cs="Times New Roman"/>
          <w:sz w:val="24"/>
          <w:szCs w:val="24"/>
        </w:rPr>
        <w:t xml:space="preserve">ntagio de los mercados de deuda </w:t>
      </w:r>
      <w:r w:rsidRPr="0039657A">
        <w:rPr>
          <w:rFonts w:ascii="Times New Roman" w:hAnsi="Times New Roman" w:cs="Times New Roman"/>
          <w:sz w:val="24"/>
          <w:szCs w:val="24"/>
        </w:rPr>
        <w:t>sober</w:t>
      </w:r>
      <w:r>
        <w:rPr>
          <w:rFonts w:ascii="Times New Roman" w:hAnsi="Times New Roman" w:cs="Times New Roman"/>
          <w:sz w:val="24"/>
          <w:szCs w:val="24"/>
        </w:rPr>
        <w:t xml:space="preserve">ana nacionales a otros mercados </w:t>
      </w:r>
      <w:r w:rsidRPr="0039657A">
        <w:rPr>
          <w:rFonts w:ascii="Times New Roman" w:hAnsi="Times New Roman" w:cs="Times New Roman"/>
          <w:sz w:val="24"/>
          <w:szCs w:val="24"/>
        </w:rPr>
        <w:t>finan</w:t>
      </w:r>
      <w:r>
        <w:rPr>
          <w:rFonts w:ascii="Times New Roman" w:hAnsi="Times New Roman" w:cs="Times New Roman"/>
          <w:sz w:val="24"/>
          <w:szCs w:val="24"/>
        </w:rPr>
        <w:t xml:space="preserve">cieros. En general, las medidas </w:t>
      </w:r>
      <w:r w:rsidRPr="0039657A">
        <w:rPr>
          <w:rFonts w:ascii="Times New Roman" w:hAnsi="Times New Roman" w:cs="Times New Roman"/>
          <w:sz w:val="24"/>
          <w:szCs w:val="24"/>
        </w:rPr>
        <w:t>puest</w:t>
      </w:r>
      <w:r>
        <w:rPr>
          <w:rFonts w:ascii="Times New Roman" w:hAnsi="Times New Roman" w:cs="Times New Roman"/>
          <w:sz w:val="24"/>
          <w:szCs w:val="24"/>
        </w:rPr>
        <w:t xml:space="preserve">as en marcha por el Eurosistema </w:t>
      </w:r>
      <w:r w:rsidRPr="0039657A">
        <w:rPr>
          <w:rFonts w:ascii="Times New Roman" w:hAnsi="Times New Roman" w:cs="Times New Roman"/>
          <w:sz w:val="24"/>
          <w:szCs w:val="24"/>
        </w:rPr>
        <w:t>en respuesta a la crisis financ</w:t>
      </w:r>
      <w:r>
        <w:rPr>
          <w:rFonts w:ascii="Times New Roman" w:hAnsi="Times New Roman" w:cs="Times New Roman"/>
          <w:sz w:val="24"/>
          <w:szCs w:val="24"/>
        </w:rPr>
        <w:t xml:space="preserve">iera contribuyeron a sostener la intermediación </w:t>
      </w:r>
      <w:r w:rsidRPr="0039657A">
        <w:rPr>
          <w:rFonts w:ascii="Times New Roman" w:hAnsi="Times New Roman" w:cs="Times New Roman"/>
          <w:sz w:val="24"/>
          <w:szCs w:val="24"/>
        </w:rPr>
        <w:t>fi</w:t>
      </w:r>
      <w:r>
        <w:rPr>
          <w:rFonts w:ascii="Times New Roman" w:hAnsi="Times New Roman" w:cs="Times New Roman"/>
          <w:sz w:val="24"/>
          <w:szCs w:val="24"/>
        </w:rPr>
        <w:t xml:space="preserve">nanciera en la zona del euro al </w:t>
      </w:r>
      <w:r w:rsidRPr="0039657A">
        <w:rPr>
          <w:rFonts w:ascii="Times New Roman" w:hAnsi="Times New Roman" w:cs="Times New Roman"/>
          <w:sz w:val="24"/>
          <w:szCs w:val="24"/>
        </w:rPr>
        <w:t>salv</w:t>
      </w:r>
      <w:r>
        <w:rPr>
          <w:rFonts w:ascii="Times New Roman" w:hAnsi="Times New Roman" w:cs="Times New Roman"/>
          <w:sz w:val="24"/>
          <w:szCs w:val="24"/>
        </w:rPr>
        <w:t xml:space="preserve">aguardar la financiación de las </w:t>
      </w:r>
      <w:r w:rsidRPr="0039657A">
        <w:rPr>
          <w:rFonts w:ascii="Times New Roman" w:hAnsi="Times New Roman" w:cs="Times New Roman"/>
          <w:sz w:val="24"/>
          <w:szCs w:val="24"/>
        </w:rPr>
        <w:t>entidades d</w:t>
      </w:r>
      <w:r>
        <w:rPr>
          <w:rFonts w:ascii="Times New Roman" w:hAnsi="Times New Roman" w:cs="Times New Roman"/>
          <w:sz w:val="24"/>
          <w:szCs w:val="24"/>
        </w:rPr>
        <w:t xml:space="preserve">e crédito solventes y restaurar </w:t>
      </w:r>
      <w:r w:rsidRPr="0039657A">
        <w:rPr>
          <w:rFonts w:ascii="Times New Roman" w:hAnsi="Times New Roman" w:cs="Times New Roman"/>
          <w:sz w:val="24"/>
          <w:szCs w:val="24"/>
        </w:rPr>
        <w:t>la</w:t>
      </w:r>
      <w:r>
        <w:rPr>
          <w:rFonts w:ascii="Times New Roman" w:hAnsi="Times New Roman" w:cs="Times New Roman"/>
          <w:sz w:val="24"/>
          <w:szCs w:val="24"/>
        </w:rPr>
        <w:t xml:space="preserve"> confianza de los participantes </w:t>
      </w:r>
      <w:r w:rsidRPr="0039657A">
        <w:rPr>
          <w:rFonts w:ascii="Times New Roman" w:hAnsi="Times New Roman" w:cs="Times New Roman"/>
          <w:sz w:val="24"/>
          <w:szCs w:val="24"/>
        </w:rPr>
        <w:t>en</w:t>
      </w:r>
      <w:r>
        <w:rPr>
          <w:rFonts w:ascii="Times New Roman" w:hAnsi="Times New Roman" w:cs="Times New Roman"/>
          <w:sz w:val="24"/>
          <w:szCs w:val="24"/>
        </w:rPr>
        <w:t xml:space="preserve"> los mercados financieros. A su </w:t>
      </w:r>
      <w:r w:rsidRPr="0039657A">
        <w:rPr>
          <w:rFonts w:ascii="Times New Roman" w:hAnsi="Times New Roman" w:cs="Times New Roman"/>
          <w:sz w:val="24"/>
          <w:szCs w:val="24"/>
        </w:rPr>
        <w:t>vez, l</w:t>
      </w:r>
      <w:r>
        <w:rPr>
          <w:rFonts w:ascii="Times New Roman" w:hAnsi="Times New Roman" w:cs="Times New Roman"/>
          <w:sz w:val="24"/>
          <w:szCs w:val="24"/>
        </w:rPr>
        <w:t xml:space="preserve">a preservación de la viabilidad </w:t>
      </w:r>
      <w:r w:rsidRPr="0039657A">
        <w:rPr>
          <w:rFonts w:ascii="Times New Roman" w:hAnsi="Times New Roman" w:cs="Times New Roman"/>
          <w:sz w:val="24"/>
          <w:szCs w:val="24"/>
        </w:rPr>
        <w:t xml:space="preserve">del </w:t>
      </w:r>
      <w:r>
        <w:rPr>
          <w:rFonts w:ascii="Times New Roman" w:hAnsi="Times New Roman" w:cs="Times New Roman"/>
          <w:sz w:val="24"/>
          <w:szCs w:val="24"/>
        </w:rPr>
        <w:t xml:space="preserve">sistema bancario y de segmentos </w:t>
      </w:r>
      <w:r w:rsidRPr="0039657A">
        <w:rPr>
          <w:rFonts w:ascii="Times New Roman" w:hAnsi="Times New Roman" w:cs="Times New Roman"/>
          <w:sz w:val="24"/>
          <w:szCs w:val="24"/>
        </w:rPr>
        <w:t>imp</w:t>
      </w:r>
      <w:r>
        <w:rPr>
          <w:rFonts w:ascii="Times New Roman" w:hAnsi="Times New Roman" w:cs="Times New Roman"/>
          <w:sz w:val="24"/>
          <w:szCs w:val="24"/>
        </w:rPr>
        <w:t xml:space="preserve">ortantes del mercado financiero </w:t>
      </w:r>
      <w:r w:rsidRPr="0039657A">
        <w:rPr>
          <w:rFonts w:ascii="Times New Roman" w:hAnsi="Times New Roman" w:cs="Times New Roman"/>
          <w:sz w:val="24"/>
          <w:szCs w:val="24"/>
        </w:rPr>
        <w:t>fue de</w:t>
      </w:r>
      <w:r>
        <w:rPr>
          <w:rFonts w:ascii="Times New Roman" w:hAnsi="Times New Roman" w:cs="Times New Roman"/>
          <w:sz w:val="24"/>
          <w:szCs w:val="24"/>
        </w:rPr>
        <w:t xml:space="preserve">terminante para que los hogares </w:t>
      </w:r>
      <w:r w:rsidRPr="0039657A">
        <w:rPr>
          <w:rFonts w:ascii="Times New Roman" w:hAnsi="Times New Roman" w:cs="Times New Roman"/>
          <w:sz w:val="24"/>
          <w:szCs w:val="24"/>
        </w:rPr>
        <w:t>y la</w:t>
      </w:r>
      <w:r>
        <w:rPr>
          <w:rFonts w:ascii="Times New Roman" w:hAnsi="Times New Roman" w:cs="Times New Roman"/>
          <w:sz w:val="24"/>
          <w:szCs w:val="24"/>
        </w:rPr>
        <w:t xml:space="preserve">s empresas pudieran disponer de </w:t>
      </w:r>
      <w:r w:rsidRPr="0039657A">
        <w:rPr>
          <w:rFonts w:ascii="Times New Roman" w:hAnsi="Times New Roman" w:cs="Times New Roman"/>
          <w:sz w:val="24"/>
          <w:szCs w:val="24"/>
        </w:rPr>
        <w:t>crédito a</w:t>
      </w:r>
      <w:r>
        <w:rPr>
          <w:rFonts w:ascii="Times New Roman" w:hAnsi="Times New Roman" w:cs="Times New Roman"/>
          <w:sz w:val="24"/>
          <w:szCs w:val="24"/>
        </w:rPr>
        <w:t xml:space="preserve"> tipos de interés accesibles y, </w:t>
      </w:r>
      <w:r w:rsidRPr="0039657A">
        <w:rPr>
          <w:rFonts w:ascii="Times New Roman" w:hAnsi="Times New Roman" w:cs="Times New Roman"/>
          <w:sz w:val="24"/>
          <w:szCs w:val="24"/>
        </w:rPr>
        <w:t>en última instancia, para manten</w:t>
      </w:r>
      <w:r>
        <w:rPr>
          <w:rFonts w:ascii="Times New Roman" w:hAnsi="Times New Roman" w:cs="Times New Roman"/>
          <w:sz w:val="24"/>
          <w:szCs w:val="24"/>
        </w:rPr>
        <w:t xml:space="preserve">er la </w:t>
      </w:r>
      <w:r w:rsidRPr="0039657A">
        <w:rPr>
          <w:rFonts w:ascii="Times New Roman" w:hAnsi="Times New Roman" w:cs="Times New Roman"/>
          <w:sz w:val="24"/>
          <w:szCs w:val="24"/>
        </w:rPr>
        <w:t>estabilidad de precios.</w:t>
      </w:r>
      <w:r>
        <w:rPr>
          <w:rFonts w:ascii="Times New Roman" w:hAnsi="Times New Roman" w:cs="Times New Roman"/>
          <w:sz w:val="24"/>
          <w:szCs w:val="24"/>
        </w:rPr>
        <w:t xml:space="preserve"> </w:t>
      </w:r>
    </w:p>
    <w:p w:rsidR="00AE2A85" w:rsidRPr="00DC47E9" w:rsidRDefault="008258F5" w:rsidP="008258F5">
      <w:pPr>
        <w:spacing w:line="240" w:lineRule="auto"/>
        <w:jc w:val="both"/>
        <w:rPr>
          <w:rFonts w:ascii="Times New Roman" w:hAnsi="Times New Roman" w:cs="Times New Roman"/>
          <w:sz w:val="24"/>
          <w:szCs w:val="24"/>
          <w:u w:val="single"/>
        </w:rPr>
      </w:pPr>
      <w:r w:rsidRPr="0039657A">
        <w:rPr>
          <w:rFonts w:ascii="Times New Roman" w:hAnsi="Times New Roman" w:cs="Times New Roman"/>
          <w:sz w:val="24"/>
          <w:szCs w:val="24"/>
        </w:rPr>
        <w:t>Las m</w:t>
      </w:r>
      <w:r>
        <w:rPr>
          <w:rFonts w:ascii="Times New Roman" w:hAnsi="Times New Roman" w:cs="Times New Roman"/>
          <w:sz w:val="24"/>
          <w:szCs w:val="24"/>
        </w:rPr>
        <w:t xml:space="preserve">edidas de política monetaria no </w:t>
      </w:r>
      <w:r w:rsidRPr="0039657A">
        <w:rPr>
          <w:rFonts w:ascii="Times New Roman" w:hAnsi="Times New Roman" w:cs="Times New Roman"/>
          <w:sz w:val="24"/>
          <w:szCs w:val="24"/>
        </w:rPr>
        <w:t>convencionales</w:t>
      </w:r>
      <w:r>
        <w:rPr>
          <w:rFonts w:ascii="Times New Roman" w:hAnsi="Times New Roman" w:cs="Times New Roman"/>
          <w:sz w:val="24"/>
          <w:szCs w:val="24"/>
        </w:rPr>
        <w:t xml:space="preserve"> son decisiones extraordinarias </w:t>
      </w:r>
      <w:r w:rsidRPr="0039657A">
        <w:rPr>
          <w:rFonts w:ascii="Times New Roman" w:hAnsi="Times New Roman" w:cs="Times New Roman"/>
          <w:sz w:val="24"/>
          <w:szCs w:val="24"/>
        </w:rPr>
        <w:t>adoptada</w:t>
      </w:r>
      <w:r>
        <w:rPr>
          <w:rFonts w:ascii="Times New Roman" w:hAnsi="Times New Roman" w:cs="Times New Roman"/>
          <w:sz w:val="24"/>
          <w:szCs w:val="24"/>
        </w:rPr>
        <w:t xml:space="preserve">s en respuesta a circunstancias excepcionales. Su carácter </w:t>
      </w:r>
      <w:r w:rsidRPr="0039657A">
        <w:rPr>
          <w:rFonts w:ascii="Times New Roman" w:hAnsi="Times New Roman" w:cs="Times New Roman"/>
          <w:sz w:val="24"/>
          <w:szCs w:val="24"/>
        </w:rPr>
        <w:t>es tempo</w:t>
      </w:r>
      <w:r>
        <w:rPr>
          <w:rFonts w:ascii="Times New Roman" w:hAnsi="Times New Roman" w:cs="Times New Roman"/>
          <w:sz w:val="24"/>
          <w:szCs w:val="24"/>
        </w:rPr>
        <w:t xml:space="preserve">ral y, aunque los complementan, </w:t>
      </w:r>
      <w:r w:rsidRPr="0039657A">
        <w:rPr>
          <w:rFonts w:ascii="Times New Roman" w:hAnsi="Times New Roman" w:cs="Times New Roman"/>
          <w:sz w:val="24"/>
          <w:szCs w:val="24"/>
        </w:rPr>
        <w:t>son independientes de los instrumento</w:t>
      </w:r>
      <w:r>
        <w:rPr>
          <w:rFonts w:ascii="Times New Roman" w:hAnsi="Times New Roman" w:cs="Times New Roman"/>
          <w:sz w:val="24"/>
          <w:szCs w:val="24"/>
        </w:rPr>
        <w:t xml:space="preserve">s </w:t>
      </w:r>
      <w:r w:rsidRPr="0039657A">
        <w:rPr>
          <w:rFonts w:ascii="Times New Roman" w:hAnsi="Times New Roman" w:cs="Times New Roman"/>
          <w:sz w:val="24"/>
          <w:szCs w:val="24"/>
        </w:rPr>
        <w:t xml:space="preserve">de </w:t>
      </w:r>
      <w:r>
        <w:rPr>
          <w:rFonts w:ascii="Times New Roman" w:hAnsi="Times New Roman" w:cs="Times New Roman"/>
          <w:sz w:val="24"/>
          <w:szCs w:val="24"/>
        </w:rPr>
        <w:t xml:space="preserve">tipos de interés convencionales y pueden ajustarse sin tener en </w:t>
      </w:r>
      <w:r w:rsidRPr="0039657A">
        <w:rPr>
          <w:rFonts w:ascii="Times New Roman" w:hAnsi="Times New Roman" w:cs="Times New Roman"/>
          <w:sz w:val="24"/>
          <w:szCs w:val="24"/>
        </w:rPr>
        <w:t>cuen</w:t>
      </w:r>
      <w:r>
        <w:rPr>
          <w:rFonts w:ascii="Times New Roman" w:hAnsi="Times New Roman" w:cs="Times New Roman"/>
          <w:sz w:val="24"/>
          <w:szCs w:val="24"/>
        </w:rPr>
        <w:t xml:space="preserve">ta el nivel de tipos de interés </w:t>
      </w:r>
      <w:r w:rsidRPr="0039657A">
        <w:rPr>
          <w:rFonts w:ascii="Times New Roman" w:hAnsi="Times New Roman" w:cs="Times New Roman"/>
          <w:sz w:val="24"/>
          <w:szCs w:val="24"/>
        </w:rPr>
        <w:t xml:space="preserve">vigente. </w:t>
      </w:r>
      <w:r w:rsidRPr="00DC47E9">
        <w:rPr>
          <w:rFonts w:ascii="Times New Roman" w:hAnsi="Times New Roman" w:cs="Times New Roman"/>
          <w:sz w:val="24"/>
          <w:szCs w:val="24"/>
          <w:u w:val="single"/>
        </w:rPr>
        <w:t xml:space="preserve">A principios de 2011, la aparición de presiones al alza a corto plazo sobre la inflación general, debido </w:t>
      </w:r>
      <w:r w:rsidRPr="00DC47E9">
        <w:rPr>
          <w:rFonts w:ascii="Times New Roman" w:hAnsi="Times New Roman" w:cs="Times New Roman"/>
          <w:sz w:val="24"/>
          <w:szCs w:val="24"/>
          <w:u w:val="single"/>
        </w:rPr>
        <w:lastRenderedPageBreak/>
        <w:t>principalmente a los precios de la energía, hizo necesario un seguimiento muy estrecho de la evolución de todas las variables pertinentes.</w:t>
      </w:r>
    </w:p>
    <w:p w:rsidR="008258F5" w:rsidRDefault="008258F5" w:rsidP="008258F5">
      <w:pPr>
        <w:spacing w:line="240" w:lineRule="auto"/>
        <w:jc w:val="both"/>
        <w:rPr>
          <w:rFonts w:ascii="Times New Roman" w:hAnsi="Times New Roman" w:cs="Times New Roman"/>
          <w:sz w:val="24"/>
          <w:szCs w:val="24"/>
        </w:rPr>
      </w:pPr>
      <w:r w:rsidRPr="0039657A">
        <w:rPr>
          <w:rFonts w:ascii="Times New Roman" w:hAnsi="Times New Roman" w:cs="Times New Roman"/>
          <w:noProof/>
          <w:sz w:val="24"/>
          <w:szCs w:val="24"/>
          <w:lang w:eastAsia="es-ES"/>
        </w:rPr>
        <w:drawing>
          <wp:inline distT="0" distB="0" distL="0" distR="0" wp14:anchorId="783273FD" wp14:editId="4298B349">
            <wp:extent cx="5727700" cy="4330700"/>
            <wp:effectExtent l="0" t="0" r="635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4333581"/>
                    </a:xfrm>
                    <a:prstGeom prst="rect">
                      <a:avLst/>
                    </a:prstGeom>
                  </pic:spPr>
                </pic:pic>
              </a:graphicData>
            </a:graphic>
          </wp:inline>
        </w:drawing>
      </w:r>
    </w:p>
    <w:p w:rsidR="00AE2A85" w:rsidRDefault="008258F5" w:rsidP="008258F5">
      <w:pPr>
        <w:spacing w:line="240" w:lineRule="auto"/>
        <w:jc w:val="both"/>
        <w:rPr>
          <w:rFonts w:ascii="Times New Roman" w:hAnsi="Times New Roman" w:cs="Times New Roman"/>
          <w:sz w:val="24"/>
          <w:szCs w:val="24"/>
        </w:rPr>
      </w:pPr>
      <w:r w:rsidRPr="0039657A">
        <w:rPr>
          <w:rFonts w:ascii="Times New Roman" w:hAnsi="Times New Roman" w:cs="Times New Roman"/>
          <w:noProof/>
          <w:sz w:val="24"/>
          <w:szCs w:val="24"/>
          <w:lang w:eastAsia="es-ES"/>
        </w:rPr>
        <w:drawing>
          <wp:inline distT="0" distB="0" distL="0" distR="0" wp14:anchorId="7722D374" wp14:editId="0E17047A">
            <wp:extent cx="5733082" cy="3797300"/>
            <wp:effectExtent l="0" t="0" r="127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796258"/>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rPr>
      </w:pPr>
      <w:r w:rsidRPr="0039657A">
        <w:rPr>
          <w:rFonts w:ascii="Times New Roman" w:hAnsi="Times New Roman" w:cs="Times New Roman"/>
          <w:noProof/>
          <w:sz w:val="24"/>
          <w:szCs w:val="24"/>
          <w:lang w:eastAsia="es-ES"/>
        </w:rPr>
        <w:lastRenderedPageBreak/>
        <w:drawing>
          <wp:inline distT="0" distB="0" distL="0" distR="0" wp14:anchorId="24136F33" wp14:editId="189DB7D2">
            <wp:extent cx="5731533" cy="4565650"/>
            <wp:effectExtent l="0" t="0" r="2540" b="635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4565632"/>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rPr>
      </w:pPr>
      <w:r w:rsidRPr="00F5635B">
        <w:rPr>
          <w:rFonts w:ascii="Times New Roman" w:hAnsi="Times New Roman" w:cs="Times New Roman"/>
          <w:noProof/>
          <w:sz w:val="24"/>
          <w:szCs w:val="24"/>
          <w:lang w:eastAsia="es-ES"/>
        </w:rPr>
        <w:drawing>
          <wp:inline distT="0" distB="0" distL="0" distR="0" wp14:anchorId="75A1A0EB" wp14:editId="54A748F6">
            <wp:extent cx="5727699" cy="4146550"/>
            <wp:effectExtent l="0" t="0" r="6985" b="635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27699" cy="4146550"/>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rPr>
      </w:pPr>
      <w:r w:rsidRPr="00F5635B">
        <w:rPr>
          <w:rFonts w:ascii="Times New Roman" w:hAnsi="Times New Roman" w:cs="Times New Roman"/>
          <w:noProof/>
          <w:sz w:val="24"/>
          <w:szCs w:val="24"/>
          <w:lang w:eastAsia="es-ES"/>
        </w:rPr>
        <w:lastRenderedPageBreak/>
        <w:drawing>
          <wp:inline distT="0" distB="0" distL="0" distR="0" wp14:anchorId="30A6ED4B" wp14:editId="0EEA2D9E">
            <wp:extent cx="5727699" cy="4057650"/>
            <wp:effectExtent l="0" t="0" r="6985"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4060349"/>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rPr>
      </w:pPr>
      <w:r w:rsidRPr="00F5635B">
        <w:rPr>
          <w:rFonts w:ascii="Times New Roman" w:hAnsi="Times New Roman" w:cs="Times New Roman"/>
          <w:noProof/>
          <w:sz w:val="24"/>
          <w:szCs w:val="24"/>
          <w:lang w:eastAsia="es-ES"/>
        </w:rPr>
        <w:drawing>
          <wp:inline distT="0" distB="0" distL="0" distR="0" wp14:anchorId="48E4B1EE" wp14:editId="088AE5C2">
            <wp:extent cx="5731824" cy="2057400"/>
            <wp:effectExtent l="0" t="0" r="254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057287"/>
                    </a:xfrm>
                    <a:prstGeom prst="rect">
                      <a:avLst/>
                    </a:prstGeom>
                  </pic:spPr>
                </pic:pic>
              </a:graphicData>
            </a:graphic>
          </wp:inline>
        </w:drawing>
      </w:r>
    </w:p>
    <w:p w:rsidR="00C70908" w:rsidRPr="006F0DE5" w:rsidRDefault="008258F5" w:rsidP="008258F5">
      <w:pPr>
        <w:spacing w:line="240" w:lineRule="auto"/>
        <w:jc w:val="both"/>
        <w:rPr>
          <w:rFonts w:ascii="Times New Roman" w:hAnsi="Times New Roman" w:cs="Times New Roman"/>
          <w:sz w:val="24"/>
          <w:szCs w:val="24"/>
        </w:rPr>
      </w:pPr>
      <w:r w:rsidRPr="00F5635B">
        <w:rPr>
          <w:rFonts w:ascii="Times New Roman" w:hAnsi="Times New Roman" w:cs="Times New Roman"/>
          <w:noProof/>
          <w:sz w:val="24"/>
          <w:szCs w:val="24"/>
          <w:lang w:eastAsia="es-ES"/>
        </w:rPr>
        <w:lastRenderedPageBreak/>
        <w:drawing>
          <wp:inline distT="0" distB="0" distL="0" distR="0" wp14:anchorId="539D0556" wp14:editId="49E2A77B">
            <wp:extent cx="5729594" cy="4146550"/>
            <wp:effectExtent l="0" t="0" r="5080" b="635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4147937"/>
                    </a:xfrm>
                    <a:prstGeom prst="rect">
                      <a:avLst/>
                    </a:prstGeom>
                  </pic:spPr>
                </pic:pic>
              </a:graphicData>
            </a:graphic>
          </wp:inline>
        </w:drawing>
      </w:r>
    </w:p>
    <w:p w:rsidR="008258F5" w:rsidRPr="00AE2A85" w:rsidRDefault="008258F5" w:rsidP="008258F5">
      <w:pPr>
        <w:spacing w:line="240" w:lineRule="auto"/>
        <w:jc w:val="both"/>
        <w:rPr>
          <w:rFonts w:ascii="Times New Roman" w:hAnsi="Times New Roman" w:cs="Times New Roman"/>
          <w:b/>
          <w:sz w:val="24"/>
          <w:szCs w:val="24"/>
        </w:rPr>
      </w:pPr>
      <w:r w:rsidRPr="00AE2A85">
        <w:rPr>
          <w:rFonts w:ascii="Times New Roman" w:hAnsi="Times New Roman" w:cs="Times New Roman"/>
          <w:b/>
          <w:sz w:val="24"/>
          <w:szCs w:val="24"/>
        </w:rPr>
        <w:t>Glosario</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Agregado monetario</w:t>
      </w:r>
      <w:r w:rsidRPr="00F5635B">
        <w:rPr>
          <w:rFonts w:ascii="Times New Roman" w:hAnsi="Times New Roman" w:cs="Times New Roman"/>
          <w:sz w:val="24"/>
          <w:szCs w:val="24"/>
        </w:rPr>
        <w:t>: suma del efectivo en circulación y</w:t>
      </w:r>
      <w:r>
        <w:rPr>
          <w:rFonts w:ascii="Times New Roman" w:hAnsi="Times New Roman" w:cs="Times New Roman"/>
          <w:sz w:val="24"/>
          <w:szCs w:val="24"/>
        </w:rPr>
        <w:t xml:space="preserve"> del saldo vivo de determinados </w:t>
      </w:r>
      <w:r w:rsidRPr="00F5635B">
        <w:rPr>
          <w:rFonts w:ascii="Times New Roman" w:hAnsi="Times New Roman" w:cs="Times New Roman"/>
          <w:sz w:val="24"/>
          <w:szCs w:val="24"/>
        </w:rPr>
        <w:t xml:space="preserve">pasivos de las instituciones financieras monetarias (IFM) con </w:t>
      </w:r>
      <w:r>
        <w:rPr>
          <w:rFonts w:ascii="Times New Roman" w:hAnsi="Times New Roman" w:cs="Times New Roman"/>
          <w:sz w:val="24"/>
          <w:szCs w:val="24"/>
        </w:rPr>
        <w:t xml:space="preserve">un grado </w:t>
      </w:r>
      <w:r w:rsidRPr="00F5635B">
        <w:rPr>
          <w:rFonts w:ascii="Times New Roman" w:hAnsi="Times New Roman" w:cs="Times New Roman"/>
          <w:sz w:val="24"/>
          <w:szCs w:val="24"/>
        </w:rPr>
        <w:t>de liquidez relativamente elevado y que están en man</w:t>
      </w:r>
      <w:r>
        <w:rPr>
          <w:rFonts w:ascii="Times New Roman" w:hAnsi="Times New Roman" w:cs="Times New Roman"/>
          <w:sz w:val="24"/>
          <w:szCs w:val="24"/>
        </w:rPr>
        <w:t xml:space="preserve">os de residentes de la zona del </w:t>
      </w:r>
      <w:r w:rsidRPr="00F5635B">
        <w:rPr>
          <w:rFonts w:ascii="Times New Roman" w:hAnsi="Times New Roman" w:cs="Times New Roman"/>
          <w:sz w:val="24"/>
          <w:szCs w:val="24"/>
        </w:rPr>
        <w:t>euro distintos de IFM no incluidos en la Adm</w:t>
      </w:r>
      <w:r>
        <w:rPr>
          <w:rFonts w:ascii="Times New Roman" w:hAnsi="Times New Roman" w:cs="Times New Roman"/>
          <w:sz w:val="24"/>
          <w:szCs w:val="24"/>
        </w:rPr>
        <w:t xml:space="preserve">inistración Central. El Consejo </w:t>
      </w:r>
      <w:r w:rsidRPr="00F5635B">
        <w:rPr>
          <w:rFonts w:ascii="Times New Roman" w:hAnsi="Times New Roman" w:cs="Times New Roman"/>
          <w:sz w:val="24"/>
          <w:szCs w:val="24"/>
        </w:rPr>
        <w:t>de Gobierno del BCE ha anunciado un valor de re</w:t>
      </w:r>
      <w:r>
        <w:rPr>
          <w:rFonts w:ascii="Times New Roman" w:hAnsi="Times New Roman" w:cs="Times New Roman"/>
          <w:sz w:val="24"/>
          <w:szCs w:val="24"/>
        </w:rPr>
        <w:t xml:space="preserve">ferencia para el crecimiento de </w:t>
      </w:r>
      <w:r w:rsidRPr="00F5635B">
        <w:rPr>
          <w:rFonts w:ascii="Times New Roman" w:hAnsi="Times New Roman" w:cs="Times New Roman"/>
          <w:sz w:val="24"/>
          <w:szCs w:val="24"/>
        </w:rPr>
        <w:t>M3 (véase, también, valor de referencia para el crecimiento monetario).</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Base monetaria</w:t>
      </w:r>
      <w:r w:rsidRPr="00F5635B">
        <w:rPr>
          <w:rFonts w:ascii="Times New Roman" w:hAnsi="Times New Roman" w:cs="Times New Roman"/>
          <w:sz w:val="24"/>
          <w:szCs w:val="24"/>
        </w:rPr>
        <w:t>: efectivo (billetes y monedas) en</w:t>
      </w:r>
      <w:r>
        <w:rPr>
          <w:rFonts w:ascii="Times New Roman" w:hAnsi="Times New Roman" w:cs="Times New Roman"/>
          <w:sz w:val="24"/>
          <w:szCs w:val="24"/>
        </w:rPr>
        <w:t xml:space="preserve"> circulación más los saldos que </w:t>
      </w:r>
      <w:r w:rsidRPr="00F5635B">
        <w:rPr>
          <w:rFonts w:ascii="Times New Roman" w:hAnsi="Times New Roman" w:cs="Times New Roman"/>
          <w:sz w:val="24"/>
          <w:szCs w:val="24"/>
        </w:rPr>
        <w:t xml:space="preserve">las entidades de crédito mantienen para cumplir con </w:t>
      </w:r>
      <w:r>
        <w:rPr>
          <w:rFonts w:ascii="Times New Roman" w:hAnsi="Times New Roman" w:cs="Times New Roman"/>
          <w:sz w:val="24"/>
          <w:szCs w:val="24"/>
        </w:rPr>
        <w:t xml:space="preserve">el sistema de reservas mínimas, </w:t>
      </w:r>
      <w:r w:rsidRPr="00F5635B">
        <w:rPr>
          <w:rFonts w:ascii="Times New Roman" w:hAnsi="Times New Roman" w:cs="Times New Roman"/>
          <w:sz w:val="24"/>
          <w:szCs w:val="24"/>
        </w:rPr>
        <w:t>incluyendo el exceso de reservas, y los saldos coloca</w:t>
      </w:r>
      <w:r>
        <w:rPr>
          <w:rFonts w:ascii="Times New Roman" w:hAnsi="Times New Roman" w:cs="Times New Roman"/>
          <w:sz w:val="24"/>
          <w:szCs w:val="24"/>
        </w:rPr>
        <w:t xml:space="preserve">dos en la facilidad de depósito </w:t>
      </w:r>
      <w:r w:rsidRPr="00F5635B">
        <w:rPr>
          <w:rFonts w:ascii="Times New Roman" w:hAnsi="Times New Roman" w:cs="Times New Roman"/>
          <w:sz w:val="24"/>
          <w:szCs w:val="24"/>
        </w:rPr>
        <w:t>del Eurosistema. Todas estas partidas son pasivos en el balance del Eurosistema.</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M1</w:t>
      </w:r>
      <w:r w:rsidRPr="00F5635B">
        <w:rPr>
          <w:rFonts w:ascii="Times New Roman" w:hAnsi="Times New Roman" w:cs="Times New Roman"/>
          <w:sz w:val="24"/>
          <w:szCs w:val="24"/>
        </w:rPr>
        <w:t>: agregado monetario estrecho que comprend</w:t>
      </w:r>
      <w:r>
        <w:rPr>
          <w:rFonts w:ascii="Times New Roman" w:hAnsi="Times New Roman" w:cs="Times New Roman"/>
          <w:sz w:val="24"/>
          <w:szCs w:val="24"/>
        </w:rPr>
        <w:t xml:space="preserve">e el efectivo en circulación, y </w:t>
      </w:r>
      <w:r w:rsidRPr="00F5635B">
        <w:rPr>
          <w:rFonts w:ascii="Times New Roman" w:hAnsi="Times New Roman" w:cs="Times New Roman"/>
          <w:sz w:val="24"/>
          <w:szCs w:val="24"/>
        </w:rPr>
        <w:t>los depósitos a la vista mantenidos en IFM y en</w:t>
      </w:r>
      <w:r>
        <w:rPr>
          <w:rFonts w:ascii="Times New Roman" w:hAnsi="Times New Roman" w:cs="Times New Roman"/>
          <w:sz w:val="24"/>
          <w:szCs w:val="24"/>
        </w:rPr>
        <w:t xml:space="preserve"> la Administración Central (por </w:t>
      </w:r>
      <w:r w:rsidRPr="00F5635B">
        <w:rPr>
          <w:rFonts w:ascii="Times New Roman" w:hAnsi="Times New Roman" w:cs="Times New Roman"/>
          <w:sz w:val="24"/>
          <w:szCs w:val="24"/>
        </w:rPr>
        <w:t>ejemplo, en Correos o en el Tesoro).</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M2</w:t>
      </w:r>
      <w:r w:rsidRPr="00F5635B">
        <w:rPr>
          <w:rFonts w:ascii="Times New Roman" w:hAnsi="Times New Roman" w:cs="Times New Roman"/>
          <w:sz w:val="24"/>
          <w:szCs w:val="24"/>
        </w:rPr>
        <w:t>: agregado monetario intermedio que comprende</w:t>
      </w:r>
      <w:r>
        <w:rPr>
          <w:rFonts w:ascii="Times New Roman" w:hAnsi="Times New Roman" w:cs="Times New Roman"/>
          <w:sz w:val="24"/>
          <w:szCs w:val="24"/>
        </w:rPr>
        <w:t xml:space="preserve"> M1 y los depósitos disponibles </w:t>
      </w:r>
      <w:r w:rsidRPr="00F5635B">
        <w:rPr>
          <w:rFonts w:ascii="Times New Roman" w:hAnsi="Times New Roman" w:cs="Times New Roman"/>
          <w:sz w:val="24"/>
          <w:szCs w:val="24"/>
        </w:rPr>
        <w:t>con preaviso hasta tres meses (es decir, depós</w:t>
      </w:r>
      <w:r>
        <w:rPr>
          <w:rFonts w:ascii="Times New Roman" w:hAnsi="Times New Roman" w:cs="Times New Roman"/>
          <w:sz w:val="24"/>
          <w:szCs w:val="24"/>
        </w:rPr>
        <w:t xml:space="preserve">itos de ahorro a corto plazo) y </w:t>
      </w:r>
      <w:r w:rsidRPr="00F5635B">
        <w:rPr>
          <w:rFonts w:ascii="Times New Roman" w:hAnsi="Times New Roman" w:cs="Times New Roman"/>
          <w:sz w:val="24"/>
          <w:szCs w:val="24"/>
        </w:rPr>
        <w:t>los depósitos a plazo hasta dos años (es decir, d</w:t>
      </w:r>
      <w:r>
        <w:rPr>
          <w:rFonts w:ascii="Times New Roman" w:hAnsi="Times New Roman" w:cs="Times New Roman"/>
          <w:sz w:val="24"/>
          <w:szCs w:val="24"/>
        </w:rPr>
        <w:t xml:space="preserve">epósitos a plazo a corto plazo) </w:t>
      </w:r>
      <w:r w:rsidRPr="00F5635B">
        <w:rPr>
          <w:rFonts w:ascii="Times New Roman" w:hAnsi="Times New Roman" w:cs="Times New Roman"/>
          <w:sz w:val="24"/>
          <w:szCs w:val="24"/>
        </w:rPr>
        <w:t>mantenidos en IFM y en la Administración Central.</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M3</w:t>
      </w:r>
      <w:r w:rsidRPr="00F5635B">
        <w:rPr>
          <w:rFonts w:ascii="Times New Roman" w:hAnsi="Times New Roman" w:cs="Times New Roman"/>
          <w:sz w:val="24"/>
          <w:szCs w:val="24"/>
        </w:rPr>
        <w:t xml:space="preserve">: agregado monetario amplio que comprende M2 </w:t>
      </w:r>
      <w:r>
        <w:rPr>
          <w:rFonts w:ascii="Times New Roman" w:hAnsi="Times New Roman" w:cs="Times New Roman"/>
          <w:sz w:val="24"/>
          <w:szCs w:val="24"/>
        </w:rPr>
        <w:t xml:space="preserve">y los instrumentos negociables, </w:t>
      </w:r>
      <w:r w:rsidRPr="00F5635B">
        <w:rPr>
          <w:rFonts w:ascii="Times New Roman" w:hAnsi="Times New Roman" w:cs="Times New Roman"/>
          <w:sz w:val="24"/>
          <w:szCs w:val="24"/>
        </w:rPr>
        <w:t>en particular, cesiones temporales, participaciones en fondos del m</w:t>
      </w:r>
      <w:r>
        <w:rPr>
          <w:rFonts w:ascii="Times New Roman" w:hAnsi="Times New Roman" w:cs="Times New Roman"/>
          <w:sz w:val="24"/>
          <w:szCs w:val="24"/>
        </w:rPr>
        <w:t xml:space="preserve">ercado </w:t>
      </w:r>
      <w:r w:rsidRPr="00F5635B">
        <w:rPr>
          <w:rFonts w:ascii="Times New Roman" w:hAnsi="Times New Roman" w:cs="Times New Roman"/>
          <w:sz w:val="24"/>
          <w:szCs w:val="24"/>
        </w:rPr>
        <w:t>monetario y valores distintos de acciones hasta dos años emitidos por las IFM.</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lastRenderedPageBreak/>
        <w:t>Mecanismo de transmisión de la política monetaria</w:t>
      </w:r>
      <w:r>
        <w:rPr>
          <w:rFonts w:ascii="Times New Roman" w:hAnsi="Times New Roman" w:cs="Times New Roman"/>
          <w:sz w:val="24"/>
          <w:szCs w:val="24"/>
        </w:rPr>
        <w:t xml:space="preserve">: proceso a través del cual </w:t>
      </w:r>
      <w:r w:rsidRPr="00B4064E">
        <w:rPr>
          <w:rFonts w:ascii="Times New Roman" w:hAnsi="Times New Roman" w:cs="Times New Roman"/>
          <w:sz w:val="24"/>
          <w:szCs w:val="24"/>
        </w:rPr>
        <w:t>las decisiones de política monetaria, es decir, las</w:t>
      </w:r>
      <w:r>
        <w:rPr>
          <w:rFonts w:ascii="Times New Roman" w:hAnsi="Times New Roman" w:cs="Times New Roman"/>
          <w:sz w:val="24"/>
          <w:szCs w:val="24"/>
        </w:rPr>
        <w:t xml:space="preserve"> decisiones de tipos de interés </w:t>
      </w:r>
      <w:r w:rsidRPr="00B4064E">
        <w:rPr>
          <w:rFonts w:ascii="Times New Roman" w:hAnsi="Times New Roman" w:cs="Times New Roman"/>
          <w:sz w:val="24"/>
          <w:szCs w:val="24"/>
        </w:rPr>
        <w:t>adoptadas por el Consejo de Gobierno en el caso d</w:t>
      </w:r>
      <w:r>
        <w:rPr>
          <w:rFonts w:ascii="Times New Roman" w:hAnsi="Times New Roman" w:cs="Times New Roman"/>
          <w:sz w:val="24"/>
          <w:szCs w:val="24"/>
        </w:rPr>
        <w:t xml:space="preserve">e la zona del euro, influyen en </w:t>
      </w:r>
      <w:r w:rsidRPr="00B4064E">
        <w:rPr>
          <w:rFonts w:ascii="Times New Roman" w:hAnsi="Times New Roman" w:cs="Times New Roman"/>
          <w:sz w:val="24"/>
          <w:szCs w:val="24"/>
        </w:rPr>
        <w:t>la economía en general y en el nivel de precios en particular.</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Medidas no convencionales</w:t>
      </w:r>
      <w:r w:rsidRPr="00B4064E">
        <w:rPr>
          <w:rFonts w:ascii="Times New Roman" w:hAnsi="Times New Roman" w:cs="Times New Roman"/>
          <w:sz w:val="24"/>
          <w:szCs w:val="24"/>
        </w:rPr>
        <w:t>: medidas adoptadas por el</w:t>
      </w:r>
      <w:r>
        <w:rPr>
          <w:rFonts w:ascii="Times New Roman" w:hAnsi="Times New Roman" w:cs="Times New Roman"/>
          <w:sz w:val="24"/>
          <w:szCs w:val="24"/>
        </w:rPr>
        <w:t xml:space="preserve"> BCE para apoyar la transmisión </w:t>
      </w:r>
      <w:r w:rsidRPr="00B4064E">
        <w:rPr>
          <w:rFonts w:ascii="Times New Roman" w:hAnsi="Times New Roman" w:cs="Times New Roman"/>
          <w:sz w:val="24"/>
          <w:szCs w:val="24"/>
        </w:rPr>
        <w:t>efectiva de las decisiones de tipos de inter</w:t>
      </w:r>
      <w:r>
        <w:rPr>
          <w:rFonts w:ascii="Times New Roman" w:hAnsi="Times New Roman" w:cs="Times New Roman"/>
          <w:sz w:val="24"/>
          <w:szCs w:val="24"/>
        </w:rPr>
        <w:t xml:space="preserve">és a la economía de la zona del </w:t>
      </w:r>
      <w:r w:rsidRPr="00B4064E">
        <w:rPr>
          <w:rFonts w:ascii="Times New Roman" w:hAnsi="Times New Roman" w:cs="Times New Roman"/>
          <w:sz w:val="24"/>
          <w:szCs w:val="24"/>
        </w:rPr>
        <w:t>euro en su conjunto, en un contexto de mal func</w:t>
      </w:r>
      <w:r>
        <w:rPr>
          <w:rFonts w:ascii="Times New Roman" w:hAnsi="Times New Roman" w:cs="Times New Roman"/>
          <w:sz w:val="24"/>
          <w:szCs w:val="24"/>
        </w:rPr>
        <w:t xml:space="preserve">ionamiento de algunos segmentos </w:t>
      </w:r>
      <w:r w:rsidRPr="00B4064E">
        <w:rPr>
          <w:rFonts w:ascii="Times New Roman" w:hAnsi="Times New Roman" w:cs="Times New Roman"/>
          <w:sz w:val="24"/>
          <w:szCs w:val="24"/>
        </w:rPr>
        <w:t>del mercado financiero y del sistema financiero en general.</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TARGET</w:t>
      </w:r>
      <w:r w:rsidRPr="00B4064E">
        <w:rPr>
          <w:rFonts w:ascii="Times New Roman" w:hAnsi="Times New Roman" w:cs="Times New Roman"/>
          <w:sz w:val="24"/>
          <w:szCs w:val="24"/>
        </w:rPr>
        <w:t xml:space="preserve"> (Sistema automatizado transeuro</w:t>
      </w:r>
      <w:r>
        <w:rPr>
          <w:rFonts w:ascii="Times New Roman" w:hAnsi="Times New Roman" w:cs="Times New Roman"/>
          <w:sz w:val="24"/>
          <w:szCs w:val="24"/>
        </w:rPr>
        <w:t xml:space="preserve">peo de transferencia urgente </w:t>
      </w:r>
      <w:r w:rsidRPr="00B4064E">
        <w:rPr>
          <w:rFonts w:ascii="Times New Roman" w:hAnsi="Times New Roman" w:cs="Times New Roman"/>
          <w:sz w:val="24"/>
          <w:szCs w:val="24"/>
        </w:rPr>
        <w:t>para la liquidación bruta en tiempo real): sistema</w:t>
      </w:r>
      <w:r>
        <w:rPr>
          <w:rFonts w:ascii="Times New Roman" w:hAnsi="Times New Roman" w:cs="Times New Roman"/>
          <w:sz w:val="24"/>
          <w:szCs w:val="24"/>
        </w:rPr>
        <w:t xml:space="preserve"> de liquidación bruta en tiempo </w:t>
      </w:r>
      <w:r w:rsidRPr="00B4064E">
        <w:rPr>
          <w:rFonts w:ascii="Times New Roman" w:hAnsi="Times New Roman" w:cs="Times New Roman"/>
          <w:sz w:val="24"/>
          <w:szCs w:val="24"/>
        </w:rPr>
        <w:t>real del Eurosistema para el euro. El siste</w:t>
      </w:r>
      <w:r>
        <w:rPr>
          <w:rFonts w:ascii="Times New Roman" w:hAnsi="Times New Roman" w:cs="Times New Roman"/>
          <w:sz w:val="24"/>
          <w:szCs w:val="24"/>
        </w:rPr>
        <w:t xml:space="preserve">ma TARGET de primera generación </w:t>
      </w:r>
      <w:r w:rsidRPr="00B4064E">
        <w:rPr>
          <w:rFonts w:ascii="Times New Roman" w:hAnsi="Times New Roman" w:cs="Times New Roman"/>
          <w:sz w:val="24"/>
          <w:szCs w:val="24"/>
        </w:rPr>
        <w:t>fue reemplazado por TARGET2 en mayo de 2008.</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TARGET2</w:t>
      </w:r>
      <w:r w:rsidRPr="00B4064E">
        <w:rPr>
          <w:rFonts w:ascii="Times New Roman" w:hAnsi="Times New Roman" w:cs="Times New Roman"/>
          <w:sz w:val="24"/>
          <w:szCs w:val="24"/>
        </w:rPr>
        <w:t>: sistema TARGET de segunda</w:t>
      </w:r>
      <w:r>
        <w:rPr>
          <w:rFonts w:ascii="Times New Roman" w:hAnsi="Times New Roman" w:cs="Times New Roman"/>
          <w:sz w:val="24"/>
          <w:szCs w:val="24"/>
        </w:rPr>
        <w:t xml:space="preserve"> generación. El sistema liquida </w:t>
      </w:r>
      <w:r w:rsidRPr="00B4064E">
        <w:rPr>
          <w:rFonts w:ascii="Times New Roman" w:hAnsi="Times New Roman" w:cs="Times New Roman"/>
          <w:sz w:val="24"/>
          <w:szCs w:val="24"/>
        </w:rPr>
        <w:t xml:space="preserve">pagos en euros en dinero de banco central, </w:t>
      </w:r>
      <w:r>
        <w:rPr>
          <w:rFonts w:ascii="Times New Roman" w:hAnsi="Times New Roman" w:cs="Times New Roman"/>
          <w:sz w:val="24"/>
          <w:szCs w:val="24"/>
        </w:rPr>
        <w:t xml:space="preserve">y funciona sobre la base de una </w:t>
      </w:r>
      <w:r w:rsidRPr="00B4064E">
        <w:rPr>
          <w:rFonts w:ascii="Times New Roman" w:hAnsi="Times New Roman" w:cs="Times New Roman"/>
          <w:sz w:val="24"/>
          <w:szCs w:val="24"/>
        </w:rPr>
        <w:t>plataforma compartida única a la que se envían</w:t>
      </w:r>
      <w:r>
        <w:rPr>
          <w:rFonts w:ascii="Times New Roman" w:hAnsi="Times New Roman" w:cs="Times New Roman"/>
          <w:sz w:val="24"/>
          <w:szCs w:val="24"/>
        </w:rPr>
        <w:t xml:space="preserve"> todas las órdenes de pago para </w:t>
      </w:r>
      <w:r w:rsidRPr="00B4064E">
        <w:rPr>
          <w:rFonts w:ascii="Times New Roman" w:hAnsi="Times New Roman" w:cs="Times New Roman"/>
          <w:sz w:val="24"/>
          <w:szCs w:val="24"/>
        </w:rPr>
        <w:t>su procesamiento.</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Valor de referencia para el crecimiento monetario</w:t>
      </w:r>
      <w:r>
        <w:rPr>
          <w:rFonts w:ascii="Times New Roman" w:hAnsi="Times New Roman" w:cs="Times New Roman"/>
          <w:sz w:val="24"/>
          <w:szCs w:val="24"/>
        </w:rPr>
        <w:t xml:space="preserve">: la tasa de crecimiento </w:t>
      </w:r>
      <w:r w:rsidRPr="00B4064E">
        <w:rPr>
          <w:rFonts w:ascii="Times New Roman" w:hAnsi="Times New Roman" w:cs="Times New Roman"/>
          <w:sz w:val="24"/>
          <w:szCs w:val="24"/>
        </w:rPr>
        <w:t>interanual de M3 que es compatible con el man</w:t>
      </w:r>
      <w:r>
        <w:rPr>
          <w:rFonts w:ascii="Times New Roman" w:hAnsi="Times New Roman" w:cs="Times New Roman"/>
          <w:sz w:val="24"/>
          <w:szCs w:val="24"/>
        </w:rPr>
        <w:t xml:space="preserve">tenimiento de la estabilidad de </w:t>
      </w:r>
      <w:r w:rsidRPr="00B4064E">
        <w:rPr>
          <w:rFonts w:ascii="Times New Roman" w:hAnsi="Times New Roman" w:cs="Times New Roman"/>
          <w:sz w:val="24"/>
          <w:szCs w:val="24"/>
        </w:rPr>
        <w:t>precios a medio plazo.</w:t>
      </w:r>
    </w:p>
    <w:p w:rsidR="008258F5" w:rsidRDefault="008258F5" w:rsidP="008258F5">
      <w:pPr>
        <w:spacing w:line="240" w:lineRule="auto"/>
        <w:jc w:val="both"/>
        <w:rPr>
          <w:rFonts w:ascii="Times New Roman" w:hAnsi="Times New Roman" w:cs="Times New Roman"/>
          <w:sz w:val="24"/>
          <w:szCs w:val="24"/>
        </w:rPr>
      </w:pPr>
      <w:r w:rsidRPr="006F754E">
        <w:rPr>
          <w:rFonts w:ascii="Times New Roman" w:hAnsi="Times New Roman" w:cs="Times New Roman"/>
          <w:sz w:val="24"/>
          <w:szCs w:val="24"/>
          <w:u w:val="single"/>
        </w:rPr>
        <w:t>Valor de referencia para la situación fiscal</w:t>
      </w:r>
      <w:r>
        <w:rPr>
          <w:rFonts w:ascii="Times New Roman" w:hAnsi="Times New Roman" w:cs="Times New Roman"/>
          <w:sz w:val="24"/>
          <w:szCs w:val="24"/>
        </w:rPr>
        <w:t xml:space="preserve">: el Protocolo nº 12 sobre el </w:t>
      </w:r>
      <w:r w:rsidRPr="00B4064E">
        <w:rPr>
          <w:rFonts w:ascii="Times New Roman" w:hAnsi="Times New Roman" w:cs="Times New Roman"/>
          <w:sz w:val="24"/>
          <w:szCs w:val="24"/>
        </w:rPr>
        <w:t>procedimiento aplicable en caso de défici</w:t>
      </w:r>
      <w:r>
        <w:rPr>
          <w:rFonts w:ascii="Times New Roman" w:hAnsi="Times New Roman" w:cs="Times New Roman"/>
          <w:sz w:val="24"/>
          <w:szCs w:val="24"/>
        </w:rPr>
        <w:t xml:space="preserve">t excesivo, anejo al </w:t>
      </w:r>
      <w:r w:rsidRPr="006F754E">
        <w:rPr>
          <w:rFonts w:ascii="Times New Roman" w:hAnsi="Times New Roman" w:cs="Times New Roman"/>
          <w:sz w:val="24"/>
          <w:szCs w:val="24"/>
          <w:u w:val="single"/>
        </w:rPr>
        <w:t>Tratado de Funcionamiento de la Unión Europea, establece valores de referencia explícitos para la ratio de déficit de las Administraciones Públicas (3 % del PIB) y la ratio de deuda (60 % del PIB)</w:t>
      </w:r>
      <w:r w:rsidRPr="00B4064E">
        <w:rPr>
          <w:rFonts w:ascii="Times New Roman" w:hAnsi="Times New Roman" w:cs="Times New Roman"/>
          <w:sz w:val="24"/>
          <w:szCs w:val="24"/>
        </w:rPr>
        <w:t xml:space="preserve"> (véase también Pacto de Estabilidad y Crecimiento).</w:t>
      </w:r>
    </w:p>
    <w:p w:rsidR="008258F5" w:rsidRDefault="008258F5" w:rsidP="008258F5">
      <w:pPr>
        <w:spacing w:line="240" w:lineRule="auto"/>
        <w:jc w:val="both"/>
        <w:rPr>
          <w:rFonts w:ascii="Times New Roman" w:hAnsi="Times New Roman" w:cs="Times New Roman"/>
          <w:sz w:val="24"/>
          <w:szCs w:val="24"/>
        </w:rPr>
      </w:pPr>
    </w:p>
    <w:p w:rsidR="008258F5" w:rsidRPr="005D125B" w:rsidRDefault="008258F5" w:rsidP="008258F5">
      <w:pPr>
        <w:shd w:val="clear" w:color="auto" w:fill="FFFFFF"/>
        <w:spacing w:after="195" w:line="240" w:lineRule="auto"/>
        <w:jc w:val="both"/>
        <w:textAlignment w:val="baseline"/>
        <w:outlineLvl w:val="2"/>
        <w:rPr>
          <w:rFonts w:ascii="Times New Roman" w:eastAsia="Times New Roman" w:hAnsi="Times New Roman" w:cs="Times New Roman"/>
          <w:b/>
          <w:bCs/>
          <w:sz w:val="24"/>
          <w:szCs w:val="24"/>
          <w:lang w:val="en-US" w:eastAsia="es-ES"/>
        </w:rPr>
      </w:pPr>
      <w:r w:rsidRPr="005D125B">
        <w:rPr>
          <w:rFonts w:ascii="Times New Roman" w:eastAsia="Times New Roman" w:hAnsi="Times New Roman" w:cs="Times New Roman"/>
          <w:b/>
          <w:bCs/>
          <w:sz w:val="24"/>
          <w:szCs w:val="24"/>
          <w:lang w:val="en-US" w:eastAsia="es-ES"/>
        </w:rPr>
        <w:t>Monetary aggregates background</w:t>
      </w:r>
    </w:p>
    <w:p w:rsidR="008258F5" w:rsidRPr="005D125B" w:rsidRDefault="008258F5" w:rsidP="008258F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color w:val="191919"/>
          <w:sz w:val="24"/>
          <w:szCs w:val="24"/>
          <w:lang w:val="en-US" w:eastAsia="es-ES"/>
        </w:rPr>
        <w:t>Monetary aggregates comprise monetary liabilities of MFIs and central government (post office, treasury, etc.) vis-à-vis non-MFI euro area residents excluding central government.</w:t>
      </w:r>
    </w:p>
    <w:p w:rsidR="006F0DE5" w:rsidRPr="006F0DE5" w:rsidRDefault="006F0DE5" w:rsidP="006F0DE5">
      <w:p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p>
    <w:p w:rsidR="008258F5" w:rsidRPr="005D125B" w:rsidRDefault="008258F5" w:rsidP="008258F5">
      <w:pPr>
        <w:numPr>
          <w:ilvl w:val="0"/>
          <w:numId w:val="7"/>
        </w:num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b/>
          <w:bCs/>
          <w:color w:val="191919"/>
          <w:sz w:val="24"/>
          <w:szCs w:val="24"/>
          <w:bdr w:val="none" w:sz="0" w:space="0" w:color="auto" w:frame="1"/>
          <w:lang w:val="en-US" w:eastAsia="es-ES"/>
        </w:rPr>
        <w:t>M1</w:t>
      </w:r>
      <w:r w:rsidRPr="005D125B">
        <w:rPr>
          <w:rFonts w:ascii="Times New Roman" w:eastAsia="Times New Roman" w:hAnsi="Times New Roman" w:cs="Times New Roman"/>
          <w:color w:val="191919"/>
          <w:sz w:val="24"/>
          <w:szCs w:val="24"/>
          <w:lang w:val="en-US" w:eastAsia="es-ES"/>
        </w:rPr>
        <w:t> is the sum of currency in circulation and overnight deposits;</w:t>
      </w:r>
    </w:p>
    <w:p w:rsidR="006F0DE5" w:rsidRPr="006F0DE5" w:rsidRDefault="006F0DE5" w:rsidP="006F0DE5">
      <w:p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p>
    <w:p w:rsidR="008258F5" w:rsidRPr="005D125B" w:rsidRDefault="008258F5" w:rsidP="008258F5">
      <w:pPr>
        <w:numPr>
          <w:ilvl w:val="0"/>
          <w:numId w:val="7"/>
        </w:num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b/>
          <w:bCs/>
          <w:color w:val="191919"/>
          <w:sz w:val="24"/>
          <w:szCs w:val="24"/>
          <w:bdr w:val="none" w:sz="0" w:space="0" w:color="auto" w:frame="1"/>
          <w:lang w:val="en-US" w:eastAsia="es-ES"/>
        </w:rPr>
        <w:t>M2</w:t>
      </w:r>
      <w:r w:rsidRPr="005D125B">
        <w:rPr>
          <w:rFonts w:ascii="Times New Roman" w:eastAsia="Times New Roman" w:hAnsi="Times New Roman" w:cs="Times New Roman"/>
          <w:color w:val="191919"/>
          <w:sz w:val="24"/>
          <w:szCs w:val="24"/>
          <w:lang w:val="en-US" w:eastAsia="es-ES"/>
        </w:rPr>
        <w:t> is the sum of M1, deposits with an agreed maturity of up to two years and deposits redeemable at notice of up to three months; and</w:t>
      </w:r>
    </w:p>
    <w:p w:rsidR="006F0DE5" w:rsidRPr="006F0DE5" w:rsidRDefault="006F0DE5" w:rsidP="006F0DE5">
      <w:p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p>
    <w:p w:rsidR="008258F5" w:rsidRDefault="008258F5" w:rsidP="008258F5">
      <w:pPr>
        <w:numPr>
          <w:ilvl w:val="0"/>
          <w:numId w:val="7"/>
        </w:num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b/>
          <w:bCs/>
          <w:color w:val="191919"/>
          <w:sz w:val="24"/>
          <w:szCs w:val="24"/>
          <w:bdr w:val="none" w:sz="0" w:space="0" w:color="auto" w:frame="1"/>
          <w:lang w:val="en-US" w:eastAsia="es-ES"/>
        </w:rPr>
        <w:t>M3</w:t>
      </w:r>
      <w:r w:rsidRPr="005D125B">
        <w:rPr>
          <w:rFonts w:ascii="Times New Roman" w:eastAsia="Times New Roman" w:hAnsi="Times New Roman" w:cs="Times New Roman"/>
          <w:color w:val="191919"/>
          <w:sz w:val="24"/>
          <w:szCs w:val="24"/>
          <w:lang w:val="en-US" w:eastAsia="es-ES"/>
        </w:rPr>
        <w:t> is the sum of M2, repurchase agreements, money market fund shares/units and debt securities with a maturity of up to two years.</w:t>
      </w: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AE2A85" w:rsidRDefault="00AE2A85" w:rsidP="00AE2A85">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2006 - 28 July 2006</w:t>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5C08A3A3" wp14:editId="527A7B0E">
            <wp:extent cx="5096586" cy="5772956"/>
            <wp:effectExtent l="0" t="0" r="889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096586" cy="5772956"/>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2008 - 25 July 2008</w:t>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3FCFB5EE" wp14:editId="1E83503E">
            <wp:extent cx="5353797" cy="5982535"/>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353797" cy="5982535"/>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2010 - 27 July 2010</w:t>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2EAA19C4" wp14:editId="4EAB335E">
            <wp:extent cx="5325218" cy="5953956"/>
            <wp:effectExtent l="0" t="0" r="8890" b="889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25218" cy="5953956"/>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2012 - 26 July 2012</w:t>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Pr="000B2BA4"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18DE7BB6" wp14:editId="2A3CB170">
            <wp:extent cx="5731510" cy="5863776"/>
            <wp:effectExtent l="0" t="0" r="2540" b="381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5863776"/>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xml:space="preserve">: June 2014 - </w:t>
      </w:r>
      <w:r w:rsidRPr="000B2BA4">
        <w:rPr>
          <w:rFonts w:ascii="Times New Roman" w:hAnsi="Times New Roman" w:cs="Times New Roman"/>
          <w:sz w:val="24"/>
          <w:szCs w:val="24"/>
          <w:lang w:val="en-US"/>
        </w:rPr>
        <w:t>25 July 2014</w:t>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Pr="000B2BA4"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756FD1A1" wp14:editId="5DC9F350">
            <wp:extent cx="5731510" cy="2803296"/>
            <wp:effectExtent l="0" t="0" r="254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803296"/>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27883E92" wp14:editId="30D54034">
            <wp:extent cx="5731510" cy="3391756"/>
            <wp:effectExtent l="0" t="0" r="254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391756"/>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lastRenderedPageBreak/>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sidRPr="000B2BA4">
        <w:rPr>
          <w:rFonts w:ascii="Times New Roman" w:hAnsi="Times New Roman" w:cs="Times New Roman"/>
          <w:sz w:val="24"/>
          <w:szCs w:val="24"/>
          <w:lang w:val="en-US"/>
        </w:rPr>
        <w:t>: June 2016</w:t>
      </w:r>
      <w:r>
        <w:rPr>
          <w:rFonts w:ascii="Times New Roman" w:hAnsi="Times New Roman" w:cs="Times New Roman"/>
          <w:sz w:val="24"/>
          <w:szCs w:val="24"/>
          <w:lang w:val="en-US"/>
        </w:rPr>
        <w:t xml:space="preserve"> - </w:t>
      </w:r>
      <w:r w:rsidRPr="000B2BA4">
        <w:rPr>
          <w:rFonts w:ascii="Times New Roman" w:hAnsi="Times New Roman" w:cs="Times New Roman"/>
          <w:sz w:val="24"/>
          <w:szCs w:val="24"/>
          <w:lang w:val="en-US"/>
        </w:rPr>
        <w:t>27 July 2016</w:t>
      </w:r>
    </w:p>
    <w:p w:rsidR="00C70908" w:rsidRDefault="008258F5" w:rsidP="008258F5">
      <w:pPr>
        <w:spacing w:line="240" w:lineRule="auto"/>
        <w:jc w:val="both"/>
        <w:rPr>
          <w:rFonts w:ascii="Times New Roman" w:hAnsi="Times New Roman" w:cs="Times New Roman"/>
          <w:sz w:val="24"/>
          <w:szCs w:val="24"/>
          <w:lang w:val="en-US"/>
        </w:rPr>
      </w:pPr>
      <w:r w:rsidRPr="00453F56">
        <w:rPr>
          <w:rFonts w:ascii="Times New Roman" w:hAnsi="Times New Roman" w:cs="Times New Roman"/>
          <w:noProof/>
          <w:sz w:val="24"/>
          <w:szCs w:val="24"/>
          <w:lang w:eastAsia="es-ES"/>
        </w:rPr>
        <w:drawing>
          <wp:inline distT="0" distB="0" distL="0" distR="0" wp14:anchorId="000CEA94" wp14:editId="0A8FE186">
            <wp:extent cx="5734050" cy="3613150"/>
            <wp:effectExtent l="0" t="0" r="0" b="635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611549"/>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4CCB762C" wp14:editId="348148BA">
            <wp:extent cx="5731510" cy="2458548"/>
            <wp:effectExtent l="0" t="0" r="254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2458548"/>
                    </a:xfrm>
                    <a:prstGeom prst="rect">
                      <a:avLst/>
                    </a:prstGeom>
                  </pic:spPr>
                </pic:pic>
              </a:graphicData>
            </a:graphic>
          </wp:inline>
        </w:drawing>
      </w:r>
    </w:p>
    <w:p w:rsidR="008258F5" w:rsidRPr="000B2BA4"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5ECFC78F" wp14:editId="6427976F">
            <wp:extent cx="5733577" cy="2101850"/>
            <wp:effectExtent l="0" t="0" r="635"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101092"/>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lastRenderedPageBreak/>
        <w:t xml:space="preserve">PRESS RELEASE - </w:t>
      </w:r>
      <w:r w:rsidRPr="000B2BA4">
        <w:rPr>
          <w:rFonts w:ascii="Times New Roman" w:hAnsi="Times New Roman" w:cs="Times New Roman"/>
          <w:b/>
          <w:sz w:val="24"/>
          <w:szCs w:val="24"/>
          <w:lang w:val="en-US"/>
        </w:rPr>
        <w:t>Monetary developments in the euro area</w:t>
      </w:r>
      <w:r w:rsidRPr="000B2BA4">
        <w:rPr>
          <w:rFonts w:ascii="Times New Roman" w:hAnsi="Times New Roman" w:cs="Times New Roman"/>
          <w:sz w:val="24"/>
          <w:szCs w:val="24"/>
          <w:lang w:val="en-US"/>
        </w:rPr>
        <w:t>: June 2018</w:t>
      </w:r>
      <w:r>
        <w:rPr>
          <w:rFonts w:ascii="Times New Roman" w:hAnsi="Times New Roman" w:cs="Times New Roman"/>
          <w:sz w:val="24"/>
          <w:szCs w:val="24"/>
          <w:lang w:val="en-US"/>
        </w:rPr>
        <w:t xml:space="preserve"> - </w:t>
      </w:r>
      <w:r w:rsidRPr="000B2BA4">
        <w:rPr>
          <w:rFonts w:ascii="Times New Roman" w:hAnsi="Times New Roman" w:cs="Times New Roman"/>
          <w:sz w:val="24"/>
          <w:szCs w:val="24"/>
          <w:lang w:val="en-US"/>
        </w:rPr>
        <w:t>25 July 2018</w:t>
      </w:r>
    </w:p>
    <w:p w:rsidR="008258F5" w:rsidRDefault="008258F5" w:rsidP="008258F5">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5DE95909" wp14:editId="5C0994B2">
            <wp:extent cx="5125165" cy="2867425"/>
            <wp:effectExtent l="0" t="0" r="0" b="9525"/>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125165" cy="2867425"/>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769A561D" wp14:editId="19E6947E">
            <wp:extent cx="5058481" cy="3200847"/>
            <wp:effectExtent l="0" t="0" r="889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058481" cy="3200847"/>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3DDB664A" wp14:editId="24EFE76C">
            <wp:extent cx="5733143" cy="2133600"/>
            <wp:effectExtent l="0" t="0" r="127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132992"/>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lastRenderedPageBreak/>
        <w:drawing>
          <wp:inline distT="0" distB="0" distL="0" distR="0" wp14:anchorId="228DD91A" wp14:editId="36CE7D22">
            <wp:extent cx="5731510" cy="2397314"/>
            <wp:effectExtent l="0" t="0" r="2540" b="3175"/>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397314"/>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453F56">
        <w:rPr>
          <w:rFonts w:ascii="Times New Roman" w:hAnsi="Times New Roman" w:cs="Times New Roman"/>
          <w:noProof/>
          <w:sz w:val="24"/>
          <w:szCs w:val="24"/>
          <w:lang w:eastAsia="es-ES"/>
        </w:rPr>
        <w:drawing>
          <wp:inline distT="0" distB="0" distL="0" distR="0" wp14:anchorId="2AA34E28" wp14:editId="55FA0EF9">
            <wp:extent cx="5268060" cy="5115639"/>
            <wp:effectExtent l="0" t="0" r="8890" b="889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268060" cy="5115639"/>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p>
    <w:p w:rsidR="008258F5" w:rsidRDefault="008258F5" w:rsidP="008258F5">
      <w:pPr>
        <w:spacing w:line="240" w:lineRule="auto"/>
        <w:jc w:val="both"/>
        <w:rPr>
          <w:rFonts w:ascii="Times New Roman" w:hAnsi="Times New Roman" w:cs="Times New Roman"/>
          <w:b/>
          <w:sz w:val="24"/>
          <w:szCs w:val="24"/>
          <w:lang w:val="en-US"/>
        </w:rPr>
      </w:pPr>
    </w:p>
    <w:p w:rsidR="008258F5" w:rsidRDefault="008258F5" w:rsidP="008258F5">
      <w:pPr>
        <w:spacing w:line="240" w:lineRule="auto"/>
        <w:jc w:val="both"/>
        <w:rPr>
          <w:rFonts w:ascii="Times New Roman" w:hAnsi="Times New Roman" w:cs="Times New Roman"/>
          <w:b/>
          <w:sz w:val="24"/>
          <w:szCs w:val="24"/>
          <w:lang w:val="en-US"/>
        </w:rPr>
      </w:pPr>
    </w:p>
    <w:p w:rsidR="008258F5" w:rsidRDefault="008258F5" w:rsidP="008258F5">
      <w:pPr>
        <w:spacing w:line="240" w:lineRule="auto"/>
        <w:jc w:val="both"/>
        <w:rPr>
          <w:rFonts w:ascii="Times New Roman" w:hAnsi="Times New Roman" w:cs="Times New Roman"/>
          <w:b/>
          <w:sz w:val="24"/>
          <w:szCs w:val="24"/>
          <w:lang w:val="en-US"/>
        </w:rPr>
      </w:pPr>
    </w:p>
    <w:p w:rsidR="00405307" w:rsidRPr="00AD55A7" w:rsidRDefault="00AD55A7" w:rsidP="00AD55A7">
      <w:pPr>
        <w:spacing w:line="240" w:lineRule="auto"/>
        <w:jc w:val="both"/>
        <w:rPr>
          <w:rFonts w:ascii="Times New Roman" w:hAnsi="Times New Roman" w:cs="Times New Roman"/>
          <w:b/>
          <w:sz w:val="24"/>
          <w:szCs w:val="24"/>
        </w:rPr>
      </w:pPr>
      <w:r w:rsidRPr="00AD55A7">
        <w:rPr>
          <w:rFonts w:ascii="Times New Roman" w:hAnsi="Times New Roman" w:cs="Times New Roman"/>
          <w:b/>
          <w:sz w:val="24"/>
          <w:szCs w:val="24"/>
        </w:rPr>
        <w:lastRenderedPageBreak/>
        <w:t>- Mario Draghi dixit</w:t>
      </w:r>
      <w:r>
        <w:rPr>
          <w:rFonts w:ascii="Times New Roman" w:hAnsi="Times New Roman" w:cs="Times New Roman"/>
          <w:b/>
          <w:sz w:val="24"/>
          <w:szCs w:val="24"/>
        </w:rPr>
        <w:t>:</w:t>
      </w:r>
      <w:r w:rsidR="00405307" w:rsidRPr="00AD55A7">
        <w:rPr>
          <w:rFonts w:ascii="Times New Roman" w:hAnsi="Times New Roman" w:cs="Times New Roman"/>
          <w:b/>
          <w:sz w:val="24"/>
          <w:szCs w:val="24"/>
        </w:rPr>
        <w:t xml:space="preserve"> “E</w:t>
      </w:r>
      <w:r w:rsidR="009227FF" w:rsidRPr="00AD55A7">
        <w:rPr>
          <w:rFonts w:ascii="Times New Roman" w:hAnsi="Times New Roman" w:cs="Times New Roman"/>
          <w:b/>
          <w:sz w:val="24"/>
          <w:szCs w:val="24"/>
        </w:rPr>
        <w:t xml:space="preserve">l BCE está preparado para hacer todo lo necesario para preservar el euro. </w:t>
      </w:r>
      <w:r w:rsidR="00405307" w:rsidRPr="00AD55A7">
        <w:rPr>
          <w:rFonts w:ascii="Times New Roman" w:hAnsi="Times New Roman" w:cs="Times New Roman"/>
          <w:b/>
          <w:sz w:val="24"/>
          <w:szCs w:val="24"/>
        </w:rPr>
        <w:t>Y créanme, esto será suf</w:t>
      </w:r>
      <w:r>
        <w:rPr>
          <w:rFonts w:ascii="Times New Roman" w:hAnsi="Times New Roman" w:cs="Times New Roman"/>
          <w:b/>
          <w:sz w:val="24"/>
          <w:szCs w:val="24"/>
        </w:rPr>
        <w:t>iciente”… (</w:t>
      </w:r>
      <w:r w:rsidR="00405307" w:rsidRPr="00AD55A7">
        <w:rPr>
          <w:rFonts w:ascii="Times New Roman" w:hAnsi="Times New Roman" w:cs="Times New Roman"/>
          <w:b/>
          <w:sz w:val="24"/>
          <w:szCs w:val="24"/>
        </w:rPr>
        <w:t>26 de Julio de 2012)</w:t>
      </w:r>
    </w:p>
    <w:p w:rsidR="00405307" w:rsidRDefault="00405307" w:rsidP="00405307">
      <w:pPr>
        <w:spacing w:line="240" w:lineRule="auto"/>
        <w:jc w:val="both"/>
        <w:rPr>
          <w:rFonts w:ascii="Times New Roman" w:hAnsi="Times New Roman" w:cs="Times New Roman"/>
          <w:b/>
          <w:sz w:val="24"/>
          <w:szCs w:val="24"/>
        </w:rPr>
      </w:pPr>
    </w:p>
    <w:p w:rsidR="00405307" w:rsidRDefault="00405307" w:rsidP="00405307">
      <w:pPr>
        <w:spacing w:line="240" w:lineRule="auto"/>
        <w:jc w:val="both"/>
        <w:rPr>
          <w:rFonts w:ascii="Times New Roman" w:hAnsi="Times New Roman" w:cs="Times New Roman"/>
          <w:b/>
          <w:sz w:val="24"/>
          <w:szCs w:val="24"/>
        </w:rPr>
      </w:pPr>
      <w:r>
        <w:rPr>
          <w:noProof/>
          <w:lang w:eastAsia="es-ES"/>
        </w:rPr>
        <w:drawing>
          <wp:inline distT="0" distB="0" distL="0" distR="0">
            <wp:extent cx="5734049" cy="2711450"/>
            <wp:effectExtent l="0" t="0" r="635" b="0"/>
            <wp:docPr id="7" name="Imagen 7" descr="https://www.abc.es/media/economia/2017/07/26/draghi-5-kMCF--620x349@a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bc.es/media/economia/2017/07/26/draghi-5-kMCF--620x349@abc.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2710249"/>
                    </a:xfrm>
                    <a:prstGeom prst="rect">
                      <a:avLst/>
                    </a:prstGeom>
                    <a:noFill/>
                    <a:ln>
                      <a:noFill/>
                    </a:ln>
                  </pic:spPr>
                </pic:pic>
              </a:graphicData>
            </a:graphic>
          </wp:inline>
        </w:drawing>
      </w:r>
    </w:p>
    <w:p w:rsidR="009227FF" w:rsidRDefault="009227FF" w:rsidP="008258F5">
      <w:pPr>
        <w:spacing w:line="240" w:lineRule="auto"/>
        <w:jc w:val="both"/>
        <w:rPr>
          <w:rFonts w:ascii="Times New Roman" w:hAnsi="Times New Roman" w:cs="Times New Roman"/>
          <w:b/>
          <w:sz w:val="24"/>
          <w:szCs w:val="24"/>
        </w:rPr>
      </w:pPr>
    </w:p>
    <w:p w:rsidR="009227FF" w:rsidRDefault="009227FF" w:rsidP="008258F5">
      <w:pPr>
        <w:spacing w:line="240" w:lineRule="auto"/>
        <w:jc w:val="both"/>
        <w:rPr>
          <w:rFonts w:ascii="Times New Roman" w:hAnsi="Times New Roman" w:cs="Times New Roman"/>
          <w:b/>
          <w:sz w:val="24"/>
          <w:szCs w:val="24"/>
        </w:rPr>
      </w:pPr>
    </w:p>
    <w:p w:rsidR="009227FF" w:rsidRPr="00F35FE2" w:rsidRDefault="009227FF" w:rsidP="009227FF">
      <w:pPr>
        <w:spacing w:line="240" w:lineRule="auto"/>
        <w:jc w:val="both"/>
        <w:rPr>
          <w:rFonts w:ascii="Times New Roman" w:hAnsi="Times New Roman" w:cs="Times New Roman"/>
          <w:b/>
          <w:sz w:val="24"/>
          <w:szCs w:val="24"/>
        </w:rPr>
      </w:pPr>
      <w:r w:rsidRPr="00F35FE2">
        <w:rPr>
          <w:rFonts w:ascii="Times New Roman" w:hAnsi="Times New Roman" w:cs="Times New Roman"/>
          <w:b/>
          <w:sz w:val="24"/>
          <w:szCs w:val="24"/>
        </w:rPr>
        <w:t xml:space="preserve">Del Informe anual del BCE - 2013 </w:t>
      </w:r>
    </w:p>
    <w:p w:rsidR="00405307" w:rsidRPr="009227FF" w:rsidRDefault="00405307" w:rsidP="009227FF">
      <w:pPr>
        <w:spacing w:line="240" w:lineRule="auto"/>
        <w:jc w:val="both"/>
        <w:rPr>
          <w:rFonts w:ascii="Times New Roman" w:hAnsi="Times New Roman" w:cs="Times New Roman"/>
          <w:b/>
          <w:sz w:val="24"/>
          <w:szCs w:val="24"/>
        </w:rPr>
      </w:pPr>
    </w:p>
    <w:p w:rsidR="009227FF" w:rsidRDefault="009227FF" w:rsidP="009227FF">
      <w:pPr>
        <w:spacing w:line="240" w:lineRule="auto"/>
        <w:jc w:val="both"/>
        <w:rPr>
          <w:rFonts w:ascii="Times New Roman" w:hAnsi="Times New Roman" w:cs="Times New Roman"/>
          <w:sz w:val="24"/>
          <w:szCs w:val="24"/>
        </w:rPr>
      </w:pPr>
      <w:r w:rsidRPr="00893771">
        <w:rPr>
          <w:rFonts w:ascii="Times New Roman" w:hAnsi="Times New Roman" w:cs="Times New Roman"/>
          <w:noProof/>
          <w:sz w:val="24"/>
          <w:szCs w:val="24"/>
          <w:lang w:eastAsia="es-ES"/>
        </w:rPr>
        <w:drawing>
          <wp:inline distT="0" distB="0" distL="0" distR="0" wp14:anchorId="50C5E2F7" wp14:editId="52A10E92">
            <wp:extent cx="2946400" cy="2952750"/>
            <wp:effectExtent l="0" t="0" r="635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946400" cy="2952750"/>
                    </a:xfrm>
                    <a:prstGeom prst="rect">
                      <a:avLst/>
                    </a:prstGeom>
                  </pic:spPr>
                </pic:pic>
              </a:graphicData>
            </a:graphic>
          </wp:inline>
        </w:drawing>
      </w:r>
      <w:r w:rsidRPr="00893771">
        <w:rPr>
          <w:rFonts w:ascii="Times New Roman" w:hAnsi="Times New Roman" w:cs="Times New Roman"/>
          <w:noProof/>
          <w:sz w:val="24"/>
          <w:szCs w:val="24"/>
          <w:lang w:eastAsia="es-ES"/>
        </w:rPr>
        <w:drawing>
          <wp:inline distT="0" distB="0" distL="0" distR="0" wp14:anchorId="07B8E603" wp14:editId="5B5CB4F0">
            <wp:extent cx="2667000" cy="2914650"/>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667000" cy="2914650"/>
                    </a:xfrm>
                    <a:prstGeom prst="rect">
                      <a:avLst/>
                    </a:prstGeom>
                  </pic:spPr>
                </pic:pic>
              </a:graphicData>
            </a:graphic>
          </wp:inline>
        </w:drawing>
      </w:r>
    </w:p>
    <w:p w:rsidR="009227FF" w:rsidRDefault="009227FF" w:rsidP="009227FF">
      <w:pPr>
        <w:spacing w:line="240" w:lineRule="auto"/>
        <w:jc w:val="both"/>
        <w:rPr>
          <w:rFonts w:ascii="Times New Roman" w:hAnsi="Times New Roman" w:cs="Times New Roman"/>
          <w:sz w:val="24"/>
          <w:szCs w:val="24"/>
        </w:rPr>
      </w:pPr>
      <w:r w:rsidRPr="00893771">
        <w:rPr>
          <w:rFonts w:ascii="Times New Roman" w:hAnsi="Times New Roman" w:cs="Times New Roman"/>
          <w:noProof/>
          <w:sz w:val="24"/>
          <w:szCs w:val="24"/>
          <w:lang w:eastAsia="es-ES"/>
        </w:rPr>
        <w:lastRenderedPageBreak/>
        <w:drawing>
          <wp:inline distT="0" distB="0" distL="0" distR="0" wp14:anchorId="0E964FB4" wp14:editId="377C712D">
            <wp:extent cx="2844800" cy="328295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845198" cy="3283409"/>
                    </a:xfrm>
                    <a:prstGeom prst="rect">
                      <a:avLst/>
                    </a:prstGeom>
                  </pic:spPr>
                </pic:pic>
              </a:graphicData>
            </a:graphic>
          </wp:inline>
        </w:drawing>
      </w:r>
      <w:r w:rsidRPr="00893771">
        <w:rPr>
          <w:rFonts w:ascii="Times New Roman" w:hAnsi="Times New Roman" w:cs="Times New Roman"/>
          <w:noProof/>
          <w:sz w:val="24"/>
          <w:szCs w:val="24"/>
          <w:lang w:eastAsia="es-ES"/>
        </w:rPr>
        <w:drawing>
          <wp:inline distT="0" distB="0" distL="0" distR="0" wp14:anchorId="3C0E9B72" wp14:editId="176E44ED">
            <wp:extent cx="2857500" cy="328295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857899" cy="3283408"/>
                    </a:xfrm>
                    <a:prstGeom prst="rect">
                      <a:avLst/>
                    </a:prstGeom>
                  </pic:spPr>
                </pic:pic>
              </a:graphicData>
            </a:graphic>
          </wp:inline>
        </w:drawing>
      </w:r>
    </w:p>
    <w:p w:rsidR="009227FF" w:rsidRDefault="009227FF" w:rsidP="009227FF">
      <w:pPr>
        <w:spacing w:line="240" w:lineRule="auto"/>
        <w:jc w:val="both"/>
        <w:rPr>
          <w:rFonts w:ascii="Times New Roman" w:hAnsi="Times New Roman" w:cs="Times New Roman"/>
          <w:sz w:val="24"/>
          <w:szCs w:val="24"/>
        </w:rPr>
      </w:pPr>
    </w:p>
    <w:p w:rsidR="009227FF" w:rsidRDefault="009227FF" w:rsidP="009227FF">
      <w:pPr>
        <w:spacing w:line="240" w:lineRule="auto"/>
        <w:jc w:val="both"/>
        <w:rPr>
          <w:rFonts w:ascii="Times New Roman" w:hAnsi="Times New Roman" w:cs="Times New Roman"/>
          <w:sz w:val="24"/>
          <w:szCs w:val="24"/>
        </w:rPr>
      </w:pPr>
    </w:p>
    <w:p w:rsidR="009227FF" w:rsidRDefault="009227FF" w:rsidP="009227FF">
      <w:pPr>
        <w:spacing w:line="240" w:lineRule="auto"/>
        <w:jc w:val="both"/>
        <w:rPr>
          <w:rFonts w:ascii="Times New Roman" w:hAnsi="Times New Roman" w:cs="Times New Roman"/>
          <w:sz w:val="24"/>
          <w:szCs w:val="24"/>
        </w:rPr>
      </w:pPr>
      <w:r w:rsidRPr="00320846">
        <w:rPr>
          <w:rFonts w:ascii="Times New Roman" w:hAnsi="Times New Roman" w:cs="Times New Roman"/>
          <w:noProof/>
          <w:sz w:val="24"/>
          <w:szCs w:val="24"/>
          <w:lang w:eastAsia="es-ES"/>
        </w:rPr>
        <w:drawing>
          <wp:inline distT="0" distB="0" distL="0" distR="0" wp14:anchorId="7C56E9C6" wp14:editId="2D533B2E">
            <wp:extent cx="5731510" cy="3849787"/>
            <wp:effectExtent l="0" t="0" r="254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849787"/>
                    </a:xfrm>
                    <a:prstGeom prst="rect">
                      <a:avLst/>
                    </a:prstGeom>
                  </pic:spPr>
                </pic:pic>
              </a:graphicData>
            </a:graphic>
          </wp:inline>
        </w:drawing>
      </w:r>
    </w:p>
    <w:p w:rsidR="009227FF" w:rsidRDefault="009227FF" w:rsidP="009227FF">
      <w:pPr>
        <w:spacing w:line="240" w:lineRule="auto"/>
        <w:jc w:val="both"/>
        <w:rPr>
          <w:rFonts w:ascii="Times New Roman" w:hAnsi="Times New Roman" w:cs="Times New Roman"/>
          <w:sz w:val="24"/>
          <w:szCs w:val="24"/>
        </w:rPr>
      </w:pPr>
      <w:r w:rsidRPr="00320846">
        <w:rPr>
          <w:rFonts w:ascii="Times New Roman" w:hAnsi="Times New Roman" w:cs="Times New Roman"/>
          <w:noProof/>
          <w:sz w:val="24"/>
          <w:szCs w:val="24"/>
          <w:lang w:eastAsia="es-ES"/>
        </w:rPr>
        <w:lastRenderedPageBreak/>
        <w:drawing>
          <wp:inline distT="0" distB="0" distL="0" distR="0" wp14:anchorId="6D121D10" wp14:editId="6AF1E858">
            <wp:extent cx="5731510" cy="3866932"/>
            <wp:effectExtent l="0" t="0" r="2540" b="635"/>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866932"/>
                    </a:xfrm>
                    <a:prstGeom prst="rect">
                      <a:avLst/>
                    </a:prstGeom>
                  </pic:spPr>
                </pic:pic>
              </a:graphicData>
            </a:graphic>
          </wp:inline>
        </w:drawing>
      </w:r>
    </w:p>
    <w:p w:rsidR="009227FF" w:rsidRDefault="009227FF" w:rsidP="009227FF">
      <w:pPr>
        <w:spacing w:line="240" w:lineRule="auto"/>
        <w:jc w:val="both"/>
        <w:rPr>
          <w:rFonts w:ascii="Times New Roman" w:hAnsi="Times New Roman" w:cs="Times New Roman"/>
          <w:sz w:val="24"/>
          <w:szCs w:val="24"/>
        </w:rPr>
      </w:pPr>
      <w:r w:rsidRPr="00320846">
        <w:rPr>
          <w:rFonts w:ascii="Times New Roman" w:hAnsi="Times New Roman" w:cs="Times New Roman"/>
          <w:noProof/>
          <w:sz w:val="24"/>
          <w:szCs w:val="24"/>
          <w:lang w:eastAsia="es-ES"/>
        </w:rPr>
        <w:drawing>
          <wp:inline distT="0" distB="0" distL="0" distR="0" wp14:anchorId="5D6B69C9" wp14:editId="7CC61A8F">
            <wp:extent cx="5731510" cy="3666697"/>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666697"/>
                    </a:xfrm>
                    <a:prstGeom prst="rect">
                      <a:avLst/>
                    </a:prstGeom>
                  </pic:spPr>
                </pic:pic>
              </a:graphicData>
            </a:graphic>
          </wp:inline>
        </w:drawing>
      </w:r>
    </w:p>
    <w:p w:rsidR="00F35FE2" w:rsidRDefault="00F35FE2" w:rsidP="009227FF">
      <w:pPr>
        <w:spacing w:line="240" w:lineRule="auto"/>
        <w:jc w:val="both"/>
        <w:rPr>
          <w:rFonts w:ascii="Times New Roman" w:hAnsi="Times New Roman" w:cs="Times New Roman"/>
          <w:b/>
          <w:sz w:val="24"/>
          <w:szCs w:val="24"/>
        </w:rPr>
      </w:pPr>
    </w:p>
    <w:p w:rsidR="009227FF" w:rsidRPr="00B839B9" w:rsidRDefault="009227FF" w:rsidP="009227F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Del </w:t>
      </w:r>
      <w:r w:rsidRPr="00B839B9">
        <w:rPr>
          <w:rFonts w:ascii="Times New Roman" w:hAnsi="Times New Roman" w:cs="Times New Roman"/>
          <w:b/>
          <w:sz w:val="24"/>
          <w:szCs w:val="24"/>
        </w:rPr>
        <w:t>Balance</w:t>
      </w:r>
      <w:r>
        <w:rPr>
          <w:rFonts w:ascii="Times New Roman" w:hAnsi="Times New Roman" w:cs="Times New Roman"/>
          <w:b/>
          <w:sz w:val="24"/>
          <w:szCs w:val="24"/>
        </w:rPr>
        <w:t xml:space="preserve"> del BCE - 2017</w:t>
      </w:r>
      <w:r w:rsidRPr="00B839B9">
        <w:rPr>
          <w:rFonts w:ascii="Times New Roman" w:hAnsi="Times New Roman" w:cs="Times New Roman"/>
          <w:b/>
          <w:sz w:val="24"/>
          <w:szCs w:val="24"/>
        </w:rPr>
        <w:t xml:space="preserve"> </w:t>
      </w:r>
    </w:p>
    <w:p w:rsidR="009227FF" w:rsidRPr="00DC47E9" w:rsidRDefault="009227FF" w:rsidP="009227FF">
      <w:pPr>
        <w:spacing w:line="240" w:lineRule="auto"/>
        <w:jc w:val="both"/>
        <w:rPr>
          <w:rFonts w:ascii="Times New Roman" w:hAnsi="Times New Roman" w:cs="Times New Roman"/>
          <w:sz w:val="24"/>
          <w:szCs w:val="24"/>
          <w:u w:val="single"/>
        </w:rPr>
      </w:pPr>
      <w:r w:rsidRPr="00B839B9">
        <w:rPr>
          <w:rFonts w:ascii="Times New Roman" w:hAnsi="Times New Roman" w:cs="Times New Roman"/>
          <w:sz w:val="24"/>
          <w:szCs w:val="24"/>
        </w:rPr>
        <w:t xml:space="preserve">El gráfico 1 presenta los principales componentes del balance del BCE en el período 2013-2017. </w:t>
      </w:r>
      <w:r w:rsidRPr="00DC47E9">
        <w:rPr>
          <w:rFonts w:ascii="Times New Roman" w:hAnsi="Times New Roman" w:cs="Times New Roman"/>
          <w:sz w:val="24"/>
          <w:szCs w:val="24"/>
          <w:u w:val="single"/>
        </w:rPr>
        <w:t xml:space="preserve">La expansión del balance comenzó en el cuarto trimestre de 2014 con la compra de </w:t>
      </w:r>
      <w:r w:rsidRPr="00DC47E9">
        <w:rPr>
          <w:rFonts w:ascii="Times New Roman" w:hAnsi="Times New Roman" w:cs="Times New Roman"/>
          <w:sz w:val="24"/>
          <w:szCs w:val="24"/>
          <w:u w:val="single"/>
        </w:rPr>
        <w:lastRenderedPageBreak/>
        <w:t xml:space="preserve">valores en el marco del tercer programa de adquisiciones de bonos garantizados (CBPP3) y el programa de compras de bonos de titulización de activos (ABSPP). La expansión continuó en los años siguientes debido fundamentalmente a la adquisición de valores en el contexto del programa de compras de valores públicos (PSPP). </w:t>
      </w:r>
    </w:p>
    <w:p w:rsidR="009227FF" w:rsidRDefault="009227FF" w:rsidP="009227FF">
      <w:pPr>
        <w:spacing w:line="240" w:lineRule="auto"/>
        <w:jc w:val="both"/>
        <w:rPr>
          <w:rFonts w:ascii="Times New Roman" w:hAnsi="Times New Roman" w:cs="Times New Roman"/>
          <w:sz w:val="24"/>
          <w:szCs w:val="24"/>
        </w:rPr>
      </w:pPr>
      <w:r w:rsidRPr="00DC47E9">
        <w:rPr>
          <w:rFonts w:ascii="Times New Roman" w:hAnsi="Times New Roman" w:cs="Times New Roman"/>
          <w:sz w:val="24"/>
          <w:szCs w:val="24"/>
          <w:u w:val="single"/>
        </w:rPr>
        <w:t>En 2017, los activos totales del BCE aumentaron en 65,2 mm de euros, situándose en 414,2 mm de euros, debido principalmente a la participación del BCE en el programa de compras de activos (APP)</w:t>
      </w:r>
      <w:r w:rsidRPr="00B839B9">
        <w:rPr>
          <w:rFonts w:ascii="Times New Roman" w:hAnsi="Times New Roman" w:cs="Times New Roman"/>
          <w:sz w:val="24"/>
          <w:szCs w:val="24"/>
        </w:rPr>
        <w:t>. Estas compras dieron lugar</w:t>
      </w:r>
      <w:r>
        <w:rPr>
          <w:rFonts w:ascii="Times New Roman" w:hAnsi="Times New Roman" w:cs="Times New Roman"/>
          <w:sz w:val="24"/>
          <w:szCs w:val="24"/>
        </w:rPr>
        <w:t xml:space="preserve"> a un incremento en la partida “</w:t>
      </w:r>
      <w:r w:rsidRPr="00B839B9">
        <w:rPr>
          <w:rFonts w:ascii="Times New Roman" w:hAnsi="Times New Roman" w:cs="Times New Roman"/>
          <w:sz w:val="24"/>
          <w:szCs w:val="24"/>
        </w:rPr>
        <w:t xml:space="preserve">Valores mantenidos </w:t>
      </w:r>
      <w:r>
        <w:rPr>
          <w:rFonts w:ascii="Times New Roman" w:hAnsi="Times New Roman" w:cs="Times New Roman"/>
          <w:sz w:val="24"/>
          <w:szCs w:val="24"/>
        </w:rPr>
        <w:t>con fines de política monetaria”</w:t>
      </w:r>
      <w:r w:rsidRPr="00B839B9">
        <w:rPr>
          <w:rFonts w:ascii="Times New Roman" w:hAnsi="Times New Roman" w:cs="Times New Roman"/>
          <w:sz w:val="24"/>
          <w:szCs w:val="24"/>
        </w:rPr>
        <w:t>, mientras que la liquidación del efectivo de estas operaciones en cuentas TARGET2 se tradujo en el corresp</w:t>
      </w:r>
      <w:r>
        <w:rPr>
          <w:rFonts w:ascii="Times New Roman" w:hAnsi="Times New Roman" w:cs="Times New Roman"/>
          <w:sz w:val="24"/>
          <w:szCs w:val="24"/>
        </w:rPr>
        <w:t>ondiente aumento en la partida “Cuentas intra-Eurosistema”</w:t>
      </w:r>
      <w:r w:rsidRPr="00B839B9">
        <w:rPr>
          <w:rFonts w:ascii="Times New Roman" w:hAnsi="Times New Roman" w:cs="Times New Roman"/>
          <w:sz w:val="24"/>
          <w:szCs w:val="24"/>
        </w:rPr>
        <w:t xml:space="preserve"> del pasivo.</w:t>
      </w:r>
    </w:p>
    <w:p w:rsidR="009227FF" w:rsidRPr="00B839B9" w:rsidRDefault="009227FF" w:rsidP="009227FF">
      <w:pPr>
        <w:spacing w:line="240" w:lineRule="auto"/>
        <w:jc w:val="both"/>
        <w:rPr>
          <w:rFonts w:ascii="Times New Roman" w:hAnsi="Times New Roman" w:cs="Times New Roman"/>
          <w:sz w:val="24"/>
          <w:szCs w:val="24"/>
        </w:rPr>
      </w:pPr>
      <w:r w:rsidRPr="00B839B9">
        <w:rPr>
          <w:rFonts w:ascii="Times New Roman" w:hAnsi="Times New Roman" w:cs="Times New Roman"/>
          <w:sz w:val="24"/>
          <w:szCs w:val="24"/>
        </w:rPr>
        <w:t>Los valores denominados en euros mantenidos con fines de política monetaria representaban el 55 % de los activos totales del BCE al cierre de 2017. En esta partida del balance el BCE mantiene los activos adquiridos en el marco del programa para los mercados de valores (SMP), los tres programas de adquisiciones de bonos garantizados (CBPP1, CBPP2 y CBPP3), el ABSPP y el PSPP. En 2017 continuaron las compras de valores en el contexto del CBPP3, el ABSPP y el PSPP, conforme a las decisiones del Consejo de Gobierno sobre el importe mensual de las compras del Eurosistema y a criterios de admisibilidad predeterminados</w:t>
      </w:r>
      <w:r>
        <w:rPr>
          <w:rFonts w:ascii="Times New Roman" w:hAnsi="Times New Roman" w:cs="Times New Roman"/>
          <w:sz w:val="24"/>
          <w:szCs w:val="24"/>
        </w:rPr>
        <w:t>…</w:t>
      </w:r>
    </w:p>
    <w:p w:rsidR="009227FF" w:rsidRDefault="009227FF" w:rsidP="009227FF">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56F5D848" wp14:editId="30773792">
            <wp:extent cx="5732858" cy="5245100"/>
            <wp:effectExtent l="0" t="0" r="127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5243867"/>
                    </a:xfrm>
                    <a:prstGeom prst="rect">
                      <a:avLst/>
                    </a:prstGeom>
                  </pic:spPr>
                </pic:pic>
              </a:graphicData>
            </a:graphic>
          </wp:inline>
        </w:drawing>
      </w:r>
    </w:p>
    <w:p w:rsidR="009227FF" w:rsidRDefault="009227FF" w:rsidP="009227FF">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lastRenderedPageBreak/>
        <w:drawing>
          <wp:inline distT="0" distB="0" distL="0" distR="0" wp14:anchorId="689BA7B7" wp14:editId="367E02DB">
            <wp:extent cx="5682128" cy="2508250"/>
            <wp:effectExtent l="0" t="0" r="0"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687219" cy="2510497"/>
                    </a:xfrm>
                    <a:prstGeom prst="rect">
                      <a:avLst/>
                    </a:prstGeom>
                  </pic:spPr>
                </pic:pic>
              </a:graphicData>
            </a:graphic>
          </wp:inline>
        </w:drawing>
      </w:r>
    </w:p>
    <w:p w:rsidR="009227FF" w:rsidRDefault="009227FF" w:rsidP="009227FF">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1B404A34" wp14:editId="0C6B5AAD">
            <wp:extent cx="5725906" cy="3282950"/>
            <wp:effectExtent l="0" t="0" r="8255"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286163"/>
                    </a:xfrm>
                    <a:prstGeom prst="rect">
                      <a:avLst/>
                    </a:prstGeom>
                  </pic:spPr>
                </pic:pic>
              </a:graphicData>
            </a:graphic>
          </wp:inline>
        </w:drawing>
      </w:r>
    </w:p>
    <w:p w:rsidR="009227FF" w:rsidRDefault="009227FF" w:rsidP="009227FF">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0D8251A7" wp14:editId="5B832CFD">
            <wp:extent cx="5726493" cy="2794000"/>
            <wp:effectExtent l="0" t="0" r="7620" b="63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796448"/>
                    </a:xfrm>
                    <a:prstGeom prst="rect">
                      <a:avLst/>
                    </a:prstGeom>
                  </pic:spPr>
                </pic:pic>
              </a:graphicData>
            </a:graphic>
          </wp:inline>
        </w:drawing>
      </w:r>
    </w:p>
    <w:p w:rsidR="008258F5" w:rsidRPr="0035500A" w:rsidRDefault="008258F5" w:rsidP="008258F5">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lastRenderedPageBreak/>
        <w:t>ECB Economic Bulletin, Issue 6 / 2017</w:t>
      </w:r>
      <w:r>
        <w:rPr>
          <w:rFonts w:ascii="Times New Roman" w:hAnsi="Times New Roman" w:cs="Times New Roman"/>
          <w:b/>
          <w:sz w:val="24"/>
          <w:szCs w:val="24"/>
          <w:lang w:val="en-US"/>
        </w:rPr>
        <w:t xml:space="preserve"> - </w:t>
      </w:r>
      <w:r w:rsidRPr="0035500A">
        <w:rPr>
          <w:rFonts w:ascii="Times New Roman" w:hAnsi="Times New Roman" w:cs="Times New Roman"/>
          <w:b/>
          <w:sz w:val="24"/>
          <w:szCs w:val="24"/>
          <w:lang w:val="en-US"/>
        </w:rPr>
        <w:t>Eco</w:t>
      </w:r>
      <w:r>
        <w:rPr>
          <w:rFonts w:ascii="Times New Roman" w:hAnsi="Times New Roman" w:cs="Times New Roman"/>
          <w:b/>
          <w:sz w:val="24"/>
          <w:szCs w:val="24"/>
          <w:lang w:val="en-US"/>
        </w:rPr>
        <w:t>nomic and monetary developments</w:t>
      </w:r>
    </w:p>
    <w:p w:rsidR="008258F5" w:rsidRPr="0035500A" w:rsidRDefault="008258F5" w:rsidP="008258F5">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t>Liquidity provided through open market operations</w:t>
      </w:r>
    </w:p>
    <w:p w:rsidR="008258F5" w:rsidRDefault="008258F5" w:rsidP="008258F5">
      <w:pPr>
        <w:spacing w:line="240" w:lineRule="auto"/>
        <w:jc w:val="both"/>
        <w:rPr>
          <w:rFonts w:ascii="Times New Roman" w:hAnsi="Times New Roman" w:cs="Times New Roman"/>
          <w:sz w:val="24"/>
          <w:szCs w:val="24"/>
          <w:lang w:val="en-US"/>
        </w:rPr>
      </w:pPr>
      <w:r w:rsidRPr="00A8083C">
        <w:rPr>
          <w:rFonts w:ascii="Times New Roman" w:hAnsi="Times New Roman" w:cs="Times New Roman"/>
          <w:sz w:val="24"/>
          <w:szCs w:val="24"/>
          <w:lang w:val="en-US"/>
        </w:rPr>
        <w:t>The average amount of liquidity provided t</w:t>
      </w:r>
      <w:r>
        <w:rPr>
          <w:rFonts w:ascii="Times New Roman" w:hAnsi="Times New Roman" w:cs="Times New Roman"/>
          <w:sz w:val="24"/>
          <w:szCs w:val="24"/>
          <w:lang w:val="en-US"/>
        </w:rPr>
        <w:t>hrough open market operations -</w:t>
      </w:r>
      <w:r w:rsidRPr="00A8083C">
        <w:rPr>
          <w:rFonts w:ascii="Times New Roman" w:hAnsi="Times New Roman" w:cs="Times New Roman"/>
          <w:sz w:val="24"/>
          <w:szCs w:val="24"/>
          <w:lang w:val="en-US"/>
        </w:rPr>
        <w:t xml:space="preserve">both tender operations </w:t>
      </w:r>
      <w:r>
        <w:rPr>
          <w:rFonts w:ascii="Times New Roman" w:hAnsi="Times New Roman" w:cs="Times New Roman"/>
          <w:sz w:val="24"/>
          <w:szCs w:val="24"/>
          <w:lang w:val="en-US"/>
        </w:rPr>
        <w:t>and the outright APP purchases-</w:t>
      </w:r>
      <w:r w:rsidRPr="00A8083C">
        <w:rPr>
          <w:rFonts w:ascii="Times New Roman" w:hAnsi="Times New Roman" w:cs="Times New Roman"/>
          <w:sz w:val="24"/>
          <w:szCs w:val="24"/>
          <w:lang w:val="en-US"/>
        </w:rPr>
        <w:t xml:space="preserve"> increased by €</w:t>
      </w:r>
      <w:r w:rsidR="00360244">
        <w:rPr>
          <w:rFonts w:ascii="Times New Roman" w:hAnsi="Times New Roman" w:cs="Times New Roman"/>
          <w:sz w:val="24"/>
          <w:szCs w:val="24"/>
          <w:lang w:val="en-US"/>
        </w:rPr>
        <w:t xml:space="preserve"> 313,</w:t>
      </w:r>
      <w:r w:rsidRPr="00A8083C">
        <w:rPr>
          <w:rFonts w:ascii="Times New Roman" w:hAnsi="Times New Roman" w:cs="Times New Roman"/>
          <w:sz w:val="24"/>
          <w:szCs w:val="24"/>
          <w:lang w:val="en-US"/>
        </w:rPr>
        <w:t>5 billion to stand at €</w:t>
      </w:r>
      <w:r w:rsidR="00360244">
        <w:rPr>
          <w:rFonts w:ascii="Times New Roman" w:hAnsi="Times New Roman" w:cs="Times New Roman"/>
          <w:sz w:val="24"/>
          <w:szCs w:val="24"/>
          <w:lang w:val="en-US"/>
        </w:rPr>
        <w:t xml:space="preserve"> 2.814,</w:t>
      </w:r>
      <w:r w:rsidRPr="00A8083C">
        <w:rPr>
          <w:rFonts w:ascii="Times New Roman" w:hAnsi="Times New Roman" w:cs="Times New Roman"/>
          <w:sz w:val="24"/>
          <w:szCs w:val="24"/>
          <w:lang w:val="en-US"/>
        </w:rPr>
        <w:t>5 billion (see chart A). This increase was primarily due to the ECB’s APP and the fourth targeted longer-term refinancing operation in the second series of TLTROs (TLTRO-II), which was settled for an amount of €</w:t>
      </w:r>
      <w:r w:rsidR="00360244">
        <w:rPr>
          <w:rFonts w:ascii="Times New Roman" w:hAnsi="Times New Roman" w:cs="Times New Roman"/>
          <w:sz w:val="24"/>
          <w:szCs w:val="24"/>
          <w:lang w:val="en-US"/>
        </w:rPr>
        <w:t xml:space="preserve"> 233,</w:t>
      </w:r>
      <w:r w:rsidRPr="00A8083C">
        <w:rPr>
          <w:rFonts w:ascii="Times New Roman" w:hAnsi="Times New Roman" w:cs="Times New Roman"/>
          <w:sz w:val="24"/>
          <w:szCs w:val="24"/>
          <w:lang w:val="en-US"/>
        </w:rPr>
        <w:t>4 billion on 29 March 2017.</w:t>
      </w:r>
    </w:p>
    <w:p w:rsidR="008258F5"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noProof/>
          <w:sz w:val="24"/>
          <w:szCs w:val="24"/>
          <w:lang w:eastAsia="es-ES"/>
        </w:rPr>
        <w:drawing>
          <wp:inline distT="0" distB="0" distL="0" distR="0" wp14:anchorId="673F7291" wp14:editId="081B100D">
            <wp:extent cx="5734049" cy="3371850"/>
            <wp:effectExtent l="0" t="0" r="635"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370357"/>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The average amount of liquidity provided through tender operations increased by €</w:t>
      </w:r>
      <w:r w:rsidR="00360244">
        <w:rPr>
          <w:rFonts w:ascii="Times New Roman" w:hAnsi="Times New Roman" w:cs="Times New Roman"/>
          <w:sz w:val="24"/>
          <w:szCs w:val="24"/>
          <w:lang w:val="en-US"/>
        </w:rPr>
        <w:t xml:space="preserve"> 124,</w:t>
      </w:r>
      <w:r w:rsidRPr="0035500A">
        <w:rPr>
          <w:rFonts w:ascii="Times New Roman" w:hAnsi="Times New Roman" w:cs="Times New Roman"/>
          <w:sz w:val="24"/>
          <w:szCs w:val="24"/>
          <w:lang w:val="en-US"/>
        </w:rPr>
        <w:t>4 billion to stand at €</w:t>
      </w:r>
      <w:r w:rsidR="00360244">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779 billion. This increase largely reflects the liquidity provided through the fourth TLTRO-II, which, unlike in the previous review period, is fully reflected in the average liquidity conditions of the current review period. The average outstanding amount of TLTROs increased by €</w:t>
      </w:r>
      <w:r w:rsidR="00360244">
        <w:rPr>
          <w:rFonts w:ascii="Times New Roman" w:hAnsi="Times New Roman" w:cs="Times New Roman"/>
          <w:sz w:val="24"/>
          <w:szCs w:val="24"/>
          <w:lang w:val="en-US"/>
        </w:rPr>
        <w:t xml:space="preserve"> 138,</w:t>
      </w:r>
      <w:r w:rsidRPr="0035500A">
        <w:rPr>
          <w:rFonts w:ascii="Times New Roman" w:hAnsi="Times New Roman" w:cs="Times New Roman"/>
          <w:sz w:val="24"/>
          <w:szCs w:val="24"/>
          <w:lang w:val="en-US"/>
        </w:rPr>
        <w:t>7 billion as a net effect of the settlement of the fourth TLTRO-II operation and voluntary early repayments for funds borrowed via TLTRO-I operations. Average liquidity provided via MROs and three-month LTROs decreased by €</w:t>
      </w:r>
      <w:r w:rsidR="00360244">
        <w:rPr>
          <w:rFonts w:ascii="Times New Roman" w:hAnsi="Times New Roman" w:cs="Times New Roman"/>
          <w:sz w:val="24"/>
          <w:szCs w:val="24"/>
          <w:lang w:val="en-US"/>
        </w:rPr>
        <w:t xml:space="preserve"> 12,</w:t>
      </w:r>
      <w:r w:rsidRPr="0035500A">
        <w:rPr>
          <w:rFonts w:ascii="Times New Roman" w:hAnsi="Times New Roman" w:cs="Times New Roman"/>
          <w:sz w:val="24"/>
          <w:szCs w:val="24"/>
          <w:lang w:val="en-US"/>
        </w:rPr>
        <w:t>2 billion and €</w:t>
      </w:r>
      <w:r w:rsidR="00360244">
        <w:rPr>
          <w:rFonts w:ascii="Times New Roman" w:hAnsi="Times New Roman" w:cs="Times New Roman"/>
          <w:sz w:val="24"/>
          <w:szCs w:val="24"/>
          <w:lang w:val="en-US"/>
        </w:rPr>
        <w:t xml:space="preserve"> 2,</w:t>
      </w:r>
      <w:r w:rsidRPr="0035500A">
        <w:rPr>
          <w:rFonts w:ascii="Times New Roman" w:hAnsi="Times New Roman" w:cs="Times New Roman"/>
          <w:sz w:val="24"/>
          <w:szCs w:val="24"/>
          <w:lang w:val="en-US"/>
        </w:rPr>
        <w:t>1 billion respectively.</w:t>
      </w:r>
    </w:p>
    <w:p w:rsidR="008258F5" w:rsidRPr="0035500A"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Liquidity provided through the Eurosystem’s outright monetary policy portfolios increased by €</w:t>
      </w:r>
      <w:r w:rsidR="00360244">
        <w:rPr>
          <w:rFonts w:ascii="Times New Roman" w:hAnsi="Times New Roman" w:cs="Times New Roman"/>
          <w:sz w:val="24"/>
          <w:szCs w:val="24"/>
          <w:lang w:val="en-US"/>
        </w:rPr>
        <w:t xml:space="preserve"> 189,</w:t>
      </w:r>
      <w:r w:rsidRPr="0035500A">
        <w:rPr>
          <w:rFonts w:ascii="Times New Roman" w:hAnsi="Times New Roman" w:cs="Times New Roman"/>
          <w:sz w:val="24"/>
          <w:szCs w:val="24"/>
          <w:lang w:val="en-US"/>
        </w:rPr>
        <w:t>1 billion to stand at €</w:t>
      </w:r>
      <w:r w:rsidR="00360244">
        <w:rPr>
          <w:rFonts w:ascii="Times New Roman" w:hAnsi="Times New Roman" w:cs="Times New Roman"/>
          <w:sz w:val="24"/>
          <w:szCs w:val="24"/>
          <w:lang w:val="en-US"/>
        </w:rPr>
        <w:t xml:space="preserve"> 2.035,</w:t>
      </w:r>
      <w:r w:rsidRPr="0035500A">
        <w:rPr>
          <w:rFonts w:ascii="Times New Roman" w:hAnsi="Times New Roman" w:cs="Times New Roman"/>
          <w:sz w:val="24"/>
          <w:szCs w:val="24"/>
          <w:lang w:val="en-US"/>
        </w:rPr>
        <w:t>5 billion on average, as APP purchases continued. Average liquidity provided by the public sector purchase programme (PSPP), the third covered bond purchase programme, the asset-backed securities purchase programme and the corporate sector purchase programme rose, on average, by €</w:t>
      </w:r>
      <w:r w:rsidR="00360244">
        <w:rPr>
          <w:rFonts w:ascii="Times New Roman" w:hAnsi="Times New Roman" w:cs="Times New Roman"/>
          <w:sz w:val="24"/>
          <w:szCs w:val="24"/>
          <w:lang w:val="en-US"/>
        </w:rPr>
        <w:t xml:space="preserve"> 163,</w:t>
      </w:r>
      <w:r w:rsidRPr="0035500A">
        <w:rPr>
          <w:rFonts w:ascii="Times New Roman" w:hAnsi="Times New Roman" w:cs="Times New Roman"/>
          <w:sz w:val="24"/>
          <w:szCs w:val="24"/>
          <w:lang w:val="en-US"/>
        </w:rPr>
        <w:t>6 billion, €</w:t>
      </w:r>
      <w:r w:rsidR="00360244">
        <w:rPr>
          <w:rFonts w:ascii="Times New Roman" w:hAnsi="Times New Roman" w:cs="Times New Roman"/>
          <w:sz w:val="24"/>
          <w:szCs w:val="24"/>
          <w:lang w:val="en-US"/>
        </w:rPr>
        <w:t xml:space="preserve"> 8,</w:t>
      </w:r>
      <w:r w:rsidRPr="0035500A">
        <w:rPr>
          <w:rFonts w:ascii="Times New Roman" w:hAnsi="Times New Roman" w:cs="Times New Roman"/>
          <w:sz w:val="24"/>
          <w:szCs w:val="24"/>
          <w:lang w:val="en-US"/>
        </w:rPr>
        <w:t>1 billion, €</w:t>
      </w:r>
      <w:r w:rsidR="00360244">
        <w:rPr>
          <w:rFonts w:ascii="Times New Roman" w:hAnsi="Times New Roman" w:cs="Times New Roman"/>
          <w:sz w:val="24"/>
          <w:szCs w:val="24"/>
          <w:lang w:val="en-US"/>
        </w:rPr>
        <w:t xml:space="preserve"> 0,</w:t>
      </w:r>
      <w:r w:rsidRPr="0035500A">
        <w:rPr>
          <w:rFonts w:ascii="Times New Roman" w:hAnsi="Times New Roman" w:cs="Times New Roman"/>
          <w:sz w:val="24"/>
          <w:szCs w:val="24"/>
          <w:lang w:val="en-US"/>
        </w:rPr>
        <w:t>2 billion and €</w:t>
      </w:r>
      <w:r w:rsidR="00360244">
        <w:rPr>
          <w:rFonts w:ascii="Times New Roman" w:hAnsi="Times New Roman" w:cs="Times New Roman"/>
          <w:sz w:val="24"/>
          <w:szCs w:val="24"/>
          <w:lang w:val="en-US"/>
        </w:rPr>
        <w:t xml:space="preserve"> 21,</w:t>
      </w:r>
      <w:r w:rsidRPr="0035500A">
        <w:rPr>
          <w:rFonts w:ascii="Times New Roman" w:hAnsi="Times New Roman" w:cs="Times New Roman"/>
          <w:sz w:val="24"/>
          <w:szCs w:val="24"/>
          <w:lang w:val="en-US"/>
        </w:rPr>
        <w:t>7 billion, respectively. The redemption of bonds held under the Securities Markets Programme and the previous two covered bond purchase pr</w:t>
      </w:r>
      <w:r>
        <w:rPr>
          <w:rFonts w:ascii="Times New Roman" w:hAnsi="Times New Roman" w:cs="Times New Roman"/>
          <w:sz w:val="24"/>
          <w:szCs w:val="24"/>
          <w:lang w:val="en-US"/>
        </w:rPr>
        <w:t xml:space="preserve">ogrammes </w:t>
      </w:r>
      <w:r w:rsidR="00EF04BA">
        <w:rPr>
          <w:rFonts w:ascii="Times New Roman" w:hAnsi="Times New Roman" w:cs="Times New Roman"/>
          <w:sz w:val="24"/>
          <w:szCs w:val="24"/>
          <w:lang w:val="en-US"/>
        </w:rPr>
        <w:t>totaled</w:t>
      </w:r>
      <w:r>
        <w:rPr>
          <w:rFonts w:ascii="Times New Roman" w:hAnsi="Times New Roman" w:cs="Times New Roman"/>
          <w:sz w:val="24"/>
          <w:szCs w:val="24"/>
          <w:lang w:val="en-US"/>
        </w:rPr>
        <w:t xml:space="preserve"> €</w:t>
      </w:r>
      <w:r w:rsidR="00360244">
        <w:rPr>
          <w:rFonts w:ascii="Times New Roman" w:hAnsi="Times New Roman" w:cs="Times New Roman"/>
          <w:sz w:val="24"/>
          <w:szCs w:val="24"/>
          <w:lang w:val="en-US"/>
        </w:rPr>
        <w:t xml:space="preserve"> 4,</w:t>
      </w:r>
      <w:r>
        <w:rPr>
          <w:rFonts w:ascii="Times New Roman" w:hAnsi="Times New Roman" w:cs="Times New Roman"/>
          <w:sz w:val="24"/>
          <w:szCs w:val="24"/>
          <w:lang w:val="en-US"/>
        </w:rPr>
        <w:t>4 billion.</w:t>
      </w:r>
    </w:p>
    <w:p w:rsidR="008258F5" w:rsidRPr="0035500A" w:rsidRDefault="008258F5" w:rsidP="008258F5">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t>Excess liquidity</w:t>
      </w:r>
    </w:p>
    <w:p w:rsidR="008258F5"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As a consequence of the developments detailed above, average excess liquidity in the period under review rose by €</w:t>
      </w:r>
      <w:r w:rsidR="00360244">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231 billion compared with the previous period, to stand at €</w:t>
      </w:r>
      <w:r w:rsidR="00360244">
        <w:rPr>
          <w:rFonts w:ascii="Times New Roman" w:hAnsi="Times New Roman" w:cs="Times New Roman"/>
          <w:sz w:val="24"/>
          <w:szCs w:val="24"/>
          <w:lang w:val="en-US"/>
        </w:rPr>
        <w:t xml:space="preserve"> 1.645,</w:t>
      </w:r>
      <w:r w:rsidRPr="0035500A">
        <w:rPr>
          <w:rFonts w:ascii="Times New Roman" w:hAnsi="Times New Roman" w:cs="Times New Roman"/>
          <w:sz w:val="24"/>
          <w:szCs w:val="24"/>
          <w:lang w:val="en-US"/>
        </w:rPr>
        <w:t xml:space="preserve">8 </w:t>
      </w:r>
      <w:r w:rsidRPr="0035500A">
        <w:rPr>
          <w:rFonts w:ascii="Times New Roman" w:hAnsi="Times New Roman" w:cs="Times New Roman"/>
          <w:sz w:val="24"/>
          <w:szCs w:val="24"/>
          <w:lang w:val="en-US"/>
        </w:rPr>
        <w:lastRenderedPageBreak/>
        <w:t>billion (see the chart). As mentioned above, this increase largely reflects the liquidity provided through the APP at a pace of €</w:t>
      </w:r>
      <w:r w:rsidR="00360244">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60 billion per month, as well as the allotment of €</w:t>
      </w:r>
      <w:r w:rsidR="00360244">
        <w:rPr>
          <w:rFonts w:ascii="Times New Roman" w:hAnsi="Times New Roman" w:cs="Times New Roman"/>
          <w:sz w:val="24"/>
          <w:szCs w:val="24"/>
          <w:lang w:val="en-US"/>
        </w:rPr>
        <w:t xml:space="preserve"> 233,</w:t>
      </w:r>
      <w:r w:rsidRPr="0035500A">
        <w:rPr>
          <w:rFonts w:ascii="Times New Roman" w:hAnsi="Times New Roman" w:cs="Times New Roman"/>
          <w:sz w:val="24"/>
          <w:szCs w:val="24"/>
          <w:lang w:val="en-US"/>
        </w:rPr>
        <w:t>4 billion from the fourth TLTRO-II, somewhat offset by an increase in liquidity needs resulting from autonomous factors. Focusing only on the period under review, a more detailed analysis shows that excess liquidity increased in the third maintenance period, growing by €</w:t>
      </w:r>
      <w:r w:rsidR="00360244">
        <w:rPr>
          <w:rFonts w:ascii="Times New Roman" w:hAnsi="Times New Roman" w:cs="Times New Roman"/>
          <w:sz w:val="24"/>
          <w:szCs w:val="24"/>
          <w:lang w:val="en-US"/>
        </w:rPr>
        <w:t xml:space="preserve"> 139,</w:t>
      </w:r>
      <w:r w:rsidRPr="0035500A">
        <w:rPr>
          <w:rFonts w:ascii="Times New Roman" w:hAnsi="Times New Roman" w:cs="Times New Roman"/>
          <w:sz w:val="24"/>
          <w:szCs w:val="24"/>
          <w:lang w:val="en-US"/>
        </w:rPr>
        <w:t>8 billion on account of liquidity provided by the fourth TLTRO-II operation and the APP purchases. The fourth maintenance period, however, saw a small decline in excess liquidity of €</w:t>
      </w:r>
      <w:r w:rsidR="00360244">
        <w:rPr>
          <w:rFonts w:ascii="Times New Roman" w:hAnsi="Times New Roman" w:cs="Times New Roman"/>
          <w:sz w:val="24"/>
          <w:szCs w:val="24"/>
          <w:lang w:val="en-US"/>
        </w:rPr>
        <w:t xml:space="preserve"> 8,</w:t>
      </w:r>
      <w:r w:rsidRPr="0035500A">
        <w:rPr>
          <w:rFonts w:ascii="Times New Roman" w:hAnsi="Times New Roman" w:cs="Times New Roman"/>
          <w:sz w:val="24"/>
          <w:szCs w:val="24"/>
          <w:lang w:val="en-US"/>
        </w:rPr>
        <w:t>3 billion, as the liquidity injected via the APP purchases was more than offset by the increase in the liquidity-absorbing effect of autonomous factors and a decrease in the take-up of MROs and three-month LTROs, as mentioned earlier.</w:t>
      </w:r>
    </w:p>
    <w:p w:rsidR="008258F5" w:rsidRPr="0035500A"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The increase in excess liquidity corresponded to higher average current account holdings, which rose by €</w:t>
      </w:r>
      <w:r w:rsidR="00360244">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153 billion to stand at €</w:t>
      </w:r>
      <w:r w:rsidR="00C70908">
        <w:rPr>
          <w:rFonts w:ascii="Times New Roman" w:hAnsi="Times New Roman" w:cs="Times New Roman"/>
          <w:sz w:val="24"/>
          <w:szCs w:val="24"/>
          <w:lang w:val="en-US"/>
        </w:rPr>
        <w:t xml:space="preserve"> 1.</w:t>
      </w:r>
      <w:r w:rsidRPr="0035500A">
        <w:rPr>
          <w:rFonts w:ascii="Times New Roman" w:hAnsi="Times New Roman" w:cs="Times New Roman"/>
          <w:sz w:val="24"/>
          <w:szCs w:val="24"/>
          <w:lang w:val="en-US"/>
        </w:rPr>
        <w:t>174 billion in the period under review, while the average recourse to the deposit facility increased by €</w:t>
      </w:r>
      <w:r w:rsidR="00360244">
        <w:rPr>
          <w:rFonts w:ascii="Times New Roman" w:hAnsi="Times New Roman" w:cs="Times New Roman"/>
          <w:sz w:val="24"/>
          <w:szCs w:val="24"/>
          <w:lang w:val="en-US"/>
        </w:rPr>
        <w:t xml:space="preserve"> 79,</w:t>
      </w:r>
      <w:r w:rsidRPr="0035500A">
        <w:rPr>
          <w:rFonts w:ascii="Times New Roman" w:hAnsi="Times New Roman" w:cs="Times New Roman"/>
          <w:sz w:val="24"/>
          <w:szCs w:val="24"/>
          <w:lang w:val="en-US"/>
        </w:rPr>
        <w:t>9 billion to stand at €</w:t>
      </w:r>
      <w:r w:rsidR="00360244">
        <w:rPr>
          <w:rFonts w:ascii="Times New Roman" w:hAnsi="Times New Roman" w:cs="Times New Roman"/>
          <w:sz w:val="24"/>
          <w:szCs w:val="24"/>
          <w:lang w:val="en-US"/>
        </w:rPr>
        <w:t xml:space="preserve"> 594,</w:t>
      </w:r>
      <w:r w:rsidRPr="0035500A">
        <w:rPr>
          <w:rFonts w:ascii="Times New Roman" w:hAnsi="Times New Roman" w:cs="Times New Roman"/>
          <w:sz w:val="24"/>
          <w:szCs w:val="24"/>
          <w:lang w:val="en-US"/>
        </w:rPr>
        <w:t>5 billion.</w:t>
      </w:r>
    </w:p>
    <w:p w:rsidR="008258F5" w:rsidRPr="0035500A" w:rsidRDefault="008258F5" w:rsidP="008258F5">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t>Base money, broad money and the APP</w:t>
      </w:r>
    </w:p>
    <w:p w:rsidR="008258F5" w:rsidRPr="0035500A"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The significant expansion in base money induced by the asset purchase programme (APP) has attracted growing public attention. This box provides an overview of recen</w:t>
      </w:r>
      <w:r>
        <w:rPr>
          <w:rFonts w:ascii="Times New Roman" w:hAnsi="Times New Roman" w:cs="Times New Roman"/>
          <w:sz w:val="24"/>
          <w:szCs w:val="24"/>
          <w:lang w:val="en-US"/>
        </w:rPr>
        <w:t>t developments in base money</w:t>
      </w:r>
      <w:r w:rsidRPr="0035500A">
        <w:rPr>
          <w:rFonts w:ascii="Times New Roman" w:hAnsi="Times New Roman" w:cs="Times New Roman"/>
          <w:sz w:val="24"/>
          <w:szCs w:val="24"/>
          <w:lang w:val="en-US"/>
        </w:rPr>
        <w:t xml:space="preserve"> and discusses to what extent they have had im</w:t>
      </w:r>
      <w:r>
        <w:rPr>
          <w:rFonts w:ascii="Times New Roman" w:hAnsi="Times New Roman" w:cs="Times New Roman"/>
          <w:sz w:val="24"/>
          <w:szCs w:val="24"/>
          <w:lang w:val="en-US"/>
        </w:rPr>
        <w:t>plications for broad money.</w:t>
      </w:r>
    </w:p>
    <w:p w:rsidR="008258F5"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In the pre-crisis period, base money developments largely reflected changes in currency in circulation and required central bank reserves (see Chart A). In periods when interbank markets are functioning normally, the Eurosystem provides the central bank reserves in euro needed by the banking system on aggregate, which are then traded among banks and thereby redistributed within the banking system as necessary. The aggregate demand for central bank reserves is thus effectively accommodated by the Eurosystem with very limited levels of excess reserves. In the pre-crisis period, base money developments in the euro area were therefore largely a reflection of changes in currency in circulation and required central bank reserves.</w:t>
      </w:r>
    </w:p>
    <w:p w:rsidR="008258F5"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noProof/>
          <w:sz w:val="24"/>
          <w:szCs w:val="24"/>
          <w:lang w:eastAsia="es-ES"/>
        </w:rPr>
        <w:drawing>
          <wp:inline distT="0" distB="0" distL="0" distR="0" wp14:anchorId="1143815E" wp14:editId="65C6A0ED">
            <wp:extent cx="5733268" cy="3625850"/>
            <wp:effectExtent l="0" t="0" r="127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624738"/>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lastRenderedPageBreak/>
        <w:t>Prior to the financial crisis, base money and broad money developments were unfolding along similar trends (see Chart B). The growth in base money in the euro area mirrored that of broad money, since the injection of central bank reserves in that period was demand-driven, i.e. determined by currency in circulation and the evolution of banks’ reserve requirements, which in turn depended on the evolution of banks’ short-term liabilities (deposits and debt securities with a residual maturity of up to two years). As a result, the money multiplier (the ratio of broad money to base money) was rather stable.</w:t>
      </w:r>
    </w:p>
    <w:p w:rsidR="008258F5" w:rsidRDefault="008258F5" w:rsidP="008258F5">
      <w:pPr>
        <w:spacing w:line="240" w:lineRule="auto"/>
        <w:jc w:val="both"/>
        <w:rPr>
          <w:rFonts w:ascii="Times New Roman" w:hAnsi="Times New Roman" w:cs="Times New Roman"/>
          <w:sz w:val="24"/>
          <w:szCs w:val="24"/>
          <w:lang w:val="en-US"/>
        </w:rPr>
      </w:pPr>
      <w:r w:rsidRPr="00535666">
        <w:rPr>
          <w:rFonts w:ascii="Times New Roman" w:hAnsi="Times New Roman" w:cs="Times New Roman"/>
          <w:noProof/>
          <w:sz w:val="24"/>
          <w:szCs w:val="24"/>
          <w:lang w:eastAsia="es-ES"/>
        </w:rPr>
        <w:drawing>
          <wp:inline distT="0" distB="0" distL="0" distR="0" wp14:anchorId="1018A3A1" wp14:editId="1C4A10D0">
            <wp:extent cx="5731653" cy="3829050"/>
            <wp:effectExtent l="0" t="0" r="254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828955"/>
                    </a:xfrm>
                    <a:prstGeom prst="rect">
                      <a:avLst/>
                    </a:prstGeom>
                  </pic:spPr>
                </pic:pic>
              </a:graphicData>
            </a:graphic>
          </wp:inline>
        </w:drawing>
      </w:r>
    </w:p>
    <w:p w:rsidR="008258F5" w:rsidRDefault="008258F5" w:rsidP="008258F5">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Since the financial crisis, base money has been increasingly driven by Eurosystem monetary policy operations. In line with the responses of all major central banks to the financial crisis, the volume of monetary policy operations undertaken by the Eurosystem increased substantially from 2007 onwards and in particular after September 2008. In a situation of malfunctioning money markets and liquidity stress on banks’ balance sheets, the Eurosystem supplied central bank reserves to each counterparty elastically at a level well above the banking system aggregate demand, through fixed rate tenders with full allotment. Moreover, in 2009 the first programme of outright purchases of covered bonds (CBPP1) was launched. The resulting increase in excess central bank liquidity was mirrored by a significant expansion of base money (see Chart A). The volume of monetary policy operations increased again sharply in the second half of 2011, mainly as a consequence of the two longer-term refinancing operations (VLTROs) with a three-year maturity conducted in December 2011 and February 2012, and, to a lesser extent, outright purchases of securities under the CBPP2. As a result of these operations, excess reserves and, therefore, base money displayed a further sizeable increase.</w:t>
      </w:r>
    </w:p>
    <w:p w:rsidR="008258F5" w:rsidRDefault="008258F5" w:rsidP="008258F5">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 xml:space="preserve">Since the introduction of non-standard measures, broad money has stopped closely mirroring developments in base money. Since 2008, the trends in base money and broad money have decoupled, as the expansion in base money due to non-standard measures has not supported a similar uptrend in monetary holdings outside the banking sector. In the context of </w:t>
      </w:r>
      <w:r w:rsidRPr="00535666">
        <w:rPr>
          <w:rFonts w:ascii="Times New Roman" w:hAnsi="Times New Roman" w:cs="Times New Roman"/>
          <w:sz w:val="24"/>
          <w:szCs w:val="24"/>
          <w:lang w:val="en-US"/>
        </w:rPr>
        <w:lastRenderedPageBreak/>
        <w:t>considerable financial fragmentation, economic uncertainty and weak credit demand, it was not surprising that the increase in banks’ holdings of central bank reserves, often as liquidity insurance, did not result mechanically in an increase in the supply of credit to the non-financial private sector, and hence in broad money, the level</w:t>
      </w:r>
      <w:r>
        <w:rPr>
          <w:rFonts w:ascii="Times New Roman" w:hAnsi="Times New Roman" w:cs="Times New Roman"/>
          <w:sz w:val="24"/>
          <w:szCs w:val="24"/>
          <w:lang w:val="en-US"/>
        </w:rPr>
        <w:t>s of which remained subdued.</w:t>
      </w:r>
      <w:r w:rsidRPr="00535666">
        <w:rPr>
          <w:rFonts w:ascii="Times New Roman" w:hAnsi="Times New Roman" w:cs="Times New Roman"/>
          <w:sz w:val="24"/>
          <w:szCs w:val="24"/>
          <w:lang w:val="en-US"/>
        </w:rPr>
        <w:t xml:space="preserve"> At the same time, the expansion in base money was instrumental in avoiding fire sales and a curtailment of credit with potentially severe consequences for the real economy. Given this weak link between base money and broad money, the money multiplier was on a declining path from the onset of the financial crisis until the end of 2012.</w:t>
      </w:r>
    </w:p>
    <w:p w:rsidR="008258F5" w:rsidRDefault="008258F5" w:rsidP="008258F5">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In 2013 banks’ preference for central bank liquidity waned and base money returned to the levels implied by the pre-crisis trend. Receding financial fragmentation and improved funding conditions in euro area financial markets from mid-2012 reduced the incentive for banks to keep high levels of liquidity. Thus, banks in 2013 used the option offered by the ECB of a voluntary early repayment of the VLTROs, leading to a return of base money closer to the levels implied by the extrapolation of the pre-crisis trend. The decline in base money combined with non-decreasing broad money, which was supported by some recovery in monetary assets, implied an increase in the money multiplier.</w:t>
      </w:r>
    </w:p>
    <w:p w:rsidR="008258F5" w:rsidRDefault="008258F5" w:rsidP="008258F5">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 xml:space="preserve">The expanded APP marked the start of a new phase of supply-side-induced increases in the volume of base money. The announcement of the APP represented a change in regime that was in clear contrast to the previous practice consisting of banks expressing their demand for central bank liquidity, which was accommodated in an elastic way. Under the APP, the Eurosystem supplies central bank reserves when purchasing assets. Since banks are typically the only entities, apart from central government, that hold deposit accounts with the central bank, purchases are always settled through them, regardless of </w:t>
      </w:r>
      <w:r w:rsidR="00EF04BA" w:rsidRPr="00535666">
        <w:rPr>
          <w:rFonts w:ascii="Times New Roman" w:hAnsi="Times New Roman" w:cs="Times New Roman"/>
          <w:sz w:val="24"/>
          <w:szCs w:val="24"/>
          <w:lang w:val="en-US"/>
        </w:rPr>
        <w:t>whom</w:t>
      </w:r>
      <w:r w:rsidRPr="00535666">
        <w:rPr>
          <w:rFonts w:ascii="Times New Roman" w:hAnsi="Times New Roman" w:cs="Times New Roman"/>
          <w:sz w:val="24"/>
          <w:szCs w:val="24"/>
          <w:lang w:val="en-US"/>
        </w:rPr>
        <w:t xml:space="preserve"> the ultimate seller is. Therefore, purchases conducted under the APP resulted in a mechanic, direct increase in base money.</w:t>
      </w:r>
    </w:p>
    <w:p w:rsidR="008258F5" w:rsidRDefault="008258F5" w:rsidP="008258F5">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The APP has been an important driving force behind the robust developments in broad money recorded since 2015, with indirect ef</w:t>
      </w:r>
      <w:r>
        <w:rPr>
          <w:rFonts w:ascii="Times New Roman" w:hAnsi="Times New Roman" w:cs="Times New Roman"/>
          <w:sz w:val="24"/>
          <w:szCs w:val="24"/>
          <w:lang w:val="en-US"/>
        </w:rPr>
        <w:t>fects playing a major role.</w:t>
      </w:r>
      <w:r w:rsidRPr="00535666">
        <w:rPr>
          <w:rFonts w:ascii="Times New Roman" w:hAnsi="Times New Roman" w:cs="Times New Roman"/>
          <w:sz w:val="24"/>
          <w:szCs w:val="24"/>
          <w:lang w:val="en-US"/>
        </w:rPr>
        <w:t xml:space="preserve"> Non-residents and banks have so far been the main sellers of government bonds under the public sector purchase programme (the largest purchase programme under the APP), while sales by the domestic money-holding sector have been moderate, implying a contained direct impac</w:t>
      </w:r>
      <w:r>
        <w:rPr>
          <w:rFonts w:ascii="Times New Roman" w:hAnsi="Times New Roman" w:cs="Times New Roman"/>
          <w:sz w:val="24"/>
          <w:szCs w:val="24"/>
          <w:lang w:val="en-US"/>
        </w:rPr>
        <w:t>t of the APP on broad money.</w:t>
      </w:r>
      <w:r w:rsidRPr="00535666">
        <w:rPr>
          <w:rFonts w:ascii="Times New Roman" w:hAnsi="Times New Roman" w:cs="Times New Roman"/>
          <w:sz w:val="24"/>
          <w:szCs w:val="24"/>
          <w:lang w:val="en-US"/>
        </w:rPr>
        <w:t xml:space="preserve"> A large part of the effects of the APP on broad money have materialised via indirect effects. First, indirect effects arise from the portfolio rebalancing that the programme is intended to bring about. Moreover, banks have expanded loans to domestic firms and households, implying an increase in the deposits held by the euro area money-holding sector. Some banks have also used the increased liquidity at their disposal to pay down their more costly liabilities. Further indirect effects of the APP on broad money have materialised via a wide set of channels through which the APP has influenced financial markets and economic activity. The APP has indeed resulted in a broad easing of financing conditions and favourable wealth effects, crucially supporting the recovery in lending and economic growth. The money multiplier has been declining since the start of the APP, mechanically reflecting the proportionately larger positive impact of the programme on base money than on broad money. While the former displays a direct relationship with the purchases, the latter is mainly affected via complex indirect effects, as discussed above.</w:t>
      </w:r>
    </w:p>
    <w:p w:rsidR="00405307" w:rsidRDefault="00405307" w:rsidP="008258F5">
      <w:pPr>
        <w:spacing w:line="240" w:lineRule="auto"/>
        <w:jc w:val="both"/>
        <w:rPr>
          <w:rFonts w:ascii="Times New Roman" w:hAnsi="Times New Roman" w:cs="Times New Roman"/>
          <w:sz w:val="24"/>
          <w:szCs w:val="24"/>
          <w:lang w:val="en-US"/>
        </w:rPr>
      </w:pPr>
    </w:p>
    <w:p w:rsidR="00405307" w:rsidRDefault="00405307" w:rsidP="008258F5">
      <w:pPr>
        <w:spacing w:line="240" w:lineRule="auto"/>
        <w:jc w:val="both"/>
        <w:rPr>
          <w:rFonts w:ascii="Times New Roman" w:hAnsi="Times New Roman" w:cs="Times New Roman"/>
          <w:sz w:val="24"/>
          <w:szCs w:val="24"/>
          <w:lang w:val="en-US"/>
        </w:rPr>
      </w:pPr>
    </w:p>
    <w:p w:rsidR="00405307" w:rsidRDefault="00405307" w:rsidP="008258F5">
      <w:pPr>
        <w:spacing w:line="240" w:lineRule="auto"/>
        <w:jc w:val="both"/>
        <w:rPr>
          <w:rFonts w:ascii="Times New Roman" w:hAnsi="Times New Roman" w:cs="Times New Roman"/>
          <w:sz w:val="24"/>
          <w:szCs w:val="24"/>
          <w:lang w:val="en-US"/>
        </w:rPr>
      </w:pPr>
    </w:p>
    <w:p w:rsidR="00405307" w:rsidRDefault="00405307" w:rsidP="0040530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E262DD">
        <w:rPr>
          <w:rFonts w:ascii="Times New Roman" w:hAnsi="Times New Roman" w:cs="Times New Roman"/>
          <w:b/>
          <w:sz w:val="24"/>
          <w:szCs w:val="24"/>
        </w:rPr>
        <w:t>Viejas y queridas causas perdidas</w:t>
      </w:r>
      <w:r w:rsidR="005555DA">
        <w:rPr>
          <w:rFonts w:ascii="Times New Roman" w:hAnsi="Times New Roman" w:cs="Times New Roman"/>
          <w:b/>
          <w:sz w:val="24"/>
          <w:szCs w:val="24"/>
        </w:rPr>
        <w:t xml:space="preserve"> o la amargura de la victoria</w:t>
      </w:r>
      <w:r>
        <w:rPr>
          <w:rFonts w:ascii="Times New Roman" w:hAnsi="Times New Roman" w:cs="Times New Roman"/>
          <w:b/>
          <w:sz w:val="24"/>
          <w:szCs w:val="24"/>
        </w:rPr>
        <w:t xml:space="preserve"> </w:t>
      </w:r>
      <w:r w:rsidR="00360244">
        <w:rPr>
          <w:rFonts w:ascii="Times New Roman" w:hAnsi="Times New Roman" w:cs="Times New Roman"/>
          <w:b/>
          <w:sz w:val="24"/>
          <w:szCs w:val="24"/>
        </w:rPr>
        <w:t xml:space="preserve"> (</w:t>
      </w:r>
      <w:r w:rsidR="00C012D5">
        <w:rPr>
          <w:rFonts w:ascii="Times New Roman" w:hAnsi="Times New Roman" w:cs="Times New Roman"/>
          <w:b/>
          <w:sz w:val="24"/>
          <w:szCs w:val="24"/>
        </w:rPr>
        <w:t>“</w:t>
      </w:r>
      <w:r w:rsidR="00360244">
        <w:rPr>
          <w:rFonts w:ascii="Times New Roman" w:hAnsi="Times New Roman" w:cs="Times New Roman"/>
          <w:b/>
          <w:sz w:val="24"/>
          <w:szCs w:val="24"/>
        </w:rPr>
        <w:t>decíamos ayer</w:t>
      </w:r>
      <w:r w:rsidR="00C012D5">
        <w:rPr>
          <w:rFonts w:ascii="Times New Roman" w:hAnsi="Times New Roman" w:cs="Times New Roman"/>
          <w:b/>
          <w:sz w:val="24"/>
          <w:szCs w:val="24"/>
        </w:rPr>
        <w:t>”</w:t>
      </w:r>
      <w:r w:rsidR="00360244">
        <w:rPr>
          <w:rFonts w:ascii="Times New Roman" w:hAnsi="Times New Roman" w:cs="Times New Roman"/>
          <w:b/>
          <w:sz w:val="24"/>
          <w:szCs w:val="24"/>
        </w:rPr>
        <w:t>…)</w:t>
      </w:r>
    </w:p>
    <w:p w:rsidR="005555DA" w:rsidRDefault="005555DA" w:rsidP="00405307">
      <w:pPr>
        <w:spacing w:line="240" w:lineRule="auto"/>
        <w:jc w:val="both"/>
        <w:rPr>
          <w:rFonts w:ascii="Times New Roman" w:hAnsi="Times New Roman" w:cs="Times New Roman"/>
          <w:b/>
          <w:sz w:val="24"/>
          <w:szCs w:val="24"/>
        </w:rPr>
      </w:pPr>
    </w:p>
    <w:p w:rsidR="00405307" w:rsidRDefault="00405307" w:rsidP="00405307">
      <w:pPr>
        <w:spacing w:line="240" w:lineRule="auto"/>
        <w:jc w:val="both"/>
        <w:rPr>
          <w:rFonts w:ascii="Times New Roman" w:hAnsi="Times New Roman" w:cs="Times New Roman"/>
          <w:b/>
          <w:sz w:val="24"/>
          <w:szCs w:val="24"/>
        </w:rPr>
      </w:pPr>
      <w:r>
        <w:rPr>
          <w:noProof/>
          <w:lang w:eastAsia="es-ES"/>
        </w:rPr>
        <w:drawing>
          <wp:inline distT="0" distB="0" distL="0" distR="0" wp14:anchorId="458E5A1A" wp14:editId="01236E97">
            <wp:extent cx="5731510" cy="2704465"/>
            <wp:effectExtent l="0" t="0" r="2540" b="635"/>
            <wp:docPr id="8" name="Imagen 8" descr="https://e00-expansion.uecdn.es/assets/multimedia/imagenes/2018/07/20/15320960071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8/07/20/15320960071379.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2704465"/>
                    </a:xfrm>
                    <a:prstGeom prst="rect">
                      <a:avLst/>
                    </a:prstGeom>
                    <a:noFill/>
                    <a:ln>
                      <a:noFill/>
                    </a:ln>
                  </pic:spPr>
                </pic:pic>
              </a:graphicData>
            </a:graphic>
          </wp:inline>
        </w:drawing>
      </w:r>
    </w:p>
    <w:p w:rsidR="006D78F8" w:rsidRDefault="006D78F8" w:rsidP="00405307">
      <w:pPr>
        <w:spacing w:line="240" w:lineRule="auto"/>
        <w:jc w:val="both"/>
        <w:rPr>
          <w:rFonts w:ascii="Times New Roman" w:hAnsi="Times New Roman" w:cs="Times New Roman"/>
          <w:sz w:val="24"/>
          <w:szCs w:val="24"/>
        </w:rPr>
      </w:pPr>
    </w:p>
    <w:p w:rsidR="00405307" w:rsidRPr="00696E0D" w:rsidRDefault="00405307" w:rsidP="00405307">
      <w:pPr>
        <w:spacing w:line="240" w:lineRule="auto"/>
        <w:jc w:val="both"/>
        <w:rPr>
          <w:rFonts w:ascii="Times New Roman" w:hAnsi="Times New Roman" w:cs="Times New Roman"/>
          <w:sz w:val="24"/>
          <w:szCs w:val="24"/>
        </w:rPr>
      </w:pPr>
      <w:r w:rsidRPr="00226C71">
        <w:rPr>
          <w:rFonts w:ascii="Times New Roman" w:hAnsi="Times New Roman" w:cs="Times New Roman"/>
          <w:sz w:val="24"/>
          <w:szCs w:val="24"/>
        </w:rPr>
        <w:t xml:space="preserve">En un Paper anterior, </w:t>
      </w:r>
      <w:r w:rsidRPr="00226C71">
        <w:rPr>
          <w:rFonts w:ascii="Times New Roman" w:hAnsi="Times New Roman" w:cs="Times New Roman"/>
          <w:b/>
          <w:sz w:val="24"/>
          <w:szCs w:val="24"/>
        </w:rPr>
        <w:t>“La "década perdida" de la Unión Europea (una Europa "desnortada", después de 10 años de crisis económica, política, y -esencialmente- de valores)” (Parte I)</w:t>
      </w:r>
      <w:r>
        <w:rPr>
          <w:rFonts w:ascii="Times New Roman" w:hAnsi="Times New Roman" w:cs="Times New Roman"/>
          <w:sz w:val="24"/>
          <w:szCs w:val="24"/>
        </w:rPr>
        <w:t xml:space="preserve">, publicado el </w:t>
      </w:r>
      <w:r w:rsidRPr="00226C71">
        <w:rPr>
          <w:rFonts w:ascii="Times New Roman" w:hAnsi="Times New Roman" w:cs="Times New Roman"/>
          <w:b/>
          <w:sz w:val="24"/>
          <w:szCs w:val="24"/>
        </w:rPr>
        <w:t>15/3/17</w:t>
      </w:r>
      <w:r>
        <w:rPr>
          <w:rFonts w:ascii="Times New Roman" w:hAnsi="Times New Roman" w:cs="Times New Roman"/>
          <w:sz w:val="24"/>
          <w:szCs w:val="24"/>
        </w:rPr>
        <w:t>, decía:</w:t>
      </w:r>
    </w:p>
    <w:p w:rsidR="00405307" w:rsidRDefault="00405307" w:rsidP="00405307">
      <w:pPr>
        <w:spacing w:line="240" w:lineRule="auto"/>
        <w:jc w:val="both"/>
        <w:textAlignment w:val="baseline"/>
        <w:rPr>
          <w:rFonts w:ascii="Times New Roman" w:hAnsi="Times New Roman"/>
          <w:sz w:val="24"/>
          <w:szCs w:val="24"/>
          <w:u w:val="single"/>
        </w:rPr>
      </w:pPr>
      <w:r>
        <w:rPr>
          <w:rFonts w:ascii="Times New Roman" w:hAnsi="Times New Roman"/>
          <w:sz w:val="24"/>
          <w:szCs w:val="24"/>
          <w:u w:val="single"/>
        </w:rPr>
        <w:t>La montaña de la deuda (que pagaran nuestros nietos… ¿y los hijos de nuestros nietos?)</w:t>
      </w:r>
    </w:p>
    <w:p w:rsidR="00405307" w:rsidRDefault="00405307" w:rsidP="00405307">
      <w:pPr>
        <w:pStyle w:val="NormalWeb"/>
        <w:shd w:val="clear" w:color="auto" w:fill="FFFFFF"/>
        <w:spacing w:before="0" w:beforeAutospacing="0" w:after="0" w:afterAutospacing="0"/>
        <w:jc w:val="both"/>
        <w:textAlignment w:val="baseline"/>
      </w:pPr>
      <w:r>
        <w:rPr>
          <w:i/>
        </w:rPr>
        <w:t>“La semana pasada se publicaba el</w:t>
      </w:r>
      <w:r>
        <w:rPr>
          <w:rStyle w:val="apple-converted-space"/>
          <w:i/>
          <w:bdr w:val="none" w:sz="0" w:space="0" w:color="auto" w:frame="1"/>
        </w:rPr>
        <w:t> </w:t>
      </w:r>
      <w:r>
        <w:rPr>
          <w:rStyle w:val="Textoennegrita"/>
          <w:rFonts w:eastAsia="Calibri"/>
          <w:i/>
          <w:bdr w:val="none" w:sz="0" w:space="0" w:color="auto" w:frame="1"/>
        </w:rPr>
        <w:t>informe del FMI Fiscal Monitor de octubre de 2016</w:t>
      </w:r>
      <w:r>
        <w:rPr>
          <w:b/>
          <w:i/>
        </w:rPr>
        <w:t>:</w:t>
      </w:r>
      <w:r>
        <w:rPr>
          <w:rStyle w:val="apple-converted-space"/>
          <w:i/>
        </w:rPr>
        <w:t> </w:t>
      </w:r>
      <w:hyperlink r:id="rId99" w:history="1">
        <w:r>
          <w:rPr>
            <w:rStyle w:val="nfasis"/>
            <w:rFonts w:eastAsiaTheme="majorEastAsia"/>
            <w:bdr w:val="none" w:sz="0" w:space="0" w:color="auto" w:frame="1"/>
          </w:rPr>
          <w:t>Debt Use It Wisely</w:t>
        </w:r>
      </w:hyperlink>
      <w:r>
        <w:rPr>
          <w:i/>
        </w:rPr>
        <w:t>. Como vemos, el organismo dedicaba el número de otoño de este año a la evolución de la deuda en todo el mundo. Y sus conclusiones no son nada tranquilizadoras. No hay más que ver la frase con la que comenzaba el resumen ejecutivo: “</w:t>
      </w:r>
      <w:r>
        <w:rPr>
          <w:rStyle w:val="nfasis"/>
          <w:rFonts w:eastAsiaTheme="majorEastAsia"/>
          <w:bdr w:val="none" w:sz="0" w:space="0" w:color="auto" w:frame="1"/>
        </w:rPr>
        <w:t>La deuda global del sector no financiero -que abarca el gobierno general, los hogares y las empresas no financieras- se sitúan en la actualidad en un máximo histórico equivalente a 225% del PIB mundial. Dos tercios de esa deuda, es decir USD 100 billones, consta de pasivos del sector privado que, como lo documentan numerosos estudios, pueden entrañar enormes riesgos cuando alcancen niveles excesivos””...</w:t>
      </w:r>
      <w:r w:rsidR="00C70908">
        <w:t xml:space="preserve"> </w:t>
      </w:r>
      <w:r>
        <w:rPr>
          <w:u w:val="single"/>
        </w:rPr>
        <w:t>España, segundo país que más reduce su deuda privada durante la crisis</w:t>
      </w:r>
      <w:r>
        <w:t xml:space="preserve"> (Libertad Digital - </w:t>
      </w:r>
      <w:r>
        <w:rPr>
          <w:b/>
        </w:rPr>
        <w:t>13/10/16</w:t>
      </w:r>
      <w:r>
        <w:t xml:space="preserve">) </w:t>
      </w:r>
    </w:p>
    <w:p w:rsidR="00405307" w:rsidRDefault="00405307" w:rsidP="00405307">
      <w:pPr>
        <w:pStyle w:val="NormalWeb"/>
        <w:shd w:val="clear" w:color="auto" w:fill="FFFFFF"/>
        <w:spacing w:before="0" w:beforeAutospacing="0" w:after="0" w:afterAutospacing="0"/>
        <w:jc w:val="both"/>
        <w:textAlignment w:val="baseline"/>
        <w:rPr>
          <w:rStyle w:val="nfasis"/>
          <w:iCs w:val="0"/>
        </w:rPr>
      </w:pPr>
    </w:p>
    <w:p w:rsidR="00405307" w:rsidRDefault="00405307" w:rsidP="00405307">
      <w:pPr>
        <w:pStyle w:val="NormalWeb"/>
        <w:shd w:val="clear" w:color="auto" w:fill="FFFFFF"/>
        <w:spacing w:before="0" w:beforeAutospacing="0" w:after="0" w:afterAutospacing="0"/>
        <w:jc w:val="both"/>
        <w:textAlignment w:val="baseline"/>
      </w:pPr>
      <w:r>
        <w:t>No es nada nuevo, pero cada año que pasa se hace más evidente que el mundo está dentro en una peligrosísima espiral, sobre todo en los países ricos. Las economías avanzadas han entrado en un</w:t>
      </w:r>
      <w:r>
        <w:rPr>
          <w:rStyle w:val="apple-converted-space"/>
        </w:rPr>
        <w:t> </w:t>
      </w:r>
      <w:r>
        <w:rPr>
          <w:rStyle w:val="Textoennegrita"/>
          <w:rFonts w:eastAsia="Calibri"/>
          <w:bdr w:val="none" w:sz="0" w:space="0" w:color="auto" w:frame="1"/>
        </w:rPr>
        <w:t>círculo vicioso</w:t>
      </w:r>
      <w:r>
        <w:rPr>
          <w:rStyle w:val="apple-converted-space"/>
        </w:rPr>
        <w:t> </w:t>
      </w:r>
      <w:r>
        <w:t>de bajo crecimiento, pocas reformas e incremento de la montaña de deuda sobre la que nos encontramos.</w:t>
      </w:r>
    </w:p>
    <w:p w:rsidR="00405307" w:rsidRDefault="00405307" w:rsidP="00405307">
      <w:pPr>
        <w:pStyle w:val="NormalWeb"/>
        <w:shd w:val="clear" w:color="auto" w:fill="FFFFFF"/>
        <w:spacing w:before="0" w:beforeAutospacing="0" w:after="0" w:afterAutospacing="0"/>
        <w:jc w:val="both"/>
        <w:textAlignment w:val="baseline"/>
      </w:pPr>
    </w:p>
    <w:p w:rsidR="00405307" w:rsidRPr="00205456" w:rsidRDefault="00405307" w:rsidP="00405307">
      <w:pPr>
        <w:pStyle w:val="NormalWeb"/>
        <w:shd w:val="clear" w:color="auto" w:fill="FFFFFF"/>
        <w:spacing w:before="0" w:beforeAutospacing="0" w:after="0" w:afterAutospacing="0"/>
        <w:jc w:val="both"/>
        <w:textAlignment w:val="baseline"/>
      </w:pPr>
      <w:r>
        <w:t>El siguiente gráfico es de otro informe, el que</w:t>
      </w:r>
      <w:r>
        <w:rPr>
          <w:rStyle w:val="apple-converted-space"/>
        </w:rPr>
        <w:t> </w:t>
      </w:r>
      <w:hyperlink r:id="rId100" w:history="1">
        <w:r w:rsidRPr="00696E0D">
          <w:rPr>
            <w:rStyle w:val="Hipervnculo"/>
            <w:rFonts w:eastAsiaTheme="majorEastAsia"/>
            <w:color w:val="auto"/>
            <w:bdr w:val="none" w:sz="0" w:space="0" w:color="auto" w:frame="1"/>
          </w:rPr>
          <w:t>publicó McKinsey en febrero del pasado año</w:t>
        </w:r>
      </w:hyperlink>
      <w:r w:rsidRPr="00696E0D">
        <w:t>:</w:t>
      </w:r>
      <w:r>
        <w:rPr>
          <w:rStyle w:val="apple-converted-space"/>
        </w:rPr>
        <w:t> </w:t>
      </w:r>
      <w:r>
        <w:rPr>
          <w:rStyle w:val="nfasis"/>
          <w:rFonts w:eastAsiaTheme="majorEastAsia"/>
          <w:bCs/>
          <w:bdr w:val="none" w:sz="0" w:space="0" w:color="auto" w:frame="1"/>
        </w:rPr>
        <w:t>Debt and (not much) deleveraging</w:t>
      </w:r>
      <w:r>
        <w:t>. Como vemos, a nivel global, se ha disparado la deuda en todos los sectores. Hogares, gobiernos, sector financiero y empresas han incrementado sus números rojos desde el año 2000 y han seguido haciéndolo a partir de 2007. Eso sí, con una particularidad: tras el</w:t>
      </w:r>
      <w:r>
        <w:rPr>
          <w:rStyle w:val="apple-converted-space"/>
        </w:rPr>
        <w:t> “</w:t>
      </w:r>
      <w:r>
        <w:rPr>
          <w:rStyle w:val="nfasis"/>
          <w:rFonts w:eastAsiaTheme="majorEastAsia"/>
          <w:bdr w:val="none" w:sz="0" w:space="0" w:color="auto" w:frame="1"/>
        </w:rPr>
        <w:t>bofetón”</w:t>
      </w:r>
      <w:r>
        <w:rPr>
          <w:rStyle w:val="apple-converted-space"/>
        </w:rPr>
        <w:t> </w:t>
      </w:r>
      <w:r>
        <w:t>que supuso la Gran Recesión, el</w:t>
      </w:r>
      <w:r>
        <w:rPr>
          <w:u w:val="single"/>
        </w:rPr>
        <w:t xml:space="preserve"> </w:t>
      </w:r>
      <w:r>
        <w:t>sector privado redujo el ritmo de crecimiento de la deuda. A cambio, los gobiernos disparaban la carga que soportan sus ciudadanos.</w:t>
      </w:r>
    </w:p>
    <w:p w:rsidR="00405307" w:rsidRDefault="00405307" w:rsidP="00405307">
      <w:pPr>
        <w:spacing w:line="240" w:lineRule="auto"/>
        <w:jc w:val="both"/>
        <w:rPr>
          <w:rFonts w:ascii="Times New Roman" w:hAnsi="Times New Roman"/>
          <w:sz w:val="24"/>
          <w:szCs w:val="24"/>
        </w:rPr>
      </w:pPr>
      <w:r>
        <w:rPr>
          <w:rFonts w:ascii="Times New Roman" w:hAnsi="Times New Roman"/>
          <w:noProof/>
          <w:sz w:val="24"/>
          <w:szCs w:val="24"/>
          <w:bdr w:val="none" w:sz="0" w:space="0" w:color="auto" w:frame="1"/>
          <w:lang w:eastAsia="es-ES"/>
        </w:rPr>
        <w:lastRenderedPageBreak/>
        <w:drawing>
          <wp:inline distT="0" distB="0" distL="0" distR="0" wp14:anchorId="209B44DD" wp14:editId="7FAD83A9">
            <wp:extent cx="5657850" cy="3219450"/>
            <wp:effectExtent l="0" t="0" r="0" b="0"/>
            <wp:docPr id="238" name="Imagen 238" descr="deuda_mckinsey.jpg">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deuda_mckinsey.jpg">
                      <a:hlinkClick r:id="rId101"/>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57850" cy="3219450"/>
                    </a:xfrm>
                    <a:prstGeom prst="rect">
                      <a:avLst/>
                    </a:prstGeom>
                    <a:noFill/>
                    <a:ln>
                      <a:noFill/>
                    </a:ln>
                  </pic:spPr>
                </pic:pic>
              </a:graphicData>
            </a:graphic>
          </wp:inline>
        </w:drawing>
      </w:r>
      <w:r>
        <w:rPr>
          <w:rFonts w:ascii="Times New Roman" w:hAnsi="Times New Roman"/>
          <w:sz w:val="24"/>
          <w:szCs w:val="24"/>
        </w:rPr>
        <w:t>McKinsey Global Institute</w:t>
      </w:r>
    </w:p>
    <w:p w:rsidR="00405307" w:rsidRDefault="00405307" w:rsidP="00405307">
      <w:pPr>
        <w:pStyle w:val="NormalWeb"/>
        <w:shd w:val="clear" w:color="auto" w:fill="FFFFFF"/>
        <w:spacing w:before="0" w:beforeAutospacing="0" w:after="0" w:afterAutospacing="0"/>
        <w:jc w:val="both"/>
        <w:textAlignment w:val="baseline"/>
      </w:pPr>
      <w:r>
        <w:t>Pero esta es la foto general. Si miramos país a país, llegan los matices. Y en el caso de España, esos matices apuntan en una doble dirección. Como vemos en el siguiente gráfico,</w:t>
      </w:r>
      <w:r>
        <w:rPr>
          <w:rStyle w:val="apple-converted-space"/>
        </w:rPr>
        <w:t> </w:t>
      </w:r>
      <w:r>
        <w:rPr>
          <w:rStyle w:val="Textoennegrita"/>
          <w:rFonts w:eastAsia="Calibri"/>
          <w:bdr w:val="none" w:sz="0" w:space="0" w:color="auto" w:frame="1"/>
        </w:rPr>
        <w:t>sacado del informe del FMI</w:t>
      </w:r>
      <w:r>
        <w:t>, en lo que hace referencia a la deuda del sector privado, somos los segundos que mejor lo hemos hecho. Sólo los británicos han reducido más su deuda respecto al PIB desde 2008. Esto habla de un esfuerzo muy importante de hogares y empresas, que han salido de la crisis ajustando gasto y desapalancándose.</w:t>
      </w:r>
    </w:p>
    <w:p w:rsidR="00405307" w:rsidRDefault="00405307" w:rsidP="00405307">
      <w:pPr>
        <w:pStyle w:val="NormalWeb"/>
        <w:shd w:val="clear" w:color="auto" w:fill="FFFFFF"/>
        <w:spacing w:before="0" w:beforeAutospacing="0" w:after="0" w:afterAutospacing="0"/>
        <w:jc w:val="both"/>
        <w:textAlignment w:val="baseline"/>
      </w:pPr>
    </w:p>
    <w:p w:rsidR="00405307" w:rsidRDefault="00405307" w:rsidP="00405307">
      <w:pPr>
        <w:spacing w:line="240" w:lineRule="auto"/>
        <w:ind w:left="708" w:firstLine="708"/>
        <w:jc w:val="both"/>
        <w:rPr>
          <w:rFonts w:ascii="Times New Roman" w:hAnsi="Times New Roman"/>
          <w:sz w:val="24"/>
          <w:szCs w:val="24"/>
          <w:u w:val="single"/>
        </w:rPr>
      </w:pPr>
      <w:r>
        <w:rPr>
          <w:rFonts w:ascii="Times New Roman" w:hAnsi="Times New Roman"/>
          <w:noProof/>
          <w:sz w:val="24"/>
          <w:szCs w:val="24"/>
          <w:bdr w:val="none" w:sz="0" w:space="0" w:color="auto" w:frame="1"/>
          <w:lang w:eastAsia="es-ES"/>
        </w:rPr>
        <w:drawing>
          <wp:inline distT="0" distB="0" distL="0" distR="0" wp14:anchorId="32A53D59" wp14:editId="082F4DA3">
            <wp:extent cx="4019550" cy="3625850"/>
            <wp:effectExtent l="0" t="0" r="0" b="0"/>
            <wp:docPr id="239" name="Imagen 239" descr="fmi_fiscal_monitor_2016_octubre.jpg">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descr="fmi_fiscal_monitor_2016_octubre.jpg">
                      <a:hlinkClick r:id="rId103"/>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019550" cy="3625850"/>
                    </a:xfrm>
                    <a:prstGeom prst="rect">
                      <a:avLst/>
                    </a:prstGeom>
                    <a:noFill/>
                    <a:ln>
                      <a:noFill/>
                    </a:ln>
                  </pic:spPr>
                </pic:pic>
              </a:graphicData>
            </a:graphic>
          </wp:inline>
        </w:drawing>
      </w:r>
    </w:p>
    <w:p w:rsidR="00405307" w:rsidRDefault="00405307" w:rsidP="00405307">
      <w:pPr>
        <w:spacing w:line="240" w:lineRule="auto"/>
        <w:jc w:val="both"/>
        <w:rPr>
          <w:rFonts w:ascii="Times New Roman" w:hAnsi="Times New Roman"/>
          <w:sz w:val="24"/>
          <w:szCs w:val="24"/>
        </w:rPr>
      </w:pPr>
      <w:r>
        <w:rPr>
          <w:rFonts w:ascii="Times New Roman" w:hAnsi="Times New Roman"/>
          <w:sz w:val="24"/>
          <w:szCs w:val="24"/>
        </w:rPr>
        <w:t>FMI Fiscal Monitor Octubre 2016</w:t>
      </w:r>
    </w:p>
    <w:p w:rsidR="00405307" w:rsidRDefault="00405307" w:rsidP="00405307">
      <w:pPr>
        <w:pStyle w:val="NormalWeb"/>
        <w:shd w:val="clear" w:color="auto" w:fill="FFFFFF"/>
        <w:spacing w:before="0" w:beforeAutospacing="0" w:after="0" w:afterAutospacing="0"/>
        <w:jc w:val="both"/>
        <w:textAlignment w:val="baseline"/>
      </w:pPr>
      <w:r>
        <w:lastRenderedPageBreak/>
        <w:t>Y mientras tanto, ¿qué han hecho nuestros políticos? Pues exactamente lo contrario: endeudarnos más de que</w:t>
      </w:r>
      <w:r>
        <w:rPr>
          <w:rStyle w:val="apple-converted-space"/>
        </w:rPr>
        <w:t> </w:t>
      </w:r>
      <w:r>
        <w:rPr>
          <w:rStyle w:val="Textoennegrita"/>
          <w:rFonts w:eastAsia="Calibri"/>
          <w:bdr w:val="none" w:sz="0" w:space="0" w:color="auto" w:frame="1"/>
        </w:rPr>
        <w:t>ningún otro Gobierno del mundo</w:t>
      </w:r>
      <w:r>
        <w:t>. Según los datos del FMI, la deuda pública española ha pasado del 35% del PIB en 2007 al 100,1% con el que acabaremos este año. Son 65 puntos del PIB (lo que, en el caso español equivale a unos 700.000 millones de euros extra).</w:t>
      </w:r>
    </w:p>
    <w:p w:rsidR="00405307" w:rsidRDefault="00405307" w:rsidP="00405307">
      <w:pPr>
        <w:pStyle w:val="NormalWeb"/>
        <w:shd w:val="clear" w:color="auto" w:fill="FFFFFF"/>
        <w:spacing w:before="0" w:beforeAutospacing="0" w:after="0" w:afterAutospacing="0"/>
        <w:jc w:val="both"/>
        <w:textAlignment w:val="baseline"/>
      </w:pPr>
    </w:p>
    <w:p w:rsidR="00405307" w:rsidRDefault="00405307" w:rsidP="00405307">
      <w:pPr>
        <w:pStyle w:val="NormalWeb"/>
        <w:shd w:val="clear" w:color="auto" w:fill="FFFFFF"/>
        <w:spacing w:before="0" w:beforeAutospacing="0" w:after="0" w:afterAutospacing="0"/>
        <w:jc w:val="both"/>
        <w:textAlignment w:val="baseline"/>
      </w:pPr>
      <w:r>
        <w:t>Entre las economías avanzadas,</w:t>
      </w:r>
      <w:r>
        <w:rPr>
          <w:rStyle w:val="apple-converted-space"/>
        </w:rPr>
        <w:t> </w:t>
      </w:r>
      <w:r>
        <w:rPr>
          <w:rStyle w:val="Textoennegrita"/>
          <w:rFonts w:eastAsia="Calibri"/>
          <w:bdr w:val="none" w:sz="0" w:space="0" w:color="auto" w:frame="1"/>
        </w:rPr>
        <w:t>sólo en Grecia</w:t>
      </w:r>
      <w:r>
        <w:t>, la diferencia entre el nivel de deuda pública sobre el PIB entre 2007-16 es mayor. En el país heleno, han pasado del 103,1% al 183,4% del PIB en estos nueve años. Ni siquiera Portugal (del 68% al 128% del PIB), Italia (100% a 133%) o Irlanda (23,9% a 74,6%), los otros países rescatados de la Eurozona, han sufrido un incremento en la deuda pública similar.</w:t>
      </w:r>
    </w:p>
    <w:p w:rsidR="00405307" w:rsidRDefault="00405307" w:rsidP="00405307">
      <w:pPr>
        <w:spacing w:line="240" w:lineRule="auto"/>
        <w:jc w:val="both"/>
        <w:rPr>
          <w:rFonts w:ascii="Times New Roman" w:hAnsi="Times New Roman"/>
          <w:sz w:val="24"/>
          <w:szCs w:val="24"/>
        </w:rPr>
      </w:pPr>
      <w:r>
        <w:rPr>
          <w:rFonts w:ascii="Times New Roman" w:hAnsi="Times New Roman"/>
          <w:noProof/>
          <w:sz w:val="24"/>
          <w:szCs w:val="24"/>
          <w:bdr w:val="none" w:sz="0" w:space="0" w:color="auto" w:frame="1"/>
          <w:lang w:eastAsia="es-ES"/>
        </w:rPr>
        <w:drawing>
          <wp:inline distT="0" distB="0" distL="0" distR="0" wp14:anchorId="4A46E5C1" wp14:editId="1CE90BEF">
            <wp:extent cx="5372100" cy="4603750"/>
            <wp:effectExtent l="0" t="0" r="0" b="6350"/>
            <wp:docPr id="240" name="Imagen 240" descr="deuda_mckinsey_tabla.jpg">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deuda_mckinsey_tabla.jpg">
                      <a:hlinkClick r:id="rId105"/>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72100" cy="4603750"/>
                    </a:xfrm>
                    <a:prstGeom prst="rect">
                      <a:avLst/>
                    </a:prstGeom>
                    <a:noFill/>
                    <a:ln>
                      <a:noFill/>
                    </a:ln>
                  </pic:spPr>
                </pic:pic>
              </a:graphicData>
            </a:graphic>
          </wp:inline>
        </w:drawing>
      </w:r>
      <w:r>
        <w:rPr>
          <w:rFonts w:ascii="Times New Roman" w:hAnsi="Times New Roman"/>
          <w:sz w:val="24"/>
          <w:szCs w:val="24"/>
        </w:rPr>
        <w:t>McKinsey Global Institute</w:t>
      </w:r>
    </w:p>
    <w:p w:rsidR="00405307" w:rsidRDefault="00405307" w:rsidP="00405307">
      <w:pPr>
        <w:pStyle w:val="NormalWeb"/>
        <w:shd w:val="clear" w:color="auto" w:fill="FFFFFF"/>
        <w:spacing w:before="0" w:beforeAutospacing="0" w:after="0" w:afterAutospacing="0"/>
        <w:jc w:val="both"/>
        <w:textAlignment w:val="baseline"/>
      </w:pPr>
      <w:r>
        <w:t>Por último, tenemos la anterior tabla, también del</w:t>
      </w:r>
      <w:r>
        <w:rPr>
          <w:rStyle w:val="apple-converted-space"/>
        </w:rPr>
        <w:t> </w:t>
      </w:r>
      <w:r>
        <w:rPr>
          <w:rStyle w:val="Textoennegrita"/>
          <w:rFonts w:eastAsia="Calibri"/>
          <w:bdr w:val="none" w:sz="0" w:space="0" w:color="auto" w:frame="1"/>
        </w:rPr>
        <w:t>informe de McKinsey</w:t>
      </w:r>
      <w:r>
        <w:t xml:space="preserve">. Los datos cambian un poco porque son a cierre de 2014 (los del FMI llegan a 2016), pero las conclusiones se mantienen. El caso de España es llamativo por la diferencia entre sector público, hogares y empresas. Habrá quien saque la conclusión de que los políticos son unos irresponsables, frente a la austeridad del sector privado. </w:t>
      </w:r>
    </w:p>
    <w:p w:rsidR="00405307" w:rsidRDefault="00405307" w:rsidP="00405307">
      <w:pPr>
        <w:pStyle w:val="NormalWeb"/>
        <w:shd w:val="clear" w:color="auto" w:fill="FFFFFF"/>
        <w:spacing w:before="0" w:beforeAutospacing="0" w:after="0" w:afterAutospacing="0"/>
        <w:jc w:val="both"/>
        <w:textAlignment w:val="baseline"/>
      </w:pPr>
    </w:p>
    <w:p w:rsidR="00405307" w:rsidRDefault="00405307" w:rsidP="00405307">
      <w:pPr>
        <w:spacing w:line="240" w:lineRule="auto"/>
        <w:jc w:val="both"/>
        <w:rPr>
          <w:rFonts w:ascii="Times New Roman" w:hAnsi="Times New Roman"/>
          <w:b/>
          <w:sz w:val="24"/>
          <w:szCs w:val="24"/>
        </w:rPr>
      </w:pPr>
      <w:r>
        <w:rPr>
          <w:rFonts w:ascii="Times New Roman" w:hAnsi="Times New Roman"/>
          <w:b/>
          <w:sz w:val="24"/>
          <w:szCs w:val="24"/>
        </w:rPr>
        <w:t>La Comisión Europea en el diván: “el día que Nietzsche lloró” (¿un psicoanálisis de la crisis?)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¿Por qué se produjo la crisis? </w:t>
      </w:r>
      <w:r>
        <w:rPr>
          <w:rFonts w:ascii="Times New Roman" w:hAnsi="Times New Roman" w:cs="Times New Roman"/>
          <w:sz w:val="24"/>
          <w:szCs w:val="24"/>
        </w:rPr>
        <w:t xml:space="preserve">(Asuntos Económicos y Financieros - Comisión Europea - Última actualización: </w:t>
      </w:r>
      <w:r>
        <w:rPr>
          <w:rFonts w:ascii="Times New Roman" w:hAnsi="Times New Roman" w:cs="Times New Roman"/>
          <w:b/>
          <w:sz w:val="24"/>
          <w:szCs w:val="24"/>
        </w:rPr>
        <w:t>09/Abril/2014</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crisis de la deuda europea se desencadenó por una serie de acontecimientos en el sector bancario de Estados Unidos.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Cuando la ralentización de la economía de los Estados Unidos impidió a gran número de propietarios americanos reembolsar sus hipotecas, bancos de todo el mundo que tenían inversiones relacionadas con esas hipotecas empezaron a perder dinero.</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Lehman Brothers, el cuarto banco de inversiones más importante de ese país, se hundió bajo el peso de sus inversiones desacertadas, alarmando a otros bancos e inversores con los que había hecho operaciones comerciales.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temor de que pudieran quebrar más bancos hizo que inversores y banqueros llevaran al extremo las precauciones. Los bancos dejaron de prestarse dinero entre sí, poniendo en graves dificultades a los que dependían de los préstamos. </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bancos europeos que habían hecho grandes inversiones en el mercado hipotecario estadounidense sufrieron un duro golpe. Para evitar la quiebra de algunos bancos, los gobiernos de muchos países acudieron en su ayuda: Alemania, Francia, Reino Unido, Irlanda, Dinamarca, Países Bajos y Bélgica. Pero el coste del rescate resultó ser muy elevado. En Irlanda, casi provocó la quiebra del gobierno hasta que intervinieron otros países de la UE con ayuda financiera. </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En 2009, cuando Europa entró en recesión, el problema, que al principio afectaba a los bancos, empezó a extenderse a los gobiernos, pues los mercados temían que algunos países no lograran rescatar a los bancos en dificultades.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Los inversores empezaron a observar más detenidamente las finanzas estatales. Grecia fue objeto de especial atención ya que su economía se encontraba en muy malas condiciones y los gobiernos sucesivos habían acumulado deudas equivalentes a casi el doble del volumen de la economía.</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amenaza de quiebra de los bancos significaba que la salud de las finanzas públicas era más importante que nunca. </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Los gobiernos, que se habían acostumbrado a pedir prestadas grandes cantidades cada año para financiar sus presupuestos y que de ese modo habían acumulado deudas enormes, se encontraron de repente con un mercado menos dispuesto a conceder préstamos.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Lo que empezó como una crisis bancaria se convirtió en una crisis de la deuda soberana.</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extendió la crisis?</w:t>
      </w:r>
    </w:p>
    <w:p w:rsidR="00405307" w:rsidRDefault="00405307" w:rsidP="00405307">
      <w:pPr>
        <w:pStyle w:val="NormalWeb"/>
        <w:shd w:val="clear" w:color="auto" w:fill="FFFFFF"/>
        <w:spacing w:before="0" w:beforeAutospacing="0" w:after="0" w:afterAutospacing="0"/>
        <w:jc w:val="both"/>
        <w:rPr>
          <w:color w:val="000000"/>
        </w:rPr>
      </w:pPr>
      <w:r>
        <w:rPr>
          <w:color w:val="000000"/>
        </w:rPr>
        <w:t>En varios países, los gobiernos se vieron atrapados por los problemas del sector bancario cuando los bancos en dificultades empezaron a pedirles ayuda. El elevado coste de los rescates a los bancos hizo que los mercados financieros se preguntaran si los gobiernos podían realmente permitirse apoyar al sector bancario. Cuando la recesión empezó a sentirse en Europa, el estudio de la situación de las finanzas públicas reveló que desde hacía algunos años varios gobiernos de la zona del euro se habían endeudado considerablemente para financiar sus presupuestos.  Se disponía de dinero fácil porque los inversores hacían la vista gorda a las señales de alarma sobre la salud de la economía y no prestaban la atención suficiente a los riesgos que suponía dar préstamos cada vez mayores.</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pStyle w:val="NormalWeb"/>
        <w:shd w:val="clear" w:color="auto" w:fill="FFFFFF"/>
        <w:spacing w:before="0" w:beforeAutospacing="0" w:after="0" w:afterAutospacing="0"/>
        <w:jc w:val="both"/>
        <w:rPr>
          <w:color w:val="000000"/>
        </w:rPr>
      </w:pPr>
      <w:r>
        <w:rPr>
          <w:color w:val="000000"/>
        </w:rPr>
        <w:lastRenderedPageBreak/>
        <w:t>Una de las razones por la que los gobiernos dependían de la deuda era que sus economías llevaban perdiendo competitividad desde hacía mucho tiempo porque no habían conseguido seguir el ritmo de las reformas económicas en otros países.</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pStyle w:val="NormalWeb"/>
        <w:shd w:val="clear" w:color="auto" w:fill="FFFFFF"/>
        <w:spacing w:before="0" w:beforeAutospacing="0" w:after="0" w:afterAutospacing="0"/>
        <w:jc w:val="both"/>
        <w:rPr>
          <w:color w:val="000000"/>
        </w:rPr>
      </w:pPr>
      <w:r>
        <w:rPr>
          <w:color w:val="000000"/>
        </w:rPr>
        <w:t>Los gobiernos de algunos países habían permitido el desarrollo de burbujas inmobiliarias y otros desequilibrios económicos dañinos.  Por último, habían hecho caso omiso de las normas de funcionamiento del euro y no habían hecho mucho para coordinar sus políticas económicas después de acordar compartir una moneda común con una política monetaria única.</w:t>
      </w:r>
    </w:p>
    <w:p w:rsidR="00405307" w:rsidRDefault="00405307" w:rsidP="00405307">
      <w:pPr>
        <w:pStyle w:val="NormalWeb"/>
        <w:shd w:val="clear" w:color="auto" w:fill="FFFFFF"/>
        <w:spacing w:before="0" w:beforeAutospacing="0" w:after="0" w:afterAutospacing="0"/>
        <w:jc w:val="both"/>
        <w:rPr>
          <w:color w:val="000000"/>
        </w:rPr>
      </w:pPr>
      <w:r>
        <w:rPr>
          <w:color w:val="000000"/>
        </w:rPr>
        <w:t>En un número cada vez mayor de países se formó un círculo vicioso: la inestabilidad financiera ahogaba el crecimiento económico, que a su vez hacía descender los ingresos fiscales y aumentar la deuda pública. El aumento de la deuda incrementaba el coste de los préstamos a los gobiernos, alimentando así la inestabilidad financiera. Todo esto suscitó dudas sobre si la estructura institucional de la Unión Económica y Monetaria era adecuada en tiempos de crisis.</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pStyle w:val="NormalWeb"/>
        <w:shd w:val="clear" w:color="auto" w:fill="FFFFFF"/>
        <w:spacing w:before="0" w:beforeAutospacing="0" w:after="0" w:afterAutospacing="0"/>
        <w:jc w:val="both"/>
        <w:rPr>
          <w:color w:val="000000"/>
        </w:rPr>
      </w:pPr>
      <w:r>
        <w:rPr>
          <w:color w:val="000000"/>
        </w:rPr>
        <w:t>La crisis puso de relieve diversas deficiencias del sistema de gobernanza económica de la UE.</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numPr>
          <w:ilvl w:val="0"/>
          <w:numId w:val="9"/>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b/>
          <w:bCs/>
          <w:color w:val="000000"/>
          <w:sz w:val="24"/>
          <w:szCs w:val="24"/>
        </w:rPr>
        <w:t>Excesivo énfasis en los déficits:</w:t>
      </w:r>
      <w:r>
        <w:rPr>
          <w:rStyle w:val="apple-converted-space"/>
          <w:rFonts w:ascii="Times New Roman" w:hAnsi="Times New Roman" w:cs="Times New Roman"/>
          <w:b/>
          <w:bCs/>
          <w:color w:val="000000"/>
          <w:sz w:val="24"/>
          <w:szCs w:val="24"/>
        </w:rPr>
        <w:t> </w:t>
      </w:r>
      <w:r>
        <w:rPr>
          <w:rFonts w:ascii="Times New Roman" w:hAnsi="Times New Roman" w:cs="Times New Roman"/>
          <w:color w:val="000000"/>
          <w:sz w:val="24"/>
          <w:szCs w:val="24"/>
        </w:rPr>
        <w:t>la vigilancia de las finanzas públicas de los países se había centrado en los déficits presupuestarios anuales, y no suficientemente en el nivel de la deuda pública. Sin embargo, una serie de países que habían respetado las normas de la UE y registraban bajos déficits anuales o incluso superávits experimentaron dificultades financieras durante la crisis financiera mundial debido a sus elevados niveles de deuda. Por ello, se hizo necesario hacer un seguimiento más riguroso de este indicador.</w:t>
      </w:r>
    </w:p>
    <w:p w:rsidR="00405307" w:rsidRDefault="00405307" w:rsidP="00405307">
      <w:pPr>
        <w:numPr>
          <w:ilvl w:val="0"/>
          <w:numId w:val="9"/>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b/>
          <w:bCs/>
          <w:color w:val="000000"/>
          <w:sz w:val="24"/>
          <w:szCs w:val="24"/>
        </w:rPr>
        <w:t>Insuficiente vigilancia de la competitividad y los desequilibrios macroeconómicos:</w:t>
      </w:r>
      <w:r>
        <w:rPr>
          <w:rStyle w:val="apple-converted-space"/>
          <w:rFonts w:ascii="Times New Roman" w:hAnsi="Times New Roman" w:cs="Times New Roman"/>
          <w:b/>
          <w:bCs/>
          <w:color w:val="000000"/>
          <w:sz w:val="24"/>
          <w:szCs w:val="24"/>
        </w:rPr>
        <w:t> </w:t>
      </w:r>
      <w:r>
        <w:rPr>
          <w:rFonts w:ascii="Times New Roman" w:hAnsi="Times New Roman" w:cs="Times New Roman"/>
          <w:color w:val="000000"/>
          <w:sz w:val="24"/>
          <w:szCs w:val="24"/>
        </w:rPr>
        <w:t>en la labor de vigilancia de las economías de la UE no se prestó suficiente atención a una evolución insostenible de la competitividad y del aumento del crédito, que acarrearon la acumulación de deuda del sector privado, la fragilidad de las entidades financieras y una inflación del mercado de la vivienda.</w:t>
      </w:r>
    </w:p>
    <w:p w:rsidR="00405307" w:rsidRDefault="00405307" w:rsidP="00405307">
      <w:pPr>
        <w:numPr>
          <w:ilvl w:val="0"/>
          <w:numId w:val="9"/>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b/>
          <w:bCs/>
          <w:color w:val="000000"/>
          <w:sz w:val="24"/>
          <w:szCs w:val="24"/>
        </w:rPr>
        <w:t>Deficiente control de la observancia:</w:t>
      </w:r>
      <w:r>
        <w:rPr>
          <w:rStyle w:val="apple-converted-space"/>
          <w:rFonts w:ascii="Times New Roman" w:hAnsi="Times New Roman" w:cs="Times New Roman"/>
          <w:b/>
          <w:bCs/>
          <w:color w:val="000000"/>
          <w:sz w:val="24"/>
          <w:szCs w:val="24"/>
        </w:rPr>
        <w:t> </w:t>
      </w:r>
      <w:r>
        <w:rPr>
          <w:rFonts w:ascii="Times New Roman" w:hAnsi="Times New Roman" w:cs="Times New Roman"/>
          <w:color w:val="000000"/>
          <w:sz w:val="24"/>
          <w:szCs w:val="24"/>
        </w:rPr>
        <w:t>el control de la observancia no fue suficientemente riguroso en lo que atañe a los países de la zona del euro que incumplían las normas. Se necesitaba un mecanismo sancionador más estricto y creíble.</w:t>
      </w:r>
    </w:p>
    <w:p w:rsidR="00405307" w:rsidRDefault="00405307" w:rsidP="00405307">
      <w:pPr>
        <w:numPr>
          <w:ilvl w:val="0"/>
          <w:numId w:val="9"/>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b/>
          <w:bCs/>
          <w:color w:val="000000"/>
          <w:sz w:val="24"/>
          <w:szCs w:val="24"/>
        </w:rPr>
        <w:t>Lenta capacidad de decisión:</w:t>
      </w:r>
      <w:r>
        <w:rPr>
          <w:rStyle w:val="apple-converted-space"/>
          <w:rFonts w:ascii="Times New Roman" w:hAnsi="Times New Roman" w:cs="Times New Roman"/>
          <w:b/>
          <w:bCs/>
          <w:color w:val="000000"/>
          <w:sz w:val="24"/>
          <w:szCs w:val="24"/>
        </w:rPr>
        <w:t> </w:t>
      </w:r>
      <w:r>
        <w:rPr>
          <w:rFonts w:ascii="Times New Roman" w:hAnsi="Times New Roman" w:cs="Times New Roman"/>
          <w:color w:val="000000"/>
          <w:sz w:val="24"/>
          <w:szCs w:val="24"/>
        </w:rPr>
        <w:t>con demasiada frecuencia, la debilidad institucional llevó a posponer la adopción de decisiones difíciles con respecto a una preocupante evolución macroeconómica. De este modo, tampoco se prestó suficiente atención a la situación económica desde la óptica de la zona del euro en su conjunto.</w:t>
      </w:r>
    </w:p>
    <w:p w:rsidR="00405307" w:rsidRDefault="00405307" w:rsidP="00405307">
      <w:pPr>
        <w:numPr>
          <w:ilvl w:val="0"/>
          <w:numId w:val="9"/>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b/>
          <w:bCs/>
          <w:color w:val="000000"/>
          <w:sz w:val="24"/>
          <w:szCs w:val="24"/>
        </w:rPr>
        <w:t>Financiación de emergencia:</w:t>
      </w:r>
      <w:r>
        <w:rPr>
          <w:rStyle w:val="apple-converted-space"/>
          <w:rFonts w:ascii="Times New Roman" w:hAnsi="Times New Roman" w:cs="Times New Roman"/>
          <w:b/>
          <w:bCs/>
          <w:color w:val="000000"/>
          <w:sz w:val="24"/>
          <w:szCs w:val="24"/>
        </w:rPr>
        <w:t> </w:t>
      </w:r>
      <w:r>
        <w:rPr>
          <w:rFonts w:ascii="Times New Roman" w:hAnsi="Times New Roman" w:cs="Times New Roman"/>
          <w:color w:val="000000"/>
          <w:sz w:val="24"/>
          <w:szCs w:val="24"/>
        </w:rPr>
        <w:t>cuando estalló la crisis, no existía ningún mecanismo de ayuda financiera a los países de la zona del euro que se hallaron repentinamente en dificultades financieras. La ayuda financiera era necesaria no solo para hacer frente a los problemas de paíse</w:t>
      </w:r>
      <w:r w:rsidR="00525F1B">
        <w:rPr>
          <w:rFonts w:ascii="Times New Roman" w:hAnsi="Times New Roman" w:cs="Times New Roman"/>
          <w:color w:val="000000"/>
          <w:sz w:val="24"/>
          <w:szCs w:val="24"/>
        </w:rPr>
        <w:t>s concretos, sino también como “escudo protector”</w:t>
      </w:r>
      <w:r>
        <w:rPr>
          <w:rFonts w:ascii="Times New Roman" w:hAnsi="Times New Roman" w:cs="Times New Roman"/>
          <w:color w:val="000000"/>
          <w:sz w:val="24"/>
          <w:szCs w:val="24"/>
        </w:rPr>
        <w:t xml:space="preserve"> para evitar que los problemas se contagiaran a otros países en riesgo.</w:t>
      </w:r>
    </w:p>
    <w:p w:rsidR="00405307" w:rsidRDefault="00405307" w:rsidP="00405307">
      <w:pPr>
        <w:pStyle w:val="NormalWeb"/>
        <w:shd w:val="clear" w:color="auto" w:fill="FFFFFF"/>
        <w:spacing w:before="0" w:beforeAutospacing="0" w:after="0" w:afterAutospacing="0"/>
        <w:jc w:val="both"/>
        <w:rPr>
          <w:color w:val="000000"/>
        </w:rPr>
      </w:pPr>
      <w:r>
        <w:rPr>
          <w:color w:val="000000"/>
        </w:rPr>
        <w:t>Como consecuencia, Grecia y, posteriormente, Irlanda, Portugal, España y Chipre dejaron de poder obtener préstamos en los mercados financieros a tipos de interés razonables. Al solicitarse la intervención de la UE, se crearon un mecanismo de resolución de crisis y mecanismos de protección, esto es, grandes fondos contingentes a los que puedan recurrir en caso de emergencia los países que atraviesen dificultades financieras.</w:t>
      </w:r>
    </w:p>
    <w:p w:rsidR="00405307" w:rsidRDefault="00405307" w:rsidP="00405307">
      <w:pPr>
        <w:pStyle w:val="NormalWeb"/>
        <w:shd w:val="clear" w:color="auto" w:fill="FFFFFF"/>
        <w:spacing w:before="0" w:beforeAutospacing="0" w:after="0" w:afterAutospacing="0"/>
        <w:jc w:val="both"/>
        <w:rPr>
          <w:color w:val="000000"/>
        </w:rPr>
      </w:pPr>
    </w:p>
    <w:p w:rsidR="00023575" w:rsidRPr="00023575" w:rsidRDefault="00405307" w:rsidP="00023575">
      <w:pPr>
        <w:pStyle w:val="Ttulo1"/>
        <w:shd w:val="clear" w:color="auto" w:fill="FFFFFF"/>
        <w:spacing w:before="60" w:after="60"/>
        <w:jc w:val="both"/>
        <w:rPr>
          <w:rFonts w:ascii="Times New Roman" w:hAnsi="Times New Roman" w:cs="Times New Roman"/>
          <w:bCs w:val="0"/>
          <w:color w:val="auto"/>
          <w:sz w:val="24"/>
          <w:szCs w:val="24"/>
        </w:rPr>
      </w:pPr>
      <w:r w:rsidRPr="005555DA">
        <w:rPr>
          <w:rFonts w:ascii="Times New Roman" w:hAnsi="Times New Roman" w:cs="Times New Roman"/>
          <w:bCs w:val="0"/>
          <w:color w:val="auto"/>
          <w:sz w:val="24"/>
          <w:szCs w:val="24"/>
        </w:rPr>
        <w:lastRenderedPageBreak/>
        <w:t>Respuesta a la crisis financiera</w:t>
      </w:r>
    </w:p>
    <w:p w:rsidR="00405307" w:rsidRDefault="00405307" w:rsidP="00405307">
      <w:pPr>
        <w:pStyle w:val="NormalWeb"/>
        <w:shd w:val="clear" w:color="auto" w:fill="FFFFFF"/>
        <w:spacing w:before="0" w:beforeAutospacing="0" w:after="0" w:afterAutospacing="0"/>
        <w:jc w:val="both"/>
        <w:rPr>
          <w:color w:val="000000"/>
        </w:rPr>
      </w:pPr>
      <w:r>
        <w:rPr>
          <w:color w:val="000000"/>
        </w:rPr>
        <w:t>Para evitar el colapso total del sistema bancario, los gobiernos europeos rescataron a sus bancos.  La ayuda de emergencia alcanzó una cifra sin precedentes: 1,6 billones de euros.  Esta cantidad equivale al 13 % del PIB anual de la UE  y fue asignada entre 2008 y 2011.  Además, la UE lanzó un programa coyuntural a nivel europeo  para asegurar puestos de trabajo y la protección social,  y para apoyar las inversiones en la economía.  De esta forma se evitaron los pánicos bancarios  y se protegieron los ahorros europeos.   En general, el euro mantuvo su valor y protegió a los países de la Zona Euro de las peores consecuencias.   Ofreció a las empresas de la UE un terreno de juego entorno  estable  para las inversiones y el comercio internacional. Pero todo tiene un precio, sobre todo si la mayoría del dinero es prestado.</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pStyle w:val="NormalWeb"/>
        <w:shd w:val="clear" w:color="auto" w:fill="FFFFFF"/>
        <w:spacing w:before="0" w:beforeAutospacing="0" w:after="0" w:afterAutospacing="0"/>
        <w:jc w:val="both"/>
        <w:rPr>
          <w:color w:val="000000"/>
        </w:rPr>
      </w:pPr>
      <w:r>
        <w:rPr>
          <w:color w:val="000000"/>
        </w:rPr>
        <w:t>La crisis económica y financiera ha demostrado que el sistema bancario de la UE es vulnerable. Los problemas de un banco pueden propagarse rápidamente a otros y afectar a depósitos e inversiones y a todos los aspectos de la economía. Frente a esa situación, la UE y sus Estados miembros han tomado medidas para fortalecer la supervisión del sector financiero Una de las reformas consistió en la creación de tres autoridades europeas de supervisión para coordinar el trabajo de los reguladores nacionales y garantizar que las normas de la UE se aplican de manera coherente.</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numPr>
          <w:ilvl w:val="0"/>
          <w:numId w:val="10"/>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color w:val="000000"/>
          <w:sz w:val="24"/>
          <w:szCs w:val="24"/>
        </w:rPr>
        <w:t>Autoridad Bancaria Europea (ABE): se ocupa de la supervisión bancaria, incluida la supervisión de la recapitalización de los bancos.</w:t>
      </w:r>
    </w:p>
    <w:p w:rsidR="00405307" w:rsidRDefault="00405307" w:rsidP="00405307">
      <w:pPr>
        <w:numPr>
          <w:ilvl w:val="0"/>
          <w:numId w:val="10"/>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color w:val="000000"/>
          <w:sz w:val="24"/>
          <w:szCs w:val="24"/>
        </w:rPr>
        <w:t>Autoridad Europea de Valores y Mercados (AEVM): se ocupa de la supervisión de los mercados de capitales y lleva a cabo una supervisión directa respecto de las agencias de calificación crediticia y los registros de operaciones.</w:t>
      </w:r>
    </w:p>
    <w:p w:rsidR="00405307" w:rsidRDefault="00405307" w:rsidP="00405307">
      <w:pPr>
        <w:numPr>
          <w:ilvl w:val="0"/>
          <w:numId w:val="10"/>
        </w:numPr>
        <w:shd w:val="clear" w:color="auto" w:fill="FFFFFF"/>
        <w:spacing w:after="79" w:line="240" w:lineRule="auto"/>
        <w:ind w:left="0"/>
        <w:jc w:val="both"/>
        <w:rPr>
          <w:rFonts w:ascii="Times New Roman" w:hAnsi="Times New Roman" w:cs="Times New Roman"/>
          <w:color w:val="000000"/>
          <w:sz w:val="24"/>
          <w:szCs w:val="24"/>
        </w:rPr>
      </w:pPr>
      <w:r>
        <w:rPr>
          <w:rFonts w:ascii="Times New Roman" w:hAnsi="Times New Roman" w:cs="Times New Roman"/>
          <w:color w:val="000000"/>
          <w:sz w:val="24"/>
          <w:szCs w:val="24"/>
        </w:rPr>
        <w:t>Autoridad Europea de Seguros y Pensiones de Jubilación (AESPJ): se ocupa de la supervisión de los seguros.</w:t>
      </w:r>
    </w:p>
    <w:p w:rsidR="00405307" w:rsidRDefault="00405307" w:rsidP="00405307">
      <w:pPr>
        <w:pStyle w:val="NormalWeb"/>
        <w:shd w:val="clear" w:color="auto" w:fill="FFFFFF"/>
        <w:spacing w:before="0" w:beforeAutospacing="0" w:after="0" w:afterAutospacing="0"/>
        <w:jc w:val="both"/>
        <w:rPr>
          <w:color w:val="000000"/>
        </w:rPr>
      </w:pPr>
      <w:r>
        <w:rPr>
          <w:color w:val="000000"/>
        </w:rPr>
        <w:t>En segundo lugar, se ha intensificado la supervisión financiera europea para que los bancos estén capitalizados, actúen con responsabilidad y puedan prestar dinero a empresas y privados. Esto facilita una unión bancaria  que protegerá los ahorros y evitará que los contribuyentes paguen por los errores de los bancos.</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pStyle w:val="NormalWeb"/>
        <w:shd w:val="clear" w:color="auto" w:fill="FFFFFF"/>
        <w:spacing w:before="0" w:beforeAutospacing="0" w:after="0" w:afterAutospacing="0"/>
        <w:jc w:val="both"/>
        <w:rPr>
          <w:color w:val="000000"/>
        </w:rPr>
      </w:pPr>
      <w:r>
        <w:rPr>
          <w:color w:val="000000"/>
        </w:rPr>
        <w:t>La Unión Bancaria, complemento natural de la Unión Económica y Monetaria, corrige las insuficiencias puestas de manifiesto por la crisis. En breve, los bancos de todos los países que utilizan el euro tendrán un supervisor común: el Banco Central Europeo. Además, las decisiones sobre la manera de gestionar un banco en dificultades se adoptarán de forma centralizada, con arreglo a un conjunto de normas comunes pensadas para reducir al mínimo el coste para el contribuyente. Los depositantes de toda Europa también estarán mejor protegidos. Con estas medidas y otra treintena más, la UE se esfuerza por conseguir un sector financiero más eficaz, basado en entidades más fuertes y resistentes, y sometido a una regulación y supervisión más sólida.</w:t>
      </w:r>
    </w:p>
    <w:p w:rsidR="00405307" w:rsidRDefault="00405307" w:rsidP="00405307">
      <w:pPr>
        <w:pStyle w:val="NormalWeb"/>
        <w:shd w:val="clear" w:color="auto" w:fill="FFFFFF"/>
        <w:spacing w:before="0" w:beforeAutospacing="0" w:after="0" w:afterAutospacing="0"/>
        <w:jc w:val="both"/>
        <w:rPr>
          <w:color w:val="000000"/>
        </w:rPr>
      </w:pPr>
    </w:p>
    <w:p w:rsidR="00405307" w:rsidRDefault="00405307" w:rsidP="00405307">
      <w:pPr>
        <w:pStyle w:val="NormalWeb"/>
        <w:shd w:val="clear" w:color="auto" w:fill="FFFFFF"/>
        <w:spacing w:before="0" w:beforeAutospacing="0" w:after="0" w:afterAutospacing="0"/>
        <w:jc w:val="both"/>
        <w:rPr>
          <w:color w:val="000000"/>
        </w:rPr>
      </w:pPr>
      <w:r>
        <w:rPr>
          <w:color w:val="000000"/>
        </w:rPr>
        <w:t xml:space="preserve">En su calidad de autoridad monetaria independiente de la zona del euro, el Banco Central Europeo (BCE) ha desempeñado un papel importante para contener la crisis con políticas innovadoras. Su decisión de préstamo ilimitado a los bancos, a bajos tipos de interés y durante un máximo de tres años, garantizando la cobertura de sus necesidades a corto plazo, contribuyó a calmar los mercados. Cuando la disfunción de los mercados financieros los llevó a exigir rentabilidades excesivas en sus préstamos a los Estados, el BCE concibió su programa de operación monetaria de compraventa (OMC). Por él accedía a comprar bonos de </w:t>
      </w:r>
      <w:r>
        <w:rPr>
          <w:color w:val="000000"/>
        </w:rPr>
        <w:lastRenderedPageBreak/>
        <w:t>los países en dificultades, garantizando así unos tipos razonables, a condición de que estos también se comprometieran con el Mecanismo Europeo de Estabilidad (fondo de ayuda de la zona del euro) en la aplicación de un programa de reformas económicas. Aunque ningún Estado ha llegado a solicitar la activación del programa OMC, el mero hecho de su existencia ha contribuido a apaciguar los mercados financieros.</w:t>
      </w:r>
    </w:p>
    <w:p w:rsidR="003F5272" w:rsidRDefault="003F5272" w:rsidP="00405307">
      <w:pPr>
        <w:pStyle w:val="Ttulo1"/>
        <w:shd w:val="clear" w:color="auto" w:fill="FFFFFF"/>
        <w:spacing w:before="60" w:after="60"/>
        <w:rPr>
          <w:rFonts w:ascii="Times New Roman" w:hAnsi="Times New Roman" w:cs="Times New Roman"/>
          <w:bCs w:val="0"/>
          <w:color w:val="auto"/>
          <w:sz w:val="24"/>
          <w:szCs w:val="24"/>
        </w:rPr>
      </w:pPr>
    </w:p>
    <w:p w:rsidR="00405307" w:rsidRDefault="00405307" w:rsidP="00405307">
      <w:pPr>
        <w:pStyle w:val="Ttulo1"/>
        <w:shd w:val="clear" w:color="auto" w:fill="FFFFFF"/>
        <w:spacing w:before="60" w:after="60"/>
        <w:rPr>
          <w:rFonts w:ascii="Times New Roman" w:hAnsi="Times New Roman" w:cs="Times New Roman"/>
          <w:bCs w:val="0"/>
          <w:color w:val="auto"/>
          <w:sz w:val="24"/>
          <w:szCs w:val="24"/>
        </w:rPr>
      </w:pPr>
      <w:r w:rsidRPr="005555DA">
        <w:rPr>
          <w:rFonts w:ascii="Times New Roman" w:hAnsi="Times New Roman" w:cs="Times New Roman"/>
          <w:bCs w:val="0"/>
          <w:color w:val="auto"/>
          <w:sz w:val="24"/>
          <w:szCs w:val="24"/>
        </w:rPr>
        <w:t>Respuesta a la crisis de la deuda</w:t>
      </w:r>
    </w:p>
    <w:p w:rsidR="003F5272" w:rsidRPr="003F5272" w:rsidRDefault="003F5272" w:rsidP="003F5272"/>
    <w:p w:rsidR="00405307" w:rsidRDefault="00405307" w:rsidP="00405307">
      <w:pPr>
        <w:pStyle w:val="NormalWeb"/>
        <w:shd w:val="clear" w:color="auto" w:fill="FFFFFF"/>
        <w:spacing w:before="0" w:beforeAutospacing="0" w:after="0" w:afterAutospacing="0"/>
        <w:jc w:val="both"/>
        <w:rPr>
          <w:color w:val="000000"/>
        </w:rPr>
      </w:pPr>
      <w:r>
        <w:rPr>
          <w:color w:val="000000"/>
        </w:rPr>
        <w:t>Desde finales de 2009 y comienzos de 2010, algunos países de la eurozona empezaron a tener problemas para financiar su deuda. La incertidumbre reinante en los mercados hizo que las operaciones normales de empréstito de los gobiernos nacionales adquirieran un coste muy elevado y resultaran, en última instancia, insostenibles. En ese momento, los países de la UE reaccionaron rápidamente, aplicando los denominados “cortafuegos”, es decir, medidas que generaran confianza para ayudar a financiar la deuda de los países que estaban teniendo problemas pasajeros para pedir dinero prestado en los mercados financieros.</w:t>
      </w:r>
    </w:p>
    <w:p w:rsidR="00405307" w:rsidRDefault="00405307" w:rsidP="00405307">
      <w:pPr>
        <w:pStyle w:val="NormalWeb"/>
        <w:shd w:val="clear" w:color="auto" w:fill="FFFFFF"/>
        <w:spacing w:before="0" w:beforeAutospacing="0" w:after="0" w:afterAutospacing="0"/>
        <w:rPr>
          <w:color w:val="000000"/>
        </w:rPr>
      </w:pPr>
    </w:p>
    <w:p w:rsidR="00405307" w:rsidRPr="005555DA" w:rsidRDefault="00405307" w:rsidP="00405307">
      <w:pPr>
        <w:pStyle w:val="NormalWeb"/>
        <w:shd w:val="clear" w:color="auto" w:fill="FFFFFF"/>
        <w:spacing w:before="0" w:beforeAutospacing="0" w:after="0" w:afterAutospacing="0"/>
        <w:rPr>
          <w:color w:val="000000"/>
        </w:rPr>
      </w:pPr>
      <w:r w:rsidRPr="005555DA">
        <w:rPr>
          <w:color w:val="000000"/>
        </w:rPr>
        <w:t>Respuesta inmediata</w:t>
      </w:r>
    </w:p>
    <w:p w:rsidR="00405307" w:rsidRPr="005555DA" w:rsidRDefault="00405307" w:rsidP="00405307">
      <w:pPr>
        <w:pStyle w:val="NormalWeb"/>
        <w:shd w:val="clear" w:color="auto" w:fill="FFFFFF"/>
        <w:spacing w:before="0" w:beforeAutospacing="0" w:after="0" w:afterAutospacing="0" w:line="270" w:lineRule="atLeast"/>
        <w:jc w:val="both"/>
        <w:rPr>
          <w:b/>
          <w:color w:val="000000"/>
        </w:rPr>
      </w:pPr>
    </w:p>
    <w:p w:rsidR="00405307" w:rsidRDefault="00405307" w:rsidP="00405307">
      <w:pPr>
        <w:pStyle w:val="NormalWeb"/>
        <w:shd w:val="clear" w:color="auto" w:fill="FFFFFF"/>
        <w:spacing w:before="0" w:beforeAutospacing="0" w:after="0" w:afterAutospacing="0" w:line="270" w:lineRule="atLeast"/>
        <w:jc w:val="both"/>
        <w:rPr>
          <w:color w:val="000000"/>
        </w:rPr>
      </w:pPr>
      <w:r>
        <w:rPr>
          <w:color w:val="000000"/>
        </w:rPr>
        <w:t>Los mecanismos de financiación para países de la zona del euro con graves problemas financieros se establecieron con una celeridad considerable. Cuando Grecia dejó de tener acceso a una financiación asequible en los mercados, la UE acudió rápidamente en su ayuda, creando un fondo de préstamos bilaterales de los Gobiernos europeos con la Comisión Europea. A continuación, se crearon dos fondos temporales: el Mecanismo Europeo de Estabilización Financiera (MEEF) y el Fondo Europeo de Estabilidad Financiera (FEEF), con una capacidad total de préstamo de 500.000 millones de euros. La creación de estos instrumentos es testimonio de la voluntad de solidaridad por parte de los Estados miembros de la zona del euro y la UE.</w:t>
      </w:r>
    </w:p>
    <w:p w:rsidR="00405307" w:rsidRDefault="00405307" w:rsidP="00405307">
      <w:pPr>
        <w:pStyle w:val="NormalWeb"/>
        <w:shd w:val="clear" w:color="auto" w:fill="FFFFFF"/>
        <w:spacing w:before="0" w:beforeAutospacing="0" w:after="0" w:afterAutospacing="0" w:line="270" w:lineRule="atLeast"/>
        <w:jc w:val="both"/>
        <w:rPr>
          <w:color w:val="000000"/>
        </w:rPr>
      </w:pPr>
    </w:p>
    <w:p w:rsidR="00405307" w:rsidRDefault="00405307" w:rsidP="00405307">
      <w:pPr>
        <w:pStyle w:val="NormalWeb"/>
        <w:shd w:val="clear" w:color="auto" w:fill="FFFFFF"/>
        <w:spacing w:before="0" w:beforeAutospacing="0" w:after="0" w:afterAutospacing="0" w:line="270" w:lineRule="atLeast"/>
        <w:jc w:val="both"/>
        <w:rPr>
          <w:color w:val="000000"/>
        </w:rPr>
      </w:pPr>
      <w:r>
        <w:rPr>
          <w:color w:val="000000"/>
        </w:rPr>
        <w:t>Como estos dos mecanismos de apoyo financiero se habían concebido como medidas de carácter temporal, en otoño de 2012 los países de la eurozona crearon un nuevo mecanismo permanente: el</w:t>
      </w:r>
      <w:r>
        <w:rPr>
          <w:rStyle w:val="apple-converted-space"/>
          <w:color w:val="000000"/>
        </w:rPr>
        <w:t> </w:t>
      </w:r>
      <w:r>
        <w:rPr>
          <w:rStyle w:val="Textoennegrita"/>
          <w:rFonts w:eastAsiaTheme="majorEastAsia"/>
          <w:color w:val="000000"/>
          <w:bdr w:val="none" w:sz="0" w:space="0" w:color="auto" w:frame="1"/>
        </w:rPr>
        <w:t>Mecanismo Europeo de Estabilidad</w:t>
      </w:r>
      <w:r>
        <w:rPr>
          <w:rStyle w:val="apple-converted-space"/>
          <w:color w:val="000000"/>
        </w:rPr>
        <w:t> </w:t>
      </w:r>
      <w:r>
        <w:rPr>
          <w:color w:val="000000"/>
        </w:rPr>
        <w:t xml:space="preserve">(MEDE), piedra angular del sistema de cortafuegos europeo y parte integral de la estrategia global de la UE para garantizar la estabilidad financiera en la eurozona. Su capacidad de préstamo se ha fijado actualmente en 500.000 millones de euros. Podrán disponer de la ayuda financiera condicionada los países que hayan ratificado el tratado sobre estabilidad, coordinación y gobernanza. De esta manera el MEDE complementa la vigilancia reforzada al ofrecer la posibilidad de proporcionar ayuda financiera condicionada a los países de la eurozona cuando </w:t>
      </w:r>
      <w:r w:rsidR="005555DA">
        <w:rPr>
          <w:color w:val="000000"/>
        </w:rPr>
        <w:t>la necesiten. Estos mecanismos “cortafuegos”</w:t>
      </w:r>
      <w:r>
        <w:rPr>
          <w:color w:val="000000"/>
        </w:rPr>
        <w:t xml:space="preserve"> no solo han resuelto las dificultades inmediatas experimentadas por algunos países para saldar las deudas contraídas, sino que también han generado confianza en los mercados financieros y han contribuido a garantizar la estabilidad financiera de la eurozona en su conjunto.</w:t>
      </w:r>
    </w:p>
    <w:p w:rsidR="00405307" w:rsidRDefault="00405307" w:rsidP="00405307">
      <w:pPr>
        <w:pStyle w:val="NormalWeb"/>
        <w:shd w:val="clear" w:color="auto" w:fill="FFFFFF"/>
        <w:spacing w:before="0" w:beforeAutospacing="0" w:after="0" w:afterAutospacing="0" w:line="270" w:lineRule="atLeast"/>
        <w:jc w:val="both"/>
        <w:rPr>
          <w:color w:val="000000"/>
        </w:rPr>
      </w:pPr>
    </w:p>
    <w:p w:rsidR="00405307" w:rsidRDefault="00405307" w:rsidP="00405307">
      <w:pPr>
        <w:pStyle w:val="NormalWeb"/>
        <w:shd w:val="clear" w:color="auto" w:fill="FFFFFF"/>
        <w:spacing w:before="0" w:beforeAutospacing="0" w:after="0" w:afterAutospacing="0" w:line="270" w:lineRule="atLeast"/>
        <w:jc w:val="both"/>
        <w:rPr>
          <w:color w:val="000000"/>
        </w:rPr>
      </w:pPr>
      <w:r>
        <w:rPr>
          <w:color w:val="000000"/>
        </w:rPr>
        <w:t>La ayuda de la UE también se extiende a los Estados no pertenecientes a la zona del euro que se enfrentan a graves dificultades o problemas para obtener financiación internacional. Los Estados que recurren a los 50.000 millones de euros del fondo de asistencia para la balanza de pagos de la UE también deben comprometerse a realizar reformas para superar sus problemas económicos.</w:t>
      </w:r>
    </w:p>
    <w:p w:rsidR="00405307" w:rsidRDefault="00405307" w:rsidP="00405307">
      <w:pPr>
        <w:pStyle w:val="NormalWeb"/>
        <w:shd w:val="clear" w:color="auto" w:fill="FFFFFF"/>
        <w:spacing w:before="0" w:beforeAutospacing="0" w:after="0" w:afterAutospacing="0" w:line="270" w:lineRule="atLeast"/>
        <w:jc w:val="both"/>
        <w:rPr>
          <w:color w:val="000000"/>
        </w:rPr>
      </w:pPr>
    </w:p>
    <w:p w:rsidR="00405307" w:rsidRDefault="00405307" w:rsidP="00405307">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lastRenderedPageBreak/>
        <w:t>Respuesta a largo plazo</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La UE introdujo leyes más duras para controlar los déficits y las deudas públicas, y garantizar que los países no gasten por encima de sus posibilidades. Se firmó un nuevo pacto fiscal para fortalecer la confianza. Se limitó el déficit estructural anual a un 0,5 % del PIB. La crisis ha demostrado que una economía basada en deuda no es sostenible. La Comisión Europea limitará los niveles de deuda y déficit y que los presupuestos nacionales no pongan en riesgo a otros países. Este es el objetivo de la unión fiscal.</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Pr>
          <w:rFonts w:ascii="Times New Roman" w:eastAsia="Times New Roman" w:hAnsi="Times New Roman" w:cs="Times New Roman"/>
          <w:bCs/>
          <w:color w:val="000000"/>
          <w:sz w:val="24"/>
          <w:szCs w:val="24"/>
          <w:bdr w:val="none" w:sz="0" w:space="0" w:color="auto" w:frame="1"/>
          <w:lang w:eastAsia="es-ES"/>
        </w:rPr>
        <w:t>Garantizar unas finanzas públicas saneadas</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 euro tiene muchas ventajas potenciales, pero solo si los países participantes tienen unas políticas económicas sólidas. Esta es la razón por la que la pertenencia a la zona del euro, desde el principio, ha llevado consigo la clara obligación de evitar excesivos déficits presupuestarios y mantener la deuda pública en niveles sostenibles. Este compromiso con unas políticas fiscales saneadas se controla a través de un marco denominado Pacto de Estabilidad y Crecimiento.</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Este pacto se ha reforzado considerablemente como consecuencia de la crisis económica. Ahora, los Gobiernos deben presentar sus proyectos de presupuestos para su control por la Comisión y otros países de la zona del euro. Se han establecido rigurosos mecanismos de vigilancia para comprobar que se cumplen realmente los objetivos presupuestarios que todos los países de la zona del euro se han comprometido a alcanzar, y se pueden imponer sanciones en caso necesario. </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Pr>
          <w:rFonts w:ascii="Times New Roman" w:eastAsia="Times New Roman" w:hAnsi="Times New Roman" w:cs="Times New Roman"/>
          <w:bCs/>
          <w:color w:val="000000"/>
          <w:sz w:val="24"/>
          <w:szCs w:val="24"/>
          <w:bdr w:val="none" w:sz="0" w:space="0" w:color="auto" w:frame="1"/>
          <w:lang w:eastAsia="es-ES"/>
        </w:rPr>
        <w:t>Garantizar la competitividad y fomentar el crecimiento</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Unas finanzas públicas saneadas no bastan para garantizar la prosperidad en la zona del euro. La crisis ha puesto también de manifiesto la necesidad de un nuevo enfoque para la regulación de los servicios financieros y un seguimiento riguroso de la evolución de los mercados financieros. Se han creado también nuevos instrumentos de vigilancia con el fin de asegurarse de que los países de la zona del euro adopten las políticas económicas que garanticen la competitividad y fomenten tanto el crecimiento como el empleo. Más vale prevenir que curar, y estos nuevos instrumentos de vigilancia pretenden también evitar burbujas perjudiciales en el mercado de la vivienda.</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Pr>
          <w:rFonts w:ascii="Times New Roman" w:eastAsia="Times New Roman" w:hAnsi="Times New Roman" w:cs="Times New Roman"/>
          <w:bCs/>
          <w:color w:val="000000"/>
          <w:sz w:val="24"/>
          <w:szCs w:val="24"/>
          <w:bdr w:val="none" w:sz="0" w:space="0" w:color="auto" w:frame="1"/>
          <w:lang w:eastAsia="es-ES"/>
        </w:rPr>
        <w:t>…en la vertiente macroeconómica</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Además de reforzar las normas presupuestarias, la UE ha introducido un nuevo marco cuya finalidad es vigilar y corregir oportunamente los desequilibrios macroeconómicos. El propósito es hacer frente a situaciones de riesgo, por ejemplo, burbujas de activos y una competitividad en retroceso, antes de que representen una amenaza para la estabilidad de un país de la UE, de la zona del euro o del conjunto de la UE.</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De este modo, la Comisión realiza un seguimiento periódico con el fin de detectar potenciales desequilibrios macroeconómicos (en ámbitos como los costes laborales, el precio de la vivienda o el desempleo). Los países de la UE que revelan tendencias potencialmente preocupantes son sometidos a un análisis en profundidad. Si se detecta un desequilibrio, se insta al país en cuestión a tomar medidas para evitar que la situación empeore. Si se observa un desequilibrio excesivo, el país debe tomar medidas para corregir la situación. En el caso </w:t>
      </w:r>
      <w:r>
        <w:rPr>
          <w:rFonts w:ascii="Times New Roman" w:eastAsia="Times New Roman" w:hAnsi="Times New Roman" w:cs="Times New Roman"/>
          <w:color w:val="000000"/>
          <w:sz w:val="24"/>
          <w:szCs w:val="24"/>
          <w:lang w:eastAsia="es-ES"/>
        </w:rPr>
        <w:lastRenderedPageBreak/>
        <w:t>de los países de la zona del euro, el cumplimiento de las normas está reforzado por un mecanismo sancionador.</w:t>
      </w:r>
    </w:p>
    <w:p w:rsidR="005555DA" w:rsidRDefault="005555DA"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bCs/>
          <w:color w:val="000000"/>
          <w:sz w:val="24"/>
          <w:szCs w:val="24"/>
          <w:bdr w:val="none" w:sz="0" w:space="0" w:color="auto" w:frame="1"/>
          <w:lang w:eastAsia="es-ES"/>
        </w:rPr>
        <w:t>…en la vertiente del crecimiento</w:t>
      </w:r>
    </w:p>
    <w:p w:rsidR="00405307" w:rsidRPr="00A9562D"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Pr>
          <w:rFonts w:ascii="Times New Roman" w:eastAsia="Times New Roman" w:hAnsi="Times New Roman" w:cs="Times New Roman"/>
          <w:color w:val="000000"/>
          <w:sz w:val="24"/>
          <w:szCs w:val="24"/>
          <w:lang w:eastAsia="es-ES"/>
        </w:rPr>
        <w:t>Europa 2020 es la estrategia de crecimiento de la UE para llegar a ser, en este decenio, una economía inteligente, sostenible e integradora. Estas tres prioridades, que se refuerzan mutuamente, se considera que ayudarán a los países de la UE a alcanzar niveles elevados de empleo, productividad y cohesión social. Para medir los avances en el logro de estos objetivos, la UE ha fijado ambiciosos objetivos en materia de empleo, innovación, educación, inclusión social, cambio climático y energía, que han de alcanzarse de aquí a 2020. Cada país ha adoptado sus propios objetivos nacionales en cada uno de estos terrenos. La estrategia se sustenta en medidas adoptadas a nivel nacional y de la UE, y en los Fondos Estructurales</w:t>
      </w:r>
      <w:r>
        <w:rPr>
          <w:rFonts w:ascii="Times New Roman" w:eastAsia="Times New Roman" w:hAnsi="Times New Roman" w:cs="Times New Roman"/>
          <w:b/>
          <w:bCs/>
          <w:color w:val="000000"/>
          <w:sz w:val="24"/>
          <w:szCs w:val="24"/>
          <w:bdr w:val="none" w:sz="0" w:space="0" w:color="auto" w:frame="1"/>
          <w:lang w:eastAsia="es-ES"/>
        </w:rPr>
        <w:t>.</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Pr>
          <w:rFonts w:ascii="Times New Roman" w:eastAsia="Times New Roman" w:hAnsi="Times New Roman" w:cs="Times New Roman"/>
          <w:bCs/>
          <w:color w:val="000000"/>
          <w:sz w:val="24"/>
          <w:szCs w:val="24"/>
          <w:bdr w:val="none" w:sz="0" w:space="0" w:color="auto" w:frame="1"/>
          <w:lang w:eastAsia="es-ES"/>
        </w:rPr>
        <w:t>… sobre las reformas económicas</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 Semestre Europeo es un ciclo de coordinación anual de las políticas dentro de la UE (se centra en los primeros seis meses del año) durante el cual los países de la UE tienen la oportunidad de realizar una revisión recíproca de sus políticas económicas y presupuestarias antes de su aplicación. Al final del ciclo, la EU formula recomendaciones de reformas específicas para cada país. A lo largo del año se realiza un seguimiento de la aplicación de dichas reformas. Asimismo, los países de la zona del euro tienen hasta el 15 de octubre para publicar sus proyectos del presupuesto previsto para el ejercicio siguiente, a fin de que la Comisión evalúe su presupuesto conforme a los requisitos acordados…</w:t>
      </w:r>
    </w:p>
    <w:p w:rsidR="00405307" w:rsidRDefault="00405307" w:rsidP="00405307">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405307" w:rsidRDefault="00405307" w:rsidP="00405307">
      <w:pPr>
        <w:shd w:val="clear" w:color="auto" w:fill="FFFFFF"/>
        <w:spacing w:after="240" w:line="240" w:lineRule="auto"/>
        <w:jc w:val="both"/>
        <w:rPr>
          <w:rFonts w:ascii="Times New Roman" w:hAnsi="Times New Roman"/>
          <w:color w:val="000000"/>
          <w:sz w:val="24"/>
          <w:szCs w:val="24"/>
        </w:rPr>
      </w:pPr>
      <w:r w:rsidRPr="00A9562D">
        <w:rPr>
          <w:rFonts w:ascii="Times New Roman" w:hAnsi="Times New Roman"/>
          <w:b/>
          <w:color w:val="FF0000"/>
          <w:sz w:val="24"/>
          <w:szCs w:val="24"/>
          <w:u w:val="single"/>
        </w:rPr>
        <w:t>Desde que estalló la crisis financiera global en 2008, la deuda del mundo aumentó 57 billones de dólares, superando el crecimiento del PIB. La deuda gubernamental se incrementó 25 billones de dólares de los cuales 19 billones de dólares están en manos de las economías avanzadas -una consecuencia directa de la recesión severa, los programas de estímulo fiscal y los rescates bancarios-</w:t>
      </w:r>
      <w:r>
        <w:rPr>
          <w:rFonts w:ascii="Times New Roman" w:hAnsi="Times New Roman"/>
          <w:sz w:val="24"/>
          <w:szCs w:val="24"/>
        </w:rPr>
        <w:t xml:space="preserve">. Mientras que los hogares norteamericanos redujeron su deuda de manera considerable (principalmente a través de incumplimientos de pagos de hipotecas), la deuda de los hogares en muchos otros países siguió creciendo rápidamente. En todas las economías principales, el ratio deuda-PIB (incluida la deuda pública y privada) hoy es más alto que en 2007. </w:t>
      </w:r>
      <w:r w:rsidRPr="00C012D5">
        <w:rPr>
          <w:rFonts w:ascii="Times New Roman" w:hAnsi="Times New Roman"/>
          <w:b/>
          <w:color w:val="FF0000"/>
          <w:sz w:val="24"/>
          <w:szCs w:val="24"/>
          <w:u w:val="single"/>
        </w:rPr>
        <w:t>Gran parte de esta acumulación de deuda fue generada por los esfuerzos destinados a respaldar el crecimiento económico frente a los vientos deflacionarios en contra luego de la crisis de 2008</w:t>
      </w:r>
      <w:r>
        <w:rPr>
          <w:rFonts w:ascii="Times New Roman" w:hAnsi="Times New Roman"/>
          <w:sz w:val="24"/>
          <w:szCs w:val="24"/>
        </w:rPr>
        <w:t xml:space="preserve">. </w:t>
      </w:r>
      <w:r>
        <w:rPr>
          <w:rFonts w:ascii="Times New Roman" w:hAnsi="Times New Roman"/>
          <w:color w:val="000000"/>
          <w:sz w:val="24"/>
          <w:szCs w:val="24"/>
        </w:rPr>
        <w:t>(</w:t>
      </w:r>
      <w:r>
        <w:rPr>
          <w:rFonts w:ascii="Times New Roman" w:hAnsi="Times New Roman"/>
          <w:color w:val="000000"/>
          <w:sz w:val="24"/>
          <w:szCs w:val="24"/>
          <w:u w:val="single"/>
        </w:rPr>
        <w:t>El dilema de la deuda</w:t>
      </w:r>
      <w:r>
        <w:rPr>
          <w:rFonts w:ascii="Times New Roman" w:hAnsi="Times New Roman"/>
          <w:color w:val="000000"/>
          <w:sz w:val="24"/>
          <w:szCs w:val="24"/>
        </w:rPr>
        <w:t xml:space="preserve"> - Project Syndicate - 19/4/15)</w:t>
      </w:r>
    </w:p>
    <w:p w:rsidR="00405307" w:rsidRDefault="00405307" w:rsidP="00405307">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405307" w:rsidRDefault="00405307" w:rsidP="00405307">
      <w:pPr>
        <w:shd w:val="clear" w:color="auto" w:fill="FFFFFF"/>
        <w:spacing w:after="240" w:line="240" w:lineRule="auto"/>
        <w:jc w:val="both"/>
        <w:rPr>
          <w:rFonts w:ascii="Times New Roman" w:hAnsi="Times New Roman"/>
          <w:color w:val="000000"/>
          <w:sz w:val="24"/>
          <w:szCs w:val="24"/>
        </w:rPr>
      </w:pPr>
      <w:r>
        <w:rPr>
          <w:rFonts w:ascii="Times New Roman" w:hAnsi="Times New Roman"/>
          <w:color w:val="000000"/>
          <w:sz w:val="24"/>
          <w:szCs w:val="24"/>
        </w:rPr>
        <w:t xml:space="preserve">Tomemos por caso a Estados Unidos, el más vivo ejemplo de la nueva receta de recuperación. </w:t>
      </w:r>
      <w:r w:rsidRPr="00C012D5">
        <w:rPr>
          <w:rFonts w:ascii="Times New Roman" w:hAnsi="Times New Roman"/>
          <w:b/>
          <w:color w:val="FF0000"/>
          <w:sz w:val="24"/>
          <w:szCs w:val="24"/>
          <w:u w:val="single"/>
        </w:rPr>
        <w:t>Aunque la Reserva Federal incrementó su balance desde menos de un billón de dólares a fines de 2008 hasta 4,5 billones en el último trimestre de 2014, el PIB nominal sólo aumentó 2,7 billones. Los otros 900.000 millones de dólares se derramaron sobre los mercados financieros y alentaron una expansión del mercado accionario estadounidense al triple de su volumen</w:t>
      </w:r>
      <w:r>
        <w:rPr>
          <w:rFonts w:ascii="Times New Roman" w:hAnsi="Times New Roman"/>
          <w:color w:val="000000"/>
          <w:sz w:val="24"/>
          <w:szCs w:val="24"/>
        </w:rPr>
        <w:t xml:space="preserve">. Entretanto, la economía apenas consiguió exhibir </w:t>
      </w:r>
      <w:r>
        <w:rPr>
          <w:rFonts w:ascii="Times New Roman" w:hAnsi="Times New Roman"/>
          <w:color w:val="000000"/>
          <w:sz w:val="24"/>
          <w:szCs w:val="24"/>
        </w:rPr>
        <w:lastRenderedPageBreak/>
        <w:t>una recuperación claramente deficiente, con el crecimiento real del PIB estancado en una trayectoria del 2,3%, exactamente dos puntos porcentuales por debajo del 4,3% que había sido la norma en ciclos anteriores.</w:t>
      </w:r>
    </w:p>
    <w:p w:rsidR="00405307" w:rsidRDefault="00405307" w:rsidP="00405307">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De hecho, y a pesar de la enorme inyección de liquidez por parte de la Reserva Federal, el consumidor estadounidense (que se llevó la peor parte en la violenta recesión de balances de 2008 y 2009) no se recuperó. El gasto real en consumo personal creció a un ritmo de apenas el 1,4% anual en los últimos siete años. Como era previsible, los efectos riqueza de la flexibilización monetaria los sintieron sobre todo los ricos, quienes concentran la mayor parte de las tenencias de acciones. Pero para la agobiada clase media, los beneficios fueron insignificantes.</w:t>
      </w:r>
    </w:p>
    <w:p w:rsidR="00405307" w:rsidRDefault="00405307" w:rsidP="00405307">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El deficiente desempeño económico de Estados Unidos no impidió a otros imitar sus políticas. Por el contrario, ahora Europa lanzó su propio programa de FC. Incluso Japón, punto de partida de toda esta historia, encaró una nueva forma intensiva de FC, muestra de su aparente deseo de aprender las “enseñanzas” de sus propios errores (tal como los interpreta Estados Unidos).</w:t>
      </w:r>
    </w:p>
    <w:p w:rsidR="00405307" w:rsidRDefault="00405307" w:rsidP="00405307">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Pero más allá del impacto de esta metodología sobre una u otra economía, están los riesgos sistémicos más amplios que surgen del alza de las bolsas y la debilidad de las divisas. Conforme los bancos centrales se pasan el testigo en la carrera de inyecciones excesivas de liquidez, el peligro de burbujas globales de activos y devaluaciones competitivas se hace mayor. Entretanto, un falso sentido de seguridad adormece a los políticos y les quita incentivos para confrontar los desafíos estructurales que tienen por delante…</w:t>
      </w:r>
    </w:p>
    <w:p w:rsidR="00405307" w:rsidRPr="00360244" w:rsidRDefault="00405307" w:rsidP="00405307">
      <w:pPr>
        <w:spacing w:line="240" w:lineRule="auto"/>
        <w:jc w:val="both"/>
        <w:rPr>
          <w:rFonts w:ascii="Times New Roman" w:hAnsi="Times New Roman"/>
          <w:b/>
          <w:sz w:val="24"/>
          <w:szCs w:val="24"/>
        </w:rPr>
      </w:pPr>
      <w:r w:rsidRPr="00360244">
        <w:rPr>
          <w:rFonts w:ascii="Times New Roman" w:hAnsi="Times New Roman"/>
          <w:b/>
          <w:sz w:val="24"/>
          <w:szCs w:val="24"/>
        </w:rPr>
        <w:t>(Junio 2015) Mientras las “apuestas perdidas” se continúan saldando con “vidas robadas”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interacción entre la desigualdad y la manipulación de las reglas políticas: en medio del malestar económico de la mayoría de la población (en Estados Unidos y la Unión Europea) se les asegura que estarían peor sin el “relajamiento cuantitativo” (lanzar billetes desde el helicóptero) de la Reserva Federal o del Banco Central Europeo. Cuando la triste realidad es que utilizan la política monetaria, para validar los precios de las acciones alcanzados en plena burbuja (la “opción” Greenspan -el Tartufo-, que siguió con “obediencia debida” Bernanke -el Agradador-). </w:t>
      </w:r>
    </w:p>
    <w:p w:rsidR="00405307" w:rsidRDefault="00405307" w:rsidP="00405307">
      <w:pPr>
        <w:pStyle w:val="NormalWeb"/>
        <w:jc w:val="both"/>
        <w:rPr>
          <w:color w:val="000000"/>
        </w:rPr>
      </w:pPr>
      <w:r w:rsidRPr="00A9562D">
        <w:rPr>
          <w:color w:val="FF0000"/>
          <w:u w:val="single"/>
        </w:rPr>
        <w:t xml:space="preserve">En los últimos cinco años los países del </w:t>
      </w:r>
      <w:r w:rsidRPr="00A9562D">
        <w:rPr>
          <w:rStyle w:val="Textoennegrita"/>
          <w:rFonts w:eastAsiaTheme="majorEastAsia"/>
          <w:color w:val="FF0000"/>
          <w:u w:val="single"/>
        </w:rPr>
        <w:t>G7 han añadido casi 18 billones de dólares de deuda</w:t>
      </w:r>
      <w:r w:rsidRPr="00A9562D">
        <w:rPr>
          <w:color w:val="FF0000"/>
          <w:u w:val="single"/>
        </w:rPr>
        <w:t xml:space="preserve"> hasta un récord de 140 billones, con casi cinco billones de expansión del balance de sus bancos centrales para generar solamente un billón de dólares de PIB nominal.  Es decir, en cinco años, para generar un dólar de crecimiento, se han “gastado” 18 dólares, un 30% de ellos de los bancos centrales. Todo ello manteniendo la </w:t>
      </w:r>
      <w:r w:rsidRPr="00A9562D">
        <w:rPr>
          <w:rStyle w:val="Textoennegrita"/>
          <w:rFonts w:eastAsiaTheme="majorEastAsia"/>
          <w:color w:val="FF0000"/>
          <w:u w:val="single"/>
        </w:rPr>
        <w:t>deuda total consolidada del sistema en el 440% del PIB.</w:t>
      </w:r>
      <w:r w:rsidRPr="00A9562D">
        <w:rPr>
          <w:color w:val="FF0000"/>
          <w:u w:val="single"/>
        </w:rPr>
        <w:t xml:space="preserve"> La inversión en crecimiento que se supone que se consigue con los déficits astronómicos, deuda y expansión agresiva de los bancos centrales simplemente no da fruto</w:t>
      </w:r>
      <w:r>
        <w:t>.</w:t>
      </w:r>
      <w:r>
        <w:rPr>
          <w:b/>
        </w:rPr>
        <w:t xml:space="preserve">  </w:t>
      </w:r>
      <w:r>
        <w:rPr>
          <w:color w:val="000000"/>
        </w:rPr>
        <w:t>¿</w:t>
      </w:r>
      <w:r>
        <w:rPr>
          <w:color w:val="000000"/>
          <w:u w:val="single"/>
        </w:rPr>
        <w:t>Cómo salimos de una política monetaria expansiva</w:t>
      </w:r>
      <w:r>
        <w:rPr>
          <w:color w:val="000000"/>
        </w:rPr>
        <w:t xml:space="preserve">? (Daniel Lacalle - El Confidencial - </w:t>
      </w:r>
      <w:r>
        <w:rPr>
          <w:b/>
          <w:color w:val="000000"/>
        </w:rPr>
        <w:t>27/6/15</w:t>
      </w:r>
      <w:r>
        <w:rPr>
          <w:color w:val="000000"/>
        </w:rPr>
        <w:t xml:space="preserve">) </w:t>
      </w:r>
    </w:p>
    <w:p w:rsidR="00405307" w:rsidRDefault="00405307" w:rsidP="00405307">
      <w:pPr>
        <w:pStyle w:val="NormalWeb"/>
        <w:jc w:val="both"/>
        <w:rPr>
          <w:color w:val="000000"/>
        </w:rPr>
      </w:pPr>
      <w:r>
        <w:t xml:space="preserve">Según un informe de Swiss Re, “la política monetaria y las compras de activos de los bancos centrales han agravado la desigualdad económica a través de una inflación de los precios de las acciones”. El 1% superior de los hogares de Estados Unidos se beneficiaron con un alza del 50% en su riqueza financiera, mientras que el 90% inferior obtuvo apenas una ganancia </w:t>
      </w:r>
      <w:r>
        <w:lastRenderedPageBreak/>
        <w:t>del 12%. El 20% inferior probablemente no se haya beneficiado en absoluto</w:t>
      </w:r>
      <w:r>
        <w:rPr>
          <w:b/>
        </w:rPr>
        <w:t xml:space="preserve">. </w:t>
      </w:r>
      <w:r>
        <w:t>(</w:t>
      </w:r>
      <w:r>
        <w:rPr>
          <w:color w:val="000000"/>
        </w:rPr>
        <w:t>¿</w:t>
      </w:r>
      <w:r>
        <w:rPr>
          <w:color w:val="000000"/>
          <w:u w:val="single"/>
        </w:rPr>
        <w:t>La represión financiera llegó para quedarse</w:t>
      </w:r>
      <w:r>
        <w:rPr>
          <w:color w:val="000000"/>
        </w:rPr>
        <w:t xml:space="preserve">? (Howard Davies - Project Syndicate - </w:t>
      </w:r>
      <w:r>
        <w:rPr>
          <w:b/>
          <w:color w:val="000000"/>
        </w:rPr>
        <w:t>23/6/15</w:t>
      </w:r>
      <w:r>
        <w:rPr>
          <w:color w:val="000000"/>
        </w:rPr>
        <w:t>)</w:t>
      </w:r>
    </w:p>
    <w:p w:rsidR="00405307" w:rsidRDefault="00405307" w:rsidP="00405307">
      <w:pPr>
        <w:pStyle w:val="NormalWeb"/>
        <w:jc w:val="both"/>
      </w:pPr>
      <w:r>
        <w:t>Sic transit gloria mundi… (que Dios nos pille confesados)…</w:t>
      </w:r>
    </w:p>
    <w:p w:rsidR="00405307" w:rsidRDefault="00405307" w:rsidP="00405307">
      <w:pPr>
        <w:pStyle w:val="NormalWeb"/>
        <w:jc w:val="both"/>
        <w:rPr>
          <w:b/>
        </w:rPr>
      </w:pPr>
      <w:r>
        <w:rPr>
          <w:b/>
        </w:rPr>
        <w:t>Hoy (2/11/16) Día de Todos los Santos. Mañana, Día de Difuntos: la zozobra en el limbo</w:t>
      </w:r>
    </w:p>
    <w:p w:rsidR="00405307" w:rsidRDefault="00405307" w:rsidP="00405307">
      <w:pPr>
        <w:pStyle w:val="NormalWeb"/>
        <w:jc w:val="both"/>
        <w:rPr>
          <w:b/>
        </w:rPr>
      </w:pPr>
      <w:r>
        <w:rPr>
          <w:b/>
        </w:rPr>
        <w:t>Por favor, antes de enviar mi Paper a la basura (un clic a “eliminar”) miren, si aún lo permite vuestra generosa paciencia, los siguientes 4 cuadros y piensen si ha lugar a “purgatorios y perdones”, para los “payasos diabólicos”, que han llevado a la economía global a tal nivel de absurdo (ilógica, esperpento, surrealismo, vesania…), y a Europa a semejante estado de postración (encefalograma plano).</w:t>
      </w:r>
    </w:p>
    <w:p w:rsidR="00405307" w:rsidRDefault="00405307" w:rsidP="00405307">
      <w:pPr>
        <w:pStyle w:val="NormalWeb"/>
        <w:jc w:val="both"/>
        <w:rPr>
          <w:b/>
        </w:rPr>
      </w:pPr>
      <w:r>
        <w:rPr>
          <w:b/>
        </w:rPr>
        <w:t xml:space="preserve">“Corpus delicti” (últimas fotos de la víctima y sus victimarios) </w:t>
      </w:r>
    </w:p>
    <w:p w:rsidR="00405307" w:rsidRDefault="00405307" w:rsidP="00405307">
      <w:pPr>
        <w:pStyle w:val="NormalWeb"/>
        <w:jc w:val="both"/>
      </w:pPr>
      <w:r>
        <w:t>La OCDE ha publicado su informe </w:t>
      </w:r>
      <w:r>
        <w:rPr>
          <w:i/>
          <w:iCs/>
          <w:bdr w:val="none" w:sz="0" w:space="0" w:color="auto" w:frame="1"/>
        </w:rPr>
        <w:t>Entrepreneurship at a Glance 2016</w:t>
      </w:r>
      <w:r>
        <w:t>, en el que dedica un capítulo al nacimiento y cierre de empresas a lo largo de estos años de crisis.</w:t>
      </w:r>
    </w:p>
    <w:p w:rsidR="00405307" w:rsidRDefault="00405307" w:rsidP="00405307">
      <w:pPr>
        <w:pStyle w:val="NormalWeb"/>
        <w:jc w:val="both"/>
      </w:pPr>
      <w:r>
        <w:rPr>
          <w:noProof/>
          <w:bdr w:val="none" w:sz="0" w:space="0" w:color="auto" w:frame="1"/>
        </w:rPr>
        <w:drawing>
          <wp:inline distT="0" distB="0" distL="0" distR="0" wp14:anchorId="1E8A16DE" wp14:editId="329C13CC">
            <wp:extent cx="5664200" cy="3238500"/>
            <wp:effectExtent l="0" t="0" r="0" b="0"/>
            <wp:docPr id="241" name="Imagen 241" descr="ratio_nuevas_empresas.jp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ratio_nuevas_empresas.jpg">
                      <a:hlinkClick r:id="rId107"/>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64200" cy="3238500"/>
                    </a:xfrm>
                    <a:prstGeom prst="rect">
                      <a:avLst/>
                    </a:prstGeom>
                    <a:noFill/>
                    <a:ln>
                      <a:noFill/>
                    </a:ln>
                  </pic:spPr>
                </pic:pic>
              </a:graphicData>
            </a:graphic>
          </wp:inline>
        </w:drawing>
      </w:r>
      <w:r>
        <w:t>Fuente: OCDE</w:t>
      </w:r>
    </w:p>
    <w:p w:rsidR="00405307" w:rsidRDefault="00405307" w:rsidP="00405307">
      <w:pPr>
        <w:pStyle w:val="NormalWeb"/>
        <w:jc w:val="both"/>
      </w:pPr>
      <w:r>
        <w:t>(Ver diferencia entre el rombo negro con los datos de 2006-07 frente al rectángulo con las cifras de 2012-13).</w:t>
      </w:r>
    </w:p>
    <w:p w:rsidR="00405307" w:rsidRDefault="00405307" w:rsidP="00405307">
      <w:pPr>
        <w:pStyle w:val="NormalWeb"/>
        <w:shd w:val="clear" w:color="auto" w:fill="FFFFFF"/>
        <w:spacing w:before="0" w:beforeAutospacing="0" w:after="0" w:afterAutospacing="0"/>
        <w:jc w:val="both"/>
        <w:textAlignment w:val="baseline"/>
      </w:pPr>
      <w:r>
        <w:t>Si tomamos los balances de los</w:t>
      </w:r>
      <w:r>
        <w:rPr>
          <w:rStyle w:val="apple-converted-space"/>
        </w:rPr>
        <w:t> </w:t>
      </w:r>
      <w:hyperlink r:id="rId109" w:tgtFrame="_self" w:history="1">
        <w:r w:rsidRPr="00696E0D">
          <w:rPr>
            <w:rStyle w:val="Hipervnculo"/>
            <w:rFonts w:eastAsiaTheme="majorEastAsia"/>
            <w:bCs/>
            <w:color w:val="auto"/>
          </w:rPr>
          <w:t>bancos centrales</w:t>
        </w:r>
      </w:hyperlink>
      <w:r w:rsidRPr="00696E0D">
        <w:rPr>
          <w:rStyle w:val="apple-converted-space"/>
        </w:rPr>
        <w:t> </w:t>
      </w:r>
      <w:r>
        <w:t>de Europa, China, Japón y Estados Unidos, vemos cómo los niveles de expansión de los mismos han sido brutales en los últimos años, siendo especialmente significativo el incremento del presente año 2016 y más si pensamos que</w:t>
      </w:r>
      <w:r>
        <w:rPr>
          <w:rStyle w:val="apple-converted-space"/>
        </w:rPr>
        <w:t> </w:t>
      </w:r>
      <w:r>
        <w:rPr>
          <w:rStyle w:val="Textoennegrita"/>
          <w:rFonts w:eastAsia="Calibri"/>
          <w:bdr w:val="none" w:sz="0" w:space="0" w:color="auto" w:frame="1"/>
        </w:rPr>
        <w:t>no son 4 los bancos centrales</w:t>
      </w:r>
      <w:r>
        <w:rPr>
          <w:rStyle w:val="apple-converted-space"/>
        </w:rPr>
        <w:t> </w:t>
      </w:r>
      <w:r>
        <w:t>comprando activos sino sólo el BCE y el Banco de Japón al estar los otros 2 en situación neutra. (Fuente Yardeni.com).</w:t>
      </w:r>
    </w:p>
    <w:p w:rsidR="00405307" w:rsidRDefault="00405307" w:rsidP="00405307">
      <w:pPr>
        <w:pStyle w:val="NormalWeb"/>
        <w:shd w:val="clear" w:color="auto" w:fill="FFFFFF"/>
        <w:spacing w:before="0" w:beforeAutospacing="0" w:after="0" w:afterAutospacing="0"/>
        <w:jc w:val="both"/>
        <w:textAlignment w:val="baseline"/>
        <w:rPr>
          <w:color w:val="FF0000"/>
          <w:u w:val="single"/>
        </w:rPr>
      </w:pPr>
    </w:p>
    <w:p w:rsidR="00405307" w:rsidRDefault="00405307" w:rsidP="00405307">
      <w:pPr>
        <w:shd w:val="clear" w:color="auto" w:fill="FFFFFF"/>
        <w:spacing w:line="240" w:lineRule="auto"/>
        <w:jc w:val="both"/>
        <w:textAlignment w:val="baseline"/>
        <w:rPr>
          <w:rFonts w:ascii="Times New Roman" w:hAnsi="Times New Roman"/>
          <w:color w:val="1A1A1A"/>
          <w:sz w:val="24"/>
          <w:szCs w:val="24"/>
        </w:rPr>
      </w:pPr>
      <w:r>
        <w:rPr>
          <w:rFonts w:ascii="Times New Roman" w:hAnsi="Times New Roman"/>
          <w:noProof/>
          <w:color w:val="1A1A1A"/>
          <w:sz w:val="24"/>
          <w:szCs w:val="24"/>
          <w:lang w:eastAsia="es-ES"/>
        </w:rPr>
        <w:lastRenderedPageBreak/>
        <w:drawing>
          <wp:inline distT="0" distB="0" distL="0" distR="0" wp14:anchorId="286DCF95" wp14:editId="17C14E8A">
            <wp:extent cx="5581650" cy="2578100"/>
            <wp:effectExtent l="0" t="0" r="0" b="0"/>
            <wp:docPr id="242" name="Imagen 242" descr="http://www.ecestaticos.com/image/clipping/654/45d374f2d838c7b763e59363edf41ee8/javiermol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http://www.ecestaticos.com/image/clipping/654/45d374f2d838c7b763e59363edf41ee8/javiermolina.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81650" cy="2578100"/>
                    </a:xfrm>
                    <a:prstGeom prst="rect">
                      <a:avLst/>
                    </a:prstGeom>
                    <a:noFill/>
                    <a:ln>
                      <a:noFill/>
                    </a:ln>
                  </pic:spPr>
                </pic:pic>
              </a:graphicData>
            </a:graphic>
          </wp:inline>
        </w:drawing>
      </w:r>
    </w:p>
    <w:p w:rsidR="00405307" w:rsidRDefault="00405307" w:rsidP="00405307">
      <w:pPr>
        <w:pStyle w:val="NormalWeb"/>
        <w:shd w:val="clear" w:color="auto" w:fill="FFFFFF"/>
        <w:spacing w:before="0" w:beforeAutospacing="0" w:after="0" w:afterAutospacing="0"/>
        <w:jc w:val="both"/>
        <w:textAlignment w:val="baseline"/>
        <w:rPr>
          <w:b/>
        </w:rPr>
      </w:pPr>
      <w:r>
        <w:t>Y en el caso Europeo, los dos últimos años son de</w:t>
      </w:r>
      <w:r>
        <w:rPr>
          <w:rStyle w:val="apple-converted-space"/>
        </w:rPr>
        <w:t> </w:t>
      </w:r>
      <w:r>
        <w:rPr>
          <w:rStyle w:val="Textoennegrita"/>
          <w:rFonts w:eastAsia="Calibri"/>
          <w:bdr w:val="none" w:sz="0" w:space="0" w:color="auto" w:frame="1"/>
        </w:rPr>
        <w:t>pura locura expansiva</w:t>
      </w:r>
      <w:r>
        <w:rPr>
          <w:b/>
        </w:rPr>
        <w:t>.</w:t>
      </w:r>
    </w:p>
    <w:p w:rsidR="00405307" w:rsidRDefault="00405307" w:rsidP="00405307">
      <w:pPr>
        <w:pStyle w:val="NormalWeb"/>
        <w:shd w:val="clear" w:color="auto" w:fill="FFFFFF"/>
        <w:spacing w:before="0" w:beforeAutospacing="0" w:after="0" w:afterAutospacing="0"/>
        <w:jc w:val="both"/>
        <w:textAlignment w:val="baseline"/>
        <w:rPr>
          <w:color w:val="FF0000"/>
          <w:u w:val="single"/>
        </w:rPr>
      </w:pPr>
    </w:p>
    <w:p w:rsidR="00405307" w:rsidRDefault="00405307" w:rsidP="00405307">
      <w:pPr>
        <w:shd w:val="clear" w:color="auto" w:fill="FFFFFF"/>
        <w:spacing w:line="240" w:lineRule="auto"/>
        <w:jc w:val="both"/>
        <w:textAlignment w:val="baseline"/>
        <w:rPr>
          <w:rFonts w:ascii="Times New Roman" w:hAnsi="Times New Roman"/>
          <w:color w:val="1A1A1A"/>
          <w:sz w:val="24"/>
          <w:szCs w:val="24"/>
        </w:rPr>
      </w:pPr>
      <w:r>
        <w:rPr>
          <w:rFonts w:ascii="Times New Roman" w:hAnsi="Times New Roman"/>
          <w:noProof/>
          <w:color w:val="1A1A1A"/>
          <w:sz w:val="24"/>
          <w:szCs w:val="24"/>
          <w:lang w:eastAsia="es-ES"/>
        </w:rPr>
        <w:drawing>
          <wp:inline distT="0" distB="0" distL="0" distR="0" wp14:anchorId="4FAC2C57" wp14:editId="1B2DD961">
            <wp:extent cx="5702300" cy="2946400"/>
            <wp:effectExtent l="0" t="0" r="0" b="6350"/>
            <wp:docPr id="243" name="Imagen 243" descr="http://www.ecestaticos.com/image/clipping/654/b32175c52b5aaa29b391c999f862dc37/javiermol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http://www.ecestaticos.com/image/clipping/654/b32175c52b5aaa29b391c999f862dc37/javiermolina.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02300" cy="2946400"/>
                    </a:xfrm>
                    <a:prstGeom prst="rect">
                      <a:avLst/>
                    </a:prstGeom>
                    <a:noFill/>
                    <a:ln>
                      <a:noFill/>
                    </a:ln>
                  </pic:spPr>
                </pic:pic>
              </a:graphicData>
            </a:graphic>
          </wp:inline>
        </w:drawing>
      </w:r>
    </w:p>
    <w:p w:rsidR="00405307" w:rsidRDefault="00405307" w:rsidP="00405307">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¿Los helicópteros monetarios de los bancos centrales (lanzando billetes desde el aire) han servido a la economía real o solo han suministrado Metadona a los “yonquis” adictos al dinero (economía de casino)? Respondan ustedes mismos.</w:t>
      </w:r>
    </w:p>
    <w:p w:rsidR="00405307" w:rsidRDefault="00405307" w:rsidP="00405307">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¿QE significa “quantitative easing”, o “qué esperpento”? ¿Los bancos centrales, han sido “vigilantes” o “chambelanes”? Respondan ustedes mismos.</w:t>
      </w:r>
    </w:p>
    <w:p w:rsidR="00405307" w:rsidRPr="00226C71" w:rsidRDefault="00405307" w:rsidP="00405307">
      <w:pPr>
        <w:spacing w:line="240" w:lineRule="auto"/>
        <w:jc w:val="both"/>
        <w:rPr>
          <w:rFonts w:ascii="Times New Roman" w:hAnsi="Times New Roman" w:cs="Times New Roman"/>
          <w:sz w:val="24"/>
          <w:szCs w:val="24"/>
        </w:rPr>
      </w:pPr>
      <w:r w:rsidRPr="007701A3">
        <w:rPr>
          <w:rFonts w:ascii="Times New Roman" w:hAnsi="Times New Roman" w:cs="Times New Roman"/>
          <w:sz w:val="24"/>
          <w:szCs w:val="24"/>
        </w:rPr>
        <w:t>En un Paper anterior</w:t>
      </w:r>
      <w:r>
        <w:rPr>
          <w:rFonts w:ascii="Times New Roman" w:hAnsi="Times New Roman" w:cs="Times New Roman"/>
          <w:b/>
          <w:sz w:val="24"/>
          <w:szCs w:val="24"/>
        </w:rPr>
        <w:t>, “¿En qué se empleó el dinero público durante la crisis 2007-2017? ¿En cuánto aumentó la deuda soberana?”</w:t>
      </w:r>
      <w:r>
        <w:rPr>
          <w:rFonts w:ascii="Times New Roman" w:hAnsi="Times New Roman" w:cs="Times New Roman"/>
          <w:sz w:val="24"/>
          <w:szCs w:val="24"/>
        </w:rPr>
        <w:t xml:space="preserve">, publicado el </w:t>
      </w:r>
      <w:r w:rsidRPr="007701A3">
        <w:rPr>
          <w:rFonts w:ascii="Times New Roman" w:hAnsi="Times New Roman" w:cs="Times New Roman"/>
          <w:b/>
          <w:sz w:val="24"/>
          <w:szCs w:val="24"/>
        </w:rPr>
        <w:t>15/2/18</w:t>
      </w:r>
      <w:r>
        <w:rPr>
          <w:rFonts w:ascii="Times New Roman" w:hAnsi="Times New Roman" w:cs="Times New Roman"/>
          <w:sz w:val="24"/>
          <w:szCs w:val="24"/>
        </w:rPr>
        <w:t>, decía:</w:t>
      </w:r>
    </w:p>
    <w:p w:rsidR="00405307" w:rsidRDefault="00405307" w:rsidP="00405307">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 xml:space="preserve">Introducción - La “década infame” y el “asno” de oro (*) </w:t>
      </w:r>
      <w:r>
        <w:rPr>
          <w:rFonts w:ascii="Times New Roman" w:hAnsi="Times New Roman" w:cs="Times New Roman"/>
          <w:b/>
          <w:color w:val="FF0000"/>
          <w:sz w:val="24"/>
          <w:szCs w:val="24"/>
        </w:rPr>
        <w:t xml:space="preserve">             </w:t>
      </w:r>
      <w:r>
        <w:rPr>
          <w:rFonts w:ascii="Times New Roman" w:hAnsi="Times New Roman" w:cs="Times New Roman"/>
          <w:b/>
          <w:sz w:val="24"/>
          <w:szCs w:val="24"/>
        </w:rPr>
        <w:t xml:space="preserve">                                               </w:t>
      </w:r>
    </w:p>
    <w:p w:rsidR="00405307" w:rsidRDefault="00405307" w:rsidP="00405307">
      <w:pPr>
        <w:pStyle w:val="NormalWeb"/>
        <w:shd w:val="clear" w:color="auto" w:fill="FFFFFF"/>
        <w:jc w:val="both"/>
        <w:textAlignment w:val="baseline"/>
      </w:pPr>
      <w:r>
        <w:t xml:space="preserve">(*) el “asno” de oro es el sector financiero, que está “matando” al capitalismo por exceso de adoración al “becerro” de oro. </w:t>
      </w:r>
    </w:p>
    <w:p w:rsidR="00405307" w:rsidRPr="00A9562D" w:rsidRDefault="00405307" w:rsidP="00405307">
      <w:pPr>
        <w:spacing w:line="240" w:lineRule="auto"/>
        <w:jc w:val="both"/>
        <w:rPr>
          <w:rFonts w:ascii="Times New Roman" w:hAnsi="Times New Roman" w:cs="Times New Roman"/>
          <w:b/>
          <w:color w:val="FF0000"/>
          <w:sz w:val="24"/>
          <w:szCs w:val="24"/>
          <w:u w:val="single"/>
        </w:rPr>
      </w:pPr>
      <w:r w:rsidRPr="00A9562D">
        <w:rPr>
          <w:rFonts w:ascii="Times New Roman" w:hAnsi="Times New Roman" w:cs="Times New Roman"/>
          <w:b/>
          <w:color w:val="FF0000"/>
          <w:sz w:val="24"/>
          <w:szCs w:val="24"/>
          <w:u w:val="single"/>
        </w:rPr>
        <w:lastRenderedPageBreak/>
        <w:t xml:space="preserve">En Estados Unidos, la Fed mantuvo los tipos de interés a cero desde noviembre de 2008 a diciembre de 2015, durante el mayor período de la historia, y realizó compras de deuda hasta engordar su balance hasta los 4,5 billones de dólares… para rescatar a los “bancos (americanos) demasiado grandes para caer” e inyectar “anabólicos” a los mercados bursátiles (inflando artificialmente el valor de los activos).    </w:t>
      </w:r>
    </w:p>
    <w:p w:rsidR="00405307" w:rsidRPr="00A9562D" w:rsidRDefault="00405307" w:rsidP="00405307">
      <w:pPr>
        <w:spacing w:line="240" w:lineRule="auto"/>
        <w:jc w:val="both"/>
        <w:rPr>
          <w:rFonts w:ascii="Times New Roman" w:hAnsi="Times New Roman" w:cs="Times New Roman"/>
          <w:b/>
          <w:color w:val="FF0000"/>
          <w:sz w:val="24"/>
          <w:szCs w:val="24"/>
          <w:u w:val="single"/>
        </w:rPr>
      </w:pPr>
      <w:r w:rsidRPr="00A9562D">
        <w:rPr>
          <w:rFonts w:ascii="Times New Roman" w:hAnsi="Times New Roman" w:cs="Times New Roman"/>
          <w:b/>
          <w:color w:val="FF0000"/>
          <w:sz w:val="24"/>
          <w:szCs w:val="24"/>
          <w:u w:val="single"/>
        </w:rPr>
        <w:t xml:space="preserve">El Banco Central Europeo ha acumulado 4,2 billones de euros en balance durante ese período… para rescatar a los “bancos (europeos) demasiado grandes para caer” e inyectar “anabólicos” a los mercados bursátiles (inflando artificialmente el valor de los activos).  </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La dependencia de los bancos centrales sigue siendo enorme. Diez años después, aún no se ha logrado romper el vínculo entre riesgo bancario y riesgo soberano. Los elevados niveles de deuda que deja la crisis plantean también el desafío de lograr unos niveles de crecimiento sostenibles con los que asegurar los pagos.</w:t>
      </w:r>
    </w:p>
    <w:p w:rsidR="00405307" w:rsidRDefault="00405307" w:rsidP="00405307">
      <w:pPr>
        <w:pStyle w:val="NormalWeb"/>
        <w:shd w:val="clear" w:color="auto" w:fill="FFFFFF"/>
        <w:jc w:val="both"/>
        <w:textAlignment w:val="baseline"/>
      </w:pPr>
      <w:r>
        <w:t>En Estados Unidos el sector financiero genera solo el 4% del empleo, pero representa más del 25% de los beneficios empresariales. Y la mitad de las compañías estadounidenses que generan ganancias del 25% o más son firmas tecnológicas. Lo mismo ha ocurrido al nivel organizacional. El 10% más rentable de las firmas estadounidenses es ocho veces más rentable que la empresa media. En los años 90, este múltiplo era solo tres.</w:t>
      </w:r>
    </w:p>
    <w:p w:rsidR="00405307" w:rsidRDefault="00405307" w:rsidP="00405307">
      <w:pPr>
        <w:pStyle w:val="NormalWeb"/>
        <w:shd w:val="clear" w:color="auto" w:fill="FFFFFF"/>
        <w:jc w:val="both"/>
        <w:textAlignment w:val="baseline"/>
      </w:pPr>
      <w:r>
        <w:rPr>
          <w:i/>
        </w:rPr>
        <w:t xml:space="preserve">“La economía europea sigue gripada. El PIB crece menos del 2%, pese a los intensos estímulos monetarios puestos en marcha por el BCE. Los riesgos políticos cotizan al alza”… </w:t>
      </w:r>
      <w:r>
        <w:t>¿</w:t>
      </w:r>
      <w:r>
        <w:rPr>
          <w:u w:val="single"/>
        </w:rPr>
        <w:t>Trampa de liquidez? La economía europea languidece, pese a los estímulos del BCE</w:t>
      </w:r>
      <w:r>
        <w:t xml:space="preserve"> (El Confidencial - Carlos Álvarez - </w:t>
      </w:r>
      <w:r>
        <w:rPr>
          <w:b/>
        </w:rPr>
        <w:t>8/3/17</w:t>
      </w:r>
      <w:r>
        <w:t>)</w:t>
      </w:r>
    </w:p>
    <w:p w:rsidR="00405307" w:rsidRDefault="00405307" w:rsidP="00405307">
      <w:pPr>
        <w:pStyle w:val="NormalWeb"/>
        <w:shd w:val="clear" w:color="auto" w:fill="FFFFFF"/>
        <w:jc w:val="both"/>
        <w:textAlignment w:val="baseline"/>
        <w:rPr>
          <w:i/>
        </w:rPr>
      </w:pPr>
      <w:r>
        <w:rPr>
          <w:noProof/>
          <w:sz w:val="20"/>
          <w:szCs w:val="20"/>
        </w:rPr>
        <w:drawing>
          <wp:inline distT="0" distB="0" distL="0" distR="0" wp14:anchorId="0321867B" wp14:editId="3830BE8D">
            <wp:extent cx="5734050" cy="3219450"/>
            <wp:effectExtent l="0" t="0" r="0" b="0"/>
            <wp:docPr id="244" name="Imagen 244" descr="Fo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Foto:  "/>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4050" cy="3219450"/>
                    </a:xfrm>
                    <a:prstGeom prst="rect">
                      <a:avLst/>
                    </a:prstGeom>
                    <a:noFill/>
                    <a:ln>
                      <a:noFill/>
                    </a:ln>
                  </pic:spPr>
                </pic:pic>
              </a:graphicData>
            </a:graphic>
          </wp:inline>
        </w:drawing>
      </w:r>
    </w:p>
    <w:p w:rsidR="00405307" w:rsidRDefault="00405307" w:rsidP="00405307">
      <w:pPr>
        <w:pStyle w:val="NormalWeb"/>
        <w:shd w:val="clear" w:color="auto" w:fill="FFFFFF"/>
        <w:jc w:val="both"/>
        <w:textAlignment w:val="baseline"/>
        <w:rPr>
          <w:i/>
        </w:rPr>
      </w:pPr>
      <w:r>
        <w:rPr>
          <w:i/>
        </w:rPr>
        <w:t xml:space="preserve">“Los QEs, llegaron a 4,2 billones de dólares y casi la mitad se fue a reservas excedentarias”… </w:t>
      </w:r>
      <w:r>
        <w:t xml:space="preserve">(Vozpópuli - </w:t>
      </w:r>
      <w:r>
        <w:rPr>
          <w:b/>
        </w:rPr>
        <w:t>12/7/17</w:t>
      </w:r>
      <w:r>
        <w:t>)</w:t>
      </w:r>
    </w:p>
    <w:p w:rsidR="00405307" w:rsidRDefault="00405307" w:rsidP="00405307">
      <w:pPr>
        <w:spacing w:line="240" w:lineRule="auto"/>
        <w:jc w:val="both"/>
        <w:rPr>
          <w:rFonts w:ascii="Times New Roman" w:hAnsi="Times New Roman" w:cs="Times New Roman"/>
        </w:rPr>
      </w:pPr>
      <w:r>
        <w:rPr>
          <w:noProof/>
          <w:lang w:eastAsia="es-ES"/>
        </w:rPr>
        <w:lastRenderedPageBreak/>
        <w:drawing>
          <wp:inline distT="0" distB="0" distL="0" distR="0" wp14:anchorId="0BF12D0D" wp14:editId="3E5A07E4">
            <wp:extent cx="5734050" cy="2482850"/>
            <wp:effectExtent l="0" t="0" r="0" b="0"/>
            <wp:docPr id="245" name="Imagen 245" descr="Qtity of Money &amp; Excess of Rese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Qtity of Money &amp; Excess of Reserve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4050" cy="2482850"/>
                    </a:xfrm>
                    <a:prstGeom prst="rect">
                      <a:avLst/>
                    </a:prstGeom>
                    <a:noFill/>
                    <a:ln>
                      <a:noFill/>
                    </a:ln>
                  </pic:spPr>
                </pic:pic>
              </a:graphicData>
            </a:graphic>
          </wp:inline>
        </w:drawing>
      </w:r>
    </w:p>
    <w:p w:rsidR="00405307" w:rsidRDefault="00405307" w:rsidP="00405307">
      <w:pPr>
        <w:pStyle w:val="NormalWeb"/>
        <w:shd w:val="clear" w:color="auto" w:fill="FFFFFF"/>
        <w:jc w:val="both"/>
        <w:textAlignment w:val="baseline"/>
      </w:pPr>
      <w:r>
        <w:rPr>
          <w:i/>
        </w:rPr>
        <w:t>“El BCE ha superado con mucho a la Fed. El balance del BCE ya supera el 36% del PIB de la Eurozona y controla el 10% de los bonos corporativos, una “nacionalización” del mercado de deuda corporativa viva de casi un 1% mensual. En el caso de EEUU, menos de 10 puntos por debajo. Solo el Banco de Japón, y ya sabemos el nivel de deuda y estancamiento que tiene el país, supera al BCE. Y el riesgo de seguir la senda de Japón no es pequeño”..</w:t>
      </w:r>
      <w:r>
        <w:t xml:space="preserve">. (El Español - Daniel Lacalle </w:t>
      </w:r>
      <w:r>
        <w:rPr>
          <w:b/>
        </w:rPr>
        <w:t>15/5/17</w:t>
      </w:r>
      <w:r>
        <w:t>)</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Greenspan: “hay una burbuja, pero no en la Bolsa, sino en la deuda” (Expansión - </w:t>
      </w:r>
      <w:r>
        <w:rPr>
          <w:rFonts w:ascii="Times New Roman" w:hAnsi="Times New Roman" w:cs="Times New Roman"/>
          <w:b/>
          <w:sz w:val="24"/>
          <w:szCs w:val="24"/>
        </w:rPr>
        <w:t>2/8/17</w:t>
      </w:r>
      <w:r>
        <w:rPr>
          <w:rFonts w:ascii="Times New Roman" w:hAnsi="Times New Roman" w:cs="Times New Roman"/>
          <w:sz w:val="24"/>
          <w:szCs w:val="24"/>
        </w:rPr>
        <w:t>)</w:t>
      </w:r>
    </w:p>
    <w:p w:rsidR="00405307" w:rsidRDefault="00405307" w:rsidP="00405307">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El vicepresidente de la Fed advierte del riesgo de olvidar la situación que llevó a la crisis (Expansión - Financial Times - </w:t>
      </w:r>
      <w:r>
        <w:rPr>
          <w:rFonts w:ascii="Times New Roman" w:hAnsi="Times New Roman" w:cs="Times New Roman"/>
          <w:b/>
          <w:color w:val="1A1A1A"/>
          <w:sz w:val="24"/>
          <w:szCs w:val="24"/>
        </w:rPr>
        <w:t>17/8/17</w:t>
      </w:r>
      <w:r>
        <w:rPr>
          <w:rFonts w:ascii="Times New Roman" w:hAnsi="Times New Roman" w:cs="Times New Roman"/>
          <w:color w:val="1A1A1A"/>
          <w:sz w:val="24"/>
          <w:szCs w:val="24"/>
        </w:rPr>
        <w:t>)</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presidente de la EBA pide crear un banco malo con un billón de préstamos tóxicos (Expansión - Financial Times - </w:t>
      </w:r>
      <w:r>
        <w:rPr>
          <w:rFonts w:ascii="Times New Roman" w:hAnsi="Times New Roman" w:cs="Times New Roman"/>
          <w:b/>
          <w:sz w:val="24"/>
          <w:szCs w:val="24"/>
        </w:rPr>
        <w:t>1/9/17</w:t>
      </w:r>
      <w:r>
        <w:rPr>
          <w:rFonts w:ascii="Times New Roman" w:hAnsi="Times New Roman" w:cs="Times New Roman"/>
          <w:sz w:val="24"/>
          <w:szCs w:val="24"/>
        </w:rPr>
        <w:t>)</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Fischer, número dos de la Fed, anuncia su dimisión por “motivos personales” (Expansión - </w:t>
      </w:r>
      <w:r>
        <w:rPr>
          <w:rFonts w:ascii="Times New Roman" w:hAnsi="Times New Roman" w:cs="Times New Roman"/>
          <w:b/>
          <w:sz w:val="24"/>
          <w:szCs w:val="24"/>
        </w:rPr>
        <w:t>6/9/17</w:t>
      </w:r>
      <w:r>
        <w:rPr>
          <w:rFonts w:ascii="Times New Roman" w:hAnsi="Times New Roman" w:cs="Times New Roman"/>
          <w:sz w:val="24"/>
          <w:szCs w:val="24"/>
        </w:rPr>
        <w:t>)</w:t>
      </w:r>
    </w:p>
    <w:p w:rsidR="00405307" w:rsidRDefault="00405307" w:rsidP="00405307">
      <w:pPr>
        <w:pStyle w:val="NormalWeb"/>
        <w:shd w:val="clear" w:color="auto" w:fill="FFFFFF"/>
        <w:jc w:val="both"/>
        <w:textAlignment w:val="baseline"/>
      </w:pPr>
      <w:r>
        <w:t>Después de una década se “socialización” de las pérdidas, “monetización” de la deuda y “represión” financiera, la propaganda de la salida de la crisis no ha calado, a pesar del descenso en la tasa de ahorro precaución.</w:t>
      </w:r>
    </w:p>
    <w:p w:rsidR="00405307" w:rsidRDefault="00405307" w:rsidP="00405307">
      <w:pPr>
        <w:pStyle w:val="NormalWeb"/>
        <w:shd w:val="clear" w:color="auto" w:fill="FFFFFF"/>
        <w:jc w:val="both"/>
        <w:textAlignment w:val="baseline"/>
      </w:pPr>
      <w:r>
        <w:t>La diapositiva de las miserias de los afectados por la gran recesión muestra: pensionistas que ya no verán mejorar su poder adquisitivo de forma estructural, jóvenes que se mantendrán en el mercado laboral a base de contratos basura y con sueldos miserables, incapacidad de poder emanciparse, salvo compartiendo una habitación, mayores de 45 años que nunca más volverán a trabajar, en suma, toda una generación que, por primera vez en la reciente historia, vivirán mucho peor que sus padres. Cada vez hay más hogares que saben y sufren que el crecimiento ya no es sinónimo de prosperidad.</w:t>
      </w:r>
    </w:p>
    <w:p w:rsidR="00405307" w:rsidRDefault="00405307" w:rsidP="00405307">
      <w:pPr>
        <w:pStyle w:val="NormalWeb"/>
        <w:shd w:val="clear" w:color="auto" w:fill="FFFFFF"/>
        <w:jc w:val="both"/>
        <w:textAlignment w:val="baseline"/>
      </w:pPr>
      <w:r>
        <w:t>Las nuevas generaciones saben que trabajarán a tiempo parcial por imposición y consumirán todo compartido, también por imperativo de la nueva economía, mal llamada colaborativa.</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revelador artículo publicado en “The New York Times” compara la situación de dos empleadas de la limpieza de compañías prestigiosas: la Sra. Evans trabajaba para Eastman Kodak, la Sra. Ramos lo hace para Apple; la primera recogía y adecentaba las oficinas de la </w:t>
      </w:r>
      <w:r>
        <w:rPr>
          <w:rFonts w:ascii="Times New Roman" w:hAnsi="Times New Roman" w:cs="Times New Roman"/>
          <w:sz w:val="24"/>
          <w:szCs w:val="24"/>
        </w:rPr>
        <w:lastRenderedPageBreak/>
        <w:t xml:space="preserve">firma a principios de los 80, la segunda en la actualidad. En términos reales, sus salarios son equiparables, pero las condiciones resultan completamente distintas. (El Confidencial - </w:t>
      </w:r>
      <w:r>
        <w:rPr>
          <w:rFonts w:ascii="Times New Roman" w:hAnsi="Times New Roman" w:cs="Times New Roman"/>
          <w:b/>
          <w:sz w:val="24"/>
          <w:szCs w:val="24"/>
        </w:rPr>
        <w:t>5/9/17</w:t>
      </w:r>
      <w:r>
        <w:rPr>
          <w:rFonts w:ascii="Times New Roman" w:hAnsi="Times New Roman" w:cs="Times New Roman"/>
          <w:sz w:val="24"/>
          <w:szCs w:val="24"/>
        </w:rPr>
        <w:t>)</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Evans contaba con más de cuatro semanas de vacaciones por año, recibía ayudas de la empresa para cursar sus estudios universitarios y cada marzo recibía un bonus. Además, cuando cerraron las instalaciones en las que limpiaba, le fue asignado otro trabajo en la misma compañía. Ramos trabaja para una subcontrata, no tiene vacaciones, tampoco puede formarse tras el horario laboral y no cuenta con ninguna paga extra. El caso de Evans es especial, además, porque desarrolló una importante carrera dentro de Kodak: tras titularse en la universidad, desempeñó diversas tareas en la firma hasta ser nombrada directora de tecnología. La mejor opción de Ramos para subir en la escala laboral es ser ascendida a jefa de equipo y cobrar 50 centavos más por hora.</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Una comparación similar puede hacerse en el ámbito del transporte. Contaba un transportista que hace poco más de una década, en su camión iban dos conductores si el trayecto era largo, para relevarse. En su empresa, apenas hay conductores en plantilla, porque los transportes los realizan autónomos que aportan su propio camión; como la legislación se ha relajado, sólo conduce una persona, y está autorizado a hacerlo más horas de las que a ellos les permitían. Además, el autónomo debe cargar y descargar. Concluía que no era mal negocio: allí donde antes se necesitaba invertir en comprar camiones, pagar dos conductores y a la gente que cargaba, ahora sólo precisan una persona, que además es dueña del vehículo y que está dispuesta a trabajar las horas que sean necesarias.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La última décadas en el mundo laboral ha sido de cambios continuos y sostenidos (y las reformas de la normativa laboral forman parte de ese proceso), en la que han ido sucediéndose nuevas formas de gestión, siempre con nombres llamativos. Todas ellas han empujado en la misma dirección. La deslocalización, la externalización, las prejubilaciones, las regulaciones de empleo y las reorganizaciones estructurales tenían un objetivo común: reducir el peso del factor trabajo en los costes.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Las compañías se han preocupado de aumentar ingresos, aunque en general han optado por tomar atajos como las fusiones o las adquisiciones en lugar de mejorar el producto o el servicio, pero sobre todo de reducir gastos. La trabajadora de Apple lo sabe porque carece de esas vacaciones pagadas, de las oportunidades profesionales o de la estabilidad laboral que tenía su compañera de Kodak. También lo saben los falsos autónomos, como muchos transportistas, porque se han hecho cargo de los costes derivados del desarrollo de la actividad (hasta han comprado un camión), que se ven sometidos a una alienante precariedad y a jornadas de trabajo más largas, además de a una mucho menor protección social. Algo que no ocurre sólo en los empleos de baja cualificación, sino que se ha extendido a toda clase de profesionales.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Producto de este deseo de hacer más con menos, también han llegado las reducciones de plantilla, de forma que la misma carga de trabajo es repartida entre los empleados que quedan. Esta tendencia está detrás de las horas extras que no se pagan, de la extensión del tiempo de trabajo a la vida privada, de la gente pendiente del móvil o del ordenador en su casa. Pero también de los deficientes servicios que prestan muchas empresas (y también los servicios públicos externalizados), en los que la falta de mano de obra provoca retrasos, fallos o equivocaciones. Y está, obviamente, detrás de la menor oferta de puestos de trabajo.</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Escribe Lawrence Summers en Financial Times (5/9/17): “El principal asunto de la política de EEUU es la seguridad económica de la clase media y las oportunidades para sus hijos. </w:t>
      </w:r>
      <w:r>
        <w:rPr>
          <w:rFonts w:ascii="Times New Roman" w:hAnsi="Times New Roman" w:cs="Times New Roman"/>
          <w:sz w:val="24"/>
          <w:szCs w:val="24"/>
        </w:rPr>
        <w:lastRenderedPageBreak/>
        <w:t>Una sensación dominante de vulnerabilidad y de falta de oportunidades lleva a la insatisfacción, reduce la fe en el Gobierno y las instituciones, la disposición a ayudar a los menos afortunados, aumenta el resentimiento hacia los miembros de otros grupos étnicos y la agresividad hacia otros países. Mientras una mayoría sustancial de adultos estadounidenses crea que sus hijos no tendrán la calidad de vida que ellos, nuestra política seguirá siendo divisoria. El nerviosismo de la clase media seguramente estará alimentado también por el lento crecimiento salarial, aunque nos encontramos en el noveno año de recuperación económica y los niveles de desempleo están en mínimos históricos.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La curva de Phillips- que establece una relación inversa entre empleo e inflación- parece haberse roto. La Oficina de Estadísticas Laborales de EEUU acaba de publicar que el mes pasado, los ingresos medios por hora aumentaron poco más de un 0,1%. Durante el último año, sólo han subido un 2,5%. El dato contrasta con los beneficios del S&amp;P 500 que aumentan a un ritmo del 16% anual. ¿Qué está pasando?</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La tecnología ha dado a las empresas más margen para sustituir a los estadounidenses por mano de obra extranjera. Sin embargo, creo que el factor que explica lo que está ocurriendo es que el poder negociador de las empresas ha aumentado y el de los empleados se ha debilitado.</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La tecnología ha dado a las empresas más margen para contratar extranjeros, para sustituir a sus empleados por avances tecnológicos o para hacer contrataciones esporádicas, en línea con lo que se conoce como gig economy.</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Esto explica el poder de las empresas para mantener bajos los salarios. Por otra parte, hay varios factores que han hecho perder posiciones a los empleados. Cada vez con más frecuencia, las empresas ofrecen empleos esporádicos. Por distintas razones, incluida el menor acceso al crédito hipotecario y la pérdida de poder adquisitivo de los hogares, es más difícil encontrar oportunidades.</w:t>
      </w:r>
    </w:p>
    <w:p w:rsidR="00405307" w:rsidRDefault="00405307" w:rsidP="00405307">
      <w:pPr>
        <w:spacing w:line="240" w:lineRule="auto"/>
        <w:jc w:val="both"/>
        <w:rPr>
          <w:rFonts w:ascii="Times New Roman" w:hAnsi="Times New Roman" w:cs="Times New Roman"/>
          <w:sz w:val="24"/>
          <w:szCs w:val="24"/>
        </w:rPr>
      </w:pPr>
      <w:r>
        <w:rPr>
          <w:rFonts w:ascii="Times New Roman" w:hAnsi="Times New Roman" w:cs="Times New Roman"/>
          <w:sz w:val="24"/>
          <w:szCs w:val="24"/>
        </w:rPr>
        <w:t>La menor cantidad de ahorros a raíz de la crisis implica que muchas familias no se pueden permitir ni siquiera dejar de trabajar durante un mínimo periodo de tiempo”…</w:t>
      </w:r>
    </w:p>
    <w:p w:rsidR="00405307" w:rsidRDefault="00405307" w:rsidP="00405307">
      <w:pPr>
        <w:pStyle w:val="NormalWeb"/>
        <w:shd w:val="clear" w:color="auto" w:fill="FFFFFF"/>
        <w:jc w:val="both"/>
        <w:textAlignment w:val="baseline"/>
      </w:pPr>
      <w:r>
        <w:t>El futuro que nos espera parece adentrarse aún más en ese pozo. Los más audaces siguen apostando que esta situación es la lógica tras el enorme socavón que supuso la crisis de 2008 y que el mecanismo autorregulador del sistema equilibrará la situación, transfiriendo parte del excedente empresarial a los asalariados, casi por arte de magia.</w:t>
      </w:r>
    </w:p>
    <w:p w:rsidR="00405307" w:rsidRDefault="00405307" w:rsidP="00405307">
      <w:pPr>
        <w:pStyle w:val="NormalWeb"/>
        <w:shd w:val="clear" w:color="auto" w:fill="FFFFFF"/>
        <w:jc w:val="both"/>
        <w:textAlignment w:val="baseline"/>
      </w:pPr>
      <w:r>
        <w:t>Probablemente hayamos entrado en la fase más desigual que recordemos, siempre en términos relativos, pero lo más dramático es que la sociedad ya no tiene herramientas para luchar contra ello.</w:t>
      </w:r>
    </w:p>
    <w:p w:rsidR="00405307" w:rsidRDefault="00405307" w:rsidP="00405307">
      <w:pPr>
        <w:pStyle w:val="NormalWeb"/>
        <w:shd w:val="clear" w:color="auto" w:fill="FFFFFF"/>
        <w:jc w:val="both"/>
        <w:textAlignment w:val="baseline"/>
      </w:pPr>
      <w:r>
        <w:t>El eslabón que se comunica con el activo más miedoso, el dinero, es decir, la banca, ya ha empezado a dibujar un panorama oscuro fruto del fracaso de la inserción de gran parte de la población expulsada tras la última debacle del sistema a partir de 2008. El Credit Suisse ha bautizado el estado de ánimo actual como el de las “Sociedades Enfadadas”, lo que indica que las señales de alarma ya se han encendido, sin que los gestores públicos y privados que manejan el cuadro de mandos mundial sepan las consecuencias que puede tener si este aparente enfado culminase con algo peor.</w:t>
      </w:r>
    </w:p>
    <w:p w:rsidR="00405307" w:rsidRDefault="00405307" w:rsidP="00405307">
      <w:pPr>
        <w:pStyle w:val="NormalWeb"/>
        <w:shd w:val="clear" w:color="auto" w:fill="FFFFFF"/>
        <w:jc w:val="both"/>
        <w:textAlignment w:val="baseline"/>
      </w:pPr>
      <w:r>
        <w:lastRenderedPageBreak/>
        <w:t>Las condiciones objetivas para una revuelta social están dadas, aunque algunos mecanismos internos de solidaridad intergeneracional están retrasando el estallido. El intento por convencer a gran parte de la población que ya hemos salido de la crisis y que el crecimiento ha llegado para quedarse no ha cuajado, máxime si gran parte de esta población apenas ha visto mejorada su situación.</w:t>
      </w:r>
    </w:p>
    <w:p w:rsidR="00405307" w:rsidRDefault="00405307" w:rsidP="00405307">
      <w:pPr>
        <w:pStyle w:val="NormalWeb"/>
        <w:shd w:val="clear" w:color="auto" w:fill="FFFFFF"/>
        <w:jc w:val="both"/>
        <w:textAlignment w:val="baseline"/>
      </w:pPr>
      <w:r>
        <w:t>Por todo ello, no parece sorprender que surjan movimientos extraparlamentarios que compensen la inacción del ejecutivo y el legislativo. La democracia es útil siempre que esté pegada al terreno y tenga los mecanismos suficientes para revertir externalidades negativas de la avaricia del capital (el “asno” de oro), como es el caso que nos ocupa. Las mayorías silenciosas, porque muy combativas ya no son, pueden irse abriendo camino hasta reventar el maltrecho pacto social que la vieja socialdemocracia firmó a finales de la II Guerra Mundial. No se trata de revanchismo, sino de restablecer la regla de oro que nos ha perseguido desde que tenemos uso de razón: que nuestros hijos vivan mejor que nosotros. Si no es así, veremos a pensionistas trayendo nuestras pizzas de Deliveroo, nuestra habitación en casa paterna y materna alquilada para pagar la dentadura, los temporeros cogiendo lechugas a 2cts/euro y las camareras de piso limpiando las habitaciones de hotel a 2 euros. Todo eso será parte del milagro de crecer, aunque financiando el crecimiento con desigualdad</w:t>
      </w:r>
      <w:r w:rsidR="004E539D">
        <w:t>…</w:t>
      </w:r>
    </w:p>
    <w:p w:rsidR="004E539D" w:rsidRDefault="00AD55A7" w:rsidP="004E539D">
      <w:pPr>
        <w:rPr>
          <w:rFonts w:ascii="Times New Roman" w:hAnsi="Times New Roman" w:cs="Times New Roman"/>
          <w:b/>
          <w:sz w:val="24"/>
          <w:szCs w:val="24"/>
        </w:rPr>
      </w:pPr>
      <w:r>
        <w:rPr>
          <w:rFonts w:ascii="Times New Roman" w:hAnsi="Times New Roman" w:cs="Times New Roman"/>
          <w:b/>
          <w:sz w:val="24"/>
          <w:szCs w:val="24"/>
        </w:rPr>
        <w:t xml:space="preserve">(Agosto 2018) </w:t>
      </w:r>
      <w:r w:rsidR="00360244">
        <w:rPr>
          <w:rFonts w:ascii="Times New Roman" w:hAnsi="Times New Roman" w:cs="Times New Roman"/>
          <w:b/>
          <w:sz w:val="24"/>
          <w:szCs w:val="24"/>
        </w:rPr>
        <w:t>Post Scriptum: a</w:t>
      </w:r>
      <w:r w:rsidR="004E539D" w:rsidRPr="00696E0D">
        <w:rPr>
          <w:rFonts w:ascii="Times New Roman" w:hAnsi="Times New Roman" w:cs="Times New Roman"/>
          <w:b/>
          <w:sz w:val="24"/>
          <w:szCs w:val="24"/>
        </w:rPr>
        <w:t>lgunos datos de la “maldita” Hemeroteca</w:t>
      </w:r>
    </w:p>
    <w:p w:rsidR="004E539D" w:rsidRDefault="004E539D" w:rsidP="004E539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0885">
        <w:rPr>
          <w:rFonts w:ascii="Times New Roman" w:hAnsi="Times New Roman" w:cs="Times New Roman"/>
          <w:sz w:val="24"/>
          <w:szCs w:val="24"/>
          <w:u w:val="single"/>
        </w:rPr>
        <w:t>El negocio de los rescates bancarios ya ha costado 750.000 millones de euros de dinero público a los europeos</w:t>
      </w:r>
      <w:r>
        <w:rPr>
          <w:rFonts w:ascii="Times New Roman" w:hAnsi="Times New Roman" w:cs="Times New Roman"/>
          <w:sz w:val="24"/>
          <w:szCs w:val="24"/>
        </w:rPr>
        <w:t xml:space="preserve"> (Público - </w:t>
      </w:r>
      <w:r w:rsidRPr="00770885">
        <w:rPr>
          <w:rFonts w:ascii="Times New Roman" w:hAnsi="Times New Roman" w:cs="Times New Roman"/>
          <w:b/>
          <w:sz w:val="24"/>
          <w:szCs w:val="24"/>
        </w:rPr>
        <w:t>21/2/17</w:t>
      </w:r>
      <w:r>
        <w:rPr>
          <w:rFonts w:ascii="Times New Roman" w:hAnsi="Times New Roman" w:cs="Times New Roman"/>
          <w:sz w:val="24"/>
          <w:szCs w:val="24"/>
        </w:rPr>
        <w:t>)</w:t>
      </w:r>
    </w:p>
    <w:p w:rsidR="004E539D" w:rsidRPr="00A9562D" w:rsidRDefault="004E539D" w:rsidP="004E539D">
      <w:pPr>
        <w:spacing w:line="240" w:lineRule="auto"/>
        <w:jc w:val="both"/>
        <w:rPr>
          <w:rFonts w:ascii="Times New Roman" w:hAnsi="Times New Roman" w:cs="Times New Roman"/>
          <w:color w:val="FF0000"/>
          <w:sz w:val="24"/>
          <w:szCs w:val="24"/>
          <w:u w:val="single"/>
        </w:rPr>
      </w:pPr>
      <w:r w:rsidRPr="00A9562D">
        <w:rPr>
          <w:rFonts w:ascii="Times New Roman" w:hAnsi="Times New Roman" w:cs="Times New Roman"/>
          <w:color w:val="FF0000"/>
          <w:sz w:val="24"/>
          <w:szCs w:val="24"/>
          <w:u w:val="single"/>
        </w:rPr>
        <w:t xml:space="preserve">Las instituciones europeas, con el BCE a la cabeza, defendieron y defienden que no había alternativa; que las entidades bancarias que se derrumbaron durante la crisis debían ser rescatadas con dinero público, y entre 2008 y 2015 esa inyección económica ya se había tragado cerca de 747.000 millones de euros, sumando distintos tipos de paquetes de rescate, recapitalizaciones y otras medidas. Un coste, en su mayoría financiado con la emisión de deuda pública, al que se </w:t>
      </w:r>
      <w:r w:rsidR="00EF04BA" w:rsidRPr="00A9562D">
        <w:rPr>
          <w:rFonts w:ascii="Times New Roman" w:hAnsi="Times New Roman" w:cs="Times New Roman"/>
          <w:color w:val="FF0000"/>
          <w:sz w:val="24"/>
          <w:szCs w:val="24"/>
          <w:u w:val="single"/>
        </w:rPr>
        <w:t>suma</w:t>
      </w:r>
      <w:r w:rsidRPr="00A9562D">
        <w:rPr>
          <w:rFonts w:ascii="Times New Roman" w:hAnsi="Times New Roman" w:cs="Times New Roman"/>
          <w:color w:val="FF0000"/>
          <w:sz w:val="24"/>
          <w:szCs w:val="24"/>
          <w:u w:val="single"/>
        </w:rPr>
        <w:t xml:space="preserve"> 1,188 billones de euros comprometidos en avales sobre la deuda emitida por las entidades financieras, por lo que el montante total subiría considerablemente…</w:t>
      </w:r>
    </w:p>
    <w:p w:rsidR="004E539D" w:rsidRPr="00C23ED6" w:rsidRDefault="004E539D" w:rsidP="004E539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23ED6">
        <w:rPr>
          <w:rFonts w:ascii="Times New Roman" w:hAnsi="Times New Roman" w:cs="Times New Roman"/>
          <w:sz w:val="24"/>
          <w:szCs w:val="24"/>
          <w:u w:val="single"/>
        </w:rPr>
        <w:t>Este es el coste del rescate al sector financiero en la UE</w:t>
      </w:r>
      <w:r>
        <w:rPr>
          <w:rFonts w:ascii="Times New Roman" w:hAnsi="Times New Roman" w:cs="Times New Roman"/>
          <w:sz w:val="24"/>
          <w:szCs w:val="24"/>
        </w:rPr>
        <w:t xml:space="preserve"> (El Blog Salmón - </w:t>
      </w:r>
      <w:r w:rsidRPr="00C23ED6">
        <w:rPr>
          <w:rFonts w:ascii="Times New Roman" w:hAnsi="Times New Roman" w:cs="Times New Roman"/>
          <w:b/>
          <w:sz w:val="24"/>
          <w:szCs w:val="24"/>
        </w:rPr>
        <w:t>13/4/17</w:t>
      </w:r>
      <w:r>
        <w:rPr>
          <w:rFonts w:ascii="Times New Roman" w:hAnsi="Times New Roman" w:cs="Times New Roman"/>
          <w:sz w:val="24"/>
          <w:szCs w:val="24"/>
        </w:rPr>
        <w:t>)</w:t>
      </w:r>
    </w:p>
    <w:p w:rsidR="004E539D" w:rsidRDefault="004E539D" w:rsidP="004E539D">
      <w:pPr>
        <w:spacing w:line="240" w:lineRule="auto"/>
        <w:jc w:val="both"/>
        <w:rPr>
          <w:rFonts w:ascii="Times New Roman" w:hAnsi="Times New Roman" w:cs="Times New Roman"/>
          <w:sz w:val="24"/>
          <w:szCs w:val="24"/>
        </w:rPr>
      </w:pPr>
      <w:r w:rsidRPr="00C23ED6">
        <w:rPr>
          <w:rFonts w:ascii="Times New Roman" w:hAnsi="Times New Roman" w:cs="Times New Roman"/>
          <w:sz w:val="24"/>
          <w:szCs w:val="24"/>
        </w:rPr>
        <w:t>Con el estallido de la crisis a partir de 2008, se pusieron en marcha un elevado número de ayudas para sostener el sistema bancario a escala global. Si nos centramos en la Unión Europea, gran parte de los países han solucionado los problemas bancarios cargándolo al bolsillo del contribuyente, mediante las cuentas públicas</w:t>
      </w:r>
      <w:r>
        <w:rPr>
          <w:rFonts w:ascii="Times New Roman" w:hAnsi="Times New Roman" w:cs="Times New Roman"/>
          <w:sz w:val="24"/>
          <w:szCs w:val="24"/>
        </w:rPr>
        <w:t>…</w:t>
      </w:r>
    </w:p>
    <w:p w:rsidR="004E539D" w:rsidRPr="00C23ED6" w:rsidRDefault="004E539D" w:rsidP="004E539D">
      <w:pPr>
        <w:spacing w:line="240" w:lineRule="auto"/>
        <w:jc w:val="both"/>
        <w:rPr>
          <w:rFonts w:ascii="Times New Roman" w:hAnsi="Times New Roman" w:cs="Times New Roman"/>
          <w:sz w:val="24"/>
          <w:szCs w:val="24"/>
        </w:rPr>
      </w:pPr>
      <w:r w:rsidRPr="00C23ED6">
        <w:rPr>
          <w:rFonts w:ascii="Times New Roman" w:hAnsi="Times New Roman" w:cs="Times New Roman"/>
          <w:sz w:val="24"/>
          <w:szCs w:val="24"/>
        </w:rPr>
        <w:t>La factura de los rescates</w:t>
      </w:r>
    </w:p>
    <w:p w:rsidR="004E539D" w:rsidRPr="00C23ED6" w:rsidRDefault="004E539D" w:rsidP="004E539D">
      <w:pPr>
        <w:spacing w:line="240" w:lineRule="auto"/>
        <w:jc w:val="both"/>
        <w:rPr>
          <w:rFonts w:ascii="Times New Roman" w:hAnsi="Times New Roman" w:cs="Times New Roman"/>
          <w:sz w:val="24"/>
          <w:szCs w:val="24"/>
        </w:rPr>
      </w:pPr>
      <w:r w:rsidRPr="00C23ED6">
        <w:rPr>
          <w:rFonts w:ascii="Times New Roman" w:hAnsi="Times New Roman" w:cs="Times New Roman"/>
          <w:sz w:val="24"/>
          <w:szCs w:val="24"/>
        </w:rPr>
        <w:t xml:space="preserve">Vayamos con los datos incómodos... </w:t>
      </w:r>
      <w:r w:rsidRPr="00A9562D">
        <w:rPr>
          <w:rFonts w:ascii="Times New Roman" w:hAnsi="Times New Roman" w:cs="Times New Roman"/>
          <w:color w:val="FF0000"/>
          <w:sz w:val="24"/>
          <w:szCs w:val="24"/>
          <w:u w:val="single"/>
        </w:rPr>
        <w:t>Para la resolución del rescate bancario se ha aprobado desde la UE un total de 820.900 millones de euros</w:t>
      </w:r>
      <w:r w:rsidRPr="00C23ED6">
        <w:rPr>
          <w:rFonts w:ascii="Times New Roman" w:hAnsi="Times New Roman" w:cs="Times New Roman"/>
          <w:sz w:val="24"/>
          <w:szCs w:val="24"/>
        </w:rPr>
        <w:t>. De este importe, han sido utilizados 465.600 millones de euros para el sistema bancario. En términos de PIB, los fondos utilizados equivaldrían al 3,3</w:t>
      </w:r>
      <w:r>
        <w:rPr>
          <w:rFonts w:ascii="Times New Roman" w:hAnsi="Times New Roman" w:cs="Times New Roman"/>
          <w:sz w:val="24"/>
          <w:szCs w:val="24"/>
        </w:rPr>
        <w:t>1% del PIB de la Unión Europea.</w:t>
      </w:r>
    </w:p>
    <w:p w:rsidR="004E539D" w:rsidRDefault="004E539D" w:rsidP="004E539D">
      <w:pPr>
        <w:spacing w:line="240" w:lineRule="auto"/>
        <w:jc w:val="both"/>
        <w:rPr>
          <w:rFonts w:ascii="Times New Roman" w:hAnsi="Times New Roman" w:cs="Times New Roman"/>
          <w:sz w:val="24"/>
          <w:szCs w:val="24"/>
        </w:rPr>
      </w:pPr>
      <w:r w:rsidRPr="00C23ED6">
        <w:rPr>
          <w:rFonts w:ascii="Times New Roman" w:hAnsi="Times New Roman" w:cs="Times New Roman"/>
          <w:sz w:val="24"/>
          <w:szCs w:val="24"/>
        </w:rPr>
        <w:t>Los países en los que más ha aumentado la deuda pública, en términos absolutos, como consecuencia del rescate financiero han sido: Alemania (225.000 millones de euros), Reino Unido (131.000 millones), Irlanda (unos 58.000 millones), España (cerca de 52.000 millones), Grecia (45.000 millones), Austria (37.000 millones) y Países Bajos (30.000 millones)</w:t>
      </w:r>
      <w:r>
        <w:rPr>
          <w:rFonts w:ascii="Times New Roman" w:hAnsi="Times New Roman" w:cs="Times New Roman"/>
          <w:sz w:val="24"/>
          <w:szCs w:val="24"/>
        </w:rPr>
        <w:t>…</w:t>
      </w:r>
    </w:p>
    <w:p w:rsidR="004E539D" w:rsidRPr="00770885" w:rsidRDefault="004E539D" w:rsidP="004E539D">
      <w:pPr>
        <w:shd w:val="clear" w:color="auto" w:fill="FFFFFF"/>
        <w:spacing w:after="0" w:line="420" w:lineRule="atLeast"/>
        <w:jc w:val="center"/>
        <w:rPr>
          <w:rFonts w:ascii="Segoe UI" w:eastAsia="Times New Roman" w:hAnsi="Segoe UI" w:cs="Segoe UI"/>
          <w:color w:val="333333"/>
          <w:sz w:val="24"/>
          <w:szCs w:val="24"/>
          <w:lang w:eastAsia="es-ES"/>
        </w:rPr>
      </w:pPr>
      <w:r>
        <w:rPr>
          <w:rFonts w:ascii="Segoe UI" w:eastAsia="Times New Roman" w:hAnsi="Segoe UI" w:cs="Segoe UI"/>
          <w:noProof/>
          <w:color w:val="333333"/>
          <w:sz w:val="24"/>
          <w:szCs w:val="24"/>
          <w:lang w:eastAsia="es-ES"/>
        </w:rPr>
        <w:lastRenderedPageBreak/>
        <w:drawing>
          <wp:inline distT="0" distB="0" distL="0" distR="0" wp14:anchorId="495B45AE" wp14:editId="4D8CF343">
            <wp:extent cx="4286250" cy="1892300"/>
            <wp:effectExtent l="0" t="0" r="0" b="0"/>
            <wp:docPr id="236" name="Imagen 236" descr="Resc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cat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286250" cy="1892300"/>
                    </a:xfrm>
                    <a:prstGeom prst="rect">
                      <a:avLst/>
                    </a:prstGeom>
                    <a:noFill/>
                    <a:ln>
                      <a:noFill/>
                    </a:ln>
                  </pic:spPr>
                </pic:pic>
              </a:graphicData>
            </a:graphic>
          </wp:inline>
        </w:drawing>
      </w:r>
    </w:p>
    <w:p w:rsidR="004E539D" w:rsidRPr="00A9562D" w:rsidRDefault="004E539D" w:rsidP="004E539D">
      <w:pPr>
        <w:spacing w:line="240" w:lineRule="auto"/>
        <w:jc w:val="both"/>
        <w:rPr>
          <w:rFonts w:ascii="Times New Roman" w:hAnsi="Times New Roman" w:cs="Times New Roman"/>
          <w:sz w:val="24"/>
          <w:szCs w:val="24"/>
          <w:u w:val="single"/>
        </w:rPr>
      </w:pPr>
      <w:r w:rsidRPr="00A9562D">
        <w:rPr>
          <w:rFonts w:ascii="Times New Roman" w:hAnsi="Times New Roman" w:cs="Times New Roman"/>
          <w:sz w:val="24"/>
          <w:szCs w:val="24"/>
          <w:u w:val="single"/>
        </w:rPr>
        <w:t>En enero de 2016 entró en vigor la regulación bail-in que conlleva que antes de recurrir a financiación externa, las entidades han de utilizar al menos el 8% de su pasivo total para absorber sus problemas de capitalización.</w:t>
      </w:r>
    </w:p>
    <w:p w:rsidR="004E539D" w:rsidRPr="00770885" w:rsidRDefault="004E539D" w:rsidP="004E539D">
      <w:pPr>
        <w:spacing w:line="240" w:lineRule="auto"/>
        <w:jc w:val="both"/>
        <w:rPr>
          <w:rFonts w:ascii="Times New Roman" w:hAnsi="Times New Roman" w:cs="Times New Roman"/>
          <w:sz w:val="24"/>
          <w:szCs w:val="24"/>
        </w:rPr>
      </w:pPr>
      <w:r w:rsidRPr="00770885">
        <w:rPr>
          <w:rFonts w:ascii="Times New Roman" w:hAnsi="Times New Roman" w:cs="Times New Roman"/>
          <w:sz w:val="24"/>
          <w:szCs w:val="24"/>
        </w:rPr>
        <w:t>Esto significa que en la práctica se sigue un orden de jerarquía de la que no quedarían excluidos los acreedores de deuda senior no garantizada. También se prevé un requisito mínimo de pasivos elegibles que garantice finalmente la eficacia de los procesos de imposición de pérdidas (este requisito</w:t>
      </w:r>
      <w:r>
        <w:rPr>
          <w:rFonts w:ascii="Times New Roman" w:hAnsi="Times New Roman" w:cs="Times New Roman"/>
          <w:sz w:val="24"/>
          <w:szCs w:val="24"/>
        </w:rPr>
        <w:t xml:space="preserve"> aún no ha quedado concretado).</w:t>
      </w:r>
    </w:p>
    <w:p w:rsidR="004E539D" w:rsidRPr="00770885" w:rsidRDefault="004E539D" w:rsidP="004E539D">
      <w:pPr>
        <w:spacing w:line="240" w:lineRule="auto"/>
        <w:jc w:val="both"/>
        <w:rPr>
          <w:rFonts w:ascii="Times New Roman" w:hAnsi="Times New Roman" w:cs="Times New Roman"/>
          <w:sz w:val="24"/>
          <w:szCs w:val="24"/>
        </w:rPr>
      </w:pPr>
      <w:r w:rsidRPr="00770885">
        <w:rPr>
          <w:rFonts w:ascii="Times New Roman" w:hAnsi="Times New Roman" w:cs="Times New Roman"/>
          <w:sz w:val="24"/>
          <w:szCs w:val="24"/>
        </w:rPr>
        <w:t>Tiene todo el sentido del mundo una regulación que apueste por el sistema de rescate b</w:t>
      </w:r>
      <w:r w:rsidR="00EF04BA">
        <w:rPr>
          <w:rFonts w:ascii="Times New Roman" w:hAnsi="Times New Roman" w:cs="Times New Roman"/>
          <w:sz w:val="24"/>
          <w:szCs w:val="24"/>
        </w:rPr>
        <w:t>ail-in, frente a la metodología</w:t>
      </w:r>
      <w:r w:rsidRPr="00770885">
        <w:rPr>
          <w:rFonts w:ascii="Times New Roman" w:hAnsi="Times New Roman" w:cs="Times New Roman"/>
          <w:sz w:val="24"/>
          <w:szCs w:val="24"/>
        </w:rPr>
        <w:t xml:space="preserve"> bail-out a cargo del contribuyente para aislar las re</w:t>
      </w:r>
      <w:r>
        <w:rPr>
          <w:rFonts w:ascii="Times New Roman" w:hAnsi="Times New Roman" w:cs="Times New Roman"/>
          <w:sz w:val="24"/>
          <w:szCs w:val="24"/>
        </w:rPr>
        <w:t>sponsabilidades en una entidad.</w:t>
      </w:r>
    </w:p>
    <w:p w:rsidR="004E539D" w:rsidRPr="00770885" w:rsidRDefault="004E539D" w:rsidP="004E539D">
      <w:pPr>
        <w:spacing w:line="240" w:lineRule="auto"/>
        <w:jc w:val="both"/>
        <w:rPr>
          <w:rFonts w:ascii="Times New Roman" w:hAnsi="Times New Roman" w:cs="Times New Roman"/>
          <w:sz w:val="24"/>
          <w:szCs w:val="24"/>
        </w:rPr>
      </w:pPr>
      <w:r w:rsidRPr="00770885">
        <w:rPr>
          <w:rFonts w:ascii="Times New Roman" w:hAnsi="Times New Roman" w:cs="Times New Roman"/>
          <w:sz w:val="24"/>
          <w:szCs w:val="24"/>
        </w:rPr>
        <w:t>Los accionistas deben de sufrir el primer golpe, porque saben que están arriesgando su dinero al ser los propietarios de banco. Si eso no es suficiente para estabilizar el banco, los tenedores de bonos subordinados deben intensificar las pérdidas por la vinculación a las inversione</w:t>
      </w:r>
      <w:r>
        <w:rPr>
          <w:rFonts w:ascii="Times New Roman" w:hAnsi="Times New Roman" w:cs="Times New Roman"/>
          <w:sz w:val="24"/>
          <w:szCs w:val="24"/>
        </w:rPr>
        <w:t>s arriesgadas sobre la entidad.</w:t>
      </w:r>
    </w:p>
    <w:p w:rsidR="004E539D" w:rsidRDefault="004E539D" w:rsidP="004E539D">
      <w:pPr>
        <w:spacing w:line="240" w:lineRule="auto"/>
        <w:jc w:val="both"/>
        <w:rPr>
          <w:rFonts w:ascii="Times New Roman" w:hAnsi="Times New Roman" w:cs="Times New Roman"/>
          <w:sz w:val="24"/>
          <w:szCs w:val="24"/>
        </w:rPr>
      </w:pPr>
      <w:r w:rsidRPr="00770885">
        <w:rPr>
          <w:rFonts w:ascii="Times New Roman" w:hAnsi="Times New Roman" w:cs="Times New Roman"/>
          <w:sz w:val="24"/>
          <w:szCs w:val="24"/>
        </w:rPr>
        <w:t>Si con todo ello no fuera suficiente, los tenedores de bonos senior convierten la deuda en capital y, en último lugar, serían los depositantes no asegurados a quiénes se les repercuta el proceso (la UE se refiere a aquellos depositantes con más de 100.000 euros)</w:t>
      </w:r>
      <w:r w:rsidR="005B722D">
        <w:rPr>
          <w:rFonts w:ascii="Times New Roman" w:hAnsi="Times New Roman" w:cs="Times New Roman"/>
          <w:sz w:val="24"/>
          <w:szCs w:val="24"/>
        </w:rPr>
        <w:t>…</w:t>
      </w:r>
    </w:p>
    <w:p w:rsidR="004E539D" w:rsidRDefault="004E539D" w:rsidP="004E539D">
      <w:pPr>
        <w:shd w:val="clear" w:color="auto" w:fill="FFFFFF"/>
        <w:spacing w:line="420" w:lineRule="atLeast"/>
        <w:jc w:val="center"/>
        <w:rPr>
          <w:rFonts w:ascii="Segoe UI" w:hAnsi="Segoe UI" w:cs="Segoe UI"/>
          <w:color w:val="333333"/>
          <w:sz w:val="24"/>
          <w:szCs w:val="24"/>
        </w:rPr>
      </w:pPr>
      <w:r>
        <w:rPr>
          <w:rFonts w:ascii="Segoe UI" w:hAnsi="Segoe UI" w:cs="Segoe UI"/>
          <w:noProof/>
          <w:color w:val="333333"/>
          <w:lang w:eastAsia="es-ES"/>
        </w:rPr>
        <w:drawing>
          <wp:inline distT="0" distB="0" distL="0" distR="0" wp14:anchorId="335D1D05" wp14:editId="162F0DD4">
            <wp:extent cx="4286250" cy="1619250"/>
            <wp:effectExtent l="0" t="0" r="0" b="0"/>
            <wp:docPr id="237" name="Imagen 237" descr="Banking 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nking Crisis"/>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286250" cy="1619250"/>
                    </a:xfrm>
                    <a:prstGeom prst="rect">
                      <a:avLst/>
                    </a:prstGeom>
                    <a:noFill/>
                    <a:ln>
                      <a:noFill/>
                    </a:ln>
                  </pic:spPr>
                </pic:pic>
              </a:graphicData>
            </a:graphic>
          </wp:inline>
        </w:drawing>
      </w:r>
    </w:p>
    <w:p w:rsidR="004E539D" w:rsidRPr="00C23ED6" w:rsidRDefault="004E539D" w:rsidP="004E539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23ED6">
        <w:rPr>
          <w:rFonts w:ascii="Times New Roman" w:hAnsi="Times New Roman" w:cs="Times New Roman"/>
          <w:sz w:val="24"/>
          <w:szCs w:val="24"/>
          <w:u w:val="single"/>
        </w:rPr>
        <w:t>La Reserva Federal pone fin a los estímulos económicos en EEUU y mantiene los tipos de interés</w:t>
      </w:r>
      <w:r>
        <w:rPr>
          <w:rFonts w:ascii="Times New Roman" w:hAnsi="Times New Roman" w:cs="Times New Roman"/>
          <w:sz w:val="24"/>
          <w:szCs w:val="24"/>
        </w:rPr>
        <w:t xml:space="preserve"> (El Mundo - </w:t>
      </w:r>
      <w:r w:rsidRPr="00C23ED6">
        <w:rPr>
          <w:rFonts w:ascii="Times New Roman" w:hAnsi="Times New Roman" w:cs="Times New Roman"/>
          <w:b/>
          <w:sz w:val="24"/>
          <w:szCs w:val="24"/>
        </w:rPr>
        <w:t>20/9/17</w:t>
      </w:r>
      <w:r>
        <w:rPr>
          <w:rFonts w:ascii="Times New Roman" w:hAnsi="Times New Roman" w:cs="Times New Roman"/>
          <w:sz w:val="24"/>
          <w:szCs w:val="24"/>
        </w:rPr>
        <w:t>)</w:t>
      </w:r>
    </w:p>
    <w:p w:rsidR="005B722D" w:rsidRDefault="004E539D" w:rsidP="004E539D">
      <w:pPr>
        <w:spacing w:line="240" w:lineRule="auto"/>
        <w:jc w:val="both"/>
        <w:rPr>
          <w:rFonts w:ascii="Times New Roman" w:hAnsi="Times New Roman" w:cs="Times New Roman"/>
          <w:color w:val="FF0000"/>
          <w:sz w:val="24"/>
          <w:szCs w:val="24"/>
          <w:u w:val="single"/>
        </w:rPr>
      </w:pPr>
      <w:r w:rsidRPr="00A9562D">
        <w:rPr>
          <w:rFonts w:ascii="Times New Roman" w:hAnsi="Times New Roman" w:cs="Times New Roman"/>
          <w:color w:val="FF0000"/>
          <w:sz w:val="24"/>
          <w:szCs w:val="24"/>
          <w:u w:val="single"/>
        </w:rPr>
        <w:t>La Reserva Federal empezará el mes que viene una operación sin precedentes en la Historia de la economía mundial: la reducción de la gigantesca cartera 4,4 billones de dólares (casi 3,7 millones de euros) de activos financieros. Casi un 80% de esa cantidad ha sido adquirida por el banco central desde que en 2008 estalló la crisis financiera mundial, en un esfuerzo nunca visto por la economía mundial de activismo de una institución monetaria para reactivar la economía. Ahora, toca vender eso en el mercado…</w:t>
      </w:r>
    </w:p>
    <w:p w:rsidR="00A868F7" w:rsidRDefault="00A868F7" w:rsidP="00A868F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¿Q</w:t>
      </w:r>
      <w:r w:rsidRPr="007730F7">
        <w:rPr>
          <w:rFonts w:ascii="Times New Roman" w:hAnsi="Times New Roman" w:cs="Times New Roman"/>
          <w:b/>
          <w:sz w:val="24"/>
          <w:szCs w:val="24"/>
        </w:rPr>
        <w:t>ué herramientas</w:t>
      </w:r>
      <w:r>
        <w:rPr>
          <w:rFonts w:ascii="Times New Roman" w:hAnsi="Times New Roman" w:cs="Times New Roman"/>
          <w:b/>
          <w:sz w:val="24"/>
          <w:szCs w:val="24"/>
        </w:rPr>
        <w:t xml:space="preserve"> -monetarias y fiscales- le</w:t>
      </w:r>
      <w:r w:rsidRPr="007730F7">
        <w:rPr>
          <w:rFonts w:ascii="Times New Roman" w:hAnsi="Times New Roman" w:cs="Times New Roman"/>
          <w:b/>
          <w:sz w:val="24"/>
          <w:szCs w:val="24"/>
        </w:rPr>
        <w:t xml:space="preserve"> quedan</w:t>
      </w:r>
      <w:r>
        <w:rPr>
          <w:rFonts w:ascii="Times New Roman" w:hAnsi="Times New Roman" w:cs="Times New Roman"/>
          <w:b/>
          <w:sz w:val="24"/>
          <w:szCs w:val="24"/>
        </w:rPr>
        <w:t xml:space="preserve"> al Banco Central Europeo y al Sector Público, de los países miembro de la euro-zona, para hacerle frente a la próxima recesión? ¿alcanzará el “gas de la risa” para mantener el “índice de alegría”</w:t>
      </w:r>
    </w:p>
    <w:p w:rsidR="00A868F7" w:rsidRPr="00045158" w:rsidRDefault="00A868F7" w:rsidP="00A868F7">
      <w:pPr>
        <w:spacing w:line="240" w:lineRule="auto"/>
        <w:jc w:val="both"/>
        <w:rPr>
          <w:rFonts w:ascii="Times New Roman" w:hAnsi="Times New Roman" w:cs="Times New Roman"/>
          <w:b/>
          <w:sz w:val="24"/>
          <w:szCs w:val="24"/>
        </w:rPr>
      </w:pPr>
    </w:p>
    <w:p w:rsidR="00A868F7" w:rsidRDefault="00A868F7" w:rsidP="00A868F7">
      <w:pPr>
        <w:spacing w:line="240" w:lineRule="auto"/>
        <w:jc w:val="both"/>
        <w:rPr>
          <w:rFonts w:ascii="Times New Roman" w:hAnsi="Times New Roman" w:cs="Times New Roman"/>
          <w:b/>
          <w:sz w:val="24"/>
          <w:szCs w:val="24"/>
        </w:rPr>
      </w:pPr>
      <w:r>
        <w:rPr>
          <w:noProof/>
          <w:lang w:eastAsia="es-ES"/>
        </w:rPr>
        <w:drawing>
          <wp:inline distT="0" distB="0" distL="0" distR="0" wp14:anchorId="1B8205FF" wp14:editId="662CB830">
            <wp:extent cx="5731510" cy="3221990"/>
            <wp:effectExtent l="0" t="0" r="2540" b="0"/>
            <wp:docPr id="6" name="Imagen 6" descr="https://webapi.project-syndicate.org/library/4b5c414f618f2c84a247611985386d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4b5c414f618f2c84a247611985386d54.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A868F7" w:rsidRPr="00A9562D" w:rsidRDefault="00A868F7" w:rsidP="00A868F7">
      <w:pPr>
        <w:spacing w:line="240" w:lineRule="auto"/>
        <w:jc w:val="both"/>
        <w:rPr>
          <w:rFonts w:ascii="Times New Roman" w:hAnsi="Times New Roman" w:cs="Times New Roman"/>
          <w:color w:val="FF0000"/>
          <w:sz w:val="24"/>
          <w:szCs w:val="24"/>
          <w:u w:val="single"/>
        </w:rPr>
      </w:pP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0F3392">
        <w:rPr>
          <w:rFonts w:ascii="Times New Roman" w:hAnsi="Times New Roman" w:cs="Times New Roman"/>
          <w:sz w:val="24"/>
          <w:szCs w:val="24"/>
        </w:rPr>
        <w:t>a respuesta durante la Gran Recesión fue utilizar deuda pública para su</w:t>
      </w:r>
      <w:r>
        <w:rPr>
          <w:rFonts w:ascii="Times New Roman" w:hAnsi="Times New Roman" w:cs="Times New Roman"/>
          <w:sz w:val="24"/>
          <w:szCs w:val="24"/>
        </w:rPr>
        <w:t>stituir deuda privada insegura -</w:t>
      </w:r>
      <w:r w:rsidRPr="000F3392">
        <w:rPr>
          <w:rFonts w:ascii="Times New Roman" w:hAnsi="Times New Roman" w:cs="Times New Roman"/>
          <w:sz w:val="24"/>
          <w:szCs w:val="24"/>
        </w:rPr>
        <w:t>una intervención que resultaría sostenible siempre y cuando las tasas de interés se mantuvieran bajas.</w:t>
      </w:r>
    </w:p>
    <w:p w:rsidR="00A868F7" w:rsidRDefault="00A868F7" w:rsidP="00A868F7">
      <w:pPr>
        <w:spacing w:line="240" w:lineRule="auto"/>
        <w:jc w:val="both"/>
        <w:rPr>
          <w:rFonts w:ascii="Times New Roman" w:hAnsi="Times New Roman" w:cs="Times New Roman"/>
          <w:sz w:val="24"/>
          <w:szCs w:val="24"/>
        </w:rPr>
      </w:pPr>
      <w:r w:rsidRPr="001A28F3">
        <w:rPr>
          <w:rFonts w:ascii="Times New Roman" w:hAnsi="Times New Roman" w:cs="Times New Roman"/>
          <w:sz w:val="24"/>
          <w:szCs w:val="24"/>
        </w:rPr>
        <w:t>Al principio, la crisis de 2008 fue considerada en términos generales como un desastre norteamericano por excelencia, debido a la combinación existente en el país de finanzas impulsadas por testosterona y una tendencia a promover la propiedad de viviendas inclusive entre quienes no tienen los medios para afrontarlo. Sólo poco a poco se fue reconociendo como una cuestión verdaderamente transatlántica. Como demostraron posteriormente los economistas Hyun Song Shin y Tamim Bayoumi, los bancos europeos sobredimensionados y mal regulados desempeñaron un papel clave en la acumulación de riesgo</w:t>
      </w:r>
      <w:r>
        <w:rPr>
          <w:rFonts w:ascii="Times New Roman" w:hAnsi="Times New Roman" w:cs="Times New Roman"/>
          <w:sz w:val="24"/>
          <w:szCs w:val="24"/>
        </w:rPr>
        <w:t xml:space="preserve"> en todo el sistema financiero.</w:t>
      </w:r>
    </w:p>
    <w:p w:rsidR="00A868F7" w:rsidRDefault="00A868F7" w:rsidP="00A868F7">
      <w:pPr>
        <w:spacing w:line="240" w:lineRule="auto"/>
        <w:jc w:val="both"/>
        <w:rPr>
          <w:rFonts w:ascii="Times New Roman" w:hAnsi="Times New Roman" w:cs="Times New Roman"/>
          <w:sz w:val="24"/>
          <w:szCs w:val="24"/>
        </w:rPr>
      </w:pPr>
      <w:r w:rsidRPr="001A28F3">
        <w:rPr>
          <w:rFonts w:ascii="Times New Roman" w:hAnsi="Times New Roman" w:cs="Times New Roman"/>
          <w:sz w:val="24"/>
          <w:szCs w:val="24"/>
        </w:rPr>
        <w:t xml:space="preserve">La crisis fue el resultado de intensificar el cortoplacismo en los mercados financieros. Mientras que los bancos querían deshacerse de productos titularizados antes de que se volvieran tóxicos, otros participantes del mercado buscaban ganar con apuestas de corto plazo, prestándole poca atención a la viabilidad a más largo plazo de la inversión. En este sentido, la volatilidad era deseable, ya que creaba nuevas </w:t>
      </w:r>
      <w:r>
        <w:rPr>
          <w:rFonts w:ascii="Times New Roman" w:hAnsi="Times New Roman" w:cs="Times New Roman"/>
          <w:sz w:val="24"/>
          <w:szCs w:val="24"/>
        </w:rPr>
        <w:t>oportunidades de salir ganando.</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Balance del Eurosistema (post-crisis) al final del año 2017:</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El tamaño del Balance del Eurosistema había alcanzado un máximo histórico de 4,5 billones de euros.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Las partidas relacionadas con la política monetaria ascendían a 3,2 billones de euros.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préstamos a entidades de crédito representaban el 17% de los activos totales.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Los valores adquiridos con fines de política monetaria representaban el 53% de los activos totales.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A efectos comparativos: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El tamaño del Balance de la Fed había alcanzado los 4,4 billones de dólares.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La deuda del mundo aumentó 57 billones de dólares.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La deuda pública aumentó 27 billones de dólares (19 billones en las economías avanzadas).</w:t>
      </w:r>
    </w:p>
    <w:p w:rsidR="00A868F7" w:rsidRDefault="00A868F7" w:rsidP="00A868F7">
      <w:pPr>
        <w:spacing w:line="240" w:lineRule="auto"/>
        <w:jc w:val="both"/>
        <w:rPr>
          <w:rFonts w:ascii="Times New Roman" w:hAnsi="Times New Roman" w:cs="Times New Roman"/>
          <w:sz w:val="24"/>
          <w:szCs w:val="24"/>
        </w:rPr>
      </w:pPr>
      <w:r>
        <w:rPr>
          <w:rFonts w:ascii="Times New Roman" w:hAnsi="Times New Roman" w:cs="Times New Roman"/>
          <w:sz w:val="24"/>
          <w:szCs w:val="24"/>
        </w:rPr>
        <w:t>La deuda consolidada del sistema equivale al 440% del PIB.</w:t>
      </w:r>
    </w:p>
    <w:p w:rsidR="00A868F7" w:rsidRPr="00045158" w:rsidRDefault="00A868F7" w:rsidP="00A868F7">
      <w:pPr>
        <w:spacing w:line="240" w:lineRule="auto"/>
        <w:jc w:val="both"/>
        <w:rPr>
          <w:rFonts w:ascii="Times New Roman" w:hAnsi="Times New Roman" w:cs="Times New Roman"/>
          <w:b/>
          <w:sz w:val="24"/>
          <w:szCs w:val="24"/>
        </w:rPr>
      </w:pPr>
      <w:r w:rsidRPr="00045158">
        <w:rPr>
          <w:rFonts w:ascii="Times New Roman" w:hAnsi="Times New Roman" w:cs="Times New Roman"/>
          <w:b/>
          <w:sz w:val="24"/>
          <w:szCs w:val="24"/>
        </w:rPr>
        <w:t>¿Qué pasará en la próxima recesión</w:t>
      </w:r>
      <w:r w:rsidR="003F5272">
        <w:rPr>
          <w:rFonts w:ascii="Times New Roman" w:hAnsi="Times New Roman" w:cs="Times New Roman"/>
          <w:b/>
          <w:sz w:val="24"/>
          <w:szCs w:val="24"/>
        </w:rPr>
        <w:t xml:space="preserve"> / depresión</w:t>
      </w:r>
      <w:r w:rsidRPr="00045158">
        <w:rPr>
          <w:rFonts w:ascii="Times New Roman" w:hAnsi="Times New Roman" w:cs="Times New Roman"/>
          <w:b/>
          <w:sz w:val="24"/>
          <w:szCs w:val="24"/>
        </w:rPr>
        <w:t>? ¿Qué herramientas tendrán los bancos centrales (en especial el BCE) para enfrentar la crisis? ¿Cuáles son las opciones disponibles? ¿Qué margen de maniobra hay? ¿Qué saldo queda en el balance</w:t>
      </w:r>
      <w:r w:rsidR="00E2080B">
        <w:rPr>
          <w:rFonts w:ascii="Times New Roman" w:hAnsi="Times New Roman" w:cs="Times New Roman"/>
          <w:b/>
          <w:sz w:val="24"/>
          <w:szCs w:val="24"/>
        </w:rPr>
        <w:t xml:space="preserve"> monetario</w:t>
      </w:r>
      <w:r w:rsidRPr="00045158">
        <w:rPr>
          <w:rFonts w:ascii="Times New Roman" w:hAnsi="Times New Roman" w:cs="Times New Roman"/>
          <w:b/>
          <w:sz w:val="24"/>
          <w:szCs w:val="24"/>
        </w:rPr>
        <w:t>?</w:t>
      </w:r>
    </w:p>
    <w:p w:rsidR="00A868F7" w:rsidRPr="00045158" w:rsidRDefault="00A868F7" w:rsidP="00A868F7">
      <w:pPr>
        <w:spacing w:line="240" w:lineRule="auto"/>
        <w:jc w:val="both"/>
        <w:rPr>
          <w:rFonts w:ascii="Times New Roman" w:hAnsi="Times New Roman" w:cs="Times New Roman"/>
          <w:sz w:val="24"/>
          <w:szCs w:val="24"/>
          <w:shd w:val="clear" w:color="auto" w:fill="FFFFFF"/>
        </w:rPr>
      </w:pPr>
      <w:r w:rsidRPr="00045158">
        <w:rPr>
          <w:rFonts w:ascii="Times New Roman" w:hAnsi="Times New Roman" w:cs="Times New Roman"/>
          <w:sz w:val="24"/>
          <w:szCs w:val="24"/>
          <w:shd w:val="clear" w:color="auto" w:fill="FFFFFF"/>
        </w:rPr>
        <w:t>Vista la experiencia histórica de los 10 últimos años (la década perdida) es errado el razonamiento que con el crecimiento económico el gasto público va a terminar licuándose sobre el PBI. La realidad es que el PBI no puede crecer en forma sostenida mientras no haya inversiones y no habrá inversiones con esta carga impositiva confiscatoria, la que a su vez es consecuencia del nivel de gasto público.</w:t>
      </w:r>
    </w:p>
    <w:p w:rsidR="00A868F7" w:rsidRPr="00045158" w:rsidRDefault="00A868F7" w:rsidP="00A868F7">
      <w:pPr>
        <w:spacing w:line="240" w:lineRule="auto"/>
        <w:jc w:val="both"/>
        <w:rPr>
          <w:rFonts w:ascii="Times New Roman" w:hAnsi="Times New Roman" w:cs="Times New Roman"/>
          <w:b/>
          <w:sz w:val="24"/>
          <w:szCs w:val="24"/>
          <w:shd w:val="clear" w:color="auto" w:fill="FFFFFF"/>
        </w:rPr>
      </w:pPr>
      <w:r w:rsidRPr="00045158">
        <w:rPr>
          <w:rFonts w:ascii="Times New Roman" w:hAnsi="Times New Roman" w:cs="Times New Roman"/>
          <w:sz w:val="24"/>
          <w:szCs w:val="24"/>
          <w:shd w:val="clear" w:color="auto" w:fill="FFFFFF"/>
        </w:rPr>
        <w:t>Todo esto se produce en un </w:t>
      </w:r>
      <w:r w:rsidRPr="00045158">
        <w:rPr>
          <w:rStyle w:val="Textoennegrita"/>
          <w:rFonts w:ascii="Times New Roman" w:hAnsi="Times New Roman" w:cs="Times New Roman"/>
          <w:b w:val="0"/>
          <w:sz w:val="24"/>
          <w:szCs w:val="24"/>
          <w:bdr w:val="none" w:sz="0" w:space="0" w:color="auto" w:frame="1"/>
          <w:shd w:val="clear" w:color="auto" w:fill="FFFFFF"/>
        </w:rPr>
        <w:t>contexto económico que se está complicando</w:t>
      </w:r>
      <w:r w:rsidRPr="00045158">
        <w:rPr>
          <w:rFonts w:ascii="Times New Roman" w:hAnsi="Times New Roman" w:cs="Times New Roman"/>
          <w:b/>
          <w:sz w:val="24"/>
          <w:szCs w:val="24"/>
          <w:shd w:val="clear" w:color="auto" w:fill="FFFFFF"/>
        </w:rPr>
        <w:t>.</w:t>
      </w:r>
    </w:p>
    <w:p w:rsidR="00A868F7" w:rsidRDefault="00A868F7" w:rsidP="00A868F7">
      <w:pPr>
        <w:spacing w:line="240" w:lineRule="auto"/>
        <w:jc w:val="both"/>
        <w:rPr>
          <w:rFonts w:ascii="Times New Roman" w:hAnsi="Times New Roman" w:cs="Times New Roman"/>
          <w:sz w:val="24"/>
          <w:szCs w:val="24"/>
          <w:shd w:val="clear" w:color="auto" w:fill="FFFFFF"/>
        </w:rPr>
      </w:pPr>
      <w:r w:rsidRPr="00045158">
        <w:rPr>
          <w:rFonts w:ascii="Times New Roman" w:hAnsi="Times New Roman" w:cs="Times New Roman"/>
          <w:sz w:val="24"/>
          <w:szCs w:val="24"/>
          <w:shd w:val="clear" w:color="auto" w:fill="FFFFFF"/>
        </w:rPr>
        <w:t>Los dos bancos centrales más relevantes para los intereses europeos, el BCE y la Fed, han anunciado cambios importantes. </w:t>
      </w:r>
      <w:hyperlink r:id="rId117" w:tgtFrame="_self" w:history="1">
        <w:r w:rsidRPr="00045158">
          <w:rPr>
            <w:rStyle w:val="Hipervnculo"/>
            <w:rFonts w:ascii="Times New Roman" w:hAnsi="Times New Roman" w:cs="Times New Roman"/>
            <w:bCs/>
            <w:color w:val="auto"/>
            <w:sz w:val="24"/>
            <w:szCs w:val="24"/>
            <w:u w:val="none"/>
            <w:shd w:val="clear" w:color="auto" w:fill="FFFFFF"/>
          </w:rPr>
          <w:t>La Fed está ya subiendo los tipos de interés</w:t>
        </w:r>
      </w:hyperlink>
      <w:r w:rsidRPr="00045158">
        <w:rPr>
          <w:rFonts w:ascii="Times New Roman" w:hAnsi="Times New Roman" w:cs="Times New Roman"/>
          <w:sz w:val="24"/>
          <w:szCs w:val="24"/>
          <w:shd w:val="clear" w:color="auto" w:fill="FFFFFF"/>
        </w:rPr>
        <w:t>, con las ya (desgraciadamente) habituales consecuencias sobre las economías que continúan sobreendeudándose en dólares. EL BCE anunció en su consejo en Riga de junio (2018) que </w:t>
      </w:r>
      <w:hyperlink r:id="rId118" w:tgtFrame="_self" w:history="1">
        <w:r w:rsidRPr="00045158">
          <w:rPr>
            <w:rStyle w:val="Hipervnculo"/>
            <w:rFonts w:ascii="Times New Roman" w:hAnsi="Times New Roman" w:cs="Times New Roman"/>
            <w:bCs/>
            <w:color w:val="auto"/>
            <w:sz w:val="24"/>
            <w:szCs w:val="24"/>
            <w:u w:val="none"/>
            <w:shd w:val="clear" w:color="auto" w:fill="FFFFFF"/>
          </w:rPr>
          <w:t>cesará de comprar nueva deuda pública</w:t>
        </w:r>
      </w:hyperlink>
      <w:r w:rsidRPr="00045158">
        <w:rPr>
          <w:rFonts w:ascii="Times New Roman" w:hAnsi="Times New Roman" w:cs="Times New Roman"/>
          <w:sz w:val="24"/>
          <w:szCs w:val="24"/>
          <w:shd w:val="clear" w:color="auto" w:fill="FFFFFF"/>
        </w:rPr>
        <w:t> a finales de año, siguiendo el camino iniciado por los demás bancos centrales. Además, el BCE también ha anunciado que empezará a subir los tipos a partir del próximo verano, lo que encarecerá las condiciones financieras para nuestros hogares y empresas, muchos de los cuales aún no han reducido su deuda lo suficiente.</w:t>
      </w:r>
    </w:p>
    <w:p w:rsidR="00A868F7" w:rsidRDefault="00A868F7" w:rsidP="00A868F7">
      <w:pPr>
        <w:jc w:val="both"/>
        <w:rPr>
          <w:rFonts w:ascii="Times New Roman" w:hAnsi="Times New Roman" w:cs="Times New Roman"/>
          <w:b/>
          <w:sz w:val="24"/>
          <w:szCs w:val="24"/>
        </w:rPr>
      </w:pPr>
      <w:r>
        <w:rPr>
          <w:rFonts w:ascii="Times New Roman" w:hAnsi="Times New Roman" w:cs="Times New Roman"/>
          <w:b/>
          <w:sz w:val="24"/>
          <w:szCs w:val="24"/>
        </w:rPr>
        <w:t>Datos básicos para calcular los recursos disponibles con que afrontar una próxima recesión (Key Indicators)</w:t>
      </w:r>
    </w:p>
    <w:p w:rsidR="00A868F7" w:rsidRDefault="00A868F7" w:rsidP="00A868F7">
      <w:pPr>
        <w:spacing w:line="240" w:lineRule="auto"/>
        <w:jc w:val="both"/>
        <w:rPr>
          <w:rFonts w:ascii="Times New Roman" w:hAnsi="Times New Roman" w:cs="Times New Roman"/>
          <w:b/>
          <w:sz w:val="24"/>
          <w:szCs w:val="24"/>
          <w:lang w:val="en-US"/>
        </w:rPr>
      </w:pPr>
      <w:r w:rsidRPr="00B95FF4">
        <w:rPr>
          <w:rFonts w:ascii="Times New Roman" w:hAnsi="Times New Roman" w:cs="Times New Roman"/>
          <w:b/>
          <w:sz w:val="24"/>
          <w:szCs w:val="24"/>
          <w:lang w:val="en-US"/>
        </w:rPr>
        <w:t>Eurostat Database</w:t>
      </w:r>
    </w:p>
    <w:p w:rsidR="00A868F7" w:rsidRPr="00B95FF4"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sz w:val="24"/>
          <w:szCs w:val="24"/>
          <w:lang w:val="en-US"/>
        </w:rPr>
      </w:pPr>
      <w:r w:rsidRPr="00B95FF4">
        <w:rPr>
          <w:rFonts w:ascii="Times New Roman" w:hAnsi="Times New Roman" w:cs="Times New Roman"/>
          <w:b/>
          <w:noProof/>
          <w:sz w:val="24"/>
          <w:szCs w:val="24"/>
          <w:lang w:eastAsia="es-ES"/>
        </w:rPr>
        <w:drawing>
          <wp:inline distT="0" distB="0" distL="0" distR="0" wp14:anchorId="5CA2FE40" wp14:editId="7400BDE8">
            <wp:extent cx="5731510" cy="1394912"/>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1394912"/>
                    </a:xfrm>
                    <a:prstGeom prst="rect">
                      <a:avLst/>
                    </a:prstGeom>
                  </pic:spPr>
                </pic:pic>
              </a:graphicData>
            </a:graphic>
          </wp:inline>
        </w:drawing>
      </w:r>
      <w:r w:rsidRPr="00B95FF4">
        <w:rPr>
          <w:rFonts w:ascii="Times New Roman" w:hAnsi="Times New Roman" w:cs="Times New Roman"/>
          <w:sz w:val="24"/>
          <w:szCs w:val="24"/>
          <w:lang w:val="en-US"/>
        </w:rPr>
        <w:t>Gross domestic product</w:t>
      </w:r>
      <w:r>
        <w:rPr>
          <w:rFonts w:ascii="Times New Roman" w:hAnsi="Times New Roman" w:cs="Times New Roman"/>
          <w:sz w:val="24"/>
          <w:szCs w:val="24"/>
          <w:lang w:val="en-US"/>
        </w:rPr>
        <w:t xml:space="preserve"> at market prices (a</w:t>
      </w:r>
      <w:r w:rsidRPr="00B95FF4">
        <w:rPr>
          <w:rFonts w:ascii="Times New Roman" w:hAnsi="Times New Roman" w:cs="Times New Roman"/>
          <w:sz w:val="24"/>
          <w:szCs w:val="24"/>
          <w:lang w:val="en-US"/>
        </w:rPr>
        <w:t>t current prices</w:t>
      </w:r>
      <w:r>
        <w:rPr>
          <w:rFonts w:ascii="Times New Roman" w:hAnsi="Times New Roman" w:cs="Times New Roman"/>
          <w:sz w:val="24"/>
          <w:szCs w:val="24"/>
          <w:lang w:val="en-US"/>
        </w:rPr>
        <w:t>)</w:t>
      </w:r>
    </w:p>
    <w:p w:rsidR="00A868F7" w:rsidRPr="00B95FF4" w:rsidRDefault="00A868F7" w:rsidP="00A868F7">
      <w:pPr>
        <w:spacing w:line="240" w:lineRule="auto"/>
        <w:jc w:val="both"/>
        <w:rPr>
          <w:rFonts w:ascii="Times New Roman" w:hAnsi="Times New Roman" w:cs="Times New Roman"/>
          <w:b/>
          <w:sz w:val="24"/>
          <w:szCs w:val="24"/>
          <w:lang w:val="en-US"/>
        </w:rPr>
      </w:pPr>
    </w:p>
    <w:p w:rsidR="00A868F7" w:rsidRPr="007465C7" w:rsidRDefault="00A868F7" w:rsidP="00A868F7">
      <w:pPr>
        <w:spacing w:line="240" w:lineRule="auto"/>
        <w:jc w:val="both"/>
        <w:rPr>
          <w:rFonts w:ascii="Times New Roman" w:hAnsi="Times New Roman" w:cs="Times New Roman"/>
          <w:sz w:val="24"/>
          <w:szCs w:val="24"/>
          <w:lang w:val="en-US"/>
        </w:rPr>
      </w:pPr>
      <w:r w:rsidRPr="00EE498D">
        <w:rPr>
          <w:rFonts w:ascii="Times New Roman" w:hAnsi="Times New Roman" w:cs="Times New Roman"/>
          <w:b/>
          <w:noProof/>
          <w:sz w:val="24"/>
          <w:szCs w:val="24"/>
          <w:lang w:eastAsia="es-ES"/>
        </w:rPr>
        <w:drawing>
          <wp:inline distT="0" distB="0" distL="0" distR="0" wp14:anchorId="5B825342" wp14:editId="31C0ED0F">
            <wp:extent cx="5731510" cy="1844983"/>
            <wp:effectExtent l="0" t="0" r="2540" b="3175"/>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1844983"/>
                    </a:xfrm>
                    <a:prstGeom prst="rect">
                      <a:avLst/>
                    </a:prstGeom>
                  </pic:spPr>
                </pic:pic>
              </a:graphicData>
            </a:graphic>
          </wp:inline>
        </w:drawing>
      </w:r>
      <w:r w:rsidRPr="004D1B58">
        <w:rPr>
          <w:rFonts w:ascii="Times New Roman" w:hAnsi="Times New Roman" w:cs="Times New Roman"/>
          <w:sz w:val="24"/>
          <w:szCs w:val="24"/>
          <w:lang w:val="en-US"/>
        </w:rPr>
        <w:t>Government revenue, expenditure and main aggregates</w:t>
      </w:r>
    </w:p>
    <w:p w:rsidR="00A868F7" w:rsidRPr="007465C7" w:rsidRDefault="00A868F7" w:rsidP="00A868F7">
      <w:pPr>
        <w:spacing w:line="240" w:lineRule="auto"/>
        <w:jc w:val="both"/>
        <w:rPr>
          <w:rFonts w:ascii="Times New Roman" w:hAnsi="Times New Roman" w:cs="Times New Roman"/>
          <w:sz w:val="24"/>
          <w:szCs w:val="24"/>
          <w:lang w:val="en-US"/>
        </w:rPr>
      </w:pPr>
      <w:r w:rsidRPr="00EE498D">
        <w:rPr>
          <w:rFonts w:ascii="Times New Roman" w:hAnsi="Times New Roman" w:cs="Times New Roman"/>
          <w:b/>
          <w:noProof/>
          <w:sz w:val="24"/>
          <w:szCs w:val="24"/>
          <w:lang w:eastAsia="es-ES"/>
        </w:rPr>
        <w:drawing>
          <wp:inline distT="0" distB="0" distL="0" distR="0" wp14:anchorId="5153295F" wp14:editId="7E6701F1">
            <wp:extent cx="5731510" cy="2036033"/>
            <wp:effectExtent l="0" t="0" r="2540" b="254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2036033"/>
                    </a:xfrm>
                    <a:prstGeom prst="rect">
                      <a:avLst/>
                    </a:prstGeom>
                  </pic:spPr>
                </pic:pic>
              </a:graphicData>
            </a:graphic>
          </wp:inline>
        </w:drawing>
      </w:r>
      <w:r w:rsidRPr="00AA2199">
        <w:rPr>
          <w:rFonts w:ascii="Times New Roman" w:hAnsi="Times New Roman" w:cs="Times New Roman"/>
          <w:sz w:val="24"/>
          <w:szCs w:val="24"/>
          <w:lang w:val="en-US"/>
        </w:rPr>
        <w:t>Annual financial accounts for general government</w:t>
      </w:r>
    </w:p>
    <w:p w:rsidR="00A868F7" w:rsidRPr="007465C7" w:rsidRDefault="00A868F7" w:rsidP="00A868F7">
      <w:pPr>
        <w:spacing w:line="240" w:lineRule="auto"/>
        <w:jc w:val="both"/>
        <w:rPr>
          <w:rFonts w:ascii="Times New Roman" w:hAnsi="Times New Roman" w:cs="Times New Roman"/>
          <w:sz w:val="24"/>
          <w:szCs w:val="24"/>
          <w:lang w:val="en-US"/>
        </w:rPr>
      </w:pPr>
      <w:r w:rsidRPr="00EE498D">
        <w:rPr>
          <w:rFonts w:ascii="Times New Roman" w:hAnsi="Times New Roman" w:cs="Times New Roman"/>
          <w:b/>
          <w:noProof/>
          <w:sz w:val="24"/>
          <w:szCs w:val="24"/>
          <w:lang w:eastAsia="es-ES"/>
        </w:rPr>
        <w:drawing>
          <wp:inline distT="0" distB="0" distL="0" distR="0" wp14:anchorId="50C271FC" wp14:editId="4E9BBF11">
            <wp:extent cx="5731510" cy="1859679"/>
            <wp:effectExtent l="0" t="0" r="2540" b="762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1859679"/>
                    </a:xfrm>
                    <a:prstGeom prst="rect">
                      <a:avLst/>
                    </a:prstGeom>
                  </pic:spPr>
                </pic:pic>
              </a:graphicData>
            </a:graphic>
          </wp:inline>
        </w:drawing>
      </w:r>
      <w:r w:rsidRPr="001D1D3E">
        <w:rPr>
          <w:rFonts w:ascii="Times New Roman" w:hAnsi="Times New Roman" w:cs="Times New Roman"/>
          <w:sz w:val="24"/>
          <w:szCs w:val="24"/>
          <w:lang w:val="en-US"/>
        </w:rPr>
        <w:t>Main national accounts tax aggregates</w:t>
      </w:r>
    </w:p>
    <w:p w:rsidR="00A868F7" w:rsidRDefault="00A868F7" w:rsidP="00A868F7">
      <w:pPr>
        <w:spacing w:line="240" w:lineRule="auto"/>
        <w:jc w:val="both"/>
        <w:rPr>
          <w:rFonts w:ascii="Times New Roman" w:hAnsi="Times New Roman" w:cs="Times New Roman"/>
          <w:sz w:val="24"/>
          <w:szCs w:val="24"/>
          <w:lang w:val="en-US"/>
        </w:rPr>
      </w:pPr>
      <w:r w:rsidRPr="00EE498D">
        <w:rPr>
          <w:rFonts w:ascii="Times New Roman" w:hAnsi="Times New Roman" w:cs="Times New Roman"/>
          <w:b/>
          <w:noProof/>
          <w:sz w:val="24"/>
          <w:szCs w:val="24"/>
          <w:lang w:eastAsia="es-ES"/>
        </w:rPr>
        <w:drawing>
          <wp:inline distT="0" distB="0" distL="0" distR="0" wp14:anchorId="47FDC5F1" wp14:editId="6D9F956D">
            <wp:extent cx="5734050" cy="1651000"/>
            <wp:effectExtent l="0" t="0" r="0" b="635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1650269"/>
                    </a:xfrm>
                    <a:prstGeom prst="rect">
                      <a:avLst/>
                    </a:prstGeom>
                  </pic:spPr>
                </pic:pic>
              </a:graphicData>
            </a:graphic>
          </wp:inline>
        </w:drawing>
      </w:r>
      <w:r w:rsidRPr="00C07F3F">
        <w:rPr>
          <w:rFonts w:ascii="Times New Roman" w:hAnsi="Times New Roman" w:cs="Times New Roman"/>
          <w:sz w:val="24"/>
          <w:szCs w:val="24"/>
          <w:lang w:val="en-US"/>
        </w:rPr>
        <w:t>Government deficit/surplus, debt and associated data</w:t>
      </w:r>
    </w:p>
    <w:p w:rsidR="00A868F7" w:rsidRPr="00B95FF4" w:rsidRDefault="00A868F7" w:rsidP="00A868F7">
      <w:pPr>
        <w:spacing w:line="240" w:lineRule="auto"/>
        <w:jc w:val="both"/>
        <w:rPr>
          <w:rFonts w:ascii="Times New Roman" w:hAnsi="Times New Roman" w:cs="Times New Roman"/>
          <w:b/>
          <w:sz w:val="24"/>
          <w:szCs w:val="24"/>
          <w:lang w:val="en-US"/>
        </w:rPr>
      </w:pPr>
    </w:p>
    <w:p w:rsidR="00A868F7" w:rsidRPr="007465C7" w:rsidRDefault="00A868F7" w:rsidP="00A868F7">
      <w:pPr>
        <w:spacing w:line="240" w:lineRule="auto"/>
        <w:jc w:val="both"/>
        <w:rPr>
          <w:rFonts w:ascii="Times New Roman" w:hAnsi="Times New Roman" w:cs="Times New Roman"/>
          <w:sz w:val="24"/>
          <w:szCs w:val="24"/>
          <w:lang w:val="en-US"/>
        </w:rPr>
      </w:pPr>
      <w:r w:rsidRPr="00587A5F">
        <w:rPr>
          <w:rFonts w:ascii="Times New Roman" w:hAnsi="Times New Roman" w:cs="Times New Roman"/>
          <w:b/>
          <w:noProof/>
          <w:sz w:val="24"/>
          <w:szCs w:val="24"/>
          <w:lang w:eastAsia="es-ES"/>
        </w:rPr>
        <w:drawing>
          <wp:inline distT="0" distB="0" distL="0" distR="0" wp14:anchorId="1E345F80" wp14:editId="5A40705D">
            <wp:extent cx="5731510" cy="1221008"/>
            <wp:effectExtent l="0" t="0" r="254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1221008"/>
                    </a:xfrm>
                    <a:prstGeom prst="rect">
                      <a:avLst/>
                    </a:prstGeom>
                  </pic:spPr>
                </pic:pic>
              </a:graphicData>
            </a:graphic>
          </wp:inline>
        </w:drawing>
      </w:r>
      <w:r w:rsidRPr="007730F7">
        <w:rPr>
          <w:rFonts w:ascii="Times New Roman" w:hAnsi="Times New Roman" w:cs="Times New Roman"/>
          <w:sz w:val="24"/>
          <w:szCs w:val="24"/>
          <w:lang w:val="en-US"/>
        </w:rPr>
        <w:t>Gross debt-to</w:t>
      </w:r>
      <w:r>
        <w:rPr>
          <w:rFonts w:ascii="Times New Roman" w:hAnsi="Times New Roman" w:cs="Times New Roman"/>
          <w:sz w:val="24"/>
          <w:szCs w:val="24"/>
          <w:lang w:val="en-US"/>
        </w:rPr>
        <w:t>-income ratio of households - %</w:t>
      </w:r>
    </w:p>
    <w:p w:rsidR="00A868F7" w:rsidRPr="007730F7" w:rsidRDefault="00A868F7" w:rsidP="00A868F7">
      <w:pPr>
        <w:spacing w:line="240" w:lineRule="auto"/>
        <w:jc w:val="both"/>
        <w:rPr>
          <w:rFonts w:ascii="Times New Roman" w:hAnsi="Times New Roman" w:cs="Times New Roman"/>
          <w:sz w:val="24"/>
          <w:szCs w:val="24"/>
          <w:lang w:val="en-US"/>
        </w:rPr>
      </w:pPr>
      <w:r w:rsidRPr="00587A5F">
        <w:rPr>
          <w:rFonts w:ascii="Times New Roman" w:hAnsi="Times New Roman" w:cs="Times New Roman"/>
          <w:noProof/>
          <w:sz w:val="24"/>
          <w:szCs w:val="24"/>
          <w:lang w:eastAsia="es-ES"/>
        </w:rPr>
        <w:drawing>
          <wp:inline distT="0" distB="0" distL="0" distR="0" wp14:anchorId="752388D5" wp14:editId="6F45468B">
            <wp:extent cx="5731510" cy="1240602"/>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1240602"/>
                    </a:xfrm>
                    <a:prstGeom prst="rect">
                      <a:avLst/>
                    </a:prstGeom>
                  </pic:spPr>
                </pic:pic>
              </a:graphicData>
            </a:graphic>
          </wp:inline>
        </w:drawing>
      </w:r>
      <w:r w:rsidRPr="007730F7">
        <w:rPr>
          <w:rFonts w:ascii="Times New Roman" w:hAnsi="Times New Roman" w:cs="Times New Roman"/>
          <w:sz w:val="24"/>
          <w:szCs w:val="24"/>
          <w:lang w:val="en-US"/>
        </w:rPr>
        <w:t>Investment by institutional sectors - % of GDP</w:t>
      </w:r>
    </w:p>
    <w:p w:rsidR="00A868F7" w:rsidRPr="00A232AF" w:rsidRDefault="00A868F7" w:rsidP="00A868F7">
      <w:pPr>
        <w:spacing w:line="240" w:lineRule="auto"/>
        <w:jc w:val="both"/>
        <w:rPr>
          <w:rFonts w:ascii="Times New Roman" w:hAnsi="Times New Roman" w:cs="Times New Roman"/>
          <w:sz w:val="24"/>
          <w:szCs w:val="24"/>
          <w:lang w:val="en-US"/>
        </w:rPr>
      </w:pPr>
      <w:r w:rsidRPr="00587A5F">
        <w:rPr>
          <w:rFonts w:ascii="Times New Roman" w:hAnsi="Times New Roman" w:cs="Times New Roman"/>
          <w:noProof/>
          <w:sz w:val="24"/>
          <w:szCs w:val="24"/>
          <w:lang w:eastAsia="es-ES"/>
        </w:rPr>
        <w:drawing>
          <wp:inline distT="0" distB="0" distL="0" distR="0" wp14:anchorId="4FB02361" wp14:editId="334A14D5">
            <wp:extent cx="5731510" cy="1246726"/>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1246726"/>
                    </a:xfrm>
                    <a:prstGeom prst="rect">
                      <a:avLst/>
                    </a:prstGeom>
                  </pic:spPr>
                </pic:pic>
              </a:graphicData>
            </a:graphic>
          </wp:inline>
        </w:drawing>
      </w:r>
      <w:r w:rsidRPr="00A232AF">
        <w:rPr>
          <w:rFonts w:ascii="Times New Roman" w:hAnsi="Times New Roman" w:cs="Times New Roman"/>
          <w:sz w:val="24"/>
          <w:szCs w:val="24"/>
          <w:lang w:val="en-US"/>
        </w:rPr>
        <w:t>Current account transactions - credits, debits and balance - million EUR</w:t>
      </w:r>
    </w:p>
    <w:p w:rsidR="00A868F7" w:rsidRDefault="00A868F7" w:rsidP="00A868F7">
      <w:pPr>
        <w:spacing w:line="240" w:lineRule="auto"/>
        <w:jc w:val="both"/>
        <w:rPr>
          <w:rFonts w:ascii="Times New Roman" w:hAnsi="Times New Roman" w:cs="Times New Roman"/>
          <w:b/>
          <w:sz w:val="24"/>
          <w:szCs w:val="24"/>
          <w:lang w:val="en-US"/>
        </w:rPr>
      </w:pPr>
    </w:p>
    <w:p w:rsidR="00A868F7" w:rsidRPr="00EE498D" w:rsidRDefault="00A868F7" w:rsidP="00A868F7">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drawing>
          <wp:inline distT="0" distB="0" distL="0" distR="0" wp14:anchorId="3C0E0BFE" wp14:editId="01EED63C">
            <wp:extent cx="5727699" cy="3397250"/>
            <wp:effectExtent l="0" t="0" r="698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399510"/>
                    </a:xfrm>
                    <a:prstGeom prst="rect">
                      <a:avLst/>
                    </a:prstGeom>
                  </pic:spPr>
                </pic:pic>
              </a:graphicData>
            </a:graphic>
          </wp:inline>
        </w:drawing>
      </w:r>
    </w:p>
    <w:p w:rsidR="00A868F7" w:rsidRPr="00EE498D" w:rsidRDefault="00A868F7" w:rsidP="00A868F7">
      <w:pPr>
        <w:rPr>
          <w:lang w:val="en-US"/>
        </w:rPr>
      </w:pPr>
    </w:p>
    <w:p w:rsidR="00A868F7" w:rsidRDefault="00A868F7" w:rsidP="00A868F7">
      <w:pPr>
        <w:rPr>
          <w:lang w:val="en-US"/>
        </w:rPr>
      </w:pPr>
      <w:r w:rsidRPr="00F61D2E">
        <w:rPr>
          <w:rFonts w:ascii="Times New Roman" w:hAnsi="Times New Roman" w:cs="Times New Roman"/>
          <w:b/>
          <w:noProof/>
          <w:sz w:val="24"/>
          <w:szCs w:val="24"/>
          <w:lang w:eastAsia="es-ES"/>
        </w:rPr>
        <w:drawing>
          <wp:inline distT="0" distB="0" distL="0" distR="0" wp14:anchorId="429D6FCC" wp14:editId="2CD6C133">
            <wp:extent cx="5727700" cy="4273550"/>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4276393"/>
                    </a:xfrm>
                    <a:prstGeom prst="rect">
                      <a:avLst/>
                    </a:prstGeom>
                  </pic:spPr>
                </pic:pic>
              </a:graphicData>
            </a:graphic>
          </wp:inline>
        </w:drawing>
      </w:r>
    </w:p>
    <w:p w:rsidR="00A868F7" w:rsidRPr="00EE498D" w:rsidRDefault="00A868F7" w:rsidP="00A868F7">
      <w:pPr>
        <w:rPr>
          <w:lang w:val="en-US"/>
        </w:rPr>
      </w:pPr>
      <w:r w:rsidRPr="00F61D2E">
        <w:rPr>
          <w:rFonts w:ascii="Times New Roman" w:hAnsi="Times New Roman" w:cs="Times New Roman"/>
          <w:b/>
          <w:noProof/>
          <w:sz w:val="24"/>
          <w:szCs w:val="24"/>
          <w:lang w:eastAsia="es-ES"/>
        </w:rPr>
        <w:drawing>
          <wp:inline distT="0" distB="0" distL="0" distR="0" wp14:anchorId="45BE9513" wp14:editId="3B69C1AF">
            <wp:extent cx="5727588" cy="3543300"/>
            <wp:effectExtent l="0" t="0" r="698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545727"/>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lastRenderedPageBreak/>
        <w:drawing>
          <wp:inline distT="0" distB="0" distL="0" distR="0" wp14:anchorId="633830DC" wp14:editId="7DB76366">
            <wp:extent cx="5727237" cy="3390900"/>
            <wp:effectExtent l="0" t="0" r="698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393430"/>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drawing>
          <wp:inline distT="0" distB="0" distL="0" distR="0" wp14:anchorId="7F6D4D71" wp14:editId="1F40DEF7">
            <wp:extent cx="5727700" cy="45910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4594104"/>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lastRenderedPageBreak/>
        <w:drawing>
          <wp:inline distT="0" distB="0" distL="0" distR="0" wp14:anchorId="16B66766" wp14:editId="6EA97A56">
            <wp:extent cx="5734050" cy="351155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509994"/>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drawing>
          <wp:inline distT="0" distB="0" distL="0" distR="0" wp14:anchorId="76C71D9D" wp14:editId="4FC81149">
            <wp:extent cx="5721349" cy="38163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823128"/>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lastRenderedPageBreak/>
        <w:drawing>
          <wp:inline distT="0" distB="0" distL="0" distR="0" wp14:anchorId="494C0419" wp14:editId="0446001D">
            <wp:extent cx="5733154" cy="4921250"/>
            <wp:effectExtent l="0" t="0" r="127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4919839"/>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drawing>
          <wp:inline distT="0" distB="0" distL="0" distR="0" wp14:anchorId="0C7F0186" wp14:editId="7F6A32DD">
            <wp:extent cx="5727661" cy="3581400"/>
            <wp:effectExtent l="0" t="0" r="698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583807"/>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282E498A" wp14:editId="12C7F359">
            <wp:extent cx="5727700" cy="3917950"/>
            <wp:effectExtent l="0" t="0" r="635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920556"/>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1BCF6A5C" wp14:editId="7F301AC4">
            <wp:extent cx="5733531" cy="4603750"/>
            <wp:effectExtent l="0" t="0" r="635"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602127"/>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737FDF1D" wp14:editId="0B9F5CF1">
            <wp:extent cx="5727700" cy="3759200"/>
            <wp:effectExtent l="0" t="0" r="635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761701"/>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7BBD3156" wp14:editId="241A9B64">
            <wp:extent cx="5325218" cy="4420217"/>
            <wp:effectExtent l="0" t="0" r="889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325218" cy="4420217"/>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2BC81B94" wp14:editId="36D6C4D9">
            <wp:extent cx="5296639" cy="6182588"/>
            <wp:effectExtent l="0" t="0" r="0" b="889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296639" cy="6182588"/>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684A88A1" wp14:editId="0E68737D">
            <wp:extent cx="5277587" cy="417253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277587" cy="4172532"/>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58234492" wp14:editId="5C0A7DCA">
            <wp:extent cx="5730871" cy="3600450"/>
            <wp:effectExtent l="0" t="0" r="381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600851"/>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198885AD" wp14:editId="257D08C7">
            <wp:extent cx="5731451" cy="4572000"/>
            <wp:effectExtent l="0" t="0" r="317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4572047"/>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48C68658" wp14:editId="031CC5D3">
            <wp:extent cx="5734050" cy="340360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3402092"/>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01DDD9B1" wp14:editId="36F50AF5">
            <wp:extent cx="5721350" cy="3689350"/>
            <wp:effectExtent l="0" t="0" r="0" b="63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3695902"/>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B2325A">
        <w:rPr>
          <w:rFonts w:ascii="Times New Roman" w:hAnsi="Times New Roman" w:cs="Times New Roman"/>
          <w:b/>
          <w:noProof/>
          <w:sz w:val="24"/>
          <w:szCs w:val="24"/>
          <w:lang w:eastAsia="es-ES"/>
        </w:rPr>
        <w:drawing>
          <wp:inline distT="0" distB="0" distL="0" distR="0" wp14:anchorId="71B2378E" wp14:editId="5D0A43FC">
            <wp:extent cx="5727699" cy="4552950"/>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4555979"/>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B2325A">
        <w:rPr>
          <w:rFonts w:ascii="Times New Roman" w:hAnsi="Times New Roman" w:cs="Times New Roman"/>
          <w:b/>
          <w:noProof/>
          <w:sz w:val="24"/>
          <w:szCs w:val="24"/>
          <w:lang w:eastAsia="es-ES"/>
        </w:rPr>
        <w:lastRenderedPageBreak/>
        <w:drawing>
          <wp:inline distT="0" distB="0" distL="0" distR="0" wp14:anchorId="6DDF0F0F" wp14:editId="21519D99">
            <wp:extent cx="5728138" cy="3289300"/>
            <wp:effectExtent l="0" t="0" r="635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291237"/>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r w:rsidRPr="000C7C14">
        <w:rPr>
          <w:rFonts w:ascii="Times New Roman" w:hAnsi="Times New Roman" w:cs="Times New Roman"/>
          <w:b/>
          <w:sz w:val="24"/>
          <w:szCs w:val="24"/>
          <w:lang w:val="en-US"/>
        </w:rPr>
        <w:t xml:space="preserve">European Central Bank </w:t>
      </w:r>
      <w:r>
        <w:rPr>
          <w:rFonts w:ascii="Times New Roman" w:hAnsi="Times New Roman" w:cs="Times New Roman"/>
          <w:b/>
          <w:sz w:val="24"/>
          <w:szCs w:val="24"/>
          <w:lang w:val="en-US"/>
        </w:rPr>
        <w:t>-</w:t>
      </w:r>
      <w:r w:rsidRPr="000C7C14">
        <w:rPr>
          <w:rFonts w:ascii="Times New Roman" w:hAnsi="Times New Roman" w:cs="Times New Roman"/>
          <w:b/>
          <w:sz w:val="24"/>
          <w:szCs w:val="24"/>
          <w:lang w:val="en-US"/>
        </w:rPr>
        <w:t xml:space="preserve"> Statistical Data Warehouse</w:t>
      </w:r>
      <w:r>
        <w:rPr>
          <w:rFonts w:ascii="Times New Roman" w:hAnsi="Times New Roman" w:cs="Times New Roman"/>
          <w:b/>
          <w:sz w:val="24"/>
          <w:szCs w:val="24"/>
          <w:lang w:val="en-US"/>
        </w:rPr>
        <w:t xml:space="preserve"> - 2018 </w:t>
      </w:r>
    </w:p>
    <w:p w:rsidR="00A868F7" w:rsidRDefault="00A868F7" w:rsidP="00A868F7">
      <w:pPr>
        <w:spacing w:line="240" w:lineRule="auto"/>
        <w:jc w:val="both"/>
        <w:rPr>
          <w:rFonts w:ascii="Times New Roman" w:hAnsi="Times New Roman" w:cs="Times New Roman"/>
          <w:sz w:val="24"/>
          <w:szCs w:val="24"/>
          <w:lang w:val="en-US"/>
        </w:rPr>
      </w:pPr>
      <w:r w:rsidRPr="000C7C14">
        <w:rPr>
          <w:rFonts w:ascii="Times New Roman" w:hAnsi="Times New Roman" w:cs="Times New Roman"/>
          <w:sz w:val="24"/>
          <w:szCs w:val="24"/>
          <w:lang w:val="en-US"/>
        </w:rPr>
        <w:t>Monetary aggregate M3</w:t>
      </w:r>
    </w:p>
    <w:p w:rsidR="00A868F7" w:rsidRDefault="00A868F7" w:rsidP="00A868F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C75212">
        <w:rPr>
          <w:rFonts w:ascii="Times New Roman" w:hAnsi="Times New Roman" w:cs="Times New Roman"/>
          <w:b/>
          <w:noProof/>
          <w:sz w:val="24"/>
          <w:szCs w:val="24"/>
          <w:lang w:eastAsia="es-ES"/>
        </w:rPr>
        <w:drawing>
          <wp:inline distT="0" distB="0" distL="0" distR="0" wp14:anchorId="5317C6D4" wp14:editId="5233A176">
            <wp:extent cx="4476750" cy="255270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4477375" cy="2553056"/>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sz w:val="24"/>
          <w:szCs w:val="24"/>
          <w:lang w:val="en-US"/>
        </w:rPr>
      </w:pPr>
      <w:r w:rsidRPr="00C75212">
        <w:rPr>
          <w:rFonts w:ascii="Times New Roman" w:hAnsi="Times New Roman" w:cs="Times New Roman"/>
          <w:sz w:val="24"/>
          <w:szCs w:val="24"/>
          <w:lang w:val="en-US"/>
        </w:rPr>
        <w:t>Monetary aggregate M3 vis-a-vis euro area non-MFI excl. central gov. reported by MFI &amp; central gov. &amp; post office giro Inst. in the euro area (stock)</w:t>
      </w:r>
    </w:p>
    <w:p w:rsidR="00A868F7" w:rsidRDefault="00A868F7" w:rsidP="00A868F7">
      <w:pPr>
        <w:spacing w:line="240" w:lineRule="auto"/>
        <w:jc w:val="both"/>
        <w:rPr>
          <w:rFonts w:ascii="Times New Roman" w:hAnsi="Times New Roman" w:cs="Times New Roman"/>
          <w:sz w:val="24"/>
          <w:szCs w:val="24"/>
          <w:lang w:val="en-US"/>
        </w:rPr>
      </w:pPr>
      <w:r w:rsidRPr="00C75212">
        <w:rPr>
          <w:rFonts w:ascii="Times New Roman" w:hAnsi="Times New Roman" w:cs="Times New Roman"/>
          <w:sz w:val="24"/>
          <w:szCs w:val="24"/>
          <w:lang w:val="en-US"/>
        </w:rPr>
        <w:t>Euro area (changing composition), Outstanding amounts at the end of the period (stocks), MFIs, central government and post office giro institutions reporting sector - Monetary aggregate M3, All currencies combined - Euro area (changing composition) counterpart, Non-MFIs excluding central government sector, denominated in Euro, data Working day and seasonally adjusted</w:t>
      </w:r>
    </w:p>
    <w:p w:rsidR="00A868F7" w:rsidRPr="00C75212" w:rsidRDefault="00A868F7" w:rsidP="00A868F7">
      <w:pPr>
        <w:spacing w:line="240" w:lineRule="auto"/>
        <w:jc w:val="both"/>
        <w:rPr>
          <w:rFonts w:ascii="Times New Roman" w:hAnsi="Times New Roman" w:cs="Times New Roman"/>
          <w:sz w:val="24"/>
          <w:szCs w:val="24"/>
          <w:lang w:val="en-US"/>
        </w:rPr>
      </w:pPr>
      <w:r w:rsidRPr="00C75212">
        <w:rPr>
          <w:rFonts w:ascii="Times New Roman" w:hAnsi="Times New Roman" w:cs="Times New Roman"/>
          <w:sz w:val="24"/>
          <w:szCs w:val="24"/>
          <w:lang w:val="en-US"/>
        </w:rPr>
        <w:t>Millions of Euro</w:t>
      </w:r>
      <w:r>
        <w:rPr>
          <w:rFonts w:ascii="Times New Roman" w:hAnsi="Times New Roman" w:cs="Times New Roman"/>
          <w:sz w:val="24"/>
          <w:szCs w:val="24"/>
          <w:lang w:val="en-US"/>
        </w:rPr>
        <w:t xml:space="preserve"> - BSI</w:t>
      </w:r>
      <w:r w:rsidRPr="00C75212">
        <w:rPr>
          <w:rFonts w:ascii="Times New Roman" w:hAnsi="Times New Roman" w:cs="Times New Roman"/>
          <w:sz w:val="24"/>
          <w:szCs w:val="24"/>
          <w:lang w:val="en-US"/>
        </w:rPr>
        <w:t>: Balance Sheet Items</w:t>
      </w:r>
    </w:p>
    <w:p w:rsidR="00A868F7" w:rsidRPr="007465C7" w:rsidRDefault="00A868F7" w:rsidP="00A868F7">
      <w:pPr>
        <w:spacing w:line="240" w:lineRule="auto"/>
        <w:jc w:val="both"/>
        <w:rPr>
          <w:rFonts w:ascii="Times New Roman" w:hAnsi="Times New Roman" w:cs="Times New Roman"/>
          <w:sz w:val="24"/>
          <w:szCs w:val="24"/>
          <w:lang w:val="en-US"/>
        </w:rPr>
      </w:pPr>
      <w:r w:rsidRPr="007465C7">
        <w:rPr>
          <w:rFonts w:ascii="Times New Roman" w:hAnsi="Times New Roman" w:cs="Times New Roman"/>
          <w:sz w:val="24"/>
          <w:szCs w:val="24"/>
          <w:lang w:val="en-US"/>
        </w:rPr>
        <w:lastRenderedPageBreak/>
        <w:t>Dynamic Chart</w:t>
      </w:r>
    </w:p>
    <w:p w:rsidR="00A868F7" w:rsidRDefault="00A868F7" w:rsidP="00A868F7">
      <w:pPr>
        <w:spacing w:line="240" w:lineRule="auto"/>
        <w:jc w:val="both"/>
        <w:rPr>
          <w:rFonts w:ascii="Times New Roman" w:hAnsi="Times New Roman" w:cs="Times New Roman"/>
          <w:sz w:val="24"/>
          <w:szCs w:val="24"/>
          <w:lang w:val="en-US"/>
        </w:rPr>
      </w:pPr>
      <w:r w:rsidRPr="00C75212">
        <w:rPr>
          <w:rFonts w:ascii="Times New Roman" w:hAnsi="Times New Roman" w:cs="Times New Roman"/>
          <w:noProof/>
          <w:sz w:val="24"/>
          <w:szCs w:val="24"/>
          <w:lang w:eastAsia="es-ES"/>
        </w:rPr>
        <w:drawing>
          <wp:inline distT="0" distB="0" distL="0" distR="0" wp14:anchorId="21C5FBAB" wp14:editId="435493C1">
            <wp:extent cx="5731510" cy="747668"/>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747668"/>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1EB53BA4" wp14:editId="29BDC4F7">
            <wp:extent cx="5731510" cy="162270"/>
            <wp:effectExtent l="0" t="0" r="0" b="952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162270"/>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703A0F05" wp14:editId="7E5F241B">
            <wp:extent cx="5731510" cy="140838"/>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140838"/>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22F9123A" wp14:editId="483CFCA2">
            <wp:extent cx="5731510" cy="127979"/>
            <wp:effectExtent l="0" t="0" r="0" b="571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127979"/>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66B4AA37" wp14:editId="3BF2F83E">
            <wp:extent cx="5731510" cy="132878"/>
            <wp:effectExtent l="0" t="0" r="0" b="63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132878"/>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732A2A74" wp14:editId="33AB8C5E">
            <wp:extent cx="5731510" cy="144512"/>
            <wp:effectExtent l="0" t="0" r="0" b="825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144512"/>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5734BF19" wp14:editId="1D9410D4">
            <wp:extent cx="5731510" cy="137164"/>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137164"/>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54565A53" wp14:editId="0FD3FCAB">
            <wp:extent cx="5731510" cy="145125"/>
            <wp:effectExtent l="0" t="0" r="0" b="762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145125"/>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5290EFC8" wp14:editId="1D4BA652">
            <wp:extent cx="5731510" cy="132266"/>
            <wp:effectExtent l="0" t="0" r="0" b="127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132266"/>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7A386962" wp14:editId="612FCD62">
            <wp:extent cx="5731510" cy="153698"/>
            <wp:effectExtent l="0" t="0" r="254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153698"/>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01E72151" wp14:editId="1AF5C571">
            <wp:extent cx="5731510" cy="102873"/>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102873"/>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61A44F8D" wp14:editId="778CBA59">
            <wp:extent cx="5731510" cy="158596"/>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158596"/>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sz w:val="24"/>
          <w:szCs w:val="24"/>
          <w:shd w:val="clear" w:color="auto" w:fill="FFFFFF"/>
        </w:rPr>
      </w:pPr>
    </w:p>
    <w:p w:rsidR="00A868F7" w:rsidRDefault="00A868F7" w:rsidP="00A868F7">
      <w:pPr>
        <w:spacing w:line="240" w:lineRule="auto"/>
        <w:jc w:val="both"/>
        <w:rPr>
          <w:rFonts w:ascii="Times New Roman" w:hAnsi="Times New Roman" w:cs="Times New Roman"/>
          <w:b/>
          <w:sz w:val="24"/>
          <w:szCs w:val="24"/>
          <w:lang w:val="en-US"/>
        </w:rPr>
      </w:pPr>
      <w:r w:rsidRPr="002418F1">
        <w:rPr>
          <w:noProof/>
          <w:color w:val="191919"/>
          <w:lang w:eastAsia="es-ES"/>
        </w:rPr>
        <w:drawing>
          <wp:inline distT="0" distB="0" distL="0" distR="0" wp14:anchorId="6CD5D846" wp14:editId="62D6DDA7">
            <wp:extent cx="5731510" cy="4519698"/>
            <wp:effectExtent l="0" t="0" r="254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4519698"/>
                    </a:xfrm>
                    <a:prstGeom prst="rect">
                      <a:avLst/>
                    </a:prstGeom>
                  </pic:spPr>
                </pic:pic>
              </a:graphicData>
            </a:graphic>
          </wp:inline>
        </w:drawing>
      </w:r>
    </w:p>
    <w:p w:rsidR="00A868F7" w:rsidRPr="007465C7" w:rsidRDefault="00A868F7" w:rsidP="00A868F7">
      <w:pPr>
        <w:spacing w:line="240" w:lineRule="auto"/>
        <w:jc w:val="both"/>
        <w:rPr>
          <w:rFonts w:ascii="Times New Roman" w:hAnsi="Times New Roman" w:cs="Times New Roman"/>
          <w:b/>
          <w:sz w:val="24"/>
          <w:szCs w:val="24"/>
          <w:lang w:val="en-US"/>
        </w:rPr>
      </w:pPr>
      <w:r w:rsidRPr="002418F1">
        <w:rPr>
          <w:rFonts w:ascii="Times New Roman" w:eastAsia="Times New Roman" w:hAnsi="Times New Roman" w:cs="Times New Roman"/>
          <w:noProof/>
          <w:sz w:val="24"/>
          <w:szCs w:val="24"/>
          <w:lang w:eastAsia="es-ES"/>
        </w:rPr>
        <w:lastRenderedPageBreak/>
        <w:drawing>
          <wp:inline distT="0" distB="0" distL="0" distR="0" wp14:anchorId="680242FB" wp14:editId="39D085EE">
            <wp:extent cx="5731510" cy="3033955"/>
            <wp:effectExtent l="0" t="0" r="254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033955"/>
                    </a:xfrm>
                    <a:prstGeom prst="rect">
                      <a:avLst/>
                    </a:prstGeom>
                  </pic:spPr>
                </pic:pic>
              </a:graphicData>
            </a:graphic>
          </wp:inline>
        </w:drawing>
      </w:r>
    </w:p>
    <w:p w:rsidR="00A868F7" w:rsidRDefault="00A868F7" w:rsidP="00A868F7">
      <w:pPr>
        <w:spacing w:before="450" w:after="480"/>
        <w:jc w:val="both"/>
        <w:rPr>
          <w:rFonts w:ascii="Times New Roman" w:hAnsi="Times New Roman" w:cs="Times New Roman"/>
          <w:b/>
          <w:sz w:val="24"/>
          <w:szCs w:val="24"/>
        </w:rPr>
      </w:pPr>
    </w:p>
    <w:p w:rsidR="00A868F7" w:rsidRPr="00F509A8" w:rsidRDefault="00A868F7" w:rsidP="00A868F7">
      <w:pPr>
        <w:spacing w:before="450" w:after="480"/>
        <w:jc w:val="both"/>
        <w:rPr>
          <w:rFonts w:ascii="Times New Roman" w:hAnsi="Times New Roman" w:cs="Times New Roman"/>
          <w:b/>
          <w:sz w:val="24"/>
          <w:szCs w:val="24"/>
        </w:rPr>
      </w:pPr>
      <w:r w:rsidRPr="00F509A8">
        <w:rPr>
          <w:rFonts w:ascii="Times New Roman" w:hAnsi="Times New Roman" w:cs="Times New Roman"/>
          <w:b/>
          <w:sz w:val="24"/>
          <w:szCs w:val="24"/>
        </w:rPr>
        <w:t xml:space="preserve">Evolución del balance del Eurosistema </w:t>
      </w:r>
    </w:p>
    <w:p w:rsidR="00A868F7" w:rsidRPr="00F509A8" w:rsidRDefault="00A868F7" w:rsidP="00A868F7">
      <w:pPr>
        <w:spacing w:line="240" w:lineRule="auto"/>
        <w:jc w:val="both"/>
        <w:rPr>
          <w:rFonts w:ascii="Times New Roman" w:hAnsi="Times New Roman" w:cs="Times New Roman"/>
          <w:b/>
          <w:sz w:val="24"/>
          <w:szCs w:val="24"/>
        </w:rPr>
      </w:pPr>
      <w:r w:rsidRPr="00F509A8">
        <w:rPr>
          <w:rFonts w:ascii="Times New Roman" w:hAnsi="Times New Roman" w:cs="Times New Roman"/>
          <w:b/>
          <w:sz w:val="24"/>
          <w:szCs w:val="24"/>
        </w:rPr>
        <w:t xml:space="preserve">Tamaño y composición del balance del Eurosistema </w:t>
      </w:r>
    </w:p>
    <w:p w:rsidR="00A868F7" w:rsidRPr="00F509A8" w:rsidRDefault="00A868F7" w:rsidP="00A868F7">
      <w:pPr>
        <w:spacing w:line="240" w:lineRule="auto"/>
        <w:jc w:val="both"/>
        <w:rPr>
          <w:rFonts w:ascii="Times New Roman" w:hAnsi="Times New Roman" w:cs="Times New Roman"/>
          <w:b/>
          <w:color w:val="FF0000"/>
          <w:sz w:val="24"/>
          <w:szCs w:val="24"/>
        </w:rPr>
      </w:pPr>
      <w:r w:rsidRPr="00F509A8">
        <w:rPr>
          <w:rFonts w:ascii="Times New Roman" w:hAnsi="Times New Roman" w:cs="Times New Roman"/>
          <w:sz w:val="24"/>
          <w:szCs w:val="24"/>
        </w:rPr>
        <w:t xml:space="preserve">Desde que se inició la crisis financiera en 2007-2008, el Eurosistema ha adoptado una serie de medidas de política monetaria convencionales y no convencionales que con el tiempo han tenido un impacto directo en el tamaño y la composición del balance del Eurosistema. Estas medidas han incluido operaciones garantizadas para proporcionar financiación a las entidades de contrapartida con plazo de vencimiento inicial de hasta cuatro años y compras de activos en distintos segmentos del mercado destinadas a mejorar la transmisión de la política monetaria y a relajar las condiciones de financiación en la zona del euro. </w:t>
      </w:r>
      <w:r w:rsidRPr="00F509A8">
        <w:rPr>
          <w:rFonts w:ascii="Times New Roman" w:hAnsi="Times New Roman" w:cs="Times New Roman"/>
          <w:b/>
          <w:color w:val="FF0000"/>
          <w:sz w:val="24"/>
          <w:szCs w:val="24"/>
        </w:rPr>
        <w:t xml:space="preserve">Al final de 2017, el tamaño del balance del Eurosistema había alcanzado un máximo histórico de 4,5 billones de euros, 0,8 billones de euros más que al final de 2016. </w:t>
      </w:r>
    </w:p>
    <w:p w:rsidR="00A868F7" w:rsidRDefault="00A868F7" w:rsidP="00A868F7">
      <w:pPr>
        <w:spacing w:line="240" w:lineRule="auto"/>
        <w:jc w:val="both"/>
        <w:rPr>
          <w:rFonts w:ascii="Times New Roman" w:hAnsi="Times New Roman" w:cs="Times New Roman"/>
          <w:sz w:val="24"/>
          <w:szCs w:val="24"/>
        </w:rPr>
      </w:pPr>
      <w:r w:rsidRPr="00F509A8">
        <w:rPr>
          <w:rFonts w:ascii="Times New Roman" w:hAnsi="Times New Roman" w:cs="Times New Roman"/>
          <w:sz w:val="24"/>
          <w:szCs w:val="24"/>
        </w:rPr>
        <w:t xml:space="preserve">El programa ampliado de compra de activos y la adjudicación de la última operación de financiación a plazo más largo con objetivo específico en marzo de 2017 condujeron a la expansión del balance y a un cambio en su composición. </w:t>
      </w:r>
      <w:r w:rsidRPr="00F509A8">
        <w:rPr>
          <w:rFonts w:ascii="Times New Roman" w:hAnsi="Times New Roman" w:cs="Times New Roman"/>
          <w:b/>
          <w:color w:val="FF0000"/>
          <w:sz w:val="24"/>
          <w:szCs w:val="24"/>
        </w:rPr>
        <w:t>Al final de 2017, las partidas del activo relacionadas con la política monetaria ascendían a 3,2 billones de euros, lo que representa el 70 % de los activos totales del balance del Eurosistema, frente al 61 % al final de 2016. Estas partidas incluían préstamos concedidos a entidades de crédito de la zona del euro, que constituían el 17 % de los activos totales (el 16 % al final de 2016), y valores adquiridos con fines de política monetaria, que representaban alrededor del 53 % de los activos totales (frente al 45 % al final de 2016)</w:t>
      </w:r>
      <w:r w:rsidRPr="00F509A8">
        <w:rPr>
          <w:rFonts w:ascii="Times New Roman" w:hAnsi="Times New Roman" w:cs="Times New Roman"/>
          <w:sz w:val="24"/>
          <w:szCs w:val="24"/>
        </w:rPr>
        <w:t xml:space="preserve">, como se muestra en el gráfico 26. </w:t>
      </w:r>
    </w:p>
    <w:p w:rsidR="00A868F7" w:rsidRPr="00F509A8" w:rsidRDefault="00A868F7" w:rsidP="00A868F7">
      <w:pPr>
        <w:spacing w:line="240" w:lineRule="auto"/>
        <w:jc w:val="both"/>
        <w:rPr>
          <w:rFonts w:ascii="Times New Roman" w:hAnsi="Times New Roman" w:cs="Times New Roman"/>
          <w:sz w:val="24"/>
          <w:szCs w:val="24"/>
        </w:rPr>
      </w:pPr>
    </w:p>
    <w:p w:rsidR="00A868F7" w:rsidRDefault="00A868F7" w:rsidP="00A868F7">
      <w:pPr>
        <w:spacing w:line="240" w:lineRule="auto"/>
        <w:jc w:val="both"/>
        <w:rPr>
          <w:rFonts w:ascii="Times New Roman" w:hAnsi="Times New Roman" w:cs="Times New Roman"/>
          <w:sz w:val="24"/>
          <w:szCs w:val="24"/>
        </w:rPr>
      </w:pPr>
      <w:r w:rsidRPr="00F509A8">
        <w:rPr>
          <w:rFonts w:ascii="Times New Roman" w:hAnsi="Times New Roman" w:cs="Times New Roman"/>
          <w:noProof/>
          <w:sz w:val="24"/>
          <w:szCs w:val="24"/>
          <w:lang w:eastAsia="es-ES"/>
        </w:rPr>
        <w:lastRenderedPageBreak/>
        <w:drawing>
          <wp:inline distT="0" distB="0" distL="0" distR="0" wp14:anchorId="0FAEC0C6" wp14:editId="3E262015">
            <wp:extent cx="5708650" cy="4025900"/>
            <wp:effectExtent l="0" t="0" r="635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06271" cy="4024222"/>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743C92">
        <w:rPr>
          <w:rFonts w:ascii="Times New Roman" w:hAnsi="Times New Roman" w:cs="Times New Roman"/>
          <w:b/>
          <w:sz w:val="24"/>
          <w:szCs w:val="24"/>
          <w:lang w:val="en-US"/>
        </w:rPr>
        <w:t>OCDE - Euro Area - Economic fo</w:t>
      </w:r>
      <w:r w:rsidRPr="00B6631D">
        <w:rPr>
          <w:rFonts w:ascii="Times New Roman" w:hAnsi="Times New Roman" w:cs="Times New Roman"/>
          <w:b/>
          <w:sz w:val="24"/>
          <w:szCs w:val="24"/>
          <w:lang w:val="en-US"/>
        </w:rPr>
        <w:t>recast summary (May 2018)</w:t>
      </w:r>
    </w:p>
    <w:p w:rsidR="00A868F7" w:rsidRDefault="00A868F7" w:rsidP="00A868F7">
      <w:pPr>
        <w:spacing w:line="240" w:lineRule="auto"/>
        <w:jc w:val="both"/>
        <w:rPr>
          <w:rFonts w:ascii="Times New Roman" w:hAnsi="Times New Roman" w:cs="Times New Roman"/>
          <w:b/>
          <w:sz w:val="24"/>
          <w:szCs w:val="24"/>
          <w:lang w:val="en-US"/>
        </w:rPr>
      </w:pPr>
      <w:r w:rsidRPr="00101B9D">
        <w:rPr>
          <w:rFonts w:ascii="Times New Roman" w:hAnsi="Times New Roman" w:cs="Times New Roman"/>
          <w:b/>
          <w:noProof/>
          <w:sz w:val="24"/>
          <w:szCs w:val="24"/>
          <w:lang w:eastAsia="es-ES"/>
        </w:rPr>
        <w:drawing>
          <wp:inline distT="0" distB="0" distL="0" distR="0" wp14:anchorId="57A9894A" wp14:editId="1E04B68C">
            <wp:extent cx="5731510" cy="4121054"/>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4121054"/>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4C3428">
        <w:rPr>
          <w:rFonts w:ascii="Times New Roman" w:hAnsi="Times New Roman" w:cs="Times New Roman"/>
          <w:b/>
          <w:noProof/>
          <w:sz w:val="24"/>
          <w:szCs w:val="24"/>
          <w:lang w:eastAsia="es-ES"/>
        </w:rPr>
        <w:lastRenderedPageBreak/>
        <w:drawing>
          <wp:inline distT="0" distB="0" distL="0" distR="0" wp14:anchorId="35DBEA75" wp14:editId="50BE5CED">
            <wp:extent cx="5731510" cy="4018180"/>
            <wp:effectExtent l="0" t="0" r="2540" b="190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4018180"/>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r w:rsidRPr="004C3428">
        <w:rPr>
          <w:rFonts w:ascii="Times New Roman" w:hAnsi="Times New Roman" w:cs="Times New Roman"/>
          <w:b/>
          <w:noProof/>
          <w:sz w:val="24"/>
          <w:szCs w:val="24"/>
          <w:lang w:eastAsia="es-ES"/>
        </w:rPr>
        <w:drawing>
          <wp:inline distT="0" distB="0" distL="0" distR="0" wp14:anchorId="31FFC272" wp14:editId="3BD35ACB">
            <wp:extent cx="5731510" cy="4097172"/>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4097172"/>
                    </a:xfrm>
                    <a:prstGeom prst="rect">
                      <a:avLst/>
                    </a:prstGeom>
                  </pic:spPr>
                </pic:pic>
              </a:graphicData>
            </a:graphic>
          </wp:inline>
        </w:drawing>
      </w: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p>
    <w:p w:rsidR="00A868F7" w:rsidRDefault="00A868F7" w:rsidP="00A868F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International Monetary Fund - Fiscal Monitor - </w:t>
      </w:r>
      <w:r w:rsidRPr="00D30124">
        <w:rPr>
          <w:rFonts w:ascii="Times New Roman" w:hAnsi="Times New Roman" w:cs="Times New Roman"/>
          <w:b/>
          <w:sz w:val="24"/>
          <w:szCs w:val="24"/>
          <w:lang w:val="en-US"/>
        </w:rPr>
        <w:t>A</w:t>
      </w:r>
      <w:r>
        <w:rPr>
          <w:rFonts w:ascii="Times New Roman" w:hAnsi="Times New Roman" w:cs="Times New Roman"/>
          <w:b/>
          <w:sz w:val="24"/>
          <w:szCs w:val="24"/>
          <w:lang w:val="en-US"/>
        </w:rPr>
        <w:t xml:space="preserve"> greater role for fiscal policy - April 2017</w:t>
      </w:r>
    </w:p>
    <w:p w:rsidR="00A868F7" w:rsidRDefault="00A868F7" w:rsidP="00A868F7">
      <w:pPr>
        <w:spacing w:line="240" w:lineRule="auto"/>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drawing>
          <wp:inline distT="0" distB="0" distL="0" distR="0" wp14:anchorId="364EED3F" wp14:editId="0CF05904">
            <wp:extent cx="5725559" cy="2197100"/>
            <wp:effectExtent l="0" t="0" r="889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2199384"/>
                    </a:xfrm>
                    <a:prstGeom prst="rect">
                      <a:avLst/>
                    </a:prstGeom>
                  </pic:spPr>
                </pic:pic>
              </a:graphicData>
            </a:graphic>
          </wp:inline>
        </w:drawing>
      </w:r>
    </w:p>
    <w:p w:rsidR="00A868F7" w:rsidRDefault="00A868F7" w:rsidP="00A868F7">
      <w:pPr>
        <w:spacing w:line="240" w:lineRule="auto"/>
        <w:rPr>
          <w:rFonts w:ascii="Times New Roman" w:hAnsi="Times New Roman" w:cs="Times New Roman"/>
          <w:b/>
          <w:sz w:val="24"/>
          <w:szCs w:val="24"/>
          <w:lang w:val="en-US"/>
        </w:rPr>
      </w:pPr>
    </w:p>
    <w:p w:rsidR="00A868F7" w:rsidRDefault="00A868F7" w:rsidP="00A868F7">
      <w:pPr>
        <w:spacing w:line="240" w:lineRule="auto"/>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drawing>
          <wp:inline distT="0" distB="0" distL="0" distR="0" wp14:anchorId="7B939ABC" wp14:editId="68A4058C">
            <wp:extent cx="5725333" cy="2146300"/>
            <wp:effectExtent l="0" t="0" r="889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2148616"/>
                    </a:xfrm>
                    <a:prstGeom prst="rect">
                      <a:avLst/>
                    </a:prstGeom>
                  </pic:spPr>
                </pic:pic>
              </a:graphicData>
            </a:graphic>
          </wp:inline>
        </w:drawing>
      </w:r>
    </w:p>
    <w:p w:rsidR="00A868F7" w:rsidRDefault="00A868F7" w:rsidP="00A868F7">
      <w:pPr>
        <w:spacing w:line="240" w:lineRule="auto"/>
        <w:rPr>
          <w:rFonts w:ascii="Times New Roman" w:hAnsi="Times New Roman" w:cs="Times New Roman"/>
          <w:b/>
          <w:sz w:val="24"/>
          <w:szCs w:val="24"/>
          <w:lang w:val="en-US"/>
        </w:rPr>
      </w:pPr>
    </w:p>
    <w:p w:rsidR="00A868F7" w:rsidRDefault="00A868F7" w:rsidP="00A868F7">
      <w:pPr>
        <w:spacing w:line="240" w:lineRule="auto"/>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drawing>
          <wp:inline distT="0" distB="0" distL="0" distR="0" wp14:anchorId="7775B162" wp14:editId="79230185">
            <wp:extent cx="5731510" cy="2298115"/>
            <wp:effectExtent l="0" t="0" r="2540" b="698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298115"/>
                    </a:xfrm>
                    <a:prstGeom prst="rect">
                      <a:avLst/>
                    </a:prstGeom>
                  </pic:spPr>
                </pic:pic>
              </a:graphicData>
            </a:graphic>
          </wp:inline>
        </w:drawing>
      </w:r>
    </w:p>
    <w:p w:rsidR="00A868F7" w:rsidRDefault="00A868F7" w:rsidP="00A868F7">
      <w:pPr>
        <w:spacing w:line="240" w:lineRule="auto"/>
        <w:rPr>
          <w:rFonts w:ascii="Times New Roman" w:hAnsi="Times New Roman" w:cs="Times New Roman"/>
          <w:b/>
          <w:sz w:val="24"/>
          <w:szCs w:val="24"/>
          <w:lang w:val="en-US"/>
        </w:rPr>
      </w:pPr>
    </w:p>
    <w:p w:rsidR="00A868F7" w:rsidRDefault="00A868F7" w:rsidP="00A868F7">
      <w:pPr>
        <w:rPr>
          <w:rFonts w:ascii="Times New Roman" w:hAnsi="Times New Roman" w:cs="Times New Roman"/>
          <w:b/>
          <w:sz w:val="24"/>
          <w:szCs w:val="24"/>
        </w:rPr>
      </w:pPr>
    </w:p>
    <w:p w:rsidR="00205456" w:rsidRDefault="00E2080B" w:rsidP="00C32427">
      <w:pPr>
        <w:jc w:val="both"/>
        <w:rPr>
          <w:rFonts w:ascii="Times New Roman" w:hAnsi="Times New Roman" w:cs="Times New Roman"/>
          <w:b/>
          <w:sz w:val="24"/>
          <w:szCs w:val="24"/>
        </w:rPr>
      </w:pPr>
      <w:r>
        <w:rPr>
          <w:rFonts w:ascii="Times New Roman" w:hAnsi="Times New Roman" w:cs="Times New Roman"/>
          <w:b/>
          <w:sz w:val="24"/>
          <w:szCs w:val="24"/>
        </w:rPr>
        <w:lastRenderedPageBreak/>
        <w:t>Cálculo</w:t>
      </w:r>
      <w:r w:rsidR="00C32427">
        <w:rPr>
          <w:rFonts w:ascii="Times New Roman" w:hAnsi="Times New Roman" w:cs="Times New Roman"/>
          <w:b/>
          <w:sz w:val="24"/>
          <w:szCs w:val="24"/>
        </w:rPr>
        <w:t xml:space="preserve"> </w:t>
      </w:r>
      <w:r>
        <w:rPr>
          <w:rFonts w:ascii="Times New Roman" w:hAnsi="Times New Roman" w:cs="Times New Roman"/>
          <w:b/>
          <w:sz w:val="24"/>
          <w:szCs w:val="24"/>
        </w:rPr>
        <w:t>d</w:t>
      </w:r>
      <w:r w:rsidR="00205456">
        <w:rPr>
          <w:rFonts w:ascii="Times New Roman" w:hAnsi="Times New Roman" w:cs="Times New Roman"/>
          <w:b/>
          <w:sz w:val="24"/>
          <w:szCs w:val="24"/>
        </w:rPr>
        <w:t>el margen de maniobra para afronta</w:t>
      </w:r>
      <w:r w:rsidR="00C32427">
        <w:rPr>
          <w:rFonts w:ascii="Times New Roman" w:hAnsi="Times New Roman" w:cs="Times New Roman"/>
          <w:b/>
          <w:sz w:val="24"/>
          <w:szCs w:val="24"/>
        </w:rPr>
        <w:t>r</w:t>
      </w:r>
      <w:r w:rsidR="00205456">
        <w:rPr>
          <w:rFonts w:ascii="Times New Roman" w:hAnsi="Times New Roman" w:cs="Times New Roman"/>
          <w:b/>
          <w:sz w:val="24"/>
          <w:szCs w:val="24"/>
        </w:rPr>
        <w:t xml:space="preserve"> la próxima crisis (elaboración propia)</w:t>
      </w:r>
    </w:p>
    <w:p w:rsidR="00C32427" w:rsidRDefault="00C32427" w:rsidP="00C32427">
      <w:pPr>
        <w:jc w:val="both"/>
        <w:rPr>
          <w:rFonts w:ascii="Times New Roman" w:hAnsi="Times New Roman" w:cs="Times New Roman"/>
          <w:b/>
          <w:sz w:val="24"/>
          <w:szCs w:val="24"/>
        </w:rPr>
      </w:pPr>
    </w:p>
    <w:p w:rsidR="00A868F7" w:rsidRDefault="00A868F7" w:rsidP="00A868F7">
      <w:pPr>
        <w:rPr>
          <w:rFonts w:ascii="Times New Roman" w:hAnsi="Times New Roman" w:cs="Times New Roman"/>
          <w:b/>
          <w:sz w:val="24"/>
          <w:szCs w:val="24"/>
        </w:rPr>
      </w:pPr>
      <w:r w:rsidRPr="007465C7">
        <w:rPr>
          <w:rFonts w:ascii="Times New Roman" w:hAnsi="Times New Roman" w:cs="Times New Roman"/>
          <w:b/>
          <w:noProof/>
          <w:sz w:val="24"/>
          <w:szCs w:val="24"/>
          <w:lang w:eastAsia="es-ES"/>
        </w:rPr>
        <w:drawing>
          <wp:inline distT="0" distB="0" distL="0" distR="0" wp14:anchorId="4EFE5482" wp14:editId="0DFCEF8C">
            <wp:extent cx="5731510" cy="1997456"/>
            <wp:effectExtent l="0" t="0" r="2540" b="317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1997456"/>
                    </a:xfrm>
                    <a:prstGeom prst="rect">
                      <a:avLst/>
                    </a:prstGeom>
                  </pic:spPr>
                </pic:pic>
              </a:graphicData>
            </a:graphic>
          </wp:inline>
        </w:drawing>
      </w:r>
    </w:p>
    <w:p w:rsidR="00A868F7" w:rsidRDefault="00A868F7" w:rsidP="00A868F7">
      <w:pPr>
        <w:rPr>
          <w:rFonts w:ascii="Times New Roman" w:hAnsi="Times New Roman" w:cs="Times New Roman"/>
          <w:b/>
          <w:sz w:val="24"/>
          <w:szCs w:val="24"/>
        </w:rPr>
      </w:pPr>
    </w:p>
    <w:p w:rsidR="00A868F7" w:rsidRDefault="00A868F7" w:rsidP="00A868F7">
      <w:pPr>
        <w:rPr>
          <w:rFonts w:ascii="Times New Roman" w:hAnsi="Times New Roman" w:cs="Times New Roman"/>
          <w:b/>
          <w:sz w:val="24"/>
          <w:szCs w:val="24"/>
        </w:rPr>
      </w:pPr>
      <w:r w:rsidRPr="006E341E">
        <w:rPr>
          <w:rFonts w:ascii="Times New Roman" w:hAnsi="Times New Roman" w:cs="Times New Roman"/>
          <w:b/>
          <w:noProof/>
          <w:sz w:val="24"/>
          <w:szCs w:val="24"/>
          <w:lang w:eastAsia="es-ES"/>
        </w:rPr>
        <w:drawing>
          <wp:inline distT="0" distB="0" distL="0" distR="0" wp14:anchorId="3B7E8C0D" wp14:editId="00CF9F6D">
            <wp:extent cx="5731510" cy="2284644"/>
            <wp:effectExtent l="0" t="0" r="2540" b="190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2284644"/>
                    </a:xfrm>
                    <a:prstGeom prst="rect">
                      <a:avLst/>
                    </a:prstGeom>
                  </pic:spPr>
                </pic:pic>
              </a:graphicData>
            </a:graphic>
          </wp:inline>
        </w:drawing>
      </w:r>
    </w:p>
    <w:p w:rsidR="00A868F7" w:rsidRDefault="00A868F7" w:rsidP="00A868F7">
      <w:pPr>
        <w:rPr>
          <w:rFonts w:ascii="Times New Roman" w:hAnsi="Times New Roman" w:cs="Times New Roman"/>
          <w:b/>
          <w:sz w:val="24"/>
          <w:szCs w:val="24"/>
        </w:rPr>
      </w:pPr>
    </w:p>
    <w:p w:rsidR="00A868F7" w:rsidRDefault="00A868F7" w:rsidP="00A868F7">
      <w:pPr>
        <w:rPr>
          <w:rFonts w:ascii="Times New Roman" w:hAnsi="Times New Roman" w:cs="Times New Roman"/>
          <w:b/>
          <w:sz w:val="24"/>
          <w:szCs w:val="24"/>
        </w:rPr>
      </w:pPr>
      <w:r w:rsidRPr="006E341E">
        <w:rPr>
          <w:rFonts w:ascii="Times New Roman" w:hAnsi="Times New Roman" w:cs="Times New Roman"/>
          <w:b/>
          <w:noProof/>
          <w:sz w:val="24"/>
          <w:szCs w:val="24"/>
          <w:lang w:eastAsia="es-ES"/>
        </w:rPr>
        <w:drawing>
          <wp:inline distT="0" distB="0" distL="0" distR="0" wp14:anchorId="3823BDC3" wp14:editId="4E33BF47">
            <wp:extent cx="5731510" cy="1175694"/>
            <wp:effectExtent l="0" t="0" r="2540" b="571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1175694"/>
                    </a:xfrm>
                    <a:prstGeom prst="rect">
                      <a:avLst/>
                    </a:prstGeom>
                  </pic:spPr>
                </pic:pic>
              </a:graphicData>
            </a:graphic>
          </wp:inline>
        </w:drawing>
      </w:r>
    </w:p>
    <w:p w:rsidR="00F35FE2" w:rsidRDefault="00F35FE2" w:rsidP="00312276">
      <w:pPr>
        <w:spacing w:line="240" w:lineRule="auto"/>
        <w:jc w:val="both"/>
        <w:rPr>
          <w:rFonts w:ascii="Times New Roman" w:hAnsi="Times New Roman" w:cs="Times New Roman"/>
          <w:sz w:val="24"/>
          <w:szCs w:val="24"/>
        </w:rPr>
      </w:pPr>
      <w:r w:rsidRPr="00F35FE2">
        <w:rPr>
          <w:rFonts w:ascii="Times New Roman" w:hAnsi="Times New Roman" w:cs="Times New Roman"/>
          <w:sz w:val="24"/>
          <w:szCs w:val="24"/>
        </w:rPr>
        <w:t xml:space="preserve">Metodología: </w:t>
      </w:r>
      <w:r w:rsidR="00312276">
        <w:rPr>
          <w:rFonts w:ascii="Times New Roman" w:hAnsi="Times New Roman" w:cs="Times New Roman"/>
          <w:sz w:val="24"/>
          <w:szCs w:val="24"/>
        </w:rPr>
        <w:t>De las Cuentas Nacionales seleccionadas, se reiteran los datos estadísticos correspondientes al</w:t>
      </w:r>
      <w:r>
        <w:rPr>
          <w:rFonts w:ascii="Times New Roman" w:hAnsi="Times New Roman" w:cs="Times New Roman"/>
          <w:sz w:val="24"/>
          <w:szCs w:val="24"/>
        </w:rPr>
        <w:t xml:space="preserve"> año 2007</w:t>
      </w:r>
      <w:r w:rsidR="00312276">
        <w:rPr>
          <w:rFonts w:ascii="Times New Roman" w:hAnsi="Times New Roman" w:cs="Times New Roman"/>
          <w:sz w:val="24"/>
          <w:szCs w:val="24"/>
        </w:rPr>
        <w:t xml:space="preserve"> (previo a la crisis)</w:t>
      </w:r>
      <w:r>
        <w:rPr>
          <w:rFonts w:ascii="Times New Roman" w:hAnsi="Times New Roman" w:cs="Times New Roman"/>
          <w:sz w:val="24"/>
          <w:szCs w:val="24"/>
        </w:rPr>
        <w:t xml:space="preserve"> y</w:t>
      </w:r>
      <w:r w:rsidR="00312276">
        <w:rPr>
          <w:rFonts w:ascii="Times New Roman" w:hAnsi="Times New Roman" w:cs="Times New Roman"/>
          <w:sz w:val="24"/>
          <w:szCs w:val="24"/>
        </w:rPr>
        <w:t xml:space="preserve"> al año</w:t>
      </w:r>
      <w:r>
        <w:rPr>
          <w:rFonts w:ascii="Times New Roman" w:hAnsi="Times New Roman" w:cs="Times New Roman"/>
          <w:sz w:val="24"/>
          <w:szCs w:val="24"/>
        </w:rPr>
        <w:t xml:space="preserve"> 2017</w:t>
      </w:r>
      <w:r w:rsidR="00312276">
        <w:rPr>
          <w:rFonts w:ascii="Times New Roman" w:hAnsi="Times New Roman" w:cs="Times New Roman"/>
          <w:sz w:val="24"/>
          <w:szCs w:val="24"/>
        </w:rPr>
        <w:t xml:space="preserve"> (último dato disponible). Luego se señala</w:t>
      </w:r>
      <w:r>
        <w:rPr>
          <w:rFonts w:ascii="Times New Roman" w:hAnsi="Times New Roman" w:cs="Times New Roman"/>
          <w:sz w:val="24"/>
          <w:szCs w:val="24"/>
        </w:rPr>
        <w:t xml:space="preserve"> el año (de la serie) en que se alcanzó el Máximo o el Mínimo</w:t>
      </w:r>
      <w:r w:rsidR="00312276">
        <w:rPr>
          <w:rFonts w:ascii="Times New Roman" w:hAnsi="Times New Roman" w:cs="Times New Roman"/>
          <w:sz w:val="24"/>
          <w:szCs w:val="24"/>
        </w:rPr>
        <w:t xml:space="preserve"> valor. Finalmente se calcula el margen de maniobra (imaginario) disponible para afrontar la próxima crisis, por diferencias o incremental (en su caso).</w:t>
      </w:r>
    </w:p>
    <w:p w:rsidR="00312276" w:rsidRPr="00F35FE2" w:rsidRDefault="00312276" w:rsidP="00312276">
      <w:pPr>
        <w:spacing w:line="240" w:lineRule="auto"/>
        <w:jc w:val="both"/>
        <w:rPr>
          <w:rFonts w:ascii="Times New Roman" w:hAnsi="Times New Roman" w:cs="Times New Roman"/>
          <w:sz w:val="24"/>
          <w:szCs w:val="24"/>
        </w:rPr>
      </w:pPr>
    </w:p>
    <w:p w:rsidR="00A868F7" w:rsidRDefault="00A868F7" w:rsidP="00A868F7">
      <w:pPr>
        <w:rPr>
          <w:rFonts w:ascii="Times New Roman" w:hAnsi="Times New Roman" w:cs="Times New Roman"/>
          <w:b/>
          <w:sz w:val="24"/>
          <w:szCs w:val="24"/>
        </w:rPr>
      </w:pPr>
      <w:r w:rsidRPr="006E341E">
        <w:rPr>
          <w:rFonts w:ascii="Times New Roman" w:hAnsi="Times New Roman" w:cs="Times New Roman"/>
          <w:b/>
          <w:noProof/>
          <w:sz w:val="24"/>
          <w:szCs w:val="24"/>
          <w:lang w:eastAsia="es-ES"/>
        </w:rPr>
        <w:lastRenderedPageBreak/>
        <w:drawing>
          <wp:inline distT="0" distB="0" distL="0" distR="0" wp14:anchorId="323DD924" wp14:editId="09C00576">
            <wp:extent cx="5731510" cy="3211728"/>
            <wp:effectExtent l="0" t="0" r="2540" b="825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3211728"/>
                    </a:xfrm>
                    <a:prstGeom prst="rect">
                      <a:avLst/>
                    </a:prstGeom>
                  </pic:spPr>
                </pic:pic>
              </a:graphicData>
            </a:graphic>
          </wp:inline>
        </w:drawing>
      </w:r>
    </w:p>
    <w:p w:rsidR="00A868F7" w:rsidRDefault="00A868F7" w:rsidP="00A868F7">
      <w:pPr>
        <w:rPr>
          <w:rFonts w:ascii="Times New Roman" w:hAnsi="Times New Roman" w:cs="Times New Roman"/>
          <w:b/>
          <w:sz w:val="24"/>
          <w:szCs w:val="24"/>
        </w:rPr>
      </w:pPr>
      <w:r w:rsidRPr="006E341E">
        <w:rPr>
          <w:rFonts w:ascii="Times New Roman" w:hAnsi="Times New Roman" w:cs="Times New Roman"/>
          <w:b/>
          <w:noProof/>
          <w:sz w:val="24"/>
          <w:szCs w:val="24"/>
          <w:lang w:eastAsia="es-ES"/>
        </w:rPr>
        <w:drawing>
          <wp:inline distT="0" distB="0" distL="0" distR="0" wp14:anchorId="269E2901" wp14:editId="1C97DA7D">
            <wp:extent cx="5731510" cy="4337210"/>
            <wp:effectExtent l="0" t="0" r="254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4337210"/>
                    </a:xfrm>
                    <a:prstGeom prst="rect">
                      <a:avLst/>
                    </a:prstGeom>
                  </pic:spPr>
                </pic:pic>
              </a:graphicData>
            </a:graphic>
          </wp:inline>
        </w:drawing>
      </w:r>
    </w:p>
    <w:p w:rsidR="00A868F7" w:rsidRPr="007465C7" w:rsidRDefault="00A868F7" w:rsidP="00A868F7">
      <w:pPr>
        <w:spacing w:line="240" w:lineRule="auto"/>
        <w:jc w:val="both"/>
        <w:rPr>
          <w:rFonts w:ascii="Times New Roman" w:hAnsi="Times New Roman" w:cs="Times New Roman"/>
          <w:sz w:val="24"/>
          <w:szCs w:val="24"/>
          <w:shd w:val="clear" w:color="auto" w:fill="FFFFFF"/>
          <w:lang w:val="en-US"/>
        </w:rPr>
      </w:pPr>
    </w:p>
    <w:p w:rsidR="00A868F7" w:rsidRPr="007465C7" w:rsidRDefault="00A868F7" w:rsidP="00A868F7">
      <w:pPr>
        <w:spacing w:line="240" w:lineRule="auto"/>
        <w:jc w:val="both"/>
        <w:rPr>
          <w:rFonts w:ascii="Times New Roman" w:hAnsi="Times New Roman" w:cs="Times New Roman"/>
          <w:sz w:val="24"/>
          <w:szCs w:val="24"/>
          <w:shd w:val="clear" w:color="auto" w:fill="FFFFFF"/>
          <w:lang w:val="en-US"/>
        </w:rPr>
      </w:pPr>
    </w:p>
    <w:p w:rsidR="00A868F7" w:rsidRDefault="00A868F7" w:rsidP="00A868F7">
      <w:pPr>
        <w:spacing w:line="240" w:lineRule="auto"/>
        <w:jc w:val="both"/>
        <w:rPr>
          <w:rFonts w:ascii="Times New Roman" w:hAnsi="Times New Roman" w:cs="Times New Roman"/>
          <w:sz w:val="24"/>
          <w:szCs w:val="24"/>
          <w:shd w:val="clear" w:color="auto" w:fill="FFFFFF"/>
          <w:lang w:val="en-US"/>
        </w:rPr>
      </w:pPr>
    </w:p>
    <w:p w:rsidR="00A868F7" w:rsidRDefault="00A868F7" w:rsidP="00A868F7">
      <w:pPr>
        <w:spacing w:line="240" w:lineRule="auto"/>
        <w:jc w:val="both"/>
        <w:rPr>
          <w:rFonts w:ascii="Times New Roman" w:hAnsi="Times New Roman" w:cs="Times New Roman"/>
          <w:b/>
          <w:sz w:val="24"/>
          <w:szCs w:val="24"/>
          <w:shd w:val="clear" w:color="auto" w:fill="FFFFFF"/>
        </w:rPr>
      </w:pPr>
      <w:r w:rsidRPr="006E341E">
        <w:rPr>
          <w:rFonts w:ascii="Times New Roman" w:hAnsi="Times New Roman" w:cs="Times New Roman"/>
          <w:b/>
          <w:sz w:val="24"/>
          <w:szCs w:val="24"/>
          <w:shd w:val="clear" w:color="auto" w:fill="FFFFFF"/>
        </w:rPr>
        <w:lastRenderedPageBreak/>
        <w:t>Margen de maniobra</w:t>
      </w:r>
      <w:r>
        <w:rPr>
          <w:rFonts w:ascii="Times New Roman" w:hAnsi="Times New Roman" w:cs="Times New Roman"/>
          <w:b/>
          <w:sz w:val="24"/>
          <w:szCs w:val="24"/>
          <w:shd w:val="clear" w:color="auto" w:fill="FFFFFF"/>
        </w:rPr>
        <w:t xml:space="preserve"> p</w:t>
      </w:r>
      <w:r w:rsidR="00C32427">
        <w:rPr>
          <w:rFonts w:ascii="Times New Roman" w:hAnsi="Times New Roman" w:cs="Times New Roman"/>
          <w:b/>
          <w:sz w:val="24"/>
          <w:szCs w:val="24"/>
          <w:shd w:val="clear" w:color="auto" w:fill="FFFFFF"/>
        </w:rPr>
        <w:t>ara afrontar la próxima crisis</w:t>
      </w:r>
      <w:r w:rsidRPr="006E341E">
        <w:rPr>
          <w:rFonts w:ascii="Times New Roman" w:hAnsi="Times New Roman" w:cs="Times New Roman"/>
          <w:b/>
          <w:sz w:val="24"/>
          <w:szCs w:val="24"/>
          <w:shd w:val="clear" w:color="auto" w:fill="FFFFFF"/>
        </w:rPr>
        <w:t xml:space="preserve"> - Hoja de cálculo II</w:t>
      </w:r>
      <w:r>
        <w:rPr>
          <w:rFonts w:ascii="Times New Roman" w:hAnsi="Times New Roman" w:cs="Times New Roman"/>
          <w:b/>
          <w:sz w:val="24"/>
          <w:szCs w:val="24"/>
          <w:shd w:val="clear" w:color="auto" w:fill="FFFFFF"/>
        </w:rPr>
        <w:t xml:space="preserve"> (agosto 2018)</w:t>
      </w:r>
    </w:p>
    <w:p w:rsidR="00A868F7" w:rsidRDefault="00A868F7" w:rsidP="00A868F7">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 (28)</w:t>
      </w:r>
    </w:p>
    <w:p w:rsidR="00A868F7" w:rsidRPr="00F90CB4" w:rsidRDefault="00A868F7" w:rsidP="00A868F7">
      <w:pPr>
        <w:spacing w:line="240" w:lineRule="auto"/>
        <w:jc w:val="both"/>
        <w:rPr>
          <w:rFonts w:ascii="Times New Roman" w:hAnsi="Times New Roman" w:cs="Times New Roman"/>
          <w:sz w:val="24"/>
          <w:szCs w:val="24"/>
          <w:shd w:val="clear" w:color="auto" w:fill="FFFFFF"/>
        </w:rPr>
      </w:pPr>
      <w:r w:rsidRPr="00F90CB4">
        <w:rPr>
          <w:rFonts w:ascii="Times New Roman" w:hAnsi="Times New Roman" w:cs="Times New Roman"/>
          <w:sz w:val="24"/>
          <w:szCs w:val="24"/>
          <w:shd w:val="clear" w:color="auto" w:fill="FFFFFF"/>
        </w:rPr>
        <w:t xml:space="preserve">Gross Domestic Product (miles de millones de euros): </w:t>
      </w:r>
      <w:r w:rsidRPr="00DB357F">
        <w:rPr>
          <w:rFonts w:ascii="Times New Roman" w:hAnsi="Times New Roman" w:cs="Times New Roman"/>
          <w:sz w:val="24"/>
          <w:szCs w:val="24"/>
          <w:shd w:val="clear" w:color="auto" w:fill="FFFFFF"/>
        </w:rPr>
        <w:t>15.336</w:t>
      </w:r>
      <w:r>
        <w:rPr>
          <w:rFonts w:ascii="Times New Roman" w:hAnsi="Times New Roman" w:cs="Times New Roman"/>
          <w:sz w:val="24"/>
          <w:szCs w:val="24"/>
          <w:shd w:val="clear" w:color="auto" w:fill="FFFFFF"/>
        </w:rPr>
        <w:t>,</w:t>
      </w:r>
      <w:r w:rsidRPr="00F90CB4">
        <w:rPr>
          <w:rFonts w:ascii="Times New Roman" w:hAnsi="Times New Roman" w:cs="Times New Roman"/>
          <w:sz w:val="24"/>
          <w:szCs w:val="24"/>
          <w:shd w:val="clear" w:color="auto" w:fill="FFFFFF"/>
        </w:rPr>
        <w:t xml:space="preserve"> – 13.</w:t>
      </w:r>
      <w:r>
        <w:rPr>
          <w:rFonts w:ascii="Times New Roman" w:hAnsi="Times New Roman" w:cs="Times New Roman"/>
          <w:sz w:val="24"/>
          <w:szCs w:val="24"/>
          <w:shd w:val="clear" w:color="auto" w:fill="FFFFFF"/>
        </w:rPr>
        <w:t>006,3</w:t>
      </w:r>
      <w:r w:rsidRPr="00F90CB4">
        <w:rPr>
          <w:rFonts w:ascii="Times New Roman" w:hAnsi="Times New Roman" w:cs="Times New Roman"/>
          <w:sz w:val="24"/>
          <w:szCs w:val="24"/>
          <w:shd w:val="clear" w:color="auto" w:fill="FFFFFF"/>
        </w:rPr>
        <w:t xml:space="preserve"> = 2.329,9 (&gt;PIB)</w:t>
      </w:r>
    </w:p>
    <w:p w:rsidR="00A868F7" w:rsidRPr="00DB357F" w:rsidRDefault="00A868F7" w:rsidP="00A868F7">
      <w:pPr>
        <w:spacing w:line="240" w:lineRule="auto"/>
        <w:jc w:val="both"/>
        <w:rPr>
          <w:rFonts w:ascii="Times New Roman" w:hAnsi="Times New Roman" w:cs="Times New Roman"/>
          <w:sz w:val="24"/>
          <w:szCs w:val="24"/>
          <w:shd w:val="clear" w:color="auto" w:fill="FFFFFF"/>
          <w:lang w:val="en-US"/>
        </w:rPr>
      </w:pPr>
      <w:r w:rsidRPr="00DB357F">
        <w:rPr>
          <w:rFonts w:ascii="Times New Roman" w:hAnsi="Times New Roman" w:cs="Times New Roman"/>
          <w:sz w:val="24"/>
          <w:szCs w:val="24"/>
          <w:shd w:val="clear" w:color="auto" w:fill="FFFFFF"/>
          <w:lang w:val="en-US"/>
        </w:rPr>
        <w:t>Total General Government Expenditure (% GDP)</w:t>
      </w:r>
      <w:r>
        <w:rPr>
          <w:rFonts w:ascii="Times New Roman" w:hAnsi="Times New Roman" w:cs="Times New Roman"/>
          <w:sz w:val="24"/>
          <w:szCs w:val="24"/>
          <w:shd w:val="clear" w:color="auto" w:fill="FFFFFF"/>
          <w:lang w:val="en-US"/>
        </w:rPr>
        <w:t xml:space="preserve">:  50,1-45,8=4,3x15.336,2=  </w:t>
      </w:r>
      <w:r w:rsidRPr="00BB4446">
        <w:rPr>
          <w:rFonts w:ascii="Times New Roman" w:hAnsi="Times New Roman" w:cs="Times New Roman"/>
          <w:sz w:val="24"/>
          <w:szCs w:val="24"/>
          <w:highlight w:val="yellow"/>
          <w:shd w:val="clear" w:color="auto" w:fill="FFFFFF"/>
          <w:lang w:val="en-US"/>
        </w:rPr>
        <w:t>659,5</w:t>
      </w:r>
      <w:r>
        <w:rPr>
          <w:rFonts w:ascii="Times New Roman" w:hAnsi="Times New Roman" w:cs="Times New Roman"/>
          <w:sz w:val="24"/>
          <w:szCs w:val="24"/>
          <w:shd w:val="clear" w:color="auto" w:fill="FFFFFF"/>
          <w:lang w:val="en-US"/>
        </w:rPr>
        <w:t xml:space="preserve"> (m.m.E) </w:t>
      </w:r>
    </w:p>
    <w:p w:rsidR="00A868F7" w:rsidRDefault="00A868F7" w:rsidP="00A868F7">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Main National Account Tax Aggregates (% GDP):  45,3-44,7=0,6x15.336,2=    </w:t>
      </w:r>
      <w:r w:rsidRPr="00BB4446">
        <w:rPr>
          <w:rFonts w:ascii="Times New Roman" w:hAnsi="Times New Roman" w:cs="Times New Roman"/>
          <w:sz w:val="24"/>
          <w:szCs w:val="24"/>
          <w:highlight w:val="yellow"/>
          <w:shd w:val="clear" w:color="auto" w:fill="FFFFFF"/>
          <w:lang w:val="en-US"/>
        </w:rPr>
        <w:t>92,0</w:t>
      </w:r>
      <w:r>
        <w:rPr>
          <w:rFonts w:ascii="Times New Roman" w:hAnsi="Times New Roman" w:cs="Times New Roman"/>
          <w:sz w:val="24"/>
          <w:szCs w:val="24"/>
          <w:shd w:val="clear" w:color="auto" w:fill="FFFFFF"/>
          <w:lang w:val="en-US"/>
        </w:rPr>
        <w:t xml:space="preserve"> (m.m.E)</w:t>
      </w:r>
    </w:p>
    <w:p w:rsidR="00A868F7" w:rsidRDefault="00A868F7" w:rsidP="00A868F7">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Government Deficit/Surplus (% GDP):  (1)                 6,6-1,6=5x15.336,2=       </w:t>
      </w:r>
      <w:r w:rsidRPr="00BB4446">
        <w:rPr>
          <w:rFonts w:ascii="Times New Roman" w:hAnsi="Times New Roman" w:cs="Times New Roman"/>
          <w:sz w:val="24"/>
          <w:szCs w:val="24"/>
          <w:highlight w:val="red"/>
          <w:shd w:val="clear" w:color="auto" w:fill="FFFFFF"/>
          <w:lang w:val="en-US"/>
        </w:rPr>
        <w:t>766,8</w:t>
      </w:r>
      <w:r>
        <w:rPr>
          <w:rFonts w:ascii="Times New Roman" w:hAnsi="Times New Roman" w:cs="Times New Roman"/>
          <w:sz w:val="24"/>
          <w:szCs w:val="24"/>
          <w:shd w:val="clear" w:color="auto" w:fill="FFFFFF"/>
          <w:lang w:val="en-US"/>
        </w:rPr>
        <w:t xml:space="preserve"> (m.m.E)</w:t>
      </w:r>
    </w:p>
    <w:p w:rsidR="00A868F7" w:rsidRDefault="00A868F7" w:rsidP="00A868F7">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Government Debt (% GDP):                                      86,5-83,2=3,3x15.336,2=  </w:t>
      </w:r>
      <w:r w:rsidRPr="00BB4446">
        <w:rPr>
          <w:rFonts w:ascii="Times New Roman" w:hAnsi="Times New Roman" w:cs="Times New Roman"/>
          <w:sz w:val="24"/>
          <w:szCs w:val="24"/>
          <w:highlight w:val="yellow"/>
          <w:shd w:val="clear" w:color="auto" w:fill="FFFFFF"/>
          <w:lang w:val="en-US"/>
        </w:rPr>
        <w:t>506,1</w:t>
      </w:r>
      <w:r>
        <w:rPr>
          <w:rFonts w:ascii="Times New Roman" w:hAnsi="Times New Roman" w:cs="Times New Roman"/>
          <w:sz w:val="24"/>
          <w:szCs w:val="24"/>
          <w:shd w:val="clear" w:color="auto" w:fill="FFFFFF"/>
          <w:lang w:val="en-US"/>
        </w:rPr>
        <w:t xml:space="preserve"> (m.m.E)</w:t>
      </w:r>
    </w:p>
    <w:p w:rsidR="00A868F7" w:rsidRPr="002D3F27" w:rsidRDefault="00A868F7" w:rsidP="00A868F7">
      <w:pPr>
        <w:spacing w:line="240" w:lineRule="auto"/>
        <w:jc w:val="both"/>
        <w:rPr>
          <w:rFonts w:ascii="Times New Roman" w:hAnsi="Times New Roman" w:cs="Times New Roman"/>
          <w:sz w:val="24"/>
          <w:szCs w:val="24"/>
          <w:shd w:val="clear" w:color="auto" w:fill="FFFFFF"/>
        </w:rPr>
      </w:pPr>
      <w:r w:rsidRPr="002D3F27">
        <w:rPr>
          <w:rFonts w:ascii="Times New Roman" w:hAnsi="Times New Roman" w:cs="Times New Roman"/>
          <w:sz w:val="24"/>
          <w:szCs w:val="24"/>
          <w:shd w:val="clear" w:color="auto" w:fill="FFFFFF"/>
        </w:rPr>
        <w:t xml:space="preserve">Monetary </w:t>
      </w:r>
      <w:r>
        <w:rPr>
          <w:rFonts w:ascii="Times New Roman" w:hAnsi="Times New Roman" w:cs="Times New Roman"/>
          <w:sz w:val="24"/>
          <w:szCs w:val="24"/>
          <w:shd w:val="clear" w:color="auto" w:fill="FFFFFF"/>
        </w:rPr>
        <w:t xml:space="preserve">Aggregate M3 (mil. </w:t>
      </w:r>
      <w:r w:rsidRPr="002D3F27">
        <w:rPr>
          <w:rFonts w:ascii="Times New Roman" w:hAnsi="Times New Roman" w:cs="Times New Roman"/>
          <w:sz w:val="24"/>
          <w:szCs w:val="24"/>
          <w:shd w:val="clear" w:color="auto" w:fill="FFFFFF"/>
        </w:rPr>
        <w:t>de</w:t>
      </w:r>
      <w:r>
        <w:rPr>
          <w:rFonts w:ascii="Times New Roman" w:hAnsi="Times New Roman" w:cs="Times New Roman"/>
          <w:sz w:val="24"/>
          <w:szCs w:val="24"/>
          <w:shd w:val="clear" w:color="auto" w:fill="FFFFFF"/>
        </w:rPr>
        <w:t xml:space="preserve"> mill. de E</w:t>
      </w:r>
      <w:r w:rsidRPr="002D3F2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w:t>
      </w:r>
      <w:r w:rsidRPr="002D3F27">
        <w:rPr>
          <w:rFonts w:ascii="Times New Roman" w:hAnsi="Times New Roman" w:cs="Times New Roman"/>
          <w:sz w:val="24"/>
          <w:szCs w:val="24"/>
          <w:shd w:val="clear" w:color="auto" w:fill="FFFFFF"/>
        </w:rPr>
        <w:t>N/D para EU (28)</w:t>
      </w:r>
    </w:p>
    <w:p w:rsidR="00A868F7" w:rsidRPr="00BA1292" w:rsidRDefault="00A868F7" w:rsidP="00A868F7">
      <w:pPr>
        <w:spacing w:line="240" w:lineRule="auto"/>
        <w:jc w:val="both"/>
        <w:rPr>
          <w:rFonts w:ascii="Times New Roman" w:hAnsi="Times New Roman" w:cs="Times New Roman"/>
          <w:sz w:val="24"/>
          <w:szCs w:val="24"/>
          <w:shd w:val="clear" w:color="auto" w:fill="FFFFFF"/>
        </w:rPr>
      </w:pPr>
      <w:r w:rsidRPr="00BA1292">
        <w:rPr>
          <w:rFonts w:ascii="Times New Roman" w:hAnsi="Times New Roman" w:cs="Times New Roman"/>
          <w:sz w:val="24"/>
          <w:szCs w:val="24"/>
          <w:shd w:val="clear" w:color="auto" w:fill="FFFFFF"/>
        </w:rPr>
        <w:t>Interest Rate Lavel (% per annum):                                N/D para EU (28)</w:t>
      </w:r>
    </w:p>
    <w:p w:rsidR="00A868F7" w:rsidRPr="00A868F7" w:rsidRDefault="00A868F7" w:rsidP="00A868F7">
      <w:pPr>
        <w:spacing w:line="240" w:lineRule="auto"/>
        <w:jc w:val="both"/>
        <w:rPr>
          <w:rFonts w:ascii="Times New Roman" w:hAnsi="Times New Roman" w:cs="Times New Roman"/>
          <w:sz w:val="24"/>
          <w:szCs w:val="24"/>
          <w:shd w:val="clear" w:color="auto" w:fill="FFFFFF"/>
        </w:rPr>
      </w:pPr>
      <w:r w:rsidRPr="00A868F7">
        <w:rPr>
          <w:rFonts w:ascii="Times New Roman" w:hAnsi="Times New Roman" w:cs="Times New Roman"/>
          <w:sz w:val="24"/>
          <w:szCs w:val="24"/>
          <w:shd w:val="clear" w:color="auto" w:fill="FFFFFF"/>
        </w:rPr>
        <w:t xml:space="preserve">Current Account Transactions (mil. de mill. de E):        247,5-(169,4)=             </w:t>
      </w:r>
      <w:r w:rsidRPr="00BB4446">
        <w:rPr>
          <w:rFonts w:ascii="Times New Roman" w:hAnsi="Times New Roman" w:cs="Times New Roman"/>
          <w:sz w:val="24"/>
          <w:szCs w:val="24"/>
          <w:highlight w:val="yellow"/>
          <w:shd w:val="clear" w:color="auto" w:fill="FFFFFF"/>
        </w:rPr>
        <w:t>416,9</w:t>
      </w:r>
      <w:r w:rsidRPr="00A868F7">
        <w:rPr>
          <w:rFonts w:ascii="Times New Roman" w:hAnsi="Times New Roman" w:cs="Times New Roman"/>
          <w:sz w:val="24"/>
          <w:szCs w:val="24"/>
          <w:shd w:val="clear" w:color="auto" w:fill="FFFFFF"/>
        </w:rPr>
        <w:t xml:space="preserve"> (m.m.E)</w:t>
      </w:r>
    </w:p>
    <w:p w:rsidR="00A868F7" w:rsidRPr="00BA1292" w:rsidRDefault="00A868F7" w:rsidP="00A868F7">
      <w:pPr>
        <w:spacing w:line="240" w:lineRule="auto"/>
        <w:jc w:val="both"/>
        <w:rPr>
          <w:rFonts w:ascii="Times New Roman" w:hAnsi="Times New Roman" w:cs="Times New Roman"/>
          <w:sz w:val="24"/>
          <w:szCs w:val="24"/>
          <w:shd w:val="clear" w:color="auto" w:fill="FFFFFF"/>
          <w:lang w:val="en-US"/>
        </w:rPr>
      </w:pPr>
      <w:r w:rsidRPr="00BA1292">
        <w:rPr>
          <w:rFonts w:ascii="Times New Roman" w:hAnsi="Times New Roman" w:cs="Times New Roman"/>
          <w:sz w:val="24"/>
          <w:szCs w:val="24"/>
          <w:shd w:val="clear" w:color="auto" w:fill="FFFFFF"/>
          <w:lang w:val="en-US"/>
        </w:rPr>
        <w:t>Investment by Institutional Sector (% GDP):</w:t>
      </w:r>
      <w:r>
        <w:rPr>
          <w:rFonts w:ascii="Times New Roman" w:hAnsi="Times New Roman" w:cs="Times New Roman"/>
          <w:sz w:val="24"/>
          <w:szCs w:val="24"/>
          <w:shd w:val="clear" w:color="auto" w:fill="FFFFFF"/>
          <w:lang w:val="en-US"/>
        </w:rPr>
        <w:t xml:space="preserve">    </w:t>
      </w:r>
      <w:r w:rsidRPr="00BA1292">
        <w:rPr>
          <w:rFonts w:ascii="Times New Roman" w:hAnsi="Times New Roman" w:cs="Times New Roman"/>
          <w:sz w:val="24"/>
          <w:szCs w:val="24"/>
          <w:shd w:val="clear" w:color="auto" w:fill="FFFFFF"/>
          <w:lang w:val="en-US"/>
        </w:rPr>
        <w:t>22,92-20,63=0,0229x15.336,2=</w:t>
      </w:r>
      <w:r w:rsidRPr="00BB4446">
        <w:rPr>
          <w:rFonts w:ascii="Times New Roman" w:hAnsi="Times New Roman" w:cs="Times New Roman"/>
          <w:sz w:val="24"/>
          <w:szCs w:val="24"/>
          <w:highlight w:val="yellow"/>
          <w:shd w:val="clear" w:color="auto" w:fill="FFFFFF"/>
          <w:lang w:val="en-US"/>
        </w:rPr>
        <w:t>351,2</w:t>
      </w:r>
      <w:r w:rsidRPr="00BA1292">
        <w:rPr>
          <w:rFonts w:ascii="Times New Roman" w:hAnsi="Times New Roman" w:cs="Times New Roman"/>
          <w:sz w:val="24"/>
          <w:szCs w:val="24"/>
          <w:shd w:val="clear" w:color="auto" w:fill="FFFFFF"/>
          <w:lang w:val="en-US"/>
        </w:rPr>
        <w:t xml:space="preserve"> (m.m.E)</w:t>
      </w:r>
    </w:p>
    <w:p w:rsidR="00A868F7" w:rsidRDefault="00A868F7" w:rsidP="00A868F7">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EA (19)</w:t>
      </w:r>
    </w:p>
    <w:p w:rsidR="00A868F7" w:rsidRPr="00F90CB4" w:rsidRDefault="00A868F7" w:rsidP="00A868F7">
      <w:pPr>
        <w:spacing w:line="240" w:lineRule="auto"/>
        <w:jc w:val="both"/>
        <w:rPr>
          <w:rFonts w:ascii="Times New Roman" w:hAnsi="Times New Roman" w:cs="Times New Roman"/>
          <w:sz w:val="24"/>
          <w:szCs w:val="24"/>
          <w:shd w:val="clear" w:color="auto" w:fill="FFFFFF"/>
        </w:rPr>
      </w:pPr>
      <w:r w:rsidRPr="00F90CB4">
        <w:rPr>
          <w:rFonts w:ascii="Times New Roman" w:hAnsi="Times New Roman" w:cs="Times New Roman"/>
          <w:sz w:val="24"/>
          <w:szCs w:val="24"/>
          <w:shd w:val="clear" w:color="auto" w:fill="FFFFFF"/>
        </w:rPr>
        <w:t xml:space="preserve">Gross Domestic Product (miles de millones de euros): </w:t>
      </w:r>
      <w:r>
        <w:rPr>
          <w:rFonts w:ascii="Times New Roman" w:hAnsi="Times New Roman" w:cs="Times New Roman"/>
          <w:sz w:val="24"/>
          <w:szCs w:val="24"/>
          <w:shd w:val="clear" w:color="auto" w:fill="FFFFFF"/>
        </w:rPr>
        <w:t xml:space="preserve">  </w:t>
      </w:r>
      <w:r w:rsidRPr="00F90CB4">
        <w:rPr>
          <w:rFonts w:ascii="Times New Roman" w:hAnsi="Times New Roman" w:cs="Times New Roman"/>
          <w:sz w:val="24"/>
          <w:szCs w:val="24"/>
          <w:shd w:val="clear" w:color="auto" w:fill="FFFFFF"/>
        </w:rPr>
        <w:t>11.174,0 – 9.404,6 = 1.769,4 (&gt;PIB)</w:t>
      </w:r>
    </w:p>
    <w:p w:rsidR="00A868F7" w:rsidRPr="00DB357F" w:rsidRDefault="00A868F7" w:rsidP="00A868F7">
      <w:pPr>
        <w:spacing w:line="240" w:lineRule="auto"/>
        <w:jc w:val="both"/>
        <w:rPr>
          <w:rFonts w:ascii="Times New Roman" w:hAnsi="Times New Roman" w:cs="Times New Roman"/>
          <w:sz w:val="24"/>
          <w:szCs w:val="24"/>
          <w:shd w:val="clear" w:color="auto" w:fill="FFFFFF"/>
          <w:lang w:val="en-US"/>
        </w:rPr>
      </w:pPr>
      <w:r w:rsidRPr="00DB357F">
        <w:rPr>
          <w:rFonts w:ascii="Times New Roman" w:hAnsi="Times New Roman" w:cs="Times New Roman"/>
          <w:sz w:val="24"/>
          <w:szCs w:val="24"/>
          <w:shd w:val="clear" w:color="auto" w:fill="FFFFFF"/>
          <w:lang w:val="en-US"/>
        </w:rPr>
        <w:t>Total General Government Expenditure (% GDP)</w:t>
      </w:r>
      <w:r>
        <w:rPr>
          <w:rFonts w:ascii="Times New Roman" w:hAnsi="Times New Roman" w:cs="Times New Roman"/>
          <w:sz w:val="24"/>
          <w:szCs w:val="24"/>
          <w:shd w:val="clear" w:color="auto" w:fill="FFFFFF"/>
          <w:lang w:val="en-US"/>
        </w:rPr>
        <w:t xml:space="preserve">:  50,7-47,1=3,6x11.174,0=  </w:t>
      </w:r>
      <w:r w:rsidRPr="00BB4446">
        <w:rPr>
          <w:rFonts w:ascii="Times New Roman" w:hAnsi="Times New Roman" w:cs="Times New Roman"/>
          <w:sz w:val="24"/>
          <w:szCs w:val="24"/>
          <w:highlight w:val="yellow"/>
          <w:shd w:val="clear" w:color="auto" w:fill="FFFFFF"/>
          <w:lang w:val="en-US"/>
        </w:rPr>
        <w:t>402,3</w:t>
      </w:r>
      <w:r>
        <w:rPr>
          <w:rFonts w:ascii="Times New Roman" w:hAnsi="Times New Roman" w:cs="Times New Roman"/>
          <w:sz w:val="24"/>
          <w:szCs w:val="24"/>
          <w:shd w:val="clear" w:color="auto" w:fill="FFFFFF"/>
          <w:lang w:val="en-US"/>
        </w:rPr>
        <w:t xml:space="preserve"> (m.m.E) </w:t>
      </w:r>
    </w:p>
    <w:p w:rsidR="00A868F7" w:rsidRDefault="00A868F7" w:rsidP="00A868F7">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Main National Account Tax Aggregates (% GDP):  46,7-46,1=0,6x11.174,0=    </w:t>
      </w:r>
      <w:r w:rsidRPr="00BB4446">
        <w:rPr>
          <w:rFonts w:ascii="Times New Roman" w:hAnsi="Times New Roman" w:cs="Times New Roman"/>
          <w:sz w:val="24"/>
          <w:szCs w:val="24"/>
          <w:highlight w:val="yellow"/>
          <w:shd w:val="clear" w:color="auto" w:fill="FFFFFF"/>
          <w:lang w:val="en-US"/>
        </w:rPr>
        <w:t>67,0</w:t>
      </w:r>
      <w:r>
        <w:rPr>
          <w:rFonts w:ascii="Times New Roman" w:hAnsi="Times New Roman" w:cs="Times New Roman"/>
          <w:sz w:val="24"/>
          <w:szCs w:val="24"/>
          <w:shd w:val="clear" w:color="auto" w:fill="FFFFFF"/>
          <w:lang w:val="en-US"/>
        </w:rPr>
        <w:t xml:space="preserve"> (m.m.E)</w:t>
      </w:r>
    </w:p>
    <w:p w:rsidR="00A868F7" w:rsidRDefault="00A868F7" w:rsidP="00A868F7">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Government Deficit/Surplus (% GDP): (1)                 6,3-1,54,8x11.174,0=       </w:t>
      </w:r>
      <w:r w:rsidRPr="00BB4446">
        <w:rPr>
          <w:rFonts w:ascii="Times New Roman" w:hAnsi="Times New Roman" w:cs="Times New Roman"/>
          <w:sz w:val="24"/>
          <w:szCs w:val="24"/>
          <w:highlight w:val="red"/>
          <w:shd w:val="clear" w:color="auto" w:fill="FFFFFF"/>
          <w:lang w:val="en-US"/>
        </w:rPr>
        <w:t>536,4</w:t>
      </w:r>
      <w:r>
        <w:rPr>
          <w:rFonts w:ascii="Times New Roman" w:hAnsi="Times New Roman" w:cs="Times New Roman"/>
          <w:sz w:val="24"/>
          <w:szCs w:val="24"/>
          <w:shd w:val="clear" w:color="auto" w:fill="FFFFFF"/>
          <w:lang w:val="en-US"/>
        </w:rPr>
        <w:t xml:space="preserve"> (m.m.E)</w:t>
      </w:r>
    </w:p>
    <w:p w:rsidR="00A868F7" w:rsidRDefault="00A868F7" w:rsidP="00A868F7">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Government Debt (% GDP):                                      91,8-88,9=2,9x11.174,0=  </w:t>
      </w:r>
      <w:r w:rsidRPr="00BB4446">
        <w:rPr>
          <w:rFonts w:ascii="Times New Roman" w:hAnsi="Times New Roman" w:cs="Times New Roman"/>
          <w:sz w:val="24"/>
          <w:szCs w:val="24"/>
          <w:highlight w:val="yellow"/>
          <w:shd w:val="clear" w:color="auto" w:fill="FFFFFF"/>
          <w:lang w:val="en-US"/>
        </w:rPr>
        <w:t>324,0</w:t>
      </w:r>
      <w:r>
        <w:rPr>
          <w:rFonts w:ascii="Times New Roman" w:hAnsi="Times New Roman" w:cs="Times New Roman"/>
          <w:sz w:val="24"/>
          <w:szCs w:val="24"/>
          <w:shd w:val="clear" w:color="auto" w:fill="FFFFFF"/>
          <w:lang w:val="en-US"/>
        </w:rPr>
        <w:t xml:space="preserve"> (m.m.E)</w:t>
      </w:r>
    </w:p>
    <w:p w:rsidR="00A868F7" w:rsidRPr="00F90CB4" w:rsidRDefault="00A868F7" w:rsidP="00A868F7">
      <w:pPr>
        <w:spacing w:line="240" w:lineRule="auto"/>
        <w:jc w:val="both"/>
        <w:rPr>
          <w:rFonts w:ascii="Times New Roman" w:hAnsi="Times New Roman" w:cs="Times New Roman"/>
          <w:sz w:val="24"/>
          <w:szCs w:val="24"/>
          <w:shd w:val="clear" w:color="auto" w:fill="FFFFFF"/>
        </w:rPr>
      </w:pPr>
      <w:r w:rsidRPr="00F90CB4">
        <w:rPr>
          <w:rFonts w:ascii="Times New Roman" w:hAnsi="Times New Roman" w:cs="Times New Roman"/>
          <w:sz w:val="24"/>
          <w:szCs w:val="24"/>
          <w:shd w:val="clear" w:color="auto" w:fill="FFFFFF"/>
        </w:rPr>
        <w:t xml:space="preserve">Monetary Aggregate M3 (mil. de mill. de E): </w:t>
      </w:r>
      <w:r>
        <w:rPr>
          <w:rFonts w:ascii="Times New Roman" w:hAnsi="Times New Roman" w:cs="Times New Roman"/>
          <w:sz w:val="24"/>
          <w:szCs w:val="24"/>
          <w:shd w:val="clear" w:color="auto" w:fill="FFFFFF"/>
        </w:rPr>
        <w:t xml:space="preserve">(2)      11.635,2 – 8.198,2 =      </w:t>
      </w:r>
      <w:r w:rsidRPr="00BB4446">
        <w:rPr>
          <w:rFonts w:ascii="Times New Roman" w:hAnsi="Times New Roman" w:cs="Times New Roman"/>
          <w:sz w:val="24"/>
          <w:szCs w:val="24"/>
          <w:highlight w:val="red"/>
          <w:shd w:val="clear" w:color="auto" w:fill="FFFFFF"/>
        </w:rPr>
        <w:t>3.437,0</w:t>
      </w:r>
      <w:r>
        <w:rPr>
          <w:rFonts w:ascii="Times New Roman" w:hAnsi="Times New Roman" w:cs="Times New Roman"/>
          <w:sz w:val="24"/>
          <w:szCs w:val="24"/>
          <w:shd w:val="clear" w:color="auto" w:fill="FFFFFF"/>
        </w:rPr>
        <w:t xml:space="preserve"> (m.m.E)</w:t>
      </w:r>
    </w:p>
    <w:p w:rsidR="00A868F7" w:rsidRDefault="00A868F7" w:rsidP="00A868F7">
      <w:pPr>
        <w:spacing w:line="240" w:lineRule="auto"/>
        <w:jc w:val="both"/>
        <w:rPr>
          <w:rFonts w:ascii="Times New Roman" w:hAnsi="Times New Roman" w:cs="Times New Roman"/>
          <w:sz w:val="24"/>
          <w:szCs w:val="24"/>
          <w:shd w:val="clear" w:color="auto" w:fill="FFFFFF"/>
          <w:lang w:val="en-US"/>
        </w:rPr>
      </w:pPr>
      <w:r w:rsidRPr="00F90CB4">
        <w:rPr>
          <w:rFonts w:ascii="Times New Roman" w:hAnsi="Times New Roman" w:cs="Times New Roman"/>
          <w:sz w:val="24"/>
          <w:szCs w:val="24"/>
          <w:shd w:val="clear" w:color="auto" w:fill="FFFFFF"/>
          <w:lang w:val="en-US"/>
        </w:rPr>
        <w:t xml:space="preserve">Interest Rate </w:t>
      </w:r>
      <w:proofErr w:type="spellStart"/>
      <w:r w:rsidRPr="00F90CB4">
        <w:rPr>
          <w:rFonts w:ascii="Times New Roman" w:hAnsi="Times New Roman" w:cs="Times New Roman"/>
          <w:sz w:val="24"/>
          <w:szCs w:val="24"/>
          <w:shd w:val="clear" w:color="auto" w:fill="FFFFFF"/>
          <w:lang w:val="en-US"/>
        </w:rPr>
        <w:t>Lavel</w:t>
      </w:r>
      <w:proofErr w:type="spellEnd"/>
      <w:r w:rsidRPr="00F90CB4">
        <w:rPr>
          <w:rFonts w:ascii="Times New Roman" w:hAnsi="Times New Roman" w:cs="Times New Roman"/>
          <w:sz w:val="24"/>
          <w:szCs w:val="24"/>
          <w:shd w:val="clear" w:color="auto" w:fill="FFFFFF"/>
          <w:lang w:val="en-US"/>
        </w:rPr>
        <w:t xml:space="preserve"> (% per annum):</w:t>
      </w:r>
      <w:r w:rsidR="007918DD">
        <w:rPr>
          <w:rFonts w:ascii="Times New Roman" w:hAnsi="Times New Roman" w:cs="Times New Roman"/>
          <w:sz w:val="24"/>
          <w:szCs w:val="24"/>
          <w:shd w:val="clear" w:color="auto" w:fill="FFFFFF"/>
          <w:lang w:val="en-US"/>
        </w:rPr>
        <w:t xml:space="preserve"> (3)</w:t>
      </w:r>
    </w:p>
    <w:p w:rsidR="00A868F7" w:rsidRPr="00AD0DC8" w:rsidRDefault="00A868F7" w:rsidP="00A868F7">
      <w:pPr>
        <w:spacing w:line="240" w:lineRule="auto"/>
        <w:ind w:firstLine="708"/>
        <w:jc w:val="both"/>
        <w:rPr>
          <w:rFonts w:ascii="Times New Roman" w:hAnsi="Times New Roman" w:cs="Times New Roman"/>
          <w:sz w:val="24"/>
          <w:szCs w:val="24"/>
          <w:shd w:val="clear" w:color="auto" w:fill="FFFFFF"/>
        </w:rPr>
      </w:pPr>
      <w:r w:rsidRPr="00AD0DC8">
        <w:rPr>
          <w:rFonts w:ascii="Times New Roman" w:hAnsi="Times New Roman" w:cs="Times New Roman"/>
          <w:sz w:val="24"/>
          <w:szCs w:val="24"/>
          <w:shd w:val="clear" w:color="auto" w:fill="FFFFFF"/>
        </w:rPr>
        <w:t>Deposit Facility (2016) (0,40) mínimo alcanzado</w:t>
      </w:r>
    </w:p>
    <w:p w:rsidR="00A868F7" w:rsidRPr="00AD0DC8" w:rsidRDefault="00A868F7" w:rsidP="00A868F7">
      <w:pPr>
        <w:spacing w:line="240" w:lineRule="auto"/>
        <w:ind w:firstLine="708"/>
        <w:jc w:val="both"/>
        <w:rPr>
          <w:rFonts w:ascii="Times New Roman" w:hAnsi="Times New Roman" w:cs="Times New Roman"/>
          <w:sz w:val="24"/>
          <w:szCs w:val="24"/>
          <w:shd w:val="clear" w:color="auto" w:fill="FFFFFF"/>
        </w:rPr>
      </w:pPr>
      <w:r w:rsidRPr="00AD0DC8">
        <w:rPr>
          <w:rFonts w:ascii="Times New Roman" w:hAnsi="Times New Roman" w:cs="Times New Roman"/>
          <w:sz w:val="24"/>
          <w:szCs w:val="24"/>
          <w:shd w:val="clear" w:color="auto" w:fill="FFFFFF"/>
        </w:rPr>
        <w:t>Main Refinancing Operation (2016) (0,00) mínimo alcanzado</w:t>
      </w:r>
    </w:p>
    <w:p w:rsidR="00A868F7" w:rsidRPr="00AD0DC8" w:rsidRDefault="00A868F7" w:rsidP="00A868F7">
      <w:pPr>
        <w:spacing w:line="240" w:lineRule="auto"/>
        <w:ind w:firstLine="708"/>
        <w:jc w:val="both"/>
        <w:rPr>
          <w:rFonts w:ascii="Times New Roman" w:hAnsi="Times New Roman" w:cs="Times New Roman"/>
          <w:sz w:val="24"/>
          <w:szCs w:val="24"/>
          <w:shd w:val="clear" w:color="auto" w:fill="FFFFFF"/>
          <w:lang w:val="en-US"/>
        </w:rPr>
      </w:pPr>
      <w:r w:rsidRPr="00AD0DC8">
        <w:rPr>
          <w:rFonts w:ascii="Times New Roman" w:hAnsi="Times New Roman" w:cs="Times New Roman"/>
          <w:sz w:val="24"/>
          <w:szCs w:val="24"/>
          <w:shd w:val="clear" w:color="auto" w:fill="FFFFFF"/>
          <w:lang w:val="en-US"/>
        </w:rPr>
        <w:t xml:space="preserve">Marging Leading Facility (2016) 0,25 mínimo alcanzado                                </w:t>
      </w:r>
    </w:p>
    <w:p w:rsidR="00A868F7" w:rsidRPr="00AD0DC8" w:rsidRDefault="00A868F7" w:rsidP="00A868F7">
      <w:pPr>
        <w:spacing w:line="240" w:lineRule="auto"/>
        <w:jc w:val="both"/>
        <w:rPr>
          <w:rFonts w:ascii="Times New Roman" w:hAnsi="Times New Roman" w:cs="Times New Roman"/>
          <w:sz w:val="24"/>
          <w:szCs w:val="24"/>
          <w:shd w:val="clear" w:color="auto" w:fill="FFFFFF"/>
          <w:lang w:val="en-US"/>
        </w:rPr>
      </w:pPr>
      <w:r w:rsidRPr="00AD0DC8">
        <w:rPr>
          <w:rFonts w:ascii="Times New Roman" w:hAnsi="Times New Roman" w:cs="Times New Roman"/>
          <w:sz w:val="24"/>
          <w:szCs w:val="24"/>
          <w:shd w:val="clear" w:color="auto" w:fill="FFFFFF"/>
          <w:lang w:val="en-US"/>
        </w:rPr>
        <w:t xml:space="preserve">Current Account Transactions (mil. de mill. de E):         388,0-3,8=                  </w:t>
      </w:r>
      <w:r>
        <w:rPr>
          <w:rFonts w:ascii="Times New Roman" w:hAnsi="Times New Roman" w:cs="Times New Roman"/>
          <w:sz w:val="24"/>
          <w:szCs w:val="24"/>
          <w:shd w:val="clear" w:color="auto" w:fill="FFFFFF"/>
          <w:lang w:val="en-US"/>
        </w:rPr>
        <w:t xml:space="preserve"> </w:t>
      </w:r>
      <w:r w:rsidRPr="00BB4446">
        <w:rPr>
          <w:rFonts w:ascii="Times New Roman" w:hAnsi="Times New Roman" w:cs="Times New Roman"/>
          <w:sz w:val="24"/>
          <w:szCs w:val="24"/>
          <w:highlight w:val="yellow"/>
          <w:shd w:val="clear" w:color="auto" w:fill="FFFFFF"/>
          <w:lang w:val="en-US"/>
        </w:rPr>
        <w:t>384,2</w:t>
      </w:r>
      <w:r w:rsidRPr="00AD0DC8">
        <w:rPr>
          <w:rFonts w:ascii="Times New Roman" w:hAnsi="Times New Roman" w:cs="Times New Roman"/>
          <w:sz w:val="24"/>
          <w:szCs w:val="24"/>
          <w:shd w:val="clear" w:color="auto" w:fill="FFFFFF"/>
          <w:lang w:val="en-US"/>
        </w:rPr>
        <w:t xml:space="preserve"> (m.m.E)</w:t>
      </w:r>
    </w:p>
    <w:p w:rsidR="00A868F7" w:rsidRPr="00BA1292" w:rsidRDefault="00A868F7" w:rsidP="00A868F7">
      <w:pPr>
        <w:spacing w:line="240" w:lineRule="auto"/>
        <w:jc w:val="both"/>
        <w:rPr>
          <w:rFonts w:ascii="Times New Roman" w:hAnsi="Times New Roman" w:cs="Times New Roman"/>
          <w:sz w:val="24"/>
          <w:szCs w:val="24"/>
          <w:shd w:val="clear" w:color="auto" w:fill="FFFFFF"/>
          <w:lang w:val="en-US"/>
        </w:rPr>
      </w:pPr>
      <w:r w:rsidRPr="00BA1292">
        <w:rPr>
          <w:rFonts w:ascii="Times New Roman" w:hAnsi="Times New Roman" w:cs="Times New Roman"/>
          <w:sz w:val="24"/>
          <w:szCs w:val="24"/>
          <w:shd w:val="clear" w:color="auto" w:fill="FFFFFF"/>
          <w:lang w:val="en-US"/>
        </w:rPr>
        <w:t>Investment by Institutional Sector (% GDP):</w:t>
      </w:r>
      <w:r>
        <w:rPr>
          <w:rFonts w:ascii="Times New Roman" w:hAnsi="Times New Roman" w:cs="Times New Roman"/>
          <w:sz w:val="24"/>
          <w:szCs w:val="24"/>
          <w:shd w:val="clear" w:color="auto" w:fill="FFFFFF"/>
          <w:lang w:val="en-US"/>
        </w:rPr>
        <w:t xml:space="preserve">    23,56-20,80=0,0276x11.174,0=</w:t>
      </w:r>
      <w:r w:rsidRPr="00BB4446">
        <w:rPr>
          <w:rFonts w:ascii="Times New Roman" w:hAnsi="Times New Roman" w:cs="Times New Roman"/>
          <w:sz w:val="24"/>
          <w:szCs w:val="24"/>
          <w:highlight w:val="yellow"/>
          <w:shd w:val="clear" w:color="auto" w:fill="FFFFFF"/>
          <w:lang w:val="en-US"/>
        </w:rPr>
        <w:t>308,4</w:t>
      </w:r>
      <w:r w:rsidRPr="00BA1292">
        <w:rPr>
          <w:rFonts w:ascii="Times New Roman" w:hAnsi="Times New Roman" w:cs="Times New Roman"/>
          <w:sz w:val="24"/>
          <w:szCs w:val="24"/>
          <w:shd w:val="clear" w:color="auto" w:fill="FFFFFF"/>
          <w:lang w:val="en-US"/>
        </w:rPr>
        <w:t xml:space="preserve"> (m.m.E)</w:t>
      </w:r>
    </w:p>
    <w:p w:rsidR="00A868F7" w:rsidRDefault="00A868F7" w:rsidP="00A868F7">
      <w:pPr>
        <w:spacing w:line="240" w:lineRule="auto"/>
        <w:jc w:val="both"/>
        <w:rPr>
          <w:rFonts w:ascii="Times New Roman" w:hAnsi="Times New Roman" w:cs="Times New Roman"/>
          <w:sz w:val="24"/>
          <w:szCs w:val="24"/>
          <w:shd w:val="clear" w:color="auto" w:fill="FFFFFF"/>
        </w:rPr>
      </w:pPr>
      <w:r w:rsidRPr="00BA1292">
        <w:rPr>
          <w:rFonts w:ascii="Times New Roman" w:hAnsi="Times New Roman" w:cs="Times New Roman"/>
          <w:sz w:val="24"/>
          <w:szCs w:val="24"/>
          <w:shd w:val="clear" w:color="auto" w:fill="FFFFFF"/>
        </w:rPr>
        <w:t>Nota: (1) no se acu</w:t>
      </w:r>
      <w:r>
        <w:rPr>
          <w:rFonts w:ascii="Times New Roman" w:hAnsi="Times New Roman" w:cs="Times New Roman"/>
          <w:sz w:val="24"/>
          <w:szCs w:val="24"/>
          <w:shd w:val="clear" w:color="auto" w:fill="FFFFFF"/>
        </w:rPr>
        <w:t xml:space="preserve">mula a los importes </w:t>
      </w:r>
      <w:r w:rsidRPr="00BA1292">
        <w:rPr>
          <w:rFonts w:ascii="Times New Roman" w:hAnsi="Times New Roman" w:cs="Times New Roman"/>
          <w:sz w:val="24"/>
          <w:szCs w:val="24"/>
          <w:shd w:val="clear" w:color="auto" w:fill="FFFFFF"/>
        </w:rPr>
        <w:t>para el c</w:t>
      </w:r>
      <w:r>
        <w:rPr>
          <w:rFonts w:ascii="Times New Roman" w:hAnsi="Times New Roman" w:cs="Times New Roman"/>
          <w:sz w:val="24"/>
          <w:szCs w:val="24"/>
          <w:shd w:val="clear" w:color="auto" w:fill="FFFFFF"/>
        </w:rPr>
        <w:t>álculo del margen de maniobra</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(2) no se acumula a los importes </w:t>
      </w:r>
      <w:r w:rsidRPr="00BA1292">
        <w:rPr>
          <w:rFonts w:ascii="Times New Roman" w:hAnsi="Times New Roman" w:cs="Times New Roman"/>
          <w:sz w:val="24"/>
          <w:szCs w:val="24"/>
          <w:shd w:val="clear" w:color="auto" w:fill="FFFFFF"/>
        </w:rPr>
        <w:t>para el c</w:t>
      </w:r>
      <w:r>
        <w:rPr>
          <w:rFonts w:ascii="Times New Roman" w:hAnsi="Times New Roman" w:cs="Times New Roman"/>
          <w:sz w:val="24"/>
          <w:szCs w:val="24"/>
          <w:shd w:val="clear" w:color="auto" w:fill="FFFFFF"/>
        </w:rPr>
        <w:t>álculo del margen de maniobra</w:t>
      </w:r>
    </w:p>
    <w:p w:rsidR="00A868F7" w:rsidRDefault="007918DD" w:rsidP="007918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(3) salvo que se “experimente” con tasas negativas, no hay margen de maniobra adicional en el nivel de las tasas de interés. Un hecho diferencial clave respecto del año 2008.</w:t>
      </w:r>
    </w:p>
    <w:p w:rsidR="00A868F7" w:rsidRPr="00BA1292" w:rsidRDefault="00A868F7" w:rsidP="00A868F7">
      <w:pPr>
        <w:spacing w:line="240" w:lineRule="auto"/>
        <w:jc w:val="both"/>
        <w:rPr>
          <w:rFonts w:ascii="Times New Roman" w:hAnsi="Times New Roman" w:cs="Times New Roman"/>
          <w:sz w:val="24"/>
          <w:szCs w:val="24"/>
          <w:shd w:val="clear" w:color="auto" w:fill="FFFFFF"/>
        </w:rPr>
      </w:pPr>
    </w:p>
    <w:p w:rsidR="00A868F7" w:rsidRPr="00BA1292" w:rsidRDefault="00A868F7" w:rsidP="00A868F7">
      <w:pPr>
        <w:spacing w:line="240" w:lineRule="auto"/>
        <w:jc w:val="both"/>
        <w:rPr>
          <w:rFonts w:ascii="Times New Roman" w:hAnsi="Times New Roman" w:cs="Times New Roman"/>
          <w:b/>
          <w:sz w:val="24"/>
          <w:szCs w:val="24"/>
          <w:shd w:val="clear" w:color="auto" w:fill="FFFFFF"/>
        </w:rPr>
      </w:pPr>
    </w:p>
    <w:p w:rsidR="00A868F7" w:rsidRDefault="00A868F7" w:rsidP="00A868F7">
      <w:pPr>
        <w:spacing w:line="240" w:lineRule="auto"/>
        <w:jc w:val="both"/>
        <w:rPr>
          <w:rFonts w:ascii="Times New Roman" w:hAnsi="Times New Roman" w:cs="Times New Roman"/>
          <w:b/>
          <w:sz w:val="24"/>
          <w:szCs w:val="24"/>
          <w:shd w:val="clear" w:color="auto" w:fill="FFFFFF"/>
        </w:rPr>
      </w:pPr>
      <w:r w:rsidRPr="006E341E">
        <w:rPr>
          <w:rFonts w:ascii="Times New Roman" w:hAnsi="Times New Roman" w:cs="Times New Roman"/>
          <w:b/>
          <w:sz w:val="24"/>
          <w:szCs w:val="24"/>
          <w:shd w:val="clear" w:color="auto" w:fill="FFFFFF"/>
        </w:rPr>
        <w:lastRenderedPageBreak/>
        <w:t>M</w:t>
      </w:r>
      <w:bookmarkStart w:id="2" w:name="_GoBack"/>
      <w:bookmarkEnd w:id="2"/>
      <w:r w:rsidRPr="006E341E">
        <w:rPr>
          <w:rFonts w:ascii="Times New Roman" w:hAnsi="Times New Roman" w:cs="Times New Roman"/>
          <w:b/>
          <w:sz w:val="24"/>
          <w:szCs w:val="24"/>
          <w:shd w:val="clear" w:color="auto" w:fill="FFFFFF"/>
        </w:rPr>
        <w:t>argen de maniobra</w:t>
      </w:r>
      <w:r>
        <w:rPr>
          <w:rFonts w:ascii="Times New Roman" w:hAnsi="Times New Roman" w:cs="Times New Roman"/>
          <w:b/>
          <w:sz w:val="24"/>
          <w:szCs w:val="24"/>
          <w:shd w:val="clear" w:color="auto" w:fill="FFFFFF"/>
        </w:rPr>
        <w:t xml:space="preserve"> para afrontar la próxima recesión</w:t>
      </w:r>
      <w:r w:rsidRPr="006E341E">
        <w:rPr>
          <w:rFonts w:ascii="Times New Roman" w:hAnsi="Times New Roman" w:cs="Times New Roman"/>
          <w:b/>
          <w:sz w:val="24"/>
          <w:szCs w:val="24"/>
          <w:shd w:val="clear" w:color="auto" w:fill="FFFFFF"/>
        </w:rPr>
        <w:t xml:space="preserve"> - Hoja de cálculo II</w:t>
      </w:r>
      <w:r>
        <w:rPr>
          <w:rFonts w:ascii="Times New Roman" w:hAnsi="Times New Roman" w:cs="Times New Roman"/>
          <w:b/>
          <w:sz w:val="24"/>
          <w:szCs w:val="24"/>
          <w:shd w:val="clear" w:color="auto" w:fill="FFFFFF"/>
        </w:rPr>
        <w:t>I (agosto 2018)</w:t>
      </w:r>
    </w:p>
    <w:p w:rsidR="00A868F7" w:rsidRPr="00BB4446" w:rsidRDefault="00A868F7" w:rsidP="00A868F7">
      <w:pPr>
        <w:spacing w:line="240" w:lineRule="auto"/>
        <w:jc w:val="both"/>
        <w:rPr>
          <w:rFonts w:ascii="Times New Roman" w:hAnsi="Times New Roman" w:cs="Times New Roman"/>
          <w:b/>
          <w:sz w:val="24"/>
          <w:szCs w:val="24"/>
          <w:highlight w:val="yellow"/>
          <w:shd w:val="clear" w:color="auto" w:fill="FFFFFF"/>
        </w:rPr>
      </w:pPr>
      <w:r w:rsidRPr="00BB4446">
        <w:rPr>
          <w:rFonts w:ascii="Times New Roman" w:hAnsi="Times New Roman" w:cs="Times New Roman"/>
          <w:b/>
          <w:sz w:val="24"/>
          <w:szCs w:val="24"/>
          <w:highlight w:val="yellow"/>
          <w:shd w:val="clear" w:color="auto" w:fill="FFFFFF"/>
        </w:rPr>
        <w:t>EU (28) 695,5 + 92,0 + 506,1 + 416,9 + 351,2 = 2,03 billones de euros</w:t>
      </w:r>
    </w:p>
    <w:p w:rsidR="00A868F7" w:rsidRDefault="00A868F7" w:rsidP="00A868F7">
      <w:pPr>
        <w:spacing w:line="240" w:lineRule="auto"/>
        <w:jc w:val="both"/>
        <w:rPr>
          <w:rFonts w:ascii="Times New Roman" w:hAnsi="Times New Roman" w:cs="Times New Roman"/>
          <w:b/>
          <w:sz w:val="24"/>
          <w:szCs w:val="24"/>
          <w:shd w:val="clear" w:color="auto" w:fill="FFFFFF"/>
        </w:rPr>
      </w:pPr>
      <w:r w:rsidRPr="00BB4446">
        <w:rPr>
          <w:rFonts w:ascii="Times New Roman" w:hAnsi="Times New Roman" w:cs="Times New Roman"/>
          <w:b/>
          <w:sz w:val="24"/>
          <w:szCs w:val="24"/>
          <w:highlight w:val="yellow"/>
          <w:shd w:val="clear" w:color="auto" w:fill="FFFFFF"/>
        </w:rPr>
        <w:t>EA (19) 402,3 + 67,0 + 324,0 + 384,2 + 308,4 = 1,49 billones de euros</w:t>
      </w:r>
    </w:p>
    <w:p w:rsidR="00A868F7" w:rsidRPr="00BB4446" w:rsidRDefault="00BB4446"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Esto significa (salvo error u omisión) que el </w:t>
      </w:r>
      <w:r w:rsidR="00E57751">
        <w:rPr>
          <w:rFonts w:ascii="Times New Roman" w:hAnsi="Times New Roman" w:cs="Times New Roman"/>
          <w:sz w:val="24"/>
          <w:szCs w:val="24"/>
          <w:shd w:val="clear" w:color="auto" w:fill="FFFFFF"/>
        </w:rPr>
        <w:t>margen</w:t>
      </w:r>
      <w:r>
        <w:rPr>
          <w:rFonts w:ascii="Times New Roman" w:hAnsi="Times New Roman" w:cs="Times New Roman"/>
          <w:sz w:val="24"/>
          <w:szCs w:val="24"/>
          <w:shd w:val="clear" w:color="auto" w:fill="FFFFFF"/>
        </w:rPr>
        <w:t xml:space="preserve"> disponible para afrontar la próxima recesión equivale al 45% (EU 28) y al 33% (EA 19), del que se utilizó a partir de la crisis del año 2008 (</w:t>
      </w:r>
      <w:r w:rsidR="00E57751">
        <w:rPr>
          <w:rFonts w:ascii="Times New Roman" w:hAnsi="Times New Roman" w:cs="Times New Roman"/>
          <w:sz w:val="24"/>
          <w:szCs w:val="24"/>
          <w:shd w:val="clear" w:color="auto" w:fill="FFFFFF"/>
        </w:rPr>
        <w:t>que alcanzó un máximo histórico de 4,5 billones de euros al final del año 2017).</w:t>
      </w:r>
    </w:p>
    <w:p w:rsidR="00A868F7" w:rsidRDefault="00C32427" w:rsidP="00A868F7">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Anális</w:t>
      </w:r>
      <w:r w:rsidR="003F5272">
        <w:rPr>
          <w:rFonts w:ascii="Times New Roman" w:hAnsi="Times New Roman" w:cs="Times New Roman"/>
          <w:b/>
          <w:sz w:val="24"/>
          <w:szCs w:val="24"/>
          <w:shd w:val="clear" w:color="auto" w:fill="FFFFFF"/>
        </w:rPr>
        <w:t>is de consistencia (repaso de algunas propuestas</w:t>
      </w:r>
      <w:r w:rsidR="0079727F">
        <w:rPr>
          <w:rFonts w:ascii="Times New Roman" w:hAnsi="Times New Roman" w:cs="Times New Roman"/>
          <w:b/>
          <w:sz w:val="24"/>
          <w:szCs w:val="24"/>
          <w:shd w:val="clear" w:color="auto" w:fill="FFFFFF"/>
        </w:rPr>
        <w:t>, de las Vacas Sagradas</w:t>
      </w:r>
      <w:r w:rsidR="00A868F7">
        <w:rPr>
          <w:rFonts w:ascii="Times New Roman" w:hAnsi="Times New Roman" w:cs="Times New Roman"/>
          <w:b/>
          <w:sz w:val="24"/>
          <w:szCs w:val="24"/>
          <w:shd w:val="clear" w:color="auto" w:fill="FFFFFF"/>
        </w:rPr>
        <w:t>)</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Según Roubini, en la próxima crisis los bancos centrales solo tendrán cuatro opciones. En función del tipo de interés (antes de la próxima recesión la Fed los podría llevar al 3%). En la anterior crisis la Fed llevó la tasa del 5,25% al 0%.</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- 1ª O</w:t>
      </w:r>
      <w:r w:rsidRPr="00B02C2C">
        <w:rPr>
          <w:rFonts w:ascii="Times New Roman" w:hAnsi="Times New Roman" w:cs="Times New Roman"/>
          <w:sz w:val="24"/>
          <w:szCs w:val="24"/>
          <w:shd w:val="clear" w:color="auto" w:fill="FFFFFF"/>
        </w:rPr>
        <w:t>pción</w:t>
      </w:r>
      <w:r>
        <w:rPr>
          <w:rFonts w:ascii="Times New Roman" w:hAnsi="Times New Roman" w:cs="Times New Roman"/>
          <w:sz w:val="24"/>
          <w:szCs w:val="24"/>
          <w:shd w:val="clear" w:color="auto" w:fill="FFFFFF"/>
        </w:rPr>
        <w:t>: volver a utilizar el Q.E.</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- 2ª Opción: que los bancos centrales vuelvan a probar con los tipos de interés negativos.</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- 3ª Opción: incorporar el objetivo de inflación (se podría incrementar el tipo de interés de equilibrio hasta el 5% o 6% y reducir el riesgo de una trampa de liquidez).</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- 4ª Opción: (la opuesta a la Opción 3ª) Los bancos centrales podrían reducir su objetivo de inflación al 0%. Puede desembocar en una deflación e incrementaría los pasivos de los agentes endeudados.</w:t>
      </w:r>
    </w:p>
    <w:p w:rsidR="00A868F7" w:rsidRDefault="00E57751"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Según </w:t>
      </w:r>
      <w:r w:rsidR="00A868F7">
        <w:rPr>
          <w:rFonts w:ascii="Times New Roman" w:hAnsi="Times New Roman" w:cs="Times New Roman"/>
          <w:sz w:val="24"/>
          <w:szCs w:val="24"/>
          <w:shd w:val="clear" w:color="auto" w:fill="FFFFFF"/>
        </w:rPr>
        <w:t>Thinking Heads (6/11/17), algunos “Grandes Bonetes” sostienen:</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D2AFF">
        <w:rPr>
          <w:rFonts w:ascii="Times New Roman" w:hAnsi="Times New Roman" w:cs="Times New Roman"/>
          <w:sz w:val="24"/>
          <w:szCs w:val="24"/>
          <w:shd w:val="clear" w:color="auto" w:fill="FFFFFF"/>
        </w:rPr>
        <w:t>Aumentar el objetivo de inflación (objetivo 3% o 4%)</w:t>
      </w:r>
      <w:r>
        <w:rPr>
          <w:rFonts w:ascii="Times New Roman" w:hAnsi="Times New Roman" w:cs="Times New Roman"/>
          <w:sz w:val="24"/>
          <w:szCs w:val="24"/>
          <w:shd w:val="clear" w:color="auto" w:fill="FFFFFF"/>
        </w:rPr>
        <w:t>.</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Rajan: para algunos las políticas expansivas no deberían retirarse.</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Rajan: hay que “gestionar” la inflación.</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Bernanke: propones un objetivo de nivel de precios “temporal” (se aparcaría cuando los tipos de interés estuvieran en cero o cercanos a cero).</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Blanchard: es pesimista con la idea de que las empresas y particulares gasten más durante una recesión por la promesa de que l</w:t>
      </w:r>
      <w:r w:rsidR="00E57751">
        <w:rPr>
          <w:rFonts w:ascii="Times New Roman" w:hAnsi="Times New Roman" w:cs="Times New Roman"/>
          <w:sz w:val="24"/>
          <w:szCs w:val="24"/>
          <w:shd w:val="clear" w:color="auto" w:fill="FFFFFF"/>
        </w:rPr>
        <w:t xml:space="preserve">a inflación subirá rápidamente. </w:t>
      </w:r>
      <w:r>
        <w:rPr>
          <w:rFonts w:ascii="Times New Roman" w:hAnsi="Times New Roman" w:cs="Times New Roman"/>
          <w:sz w:val="24"/>
          <w:szCs w:val="24"/>
          <w:shd w:val="clear" w:color="auto" w:fill="FFFFFF"/>
        </w:rPr>
        <w:t>Junto a Summers proponen: una política fiscal más efectiva y planificada, con unos gobiernos que preparen un “agresivo estímulo fiscal en caso de recesión”. “Siempre puedes emitir deuda y nunca pagarla y el nivel de deuda nunca explotará” como un porcentaje del PIB. Si hay tipos de interés extremadamente bajos y una economía que crecerá por encima de la inflación.</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Entre tanto</w:t>
      </w:r>
      <w:r w:rsidR="00E2080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los “guardianes” de la moneda, advierten:</w:t>
      </w:r>
    </w:p>
    <w:p w:rsidR="00A868F7"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(sic. BCE): “mantener durante demasiado tiempo una política acomodaticia entraña el riesgo de que surjan presiones inflacionistas en el futuro y también prepara el camino para futuros desequilibrios en los mercados financieros”…</w:t>
      </w:r>
    </w:p>
    <w:p w:rsidR="007918DD" w:rsidRDefault="00A868F7" w:rsidP="00A868F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(sic. BPI): “el margen de maniobra se ha estrechado considerablemente en comparación con el período previo a la crisis”…</w:t>
      </w:r>
    </w:p>
    <w:p w:rsidR="00DE4761" w:rsidRDefault="00DE4761" w:rsidP="00DE4761">
      <w:pPr>
        <w:pStyle w:val="NormalWeb"/>
        <w:shd w:val="clear" w:color="auto" w:fill="FFFFFF"/>
        <w:jc w:val="both"/>
        <w:textAlignment w:val="baseline"/>
        <w:rPr>
          <w:b/>
        </w:rPr>
      </w:pPr>
      <w:r w:rsidRPr="00DE4761">
        <w:rPr>
          <w:b/>
        </w:rPr>
        <w:lastRenderedPageBreak/>
        <w:t>- La opinión de “los que saben”</w:t>
      </w:r>
      <w:r w:rsidR="00AD55A7">
        <w:rPr>
          <w:b/>
        </w:rPr>
        <w:t xml:space="preserve"> (O</w:t>
      </w:r>
      <w:r w:rsidRPr="00DE4761">
        <w:rPr>
          <w:b/>
        </w:rPr>
        <w:t xml:space="preserve">rganismos Internacionales y prestigiosos think tanks) </w:t>
      </w:r>
    </w:p>
    <w:p w:rsidR="00075B3B" w:rsidRDefault="00075B3B" w:rsidP="00075B3B">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International Monetary Fund - Fiscal Monitor - </w:t>
      </w:r>
      <w:r w:rsidRPr="00D30124">
        <w:rPr>
          <w:rFonts w:ascii="Times New Roman" w:hAnsi="Times New Roman" w:cs="Times New Roman"/>
          <w:b/>
          <w:sz w:val="24"/>
          <w:szCs w:val="24"/>
          <w:lang w:val="en-US"/>
        </w:rPr>
        <w:t>A</w:t>
      </w:r>
      <w:r>
        <w:rPr>
          <w:rFonts w:ascii="Times New Roman" w:hAnsi="Times New Roman" w:cs="Times New Roman"/>
          <w:b/>
          <w:sz w:val="24"/>
          <w:szCs w:val="24"/>
          <w:lang w:val="en-US"/>
        </w:rPr>
        <w:t xml:space="preserve"> greater role for fiscal policy - April 2017</w:t>
      </w:r>
    </w:p>
    <w:p w:rsidR="00075B3B" w:rsidRDefault="00075B3B" w:rsidP="00075B3B">
      <w:pPr>
        <w:spacing w:line="240" w:lineRule="auto"/>
        <w:jc w:val="both"/>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drawing>
          <wp:inline distT="0" distB="0" distL="0" distR="0" wp14:anchorId="277FB982" wp14:editId="69FC83EB">
            <wp:extent cx="2863850" cy="3003550"/>
            <wp:effectExtent l="0" t="0" r="0" b="635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866745" cy="3006586"/>
                    </a:xfrm>
                    <a:prstGeom prst="rect">
                      <a:avLst/>
                    </a:prstGeom>
                  </pic:spPr>
                </pic:pic>
              </a:graphicData>
            </a:graphic>
          </wp:inline>
        </w:drawing>
      </w:r>
      <w:r>
        <w:rPr>
          <w:rFonts w:ascii="Times New Roman" w:hAnsi="Times New Roman" w:cs="Times New Roman"/>
          <w:b/>
          <w:sz w:val="24"/>
          <w:szCs w:val="24"/>
          <w:lang w:val="en-US"/>
        </w:rPr>
        <w:t xml:space="preserve"> </w:t>
      </w:r>
      <w:r w:rsidRPr="00D30124">
        <w:rPr>
          <w:rFonts w:ascii="Times New Roman" w:hAnsi="Times New Roman" w:cs="Times New Roman"/>
          <w:b/>
          <w:noProof/>
          <w:sz w:val="24"/>
          <w:szCs w:val="24"/>
          <w:lang w:eastAsia="es-ES"/>
        </w:rPr>
        <w:drawing>
          <wp:inline distT="0" distB="0" distL="0" distR="0" wp14:anchorId="175DCA75" wp14:editId="042C9631">
            <wp:extent cx="2679700" cy="3365500"/>
            <wp:effectExtent l="0" t="0" r="6350" b="635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682459" cy="3368965"/>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drawing>
          <wp:inline distT="0" distB="0" distL="0" distR="0" wp14:anchorId="3D8A854E" wp14:editId="0628E153">
            <wp:extent cx="5725559" cy="2197100"/>
            <wp:effectExtent l="0" t="0" r="889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2199384"/>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drawing>
          <wp:inline distT="0" distB="0" distL="0" distR="0" wp14:anchorId="6958D46A" wp14:editId="0FD9C73E">
            <wp:extent cx="5725333" cy="2146300"/>
            <wp:effectExtent l="0" t="0" r="8890" b="635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2148616"/>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lastRenderedPageBreak/>
        <w:drawing>
          <wp:inline distT="0" distB="0" distL="0" distR="0" wp14:anchorId="30BD5C1B" wp14:editId="6B8355B1">
            <wp:extent cx="5731510" cy="2298115"/>
            <wp:effectExtent l="0" t="0" r="2540" b="698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298115"/>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p>
    <w:p w:rsidR="00075B3B" w:rsidRDefault="00075B3B" w:rsidP="00075B3B">
      <w:pPr>
        <w:spacing w:line="240" w:lineRule="auto"/>
        <w:rPr>
          <w:rFonts w:ascii="Times New Roman" w:hAnsi="Times New Roman" w:cs="Times New Roman"/>
          <w:b/>
          <w:sz w:val="24"/>
          <w:szCs w:val="24"/>
          <w:lang w:val="en-US"/>
        </w:rPr>
      </w:pPr>
      <w:r w:rsidRPr="00D30124">
        <w:rPr>
          <w:rFonts w:ascii="Times New Roman" w:hAnsi="Times New Roman" w:cs="Times New Roman"/>
          <w:b/>
          <w:noProof/>
          <w:sz w:val="24"/>
          <w:szCs w:val="24"/>
          <w:lang w:eastAsia="es-ES"/>
        </w:rPr>
        <w:drawing>
          <wp:inline distT="0" distB="0" distL="0" distR="0" wp14:anchorId="287B57FF" wp14:editId="1EEB8C4F">
            <wp:extent cx="5731510" cy="5849079"/>
            <wp:effectExtent l="0" t="0" r="254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5849079"/>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r w:rsidRPr="00A53EB8">
        <w:rPr>
          <w:rFonts w:ascii="Times New Roman" w:hAnsi="Times New Roman" w:cs="Times New Roman"/>
          <w:b/>
          <w:noProof/>
          <w:sz w:val="24"/>
          <w:szCs w:val="24"/>
          <w:lang w:eastAsia="es-ES"/>
        </w:rPr>
        <w:lastRenderedPageBreak/>
        <w:drawing>
          <wp:inline distT="0" distB="0" distL="0" distR="0" wp14:anchorId="4D726ECB" wp14:editId="3A112F26">
            <wp:extent cx="5734050" cy="1079500"/>
            <wp:effectExtent l="0" t="0" r="0" b="635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1079022"/>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r w:rsidRPr="00A53EB8">
        <w:rPr>
          <w:rFonts w:ascii="Times New Roman" w:hAnsi="Times New Roman" w:cs="Times New Roman"/>
          <w:b/>
          <w:noProof/>
          <w:sz w:val="24"/>
          <w:szCs w:val="24"/>
          <w:lang w:eastAsia="es-ES"/>
        </w:rPr>
        <w:drawing>
          <wp:inline distT="0" distB="0" distL="0" distR="0" wp14:anchorId="404A90A2" wp14:editId="079B69CD">
            <wp:extent cx="2730500" cy="3282950"/>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2733650" cy="3286737"/>
                    </a:xfrm>
                    <a:prstGeom prst="rect">
                      <a:avLst/>
                    </a:prstGeom>
                  </pic:spPr>
                </pic:pic>
              </a:graphicData>
            </a:graphic>
          </wp:inline>
        </w:drawing>
      </w:r>
      <w:r w:rsidRPr="00A53EB8">
        <w:rPr>
          <w:rFonts w:ascii="Times New Roman" w:hAnsi="Times New Roman" w:cs="Times New Roman"/>
          <w:b/>
          <w:noProof/>
          <w:sz w:val="24"/>
          <w:szCs w:val="24"/>
          <w:lang w:eastAsia="es-ES"/>
        </w:rPr>
        <w:drawing>
          <wp:inline distT="0" distB="0" distL="0" distR="0" wp14:anchorId="703693DE" wp14:editId="78D3A6E7">
            <wp:extent cx="2933700" cy="3822700"/>
            <wp:effectExtent l="0" t="0" r="0" b="635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2934110" cy="3823234"/>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r w:rsidRPr="00A53EB8">
        <w:rPr>
          <w:rFonts w:ascii="Times New Roman" w:hAnsi="Times New Roman" w:cs="Times New Roman"/>
          <w:b/>
          <w:noProof/>
          <w:sz w:val="24"/>
          <w:szCs w:val="24"/>
          <w:lang w:eastAsia="es-ES"/>
        </w:rPr>
        <w:drawing>
          <wp:inline distT="0" distB="0" distL="0" distR="0" wp14:anchorId="6AB6E47A" wp14:editId="05680034">
            <wp:extent cx="2793999" cy="3511550"/>
            <wp:effectExtent l="0" t="0" r="6985"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2796850" cy="3515133"/>
                    </a:xfrm>
                    <a:prstGeom prst="rect">
                      <a:avLst/>
                    </a:prstGeom>
                  </pic:spPr>
                </pic:pic>
              </a:graphicData>
            </a:graphic>
          </wp:inline>
        </w:drawing>
      </w:r>
      <w:r w:rsidRPr="00A53EB8">
        <w:rPr>
          <w:rFonts w:ascii="Times New Roman" w:hAnsi="Times New Roman" w:cs="Times New Roman"/>
          <w:b/>
          <w:noProof/>
          <w:sz w:val="24"/>
          <w:szCs w:val="24"/>
          <w:lang w:eastAsia="es-ES"/>
        </w:rPr>
        <w:drawing>
          <wp:inline distT="0" distB="0" distL="0" distR="0" wp14:anchorId="01DC833E" wp14:editId="03A3856B">
            <wp:extent cx="2813050" cy="3232150"/>
            <wp:effectExtent l="0" t="0" r="6350" b="635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2815009" cy="3234400"/>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p>
    <w:p w:rsidR="00075B3B" w:rsidRDefault="00075B3B" w:rsidP="00075B3B">
      <w:pPr>
        <w:spacing w:line="240" w:lineRule="auto"/>
        <w:rPr>
          <w:rFonts w:ascii="Times New Roman" w:hAnsi="Times New Roman" w:cs="Times New Roman"/>
          <w:b/>
          <w:sz w:val="24"/>
          <w:szCs w:val="24"/>
          <w:lang w:val="en-US"/>
        </w:rPr>
      </w:pPr>
    </w:p>
    <w:p w:rsidR="00075B3B" w:rsidRDefault="00075B3B" w:rsidP="00075B3B">
      <w:pPr>
        <w:spacing w:line="240" w:lineRule="auto"/>
        <w:rPr>
          <w:rFonts w:ascii="Times New Roman" w:hAnsi="Times New Roman" w:cs="Times New Roman"/>
          <w:b/>
          <w:sz w:val="24"/>
          <w:szCs w:val="24"/>
          <w:lang w:val="en-US"/>
        </w:rPr>
      </w:pPr>
      <w:r w:rsidRPr="00A53EB8">
        <w:rPr>
          <w:rFonts w:ascii="Times New Roman" w:hAnsi="Times New Roman" w:cs="Times New Roman"/>
          <w:b/>
          <w:noProof/>
          <w:sz w:val="24"/>
          <w:szCs w:val="24"/>
          <w:lang w:eastAsia="es-ES"/>
        </w:rPr>
        <w:drawing>
          <wp:inline distT="0" distB="0" distL="0" distR="0" wp14:anchorId="33420D93" wp14:editId="080F979D">
            <wp:extent cx="5816600" cy="7048500"/>
            <wp:effectExtent l="0" t="0" r="0"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817412" cy="7049484"/>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p>
    <w:p w:rsidR="00075B3B" w:rsidRDefault="00075B3B" w:rsidP="00075B3B">
      <w:pPr>
        <w:spacing w:line="240" w:lineRule="auto"/>
        <w:rPr>
          <w:rFonts w:ascii="Times New Roman" w:hAnsi="Times New Roman" w:cs="Times New Roman"/>
          <w:b/>
          <w:sz w:val="24"/>
          <w:szCs w:val="24"/>
          <w:lang w:val="en-US"/>
        </w:rPr>
      </w:pPr>
      <w:r w:rsidRPr="0070201D">
        <w:rPr>
          <w:rFonts w:ascii="Times New Roman" w:hAnsi="Times New Roman" w:cs="Times New Roman"/>
          <w:b/>
          <w:noProof/>
          <w:sz w:val="24"/>
          <w:szCs w:val="24"/>
          <w:lang w:eastAsia="es-ES"/>
        </w:rPr>
        <w:lastRenderedPageBreak/>
        <w:drawing>
          <wp:inline distT="0" distB="0" distL="0" distR="0" wp14:anchorId="593816BF" wp14:editId="57CD8220">
            <wp:extent cx="5861050" cy="3797300"/>
            <wp:effectExtent l="0" t="0" r="635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861868" cy="3797830"/>
                    </a:xfrm>
                    <a:prstGeom prst="rect">
                      <a:avLst/>
                    </a:prstGeom>
                  </pic:spPr>
                </pic:pic>
              </a:graphicData>
            </a:graphic>
          </wp:inline>
        </w:drawing>
      </w:r>
    </w:p>
    <w:p w:rsidR="00075B3B" w:rsidRDefault="00075B3B" w:rsidP="00075B3B">
      <w:pPr>
        <w:spacing w:line="240" w:lineRule="auto"/>
        <w:rPr>
          <w:rFonts w:ascii="Times New Roman" w:hAnsi="Times New Roman" w:cs="Times New Roman"/>
          <w:b/>
          <w:sz w:val="24"/>
          <w:szCs w:val="24"/>
          <w:lang w:val="en-US"/>
        </w:rPr>
      </w:pPr>
    </w:p>
    <w:p w:rsidR="00075B3B" w:rsidRDefault="00075B3B" w:rsidP="00075B3B">
      <w:r w:rsidRPr="00271285">
        <w:rPr>
          <w:noProof/>
          <w:lang w:eastAsia="es-ES"/>
        </w:rPr>
        <w:drawing>
          <wp:inline distT="0" distB="0" distL="0" distR="0" wp14:anchorId="0205FAF8" wp14:editId="3A799A71">
            <wp:extent cx="4033775" cy="6131055"/>
            <wp:effectExtent l="0" t="953" r="4128" b="4127"/>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rot="5400000">
                      <a:off x="0" y="0"/>
                      <a:ext cx="4037808" cy="6137184"/>
                    </a:xfrm>
                    <a:prstGeom prst="rect">
                      <a:avLst/>
                    </a:prstGeom>
                  </pic:spPr>
                </pic:pic>
              </a:graphicData>
            </a:graphic>
          </wp:inline>
        </w:drawing>
      </w:r>
    </w:p>
    <w:p w:rsidR="00075B3B" w:rsidRPr="00AD55A7" w:rsidRDefault="00075B3B" w:rsidP="00AD55A7">
      <w:r w:rsidRPr="00271285">
        <w:rPr>
          <w:noProof/>
          <w:lang w:eastAsia="es-ES"/>
        </w:rPr>
        <w:lastRenderedPageBreak/>
        <w:drawing>
          <wp:inline distT="0" distB="0" distL="0" distR="0" wp14:anchorId="6626AA2E" wp14:editId="745BA257">
            <wp:extent cx="2635705" cy="6082395"/>
            <wp:effectExtent l="0" t="8890" r="3810" b="381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rot="5400000">
                      <a:off x="0" y="0"/>
                      <a:ext cx="2638866" cy="6089689"/>
                    </a:xfrm>
                    <a:prstGeom prst="rect">
                      <a:avLst/>
                    </a:prstGeom>
                  </pic:spPr>
                </pic:pic>
              </a:graphicData>
            </a:graphic>
          </wp:inline>
        </w:drawing>
      </w:r>
    </w:p>
    <w:p w:rsidR="00075B3B" w:rsidRPr="00743C92" w:rsidRDefault="00075B3B" w:rsidP="00075B3B">
      <w:pPr>
        <w:spacing w:line="240" w:lineRule="auto"/>
        <w:jc w:val="both"/>
        <w:rPr>
          <w:rFonts w:ascii="Times New Roman" w:hAnsi="Times New Roman" w:cs="Times New Roman"/>
          <w:b/>
          <w:sz w:val="24"/>
          <w:szCs w:val="24"/>
          <w:lang w:val="en-US"/>
        </w:rPr>
      </w:pPr>
      <w:r w:rsidRPr="00743C92">
        <w:rPr>
          <w:rFonts w:ascii="Times New Roman" w:hAnsi="Times New Roman" w:cs="Times New Roman"/>
          <w:b/>
          <w:sz w:val="24"/>
          <w:szCs w:val="24"/>
          <w:lang w:val="en-US"/>
        </w:rPr>
        <w:t xml:space="preserve">International Monetary Fund - Global Financial Stability Report - April 2018  </w:t>
      </w:r>
    </w:p>
    <w:p w:rsidR="00075B3B" w:rsidRDefault="00075B3B" w:rsidP="00075B3B">
      <w:pPr>
        <w:spacing w:line="240" w:lineRule="auto"/>
        <w:jc w:val="both"/>
        <w:rPr>
          <w:rFonts w:ascii="Times New Roman" w:hAnsi="Times New Roman" w:cs="Times New Roman"/>
          <w:sz w:val="24"/>
          <w:szCs w:val="24"/>
        </w:rPr>
      </w:pPr>
      <w:r w:rsidRPr="00FD736E">
        <w:rPr>
          <w:rFonts w:ascii="Times New Roman" w:hAnsi="Times New Roman" w:cs="Times New Roman"/>
          <w:noProof/>
          <w:sz w:val="24"/>
          <w:szCs w:val="24"/>
          <w:lang w:eastAsia="es-ES"/>
        </w:rPr>
        <w:drawing>
          <wp:inline distT="0" distB="0" distL="0" distR="0" wp14:anchorId="3AAA2738" wp14:editId="2CAF6EE1">
            <wp:extent cx="5731510" cy="4429673"/>
            <wp:effectExtent l="0" t="0" r="2540" b="952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4429673"/>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sz w:val="24"/>
          <w:szCs w:val="24"/>
        </w:rPr>
      </w:pPr>
    </w:p>
    <w:p w:rsidR="00075B3B" w:rsidRDefault="00075B3B" w:rsidP="00075B3B">
      <w:pPr>
        <w:spacing w:line="240" w:lineRule="auto"/>
        <w:jc w:val="both"/>
        <w:rPr>
          <w:rFonts w:ascii="Times New Roman" w:hAnsi="Times New Roman" w:cs="Times New Roman"/>
          <w:sz w:val="24"/>
          <w:szCs w:val="24"/>
        </w:rPr>
      </w:pPr>
      <w:r w:rsidRPr="0083589B">
        <w:rPr>
          <w:rFonts w:ascii="Times New Roman" w:hAnsi="Times New Roman" w:cs="Times New Roman"/>
          <w:noProof/>
          <w:sz w:val="24"/>
          <w:szCs w:val="24"/>
          <w:lang w:eastAsia="es-ES"/>
        </w:rPr>
        <w:lastRenderedPageBreak/>
        <w:drawing>
          <wp:inline distT="0" distB="0" distL="0" distR="0" wp14:anchorId="613D77EA" wp14:editId="0E2E4578">
            <wp:extent cx="5729511" cy="3721100"/>
            <wp:effectExtent l="0" t="0" r="508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3722399"/>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sz w:val="24"/>
          <w:szCs w:val="24"/>
        </w:rPr>
      </w:pPr>
      <w:r w:rsidRPr="0083589B">
        <w:rPr>
          <w:rFonts w:ascii="Times New Roman" w:hAnsi="Times New Roman" w:cs="Times New Roman"/>
          <w:noProof/>
          <w:sz w:val="24"/>
          <w:szCs w:val="24"/>
          <w:lang w:eastAsia="es-ES"/>
        </w:rPr>
        <w:drawing>
          <wp:inline distT="0" distB="0" distL="0" distR="0" wp14:anchorId="202BD0EE" wp14:editId="4BFB071D">
            <wp:extent cx="5731510" cy="2523456"/>
            <wp:effectExtent l="0" t="0" r="254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2523456"/>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sz w:val="24"/>
          <w:szCs w:val="24"/>
        </w:rPr>
      </w:pPr>
      <w:r w:rsidRPr="00CC48D0">
        <w:rPr>
          <w:rFonts w:ascii="Times New Roman" w:hAnsi="Times New Roman" w:cs="Times New Roman"/>
          <w:noProof/>
          <w:sz w:val="24"/>
          <w:szCs w:val="24"/>
          <w:lang w:eastAsia="es-ES"/>
        </w:rPr>
        <w:drawing>
          <wp:inline distT="0" distB="0" distL="0" distR="0" wp14:anchorId="784CB667" wp14:editId="31FE8993">
            <wp:extent cx="5731510" cy="2337917"/>
            <wp:effectExtent l="0" t="0" r="2540" b="571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2337917"/>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sz w:val="24"/>
          <w:szCs w:val="24"/>
        </w:rPr>
      </w:pPr>
      <w:r w:rsidRPr="00CC48D0">
        <w:rPr>
          <w:rFonts w:ascii="Times New Roman" w:hAnsi="Times New Roman" w:cs="Times New Roman"/>
          <w:noProof/>
          <w:sz w:val="24"/>
          <w:szCs w:val="24"/>
          <w:lang w:eastAsia="es-ES"/>
        </w:rPr>
        <w:lastRenderedPageBreak/>
        <w:drawing>
          <wp:inline distT="0" distB="0" distL="0" distR="0" wp14:anchorId="0CF0A57F" wp14:editId="0709AB7E">
            <wp:extent cx="5734050" cy="2755900"/>
            <wp:effectExtent l="0" t="0" r="0" b="635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2754679"/>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b/>
          <w:sz w:val="24"/>
          <w:szCs w:val="24"/>
          <w:lang w:val="en-US"/>
        </w:rPr>
      </w:pPr>
      <w:r w:rsidRPr="00743C92">
        <w:rPr>
          <w:rFonts w:ascii="Times New Roman" w:hAnsi="Times New Roman" w:cs="Times New Roman"/>
          <w:b/>
          <w:sz w:val="24"/>
          <w:szCs w:val="24"/>
          <w:lang w:val="en-US"/>
        </w:rPr>
        <w:t>OCDE - Euro Area - Economic fo</w:t>
      </w:r>
      <w:r w:rsidR="00DA63E6">
        <w:rPr>
          <w:rFonts w:ascii="Times New Roman" w:hAnsi="Times New Roman" w:cs="Times New Roman"/>
          <w:b/>
          <w:sz w:val="24"/>
          <w:szCs w:val="24"/>
          <w:lang w:val="en-US"/>
        </w:rPr>
        <w:t>recast summary - May 2018</w:t>
      </w:r>
    </w:p>
    <w:p w:rsidR="00075B3B" w:rsidRDefault="00075B3B" w:rsidP="00075B3B">
      <w:pPr>
        <w:spacing w:line="240" w:lineRule="auto"/>
        <w:jc w:val="both"/>
        <w:rPr>
          <w:rFonts w:ascii="Times New Roman" w:hAnsi="Times New Roman" w:cs="Times New Roman"/>
          <w:b/>
          <w:sz w:val="24"/>
          <w:szCs w:val="24"/>
          <w:lang w:val="en-US"/>
        </w:rPr>
      </w:pPr>
      <w:r w:rsidRPr="00101B9D">
        <w:rPr>
          <w:rFonts w:ascii="Times New Roman" w:hAnsi="Times New Roman" w:cs="Times New Roman"/>
          <w:b/>
          <w:noProof/>
          <w:sz w:val="24"/>
          <w:szCs w:val="24"/>
          <w:lang w:eastAsia="es-ES"/>
        </w:rPr>
        <w:drawing>
          <wp:inline distT="0" distB="0" distL="0" distR="0" wp14:anchorId="1904B6A6" wp14:editId="64DFC8C8">
            <wp:extent cx="5727699" cy="2520950"/>
            <wp:effectExtent l="0" t="0" r="6985"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2522627"/>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b/>
          <w:sz w:val="24"/>
          <w:szCs w:val="24"/>
          <w:lang w:val="en-US"/>
        </w:rPr>
      </w:pPr>
      <w:r w:rsidRPr="00101B9D">
        <w:rPr>
          <w:rFonts w:ascii="Times New Roman" w:hAnsi="Times New Roman" w:cs="Times New Roman"/>
          <w:b/>
          <w:noProof/>
          <w:sz w:val="24"/>
          <w:szCs w:val="24"/>
          <w:lang w:eastAsia="es-ES"/>
        </w:rPr>
        <w:drawing>
          <wp:inline distT="0" distB="0" distL="0" distR="0" wp14:anchorId="78268F9F" wp14:editId="7A60C756">
            <wp:extent cx="5732591" cy="2838450"/>
            <wp:effectExtent l="0" t="0" r="1905"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2837915"/>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b/>
          <w:sz w:val="24"/>
          <w:szCs w:val="24"/>
          <w:lang w:val="en-US"/>
        </w:rPr>
      </w:pPr>
      <w:r w:rsidRPr="00101B9D">
        <w:rPr>
          <w:rFonts w:ascii="Times New Roman" w:hAnsi="Times New Roman" w:cs="Times New Roman"/>
          <w:b/>
          <w:noProof/>
          <w:sz w:val="24"/>
          <w:szCs w:val="24"/>
          <w:lang w:eastAsia="es-ES"/>
        </w:rPr>
        <w:lastRenderedPageBreak/>
        <w:drawing>
          <wp:inline distT="0" distB="0" distL="0" distR="0" wp14:anchorId="6DCC22C1" wp14:editId="4B5E3156">
            <wp:extent cx="5731510" cy="4121054"/>
            <wp:effectExtent l="0" t="0" r="254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4121054"/>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b/>
          <w:sz w:val="24"/>
          <w:szCs w:val="24"/>
          <w:lang w:val="en-US"/>
        </w:rPr>
      </w:pPr>
      <w:r w:rsidRPr="004C3428">
        <w:rPr>
          <w:rFonts w:ascii="Times New Roman" w:hAnsi="Times New Roman" w:cs="Times New Roman"/>
          <w:b/>
          <w:noProof/>
          <w:sz w:val="24"/>
          <w:szCs w:val="24"/>
          <w:lang w:eastAsia="es-ES"/>
        </w:rPr>
        <w:drawing>
          <wp:inline distT="0" distB="0" distL="0" distR="0" wp14:anchorId="77978761" wp14:editId="0B319DF6">
            <wp:extent cx="5731510" cy="4018180"/>
            <wp:effectExtent l="0" t="0" r="2540" b="190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4018180"/>
                    </a:xfrm>
                    <a:prstGeom prst="rect">
                      <a:avLst/>
                    </a:prstGeom>
                  </pic:spPr>
                </pic:pic>
              </a:graphicData>
            </a:graphic>
          </wp:inline>
        </w:drawing>
      </w:r>
    </w:p>
    <w:p w:rsidR="005B722D" w:rsidRDefault="005B722D" w:rsidP="00075B3B">
      <w:pPr>
        <w:spacing w:line="240" w:lineRule="auto"/>
        <w:jc w:val="both"/>
        <w:rPr>
          <w:rFonts w:ascii="Times New Roman" w:hAnsi="Times New Roman" w:cs="Times New Roman"/>
          <w:b/>
          <w:sz w:val="24"/>
          <w:szCs w:val="24"/>
          <w:lang w:val="en-US"/>
        </w:rPr>
      </w:pPr>
    </w:p>
    <w:p w:rsidR="005B722D" w:rsidRDefault="005B722D" w:rsidP="00075B3B">
      <w:pPr>
        <w:spacing w:line="240" w:lineRule="auto"/>
        <w:jc w:val="both"/>
        <w:rPr>
          <w:rFonts w:ascii="Times New Roman" w:hAnsi="Times New Roman" w:cs="Times New Roman"/>
          <w:b/>
          <w:sz w:val="24"/>
          <w:szCs w:val="24"/>
          <w:lang w:val="en-US"/>
        </w:rPr>
      </w:pPr>
    </w:p>
    <w:p w:rsidR="005B722D" w:rsidRDefault="005B722D" w:rsidP="00075B3B">
      <w:pPr>
        <w:spacing w:line="240" w:lineRule="auto"/>
        <w:jc w:val="both"/>
        <w:rPr>
          <w:rFonts w:ascii="Times New Roman" w:hAnsi="Times New Roman" w:cs="Times New Roman"/>
          <w:b/>
          <w:sz w:val="24"/>
          <w:szCs w:val="24"/>
          <w:lang w:val="en-US"/>
        </w:rPr>
      </w:pPr>
    </w:p>
    <w:p w:rsidR="005B722D" w:rsidRDefault="005B722D" w:rsidP="00075B3B">
      <w:pPr>
        <w:spacing w:line="240" w:lineRule="auto"/>
        <w:jc w:val="both"/>
        <w:rPr>
          <w:rFonts w:ascii="Times New Roman" w:hAnsi="Times New Roman" w:cs="Times New Roman"/>
          <w:b/>
          <w:sz w:val="24"/>
          <w:szCs w:val="24"/>
          <w:lang w:val="en-US"/>
        </w:rPr>
      </w:pPr>
    </w:p>
    <w:p w:rsidR="00075B3B" w:rsidRDefault="00075B3B" w:rsidP="00075B3B">
      <w:pPr>
        <w:spacing w:line="240" w:lineRule="auto"/>
        <w:jc w:val="both"/>
        <w:rPr>
          <w:rFonts w:ascii="Times New Roman" w:hAnsi="Times New Roman" w:cs="Times New Roman"/>
          <w:b/>
          <w:sz w:val="24"/>
          <w:szCs w:val="24"/>
          <w:lang w:val="en-US"/>
        </w:rPr>
      </w:pPr>
      <w:r w:rsidRPr="004C3428">
        <w:rPr>
          <w:rFonts w:ascii="Times New Roman" w:hAnsi="Times New Roman" w:cs="Times New Roman"/>
          <w:b/>
          <w:noProof/>
          <w:sz w:val="24"/>
          <w:szCs w:val="24"/>
          <w:lang w:eastAsia="es-ES"/>
        </w:rPr>
        <w:drawing>
          <wp:inline distT="0" distB="0" distL="0" distR="0" wp14:anchorId="09859474" wp14:editId="649CCE73">
            <wp:extent cx="5731510" cy="4097172"/>
            <wp:effectExtent l="0" t="0" r="254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4097172"/>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b/>
          <w:sz w:val="24"/>
          <w:szCs w:val="24"/>
          <w:lang w:val="en-US"/>
        </w:rPr>
        <w:sectPr w:rsidR="00075B3B">
          <w:pgSz w:w="11906" w:h="16838"/>
          <w:pgMar w:top="1440" w:right="1440" w:bottom="1440" w:left="1440" w:header="708" w:footer="708" w:gutter="0"/>
          <w:cols w:space="708"/>
          <w:docGrid w:linePitch="360"/>
        </w:sectPr>
      </w:pPr>
    </w:p>
    <w:p w:rsidR="00075B3B" w:rsidRDefault="00075B3B" w:rsidP="00075B3B">
      <w:pPr>
        <w:spacing w:line="240" w:lineRule="auto"/>
        <w:jc w:val="both"/>
        <w:rPr>
          <w:rFonts w:ascii="Times New Roman" w:hAnsi="Times New Roman" w:cs="Times New Roman"/>
          <w:b/>
          <w:sz w:val="24"/>
          <w:szCs w:val="24"/>
          <w:lang w:val="en-US"/>
        </w:rPr>
      </w:pPr>
      <w:r w:rsidRPr="00882600">
        <w:rPr>
          <w:rFonts w:ascii="Times New Roman" w:hAnsi="Times New Roman" w:cs="Times New Roman"/>
          <w:b/>
          <w:noProof/>
          <w:sz w:val="24"/>
          <w:szCs w:val="24"/>
          <w:lang w:eastAsia="es-ES"/>
        </w:rPr>
        <w:lastRenderedPageBreak/>
        <w:drawing>
          <wp:inline distT="0" distB="0" distL="0" distR="0" wp14:anchorId="6EA90756" wp14:editId="658B6E38">
            <wp:extent cx="7296150" cy="4895850"/>
            <wp:effectExtent l="0" t="0" r="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7302333" cy="4899999"/>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sz w:val="16"/>
          <w:szCs w:val="16"/>
          <w:lang w:val="en-US"/>
        </w:rPr>
      </w:pPr>
      <w:r w:rsidRPr="009E7B8A">
        <w:rPr>
          <w:rFonts w:ascii="Times New Roman" w:hAnsi="Times New Roman" w:cs="Times New Roman"/>
          <w:sz w:val="16"/>
          <w:szCs w:val="16"/>
          <w:lang w:val="en-US"/>
        </w:rPr>
        <w:t>Gross domestic product (GDP) at market prices is the expenditure on final goods and services minus imports: final consumption expenditures, gross capital formation, and exports less imports.</w:t>
      </w:r>
    </w:p>
    <w:p w:rsidR="00075B3B" w:rsidRDefault="00075B3B" w:rsidP="00075B3B">
      <w:pPr>
        <w:spacing w:line="240" w:lineRule="auto"/>
        <w:jc w:val="both"/>
        <w:rPr>
          <w:rFonts w:ascii="Times New Roman" w:hAnsi="Times New Roman" w:cs="Times New Roman"/>
          <w:sz w:val="16"/>
          <w:szCs w:val="16"/>
          <w:lang w:val="en-US"/>
        </w:rPr>
      </w:pPr>
      <w:r w:rsidRPr="009E7B8A">
        <w:rPr>
          <w:rFonts w:ascii="Times New Roman" w:hAnsi="Times New Roman" w:cs="Times New Roman"/>
          <w:sz w:val="16"/>
          <w:szCs w:val="16"/>
          <w:lang w:val="en-US"/>
        </w:rPr>
        <w:t>Gross domestic product (GDP)</w:t>
      </w:r>
      <w:r>
        <w:rPr>
          <w:rFonts w:ascii="Times New Roman" w:hAnsi="Times New Roman" w:cs="Times New Roman"/>
          <w:sz w:val="16"/>
          <w:szCs w:val="16"/>
          <w:lang w:val="en-US"/>
        </w:rPr>
        <w:t xml:space="preserve"> </w:t>
      </w:r>
      <w:r w:rsidRPr="009E7B8A">
        <w:rPr>
          <w:rFonts w:ascii="Times New Roman" w:hAnsi="Times New Roman" w:cs="Times New Roman"/>
          <w:sz w:val="16"/>
          <w:szCs w:val="16"/>
          <w:lang w:val="en-US"/>
        </w:rPr>
        <w:t>Total, Million</w:t>
      </w:r>
      <w:r>
        <w:rPr>
          <w:rFonts w:ascii="Times New Roman" w:hAnsi="Times New Roman" w:cs="Times New Roman"/>
          <w:sz w:val="16"/>
          <w:szCs w:val="16"/>
          <w:lang w:val="en-US"/>
        </w:rPr>
        <w:t xml:space="preserve"> US dollars, 2000 -</w:t>
      </w:r>
      <w:r w:rsidRPr="009E7B8A">
        <w:rPr>
          <w:rFonts w:ascii="Times New Roman" w:hAnsi="Times New Roman" w:cs="Times New Roman"/>
          <w:sz w:val="16"/>
          <w:szCs w:val="16"/>
          <w:lang w:val="en-US"/>
        </w:rPr>
        <w:t xml:space="preserve"> 2016 </w:t>
      </w:r>
      <w:r>
        <w:rPr>
          <w:rFonts w:ascii="Times New Roman" w:hAnsi="Times New Roman" w:cs="Times New Roman"/>
          <w:sz w:val="16"/>
          <w:szCs w:val="16"/>
          <w:lang w:val="en-US"/>
        </w:rPr>
        <w:t xml:space="preserve">- </w:t>
      </w:r>
      <w:r w:rsidRPr="009E7B8A">
        <w:rPr>
          <w:rFonts w:ascii="Times New Roman" w:hAnsi="Times New Roman" w:cs="Times New Roman"/>
          <w:sz w:val="16"/>
          <w:szCs w:val="16"/>
          <w:lang w:val="en-US"/>
        </w:rPr>
        <w:t xml:space="preserve">Source: Aggregate National Accounts, SNA 2008 (or SNA 1993): Gross domestic product </w:t>
      </w:r>
    </w:p>
    <w:p w:rsidR="00075B3B" w:rsidRDefault="00075B3B" w:rsidP="00075B3B">
      <w:pPr>
        <w:spacing w:line="240" w:lineRule="auto"/>
        <w:jc w:val="both"/>
        <w:rPr>
          <w:rFonts w:ascii="Times New Roman" w:hAnsi="Times New Roman" w:cs="Times New Roman"/>
          <w:sz w:val="16"/>
          <w:szCs w:val="16"/>
          <w:lang w:val="en-US"/>
        </w:rPr>
        <w:sectPr w:rsidR="00075B3B" w:rsidSect="00871209">
          <w:pgSz w:w="16838" w:h="11906" w:orient="landscape"/>
          <w:pgMar w:top="1440" w:right="1440" w:bottom="1440" w:left="1440" w:header="709" w:footer="709" w:gutter="0"/>
          <w:cols w:space="708"/>
          <w:docGrid w:linePitch="360"/>
        </w:sectPr>
      </w:pPr>
    </w:p>
    <w:p w:rsidR="00075B3B" w:rsidRDefault="00075B3B" w:rsidP="00075B3B">
      <w:pPr>
        <w:spacing w:line="240" w:lineRule="auto"/>
        <w:jc w:val="both"/>
        <w:rPr>
          <w:rFonts w:ascii="Times New Roman" w:hAnsi="Times New Roman" w:cs="Times New Roman"/>
          <w:sz w:val="16"/>
          <w:szCs w:val="16"/>
          <w:lang w:val="en-US"/>
        </w:rPr>
      </w:pPr>
      <w:r w:rsidRPr="005D78BA">
        <w:rPr>
          <w:rFonts w:ascii="Times New Roman" w:hAnsi="Times New Roman" w:cs="Times New Roman"/>
          <w:noProof/>
          <w:sz w:val="16"/>
          <w:szCs w:val="16"/>
          <w:lang w:eastAsia="es-ES"/>
        </w:rPr>
        <w:lastRenderedPageBreak/>
        <w:drawing>
          <wp:inline distT="0" distB="0" distL="0" distR="0" wp14:anchorId="31103D7A" wp14:editId="571330B5">
            <wp:extent cx="7327899" cy="2044700"/>
            <wp:effectExtent l="0" t="0" r="6985"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7335533" cy="2046830"/>
                    </a:xfrm>
                    <a:prstGeom prst="rect">
                      <a:avLst/>
                    </a:prstGeom>
                  </pic:spPr>
                </pic:pic>
              </a:graphicData>
            </a:graphic>
          </wp:inline>
        </w:drawing>
      </w:r>
    </w:p>
    <w:p w:rsidR="00075B3B" w:rsidRPr="005D78BA" w:rsidRDefault="00075B3B" w:rsidP="00075B3B">
      <w:pPr>
        <w:spacing w:line="240" w:lineRule="auto"/>
        <w:jc w:val="both"/>
        <w:rPr>
          <w:rFonts w:ascii="Times New Roman" w:hAnsi="Times New Roman" w:cs="Times New Roman"/>
          <w:sz w:val="16"/>
          <w:szCs w:val="16"/>
          <w:lang w:val="en-US"/>
        </w:rPr>
      </w:pPr>
      <w:r>
        <w:rPr>
          <w:rFonts w:ascii="Times New Roman" w:hAnsi="Times New Roman" w:cs="Times New Roman"/>
          <w:b/>
          <w:sz w:val="16"/>
          <w:szCs w:val="16"/>
          <w:lang w:val="en-US"/>
        </w:rPr>
        <w:t xml:space="preserve">Euro Area </w:t>
      </w:r>
      <w:r w:rsidRPr="005D78BA">
        <w:rPr>
          <w:rFonts w:ascii="Times New Roman" w:hAnsi="Times New Roman" w:cs="Times New Roman"/>
          <w:b/>
          <w:sz w:val="16"/>
          <w:szCs w:val="16"/>
          <w:lang w:val="en-US"/>
        </w:rPr>
        <w:t>(17)</w:t>
      </w:r>
    </w:p>
    <w:p w:rsidR="00023575" w:rsidRDefault="00075B3B" w:rsidP="00075B3B">
      <w:pPr>
        <w:spacing w:line="240" w:lineRule="auto"/>
        <w:jc w:val="both"/>
        <w:rPr>
          <w:rFonts w:ascii="Times New Roman" w:hAnsi="Times New Roman" w:cs="Times New Roman"/>
          <w:b/>
          <w:sz w:val="16"/>
          <w:szCs w:val="16"/>
          <w:lang w:val="en-US"/>
        </w:rPr>
      </w:pPr>
      <w:r w:rsidRPr="005D78BA">
        <w:rPr>
          <w:rFonts w:ascii="Times New Roman" w:hAnsi="Times New Roman" w:cs="Times New Roman"/>
          <w:b/>
          <w:noProof/>
          <w:sz w:val="16"/>
          <w:szCs w:val="16"/>
          <w:lang w:eastAsia="es-ES"/>
        </w:rPr>
        <w:drawing>
          <wp:inline distT="0" distB="0" distL="0" distR="0" wp14:anchorId="16408339" wp14:editId="43F6D1A9">
            <wp:extent cx="7448550" cy="3067050"/>
            <wp:effectExtent l="0" t="0" r="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7448550" cy="3067050"/>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b/>
          <w:sz w:val="16"/>
          <w:szCs w:val="16"/>
          <w:lang w:val="en-US"/>
        </w:rPr>
      </w:pPr>
      <w:r>
        <w:rPr>
          <w:rFonts w:ascii="Times New Roman" w:hAnsi="Times New Roman" w:cs="Times New Roman"/>
          <w:b/>
          <w:sz w:val="16"/>
          <w:szCs w:val="16"/>
          <w:lang w:val="en-US"/>
        </w:rPr>
        <w:t>Euro Zona (28)</w:t>
      </w:r>
    </w:p>
    <w:p w:rsidR="00075B3B" w:rsidRDefault="00075B3B" w:rsidP="00075B3B">
      <w:pPr>
        <w:spacing w:line="240" w:lineRule="auto"/>
        <w:jc w:val="both"/>
        <w:rPr>
          <w:rFonts w:ascii="Times New Roman" w:hAnsi="Times New Roman" w:cs="Times New Roman"/>
          <w:b/>
          <w:sz w:val="16"/>
          <w:szCs w:val="16"/>
          <w:lang w:val="en-US"/>
        </w:rPr>
        <w:sectPr w:rsidR="00075B3B" w:rsidSect="00871209">
          <w:pgSz w:w="16838" w:h="11906" w:orient="landscape"/>
          <w:pgMar w:top="1440" w:right="1440" w:bottom="1440" w:left="1440" w:header="709" w:footer="709" w:gutter="0"/>
          <w:cols w:space="708"/>
          <w:docGrid w:linePitch="360"/>
        </w:sectPr>
      </w:pPr>
    </w:p>
    <w:p w:rsidR="00075B3B" w:rsidRDefault="00075B3B" w:rsidP="00075B3B">
      <w:pPr>
        <w:spacing w:line="240" w:lineRule="auto"/>
        <w:jc w:val="both"/>
        <w:rPr>
          <w:rFonts w:ascii="Times New Roman" w:hAnsi="Times New Roman" w:cs="Times New Roman"/>
          <w:b/>
          <w:sz w:val="16"/>
          <w:szCs w:val="16"/>
          <w:lang w:val="en-US"/>
        </w:rPr>
      </w:pPr>
      <w:r w:rsidRPr="00766400">
        <w:rPr>
          <w:rFonts w:ascii="Times New Roman" w:hAnsi="Times New Roman" w:cs="Times New Roman"/>
          <w:b/>
          <w:noProof/>
          <w:sz w:val="16"/>
          <w:szCs w:val="16"/>
          <w:lang w:eastAsia="es-ES"/>
        </w:rPr>
        <w:lastRenderedPageBreak/>
        <w:drawing>
          <wp:inline distT="0" distB="0" distL="0" distR="0" wp14:anchorId="6ED623D2" wp14:editId="282930EB">
            <wp:extent cx="7175500" cy="4540250"/>
            <wp:effectExtent l="0" t="0" r="635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7179957" cy="4543070"/>
                    </a:xfrm>
                    <a:prstGeom prst="rect">
                      <a:avLst/>
                    </a:prstGeom>
                  </pic:spPr>
                </pic:pic>
              </a:graphicData>
            </a:graphic>
          </wp:inline>
        </w:drawing>
      </w:r>
    </w:p>
    <w:p w:rsidR="00075B3B" w:rsidRDefault="00075B3B" w:rsidP="00075B3B">
      <w:pPr>
        <w:spacing w:line="240" w:lineRule="auto"/>
        <w:jc w:val="both"/>
        <w:rPr>
          <w:rFonts w:ascii="Times New Roman" w:hAnsi="Times New Roman" w:cs="Times New Roman"/>
          <w:b/>
          <w:sz w:val="16"/>
          <w:szCs w:val="16"/>
          <w:lang w:val="en-US"/>
        </w:rPr>
        <w:sectPr w:rsidR="00075B3B" w:rsidSect="00871209">
          <w:pgSz w:w="16838" w:h="11906" w:orient="landscape"/>
          <w:pgMar w:top="1440" w:right="1440" w:bottom="1440" w:left="1440" w:header="709" w:footer="709" w:gutter="0"/>
          <w:cols w:space="708"/>
          <w:docGrid w:linePitch="360"/>
        </w:sectPr>
      </w:pPr>
    </w:p>
    <w:p w:rsidR="0080438C" w:rsidRDefault="0080438C" w:rsidP="0080438C">
      <w:pPr>
        <w:spacing w:line="240" w:lineRule="auto"/>
        <w:jc w:val="both"/>
        <w:rPr>
          <w:rFonts w:ascii="Times New Roman" w:hAnsi="Times New Roman" w:cs="Times New Roman"/>
          <w:b/>
          <w:sz w:val="24"/>
          <w:szCs w:val="24"/>
          <w:lang w:val="en-US"/>
        </w:rPr>
      </w:pPr>
      <w:r w:rsidRPr="005B1359">
        <w:rPr>
          <w:rFonts w:ascii="Times New Roman" w:hAnsi="Times New Roman" w:cs="Times New Roman"/>
          <w:b/>
          <w:sz w:val="24"/>
          <w:szCs w:val="24"/>
          <w:lang w:val="en-US"/>
        </w:rPr>
        <w:lastRenderedPageBreak/>
        <w:t>- Debt and (not much) deleveraging - McKinsey Global Institute - February 2015</w:t>
      </w:r>
    </w:p>
    <w:p w:rsidR="0080438C" w:rsidRPr="005B1359" w:rsidRDefault="0080438C" w:rsidP="0080438C">
      <w:pPr>
        <w:spacing w:line="240" w:lineRule="auto"/>
        <w:jc w:val="both"/>
        <w:rPr>
          <w:rFonts w:ascii="Times New Roman" w:hAnsi="Times New Roman" w:cs="Times New Roman"/>
          <w:sz w:val="24"/>
          <w:szCs w:val="24"/>
          <w:lang w:val="en-US"/>
        </w:rPr>
      </w:pPr>
      <w:r w:rsidRPr="005B1359">
        <w:rPr>
          <w:rFonts w:ascii="Times New Roman" w:hAnsi="Times New Roman" w:cs="Times New Roman"/>
          <w:sz w:val="24"/>
          <w:szCs w:val="24"/>
          <w:lang w:val="en-US"/>
        </w:rPr>
        <w:t xml:space="preserve">Executive summary </w:t>
      </w:r>
    </w:p>
    <w:p w:rsidR="0080438C" w:rsidRDefault="0080438C" w:rsidP="0080438C">
      <w:pPr>
        <w:spacing w:line="240" w:lineRule="auto"/>
        <w:jc w:val="both"/>
        <w:rPr>
          <w:rFonts w:ascii="Times New Roman" w:hAnsi="Times New Roman" w:cs="Times New Roman"/>
          <w:sz w:val="24"/>
          <w:szCs w:val="24"/>
          <w:lang w:val="en-US"/>
        </w:rPr>
      </w:pPr>
      <w:r w:rsidRPr="005B1359">
        <w:rPr>
          <w:rFonts w:ascii="Times New Roman" w:hAnsi="Times New Roman" w:cs="Times New Roman"/>
          <w:sz w:val="24"/>
          <w:szCs w:val="24"/>
          <w:lang w:val="en-US"/>
        </w:rPr>
        <w:t>Seven years after the global financial crisis, global debt and leverage have continued to grow. From 2007 through the second quarter of 2014, global debt grew by $</w:t>
      </w:r>
      <w:r>
        <w:rPr>
          <w:rFonts w:ascii="Times New Roman" w:hAnsi="Times New Roman" w:cs="Times New Roman"/>
          <w:sz w:val="24"/>
          <w:szCs w:val="24"/>
          <w:lang w:val="en-US"/>
        </w:rPr>
        <w:t xml:space="preserve"> </w:t>
      </w:r>
      <w:r w:rsidRPr="005B1359">
        <w:rPr>
          <w:rFonts w:ascii="Times New Roman" w:hAnsi="Times New Roman" w:cs="Times New Roman"/>
          <w:sz w:val="24"/>
          <w:szCs w:val="24"/>
          <w:lang w:val="en-US"/>
        </w:rPr>
        <w:t>57 trillion, raising the ratio of global debt to GDP by 17 percentage points (Exhibit E1). This is not as much as the 23-point increase in the seven years before the crisis, but it is enough to raise fresh concerns. Governments in advanced economies have borrowed heavily to fund bailouts in the crisis and offset falling demand in the recession, while corporate and household debt in a range of countries continues to grow rapidly</w:t>
      </w:r>
      <w:r>
        <w:rPr>
          <w:rFonts w:ascii="Times New Roman" w:hAnsi="Times New Roman" w:cs="Times New Roman"/>
          <w:sz w:val="24"/>
          <w:szCs w:val="24"/>
          <w:lang w:val="en-US"/>
        </w:rPr>
        <w:t>…</w:t>
      </w:r>
    </w:p>
    <w:p w:rsidR="0080438C" w:rsidRPr="005B1359" w:rsidRDefault="0080438C" w:rsidP="0080438C">
      <w:pPr>
        <w:spacing w:line="240" w:lineRule="auto"/>
        <w:jc w:val="both"/>
        <w:rPr>
          <w:rFonts w:ascii="Times New Roman" w:hAnsi="Times New Roman" w:cs="Times New Roman"/>
          <w:sz w:val="24"/>
          <w:szCs w:val="24"/>
          <w:lang w:val="en-US"/>
        </w:rPr>
      </w:pPr>
    </w:p>
    <w:p w:rsidR="0080438C" w:rsidRDefault="0080438C" w:rsidP="0080438C">
      <w:pPr>
        <w:spacing w:line="240" w:lineRule="auto"/>
        <w:jc w:val="both"/>
        <w:rPr>
          <w:rFonts w:ascii="Times New Roman" w:hAnsi="Times New Roman" w:cs="Times New Roman"/>
          <w:sz w:val="24"/>
          <w:szCs w:val="24"/>
          <w:lang w:val="en-US"/>
        </w:rPr>
      </w:pPr>
      <w:r w:rsidRPr="005B1359">
        <w:rPr>
          <w:rFonts w:ascii="Times New Roman" w:hAnsi="Times New Roman" w:cs="Times New Roman"/>
          <w:noProof/>
          <w:sz w:val="24"/>
          <w:szCs w:val="24"/>
          <w:lang w:eastAsia="es-ES"/>
        </w:rPr>
        <w:drawing>
          <wp:inline distT="0" distB="0" distL="0" distR="0" wp14:anchorId="7FE9024E" wp14:editId="290A5436">
            <wp:extent cx="5721350" cy="433705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21350" cy="4337050"/>
                    </a:xfrm>
                    <a:prstGeom prst="rect">
                      <a:avLst/>
                    </a:prstGeom>
                  </pic:spPr>
                </pic:pic>
              </a:graphicData>
            </a:graphic>
          </wp:inline>
        </w:drawing>
      </w:r>
    </w:p>
    <w:p w:rsidR="0080438C" w:rsidRDefault="0080438C" w:rsidP="0080438C">
      <w:pPr>
        <w:spacing w:line="240" w:lineRule="auto"/>
        <w:jc w:val="both"/>
        <w:rPr>
          <w:rFonts w:ascii="Times New Roman" w:hAnsi="Times New Roman" w:cs="Times New Roman"/>
          <w:sz w:val="24"/>
          <w:szCs w:val="24"/>
          <w:lang w:val="en-US"/>
        </w:rPr>
      </w:pPr>
      <w:r w:rsidRPr="005B1359">
        <w:rPr>
          <w:rFonts w:ascii="Times New Roman" w:hAnsi="Times New Roman" w:cs="Times New Roman"/>
          <w:noProof/>
          <w:sz w:val="24"/>
          <w:szCs w:val="24"/>
          <w:lang w:eastAsia="es-ES"/>
        </w:rPr>
        <w:lastRenderedPageBreak/>
        <w:drawing>
          <wp:inline distT="0" distB="0" distL="0" distR="0" wp14:anchorId="0C4D686C" wp14:editId="10ABB1AF">
            <wp:extent cx="5733375" cy="4076700"/>
            <wp:effectExtent l="0" t="0" r="127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4075374"/>
                    </a:xfrm>
                    <a:prstGeom prst="rect">
                      <a:avLst/>
                    </a:prstGeom>
                  </pic:spPr>
                </pic:pic>
              </a:graphicData>
            </a:graphic>
          </wp:inline>
        </w:drawing>
      </w:r>
    </w:p>
    <w:p w:rsidR="0080438C" w:rsidRDefault="0080438C" w:rsidP="0080438C">
      <w:pPr>
        <w:spacing w:line="240" w:lineRule="auto"/>
        <w:jc w:val="both"/>
        <w:rPr>
          <w:rFonts w:ascii="Times New Roman" w:hAnsi="Times New Roman" w:cs="Times New Roman"/>
          <w:sz w:val="24"/>
          <w:szCs w:val="24"/>
          <w:lang w:val="en-US"/>
        </w:rPr>
      </w:pPr>
    </w:p>
    <w:p w:rsidR="0080438C" w:rsidRDefault="0080438C" w:rsidP="0080438C">
      <w:pPr>
        <w:spacing w:line="240" w:lineRule="auto"/>
        <w:jc w:val="both"/>
        <w:rPr>
          <w:rFonts w:ascii="Times New Roman" w:hAnsi="Times New Roman" w:cs="Times New Roman"/>
          <w:sz w:val="24"/>
          <w:szCs w:val="24"/>
          <w:lang w:val="en-US"/>
        </w:rPr>
      </w:pPr>
      <w:r w:rsidRPr="000D244B">
        <w:rPr>
          <w:rFonts w:ascii="Times New Roman" w:hAnsi="Times New Roman" w:cs="Times New Roman"/>
          <w:noProof/>
          <w:sz w:val="24"/>
          <w:szCs w:val="24"/>
          <w:lang w:eastAsia="es-ES"/>
        </w:rPr>
        <w:drawing>
          <wp:inline distT="0" distB="0" distL="0" distR="0" wp14:anchorId="25CC2DC3" wp14:editId="25046B9B">
            <wp:extent cx="5505450" cy="407035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506218" cy="4070918"/>
                    </a:xfrm>
                    <a:prstGeom prst="rect">
                      <a:avLst/>
                    </a:prstGeom>
                  </pic:spPr>
                </pic:pic>
              </a:graphicData>
            </a:graphic>
          </wp:inline>
        </w:drawing>
      </w:r>
    </w:p>
    <w:p w:rsidR="0080438C" w:rsidRPr="00A9604A" w:rsidRDefault="0080438C" w:rsidP="0080438C">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A9604A">
        <w:rPr>
          <w:rFonts w:ascii="Times New Roman" w:hAnsi="Times New Roman" w:cs="Times New Roman"/>
          <w:b/>
          <w:noProof/>
          <w:sz w:val="24"/>
          <w:szCs w:val="24"/>
          <w:lang w:eastAsia="es-ES"/>
        </w:rPr>
        <w:drawing>
          <wp:inline distT="0" distB="0" distL="0" distR="0" wp14:anchorId="35A0E403" wp14:editId="78582499">
            <wp:extent cx="3778249" cy="52006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781953" cy="5205748"/>
                    </a:xfrm>
                    <a:prstGeom prst="rect">
                      <a:avLst/>
                    </a:prstGeom>
                  </pic:spPr>
                </pic:pic>
              </a:graphicData>
            </a:graphic>
          </wp:inline>
        </w:drawing>
      </w:r>
    </w:p>
    <w:p w:rsidR="0080438C" w:rsidRDefault="0080438C" w:rsidP="0080438C">
      <w:pPr>
        <w:spacing w:line="240" w:lineRule="auto"/>
        <w:jc w:val="both"/>
        <w:rPr>
          <w:rFonts w:ascii="Times New Roman" w:hAnsi="Times New Roman" w:cs="Times New Roman"/>
          <w:sz w:val="24"/>
          <w:szCs w:val="24"/>
          <w:lang w:val="en-US"/>
        </w:rPr>
      </w:pPr>
      <w:r w:rsidRPr="000D244B">
        <w:rPr>
          <w:rFonts w:ascii="Times New Roman" w:hAnsi="Times New Roman" w:cs="Times New Roman"/>
          <w:noProof/>
          <w:sz w:val="24"/>
          <w:szCs w:val="24"/>
          <w:lang w:eastAsia="es-ES"/>
        </w:rPr>
        <w:drawing>
          <wp:inline distT="0" distB="0" distL="0" distR="0" wp14:anchorId="6880F5CB" wp14:editId="36626276">
            <wp:extent cx="4521200" cy="351790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4525006" cy="3520862"/>
                    </a:xfrm>
                    <a:prstGeom prst="rect">
                      <a:avLst/>
                    </a:prstGeom>
                  </pic:spPr>
                </pic:pic>
              </a:graphicData>
            </a:graphic>
          </wp:inline>
        </w:drawing>
      </w:r>
    </w:p>
    <w:p w:rsidR="0080438C" w:rsidRPr="0080438C" w:rsidRDefault="0080438C" w:rsidP="0080438C">
      <w:pPr>
        <w:spacing w:line="240" w:lineRule="auto"/>
        <w:jc w:val="both"/>
        <w:rPr>
          <w:rFonts w:ascii="Times New Roman" w:hAnsi="Times New Roman" w:cs="Times New Roman"/>
          <w:sz w:val="24"/>
          <w:szCs w:val="24"/>
          <w:lang w:val="en-US"/>
        </w:rPr>
      </w:pPr>
      <w:r w:rsidRPr="00BE27FF">
        <w:rPr>
          <w:rFonts w:ascii="Times New Roman" w:hAnsi="Times New Roman" w:cs="Times New Roman"/>
          <w:noProof/>
          <w:sz w:val="24"/>
          <w:szCs w:val="24"/>
          <w:lang w:eastAsia="es-ES"/>
        </w:rPr>
        <w:lastRenderedPageBreak/>
        <w:drawing>
          <wp:inline distT="0" distB="0" distL="0" distR="0" wp14:anchorId="77680A0D" wp14:editId="6D5695F9">
            <wp:extent cx="4495800" cy="33591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4496427" cy="3359618"/>
                    </a:xfrm>
                    <a:prstGeom prst="rect">
                      <a:avLst/>
                    </a:prstGeom>
                  </pic:spPr>
                </pic:pic>
              </a:graphicData>
            </a:graphic>
          </wp:inline>
        </w:drawing>
      </w:r>
    </w:p>
    <w:p w:rsidR="00075B3B" w:rsidRPr="00864F7E" w:rsidRDefault="00075B3B" w:rsidP="00075B3B">
      <w:pPr>
        <w:pStyle w:val="NormalWeb"/>
        <w:shd w:val="clear" w:color="auto" w:fill="FFFFFF"/>
        <w:jc w:val="both"/>
        <w:textAlignment w:val="baseline"/>
        <w:rPr>
          <w:b/>
          <w:lang w:val="en-US"/>
        </w:rPr>
      </w:pPr>
      <w:r w:rsidRPr="00864F7E">
        <w:rPr>
          <w:b/>
          <w:lang w:val="en-US"/>
        </w:rPr>
        <w:t>- Rising corporate debt: Peril or promise?</w:t>
      </w:r>
      <w:r>
        <w:rPr>
          <w:b/>
          <w:lang w:val="en-US"/>
        </w:rPr>
        <w:t xml:space="preserve"> - </w:t>
      </w:r>
      <w:r w:rsidRPr="00864F7E">
        <w:rPr>
          <w:b/>
          <w:lang w:val="en-US"/>
        </w:rPr>
        <w:t>Discussion Paper McKinsey Global Institute</w:t>
      </w:r>
      <w:r w:rsidR="00DA63E6">
        <w:rPr>
          <w:b/>
          <w:lang w:val="en-US"/>
        </w:rPr>
        <w:t xml:space="preserve"> -</w:t>
      </w:r>
      <w:r w:rsidRPr="00864F7E">
        <w:rPr>
          <w:b/>
          <w:lang w:val="en-US"/>
        </w:rPr>
        <w:t xml:space="preserve"> June 2018</w:t>
      </w:r>
    </w:p>
    <w:p w:rsidR="00075B3B" w:rsidRDefault="00075B3B" w:rsidP="00075B3B">
      <w:pPr>
        <w:pStyle w:val="NormalWeb"/>
        <w:shd w:val="clear" w:color="auto" w:fill="FFFFFF"/>
        <w:jc w:val="both"/>
        <w:textAlignment w:val="baseline"/>
        <w:rPr>
          <w:lang w:val="en-US"/>
        </w:rPr>
      </w:pPr>
      <w:r>
        <w:rPr>
          <w:lang w:val="en-US"/>
        </w:rPr>
        <w:t>(</w:t>
      </w:r>
      <w:r w:rsidRPr="00864F7E">
        <w:rPr>
          <w:lang w:val="en-US"/>
        </w:rPr>
        <w:t>By Susan Lund, Jonathan Woetzel, Eckart Windhagen, Richard Dobbs, and Diana Goldshtein</w:t>
      </w:r>
      <w:r>
        <w:rPr>
          <w:lang w:val="en-US"/>
        </w:rPr>
        <w:t>)</w:t>
      </w:r>
    </w:p>
    <w:p w:rsidR="00075B3B" w:rsidRPr="008F6DF0" w:rsidRDefault="00075B3B" w:rsidP="00075B3B">
      <w:pPr>
        <w:pStyle w:val="NormalWeb"/>
        <w:shd w:val="clear" w:color="auto" w:fill="FFFFFF"/>
        <w:jc w:val="both"/>
        <w:textAlignment w:val="baseline"/>
        <w:rPr>
          <w:lang w:val="en-US"/>
        </w:rPr>
      </w:pPr>
      <w:r w:rsidRPr="008F6DF0">
        <w:rPr>
          <w:lang w:val="en-US"/>
        </w:rPr>
        <w:t>Corporate bond issuance has increased</w:t>
      </w:r>
      <w:r w:rsidR="00AD55A7">
        <w:rPr>
          <w:lang w:val="en-US"/>
        </w:rPr>
        <w:t xml:space="preserve"> 2,</w:t>
      </w:r>
      <w:r w:rsidRPr="008F6DF0">
        <w:rPr>
          <w:lang w:val="en-US"/>
        </w:rPr>
        <w:t>5 times over the past ten years, creating a broader and deeper market in many countri</w:t>
      </w:r>
      <w:r>
        <w:rPr>
          <w:lang w:val="en-US"/>
        </w:rPr>
        <w:t>es. But there are rising risks.</w:t>
      </w:r>
    </w:p>
    <w:p w:rsidR="00075B3B" w:rsidRPr="008F6DF0" w:rsidRDefault="00075B3B" w:rsidP="00075B3B">
      <w:pPr>
        <w:pStyle w:val="NormalWeb"/>
        <w:shd w:val="clear" w:color="auto" w:fill="FFFFFF"/>
        <w:jc w:val="both"/>
        <w:textAlignment w:val="baseline"/>
        <w:rPr>
          <w:lang w:val="en-US"/>
        </w:rPr>
      </w:pPr>
      <w:r w:rsidRPr="008F6DF0">
        <w:rPr>
          <w:lang w:val="en-US"/>
        </w:rPr>
        <w:t>Since the worldwide financial crisis in 2008, total global debt (including household, nonfinancial corporate, and government debt) has continued to rise, growing by three-quarters from $</w:t>
      </w:r>
      <w:r w:rsidR="00AD55A7">
        <w:rPr>
          <w:lang w:val="en-US"/>
        </w:rPr>
        <w:t xml:space="preserve"> </w:t>
      </w:r>
      <w:r w:rsidRPr="008F6DF0">
        <w:rPr>
          <w:lang w:val="en-US"/>
        </w:rPr>
        <w:t>97 trillion in 2007 to $</w:t>
      </w:r>
      <w:r w:rsidR="00AD55A7">
        <w:rPr>
          <w:lang w:val="en-US"/>
        </w:rPr>
        <w:t xml:space="preserve"> </w:t>
      </w:r>
      <w:r w:rsidRPr="008F6DF0">
        <w:rPr>
          <w:lang w:val="en-US"/>
        </w:rPr>
        <w:t>169 trillion in the first half of 2017 i</w:t>
      </w:r>
      <w:r>
        <w:rPr>
          <w:lang w:val="en-US"/>
        </w:rPr>
        <w:t>n constant exchange rate terms.</w:t>
      </w:r>
    </w:p>
    <w:p w:rsidR="00075B3B" w:rsidRDefault="00075B3B" w:rsidP="00075B3B">
      <w:pPr>
        <w:pStyle w:val="NormalWeb"/>
        <w:shd w:val="clear" w:color="auto" w:fill="FFFFFF"/>
        <w:jc w:val="both"/>
        <w:textAlignment w:val="baseline"/>
        <w:rPr>
          <w:lang w:val="en-US"/>
        </w:rPr>
      </w:pPr>
      <w:r w:rsidRPr="008F6DF0">
        <w:rPr>
          <w:lang w:val="en-US"/>
        </w:rPr>
        <w:t>In the latest installment of a series of reports on global debt, Rising corpora</w:t>
      </w:r>
      <w:r w:rsidR="00283802">
        <w:rPr>
          <w:lang w:val="en-US"/>
        </w:rPr>
        <w:t>te debt: Peril or promise?</w:t>
      </w:r>
      <w:r w:rsidRPr="008F6DF0">
        <w:rPr>
          <w:lang w:val="en-US"/>
        </w:rPr>
        <w:t>, the McKinsey Global Institute looks at the growth in one corner of the global debt market: corporate debt. The total debt of nonfinancial corporations, including bonds and loans, has more than doubled over the past decade, growing by $</w:t>
      </w:r>
      <w:r w:rsidR="00AD55A7">
        <w:rPr>
          <w:lang w:val="en-US"/>
        </w:rPr>
        <w:t xml:space="preserve"> </w:t>
      </w:r>
      <w:r w:rsidRPr="008F6DF0">
        <w:rPr>
          <w:lang w:val="en-US"/>
        </w:rPr>
        <w:t>37 trillion to reach $</w:t>
      </w:r>
      <w:r w:rsidR="00AD55A7">
        <w:rPr>
          <w:lang w:val="en-US"/>
        </w:rPr>
        <w:t xml:space="preserve"> </w:t>
      </w:r>
      <w:r w:rsidRPr="008F6DF0">
        <w:rPr>
          <w:lang w:val="en-US"/>
        </w:rPr>
        <w:t>66 trillion in mid-2017, or 92 percent of global GDP. This growth is nearly equal to the increase in government debt, which has received far more attention. In a departure from the past, a large share of the growth in corporate debt has come from developing countries, and in particular China, which now has one of the highest ratios of corporate debt relative to GDP in the world</w:t>
      </w:r>
      <w:r>
        <w:rPr>
          <w:lang w:val="en-US"/>
        </w:rPr>
        <w:t>…</w:t>
      </w:r>
    </w:p>
    <w:p w:rsidR="00075B3B" w:rsidRDefault="00075B3B" w:rsidP="00075B3B">
      <w:pPr>
        <w:pStyle w:val="NormalWeb"/>
        <w:shd w:val="clear" w:color="auto" w:fill="FFFFFF"/>
        <w:jc w:val="both"/>
        <w:textAlignment w:val="baseline"/>
        <w:rPr>
          <w:lang w:val="en-US"/>
        </w:rPr>
      </w:pPr>
      <w:r w:rsidRPr="008F6DF0">
        <w:rPr>
          <w:noProof/>
        </w:rPr>
        <w:lastRenderedPageBreak/>
        <w:drawing>
          <wp:inline distT="0" distB="0" distL="0" distR="0" wp14:anchorId="36B13674" wp14:editId="4782C9B8">
            <wp:extent cx="5574877" cy="4552950"/>
            <wp:effectExtent l="0" t="0" r="6985"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574877" cy="4552950"/>
                    </a:xfrm>
                    <a:prstGeom prst="rect">
                      <a:avLst/>
                    </a:prstGeom>
                  </pic:spPr>
                </pic:pic>
              </a:graphicData>
            </a:graphic>
          </wp:inline>
        </w:drawing>
      </w:r>
    </w:p>
    <w:p w:rsidR="00075B3B" w:rsidRPr="005F0DE5" w:rsidRDefault="00075B3B" w:rsidP="00075B3B">
      <w:pPr>
        <w:pStyle w:val="NormalWeb"/>
        <w:shd w:val="clear" w:color="auto" w:fill="FFFFFF"/>
        <w:jc w:val="both"/>
        <w:textAlignment w:val="baseline"/>
        <w:rPr>
          <w:lang w:val="en-US"/>
        </w:rPr>
      </w:pPr>
      <w:r w:rsidRPr="005F0DE5">
        <w:rPr>
          <w:lang w:val="en-US"/>
        </w:rPr>
        <w:t xml:space="preserve">Risks have increased in the corporate bond bull market. While the expansion and deepening of global corporate bond markets is good news, there are also signs that creditworthiness of borrowers has declined. This could prompt more defaults in the years ahead as a record amount of bonds come due and </w:t>
      </w:r>
      <w:r>
        <w:rPr>
          <w:lang w:val="en-US"/>
        </w:rPr>
        <w:t>as future borrowing costs rise.</w:t>
      </w:r>
    </w:p>
    <w:p w:rsidR="00075B3B" w:rsidRPr="005F0DE5" w:rsidRDefault="00075B3B" w:rsidP="00075B3B">
      <w:pPr>
        <w:pStyle w:val="NormalWeb"/>
        <w:shd w:val="clear" w:color="auto" w:fill="FFFFFF"/>
        <w:jc w:val="both"/>
        <w:textAlignment w:val="baseline"/>
        <w:rPr>
          <w:lang w:val="en-US"/>
        </w:rPr>
      </w:pPr>
      <w:r w:rsidRPr="005F0DE5">
        <w:rPr>
          <w:lang w:val="en-US"/>
        </w:rPr>
        <w:t>Some features potentially l</w:t>
      </w:r>
      <w:r>
        <w:rPr>
          <w:lang w:val="en-US"/>
        </w:rPr>
        <w:t>eading to higher risks include:</w:t>
      </w:r>
    </w:p>
    <w:p w:rsidR="00075B3B" w:rsidRPr="005F0DE5" w:rsidRDefault="00075B3B" w:rsidP="00075B3B">
      <w:pPr>
        <w:pStyle w:val="NormalWeb"/>
        <w:shd w:val="clear" w:color="auto" w:fill="FFFFFF"/>
        <w:jc w:val="both"/>
        <w:textAlignment w:val="baseline"/>
        <w:rPr>
          <w:lang w:val="en-US"/>
        </w:rPr>
      </w:pPr>
      <w:r>
        <w:rPr>
          <w:lang w:val="en-US"/>
        </w:rPr>
        <w:t xml:space="preserve">- </w:t>
      </w:r>
      <w:r w:rsidRPr="005F0DE5">
        <w:rPr>
          <w:lang w:val="en-US"/>
        </w:rPr>
        <w:t>The average quality of blue-chip borrowers has declined. In the United States, almost 40 percent of nonfinancial corporate bonds are now rated BBB, just one notch above speculative-grade “junk bonds.”</w:t>
      </w:r>
    </w:p>
    <w:p w:rsidR="00075B3B" w:rsidRPr="005F0DE5" w:rsidRDefault="00075B3B" w:rsidP="00075B3B">
      <w:pPr>
        <w:pStyle w:val="NormalWeb"/>
        <w:shd w:val="clear" w:color="auto" w:fill="FFFFFF"/>
        <w:jc w:val="both"/>
        <w:textAlignment w:val="baseline"/>
        <w:rPr>
          <w:lang w:val="en-US"/>
        </w:rPr>
      </w:pPr>
      <w:r>
        <w:rPr>
          <w:lang w:val="en-US"/>
        </w:rPr>
        <w:t xml:space="preserve">- </w:t>
      </w:r>
      <w:r w:rsidRPr="005F0DE5">
        <w:rPr>
          <w:lang w:val="en-US"/>
        </w:rPr>
        <w:t>Growth in speculative-grade bonds has been particularly strong. Globally, the value of corporate high-yield bonds outstanding increased from $</w:t>
      </w:r>
      <w:r w:rsidR="00AD55A7">
        <w:rPr>
          <w:lang w:val="en-US"/>
        </w:rPr>
        <w:t xml:space="preserve"> </w:t>
      </w:r>
      <w:r w:rsidRPr="005F0DE5">
        <w:rPr>
          <w:lang w:val="en-US"/>
        </w:rPr>
        <w:t>500 billion in 2007 to $</w:t>
      </w:r>
      <w:r w:rsidR="00AD55A7">
        <w:rPr>
          <w:lang w:val="en-US"/>
        </w:rPr>
        <w:t xml:space="preserve"> 1,</w:t>
      </w:r>
      <w:r w:rsidRPr="005F0DE5">
        <w:rPr>
          <w:lang w:val="en-US"/>
        </w:rPr>
        <w:t>9 trillion in 2017. In the coming five years, and unprecedented amount of these bonds will come due.</w:t>
      </w:r>
    </w:p>
    <w:p w:rsidR="00075B3B" w:rsidRPr="005F0DE5" w:rsidRDefault="00075B3B" w:rsidP="00075B3B">
      <w:pPr>
        <w:pStyle w:val="NormalWeb"/>
        <w:shd w:val="clear" w:color="auto" w:fill="FFFFFF"/>
        <w:jc w:val="both"/>
        <w:textAlignment w:val="baseline"/>
        <w:rPr>
          <w:lang w:val="en-US"/>
        </w:rPr>
      </w:pPr>
      <w:r>
        <w:rPr>
          <w:lang w:val="en-US"/>
        </w:rPr>
        <w:t xml:space="preserve">- </w:t>
      </w:r>
      <w:r w:rsidRPr="005F0DE5">
        <w:rPr>
          <w:lang w:val="en-US"/>
        </w:rPr>
        <w:t>Bond issuance by companies in China and other developing countries has soared. The value of China’s nonfinancial corporate bonds outstanding rose from $</w:t>
      </w:r>
      <w:r w:rsidR="00C70908">
        <w:rPr>
          <w:lang w:val="en-US"/>
        </w:rPr>
        <w:t xml:space="preserve"> </w:t>
      </w:r>
      <w:r w:rsidRPr="005F0DE5">
        <w:rPr>
          <w:lang w:val="en-US"/>
        </w:rPr>
        <w:t>69 billion in 2007 to $</w:t>
      </w:r>
      <w:r w:rsidR="00AD55A7">
        <w:rPr>
          <w:lang w:val="en-US"/>
        </w:rPr>
        <w:t xml:space="preserve"> </w:t>
      </w:r>
      <w:r w:rsidRPr="005F0DE5">
        <w:rPr>
          <w:lang w:val="en-US"/>
        </w:rPr>
        <w:t>2 trillion at the end of 2017, making China one of the largest bond markets in the world. Outside China, growth has been strongest in Brazil, Chile, Mexico, and Russia.</w:t>
      </w:r>
    </w:p>
    <w:p w:rsidR="00075B3B" w:rsidRPr="005F0DE5" w:rsidRDefault="00075B3B" w:rsidP="00075B3B">
      <w:pPr>
        <w:spacing w:line="240" w:lineRule="auto"/>
        <w:jc w:val="both"/>
        <w:rPr>
          <w:rFonts w:ascii="Times New Roman" w:hAnsi="Times New Roman" w:cs="Times New Roman"/>
          <w:sz w:val="24"/>
          <w:szCs w:val="24"/>
          <w:lang w:val="en-US"/>
        </w:rPr>
      </w:pPr>
      <w:r w:rsidRPr="005F0DE5">
        <w:rPr>
          <w:rFonts w:ascii="Times New Roman" w:hAnsi="Times New Roman" w:cs="Times New Roman"/>
          <w:sz w:val="24"/>
          <w:szCs w:val="24"/>
          <w:lang w:val="en-US"/>
        </w:rPr>
        <w:t>Record refinancing over the next five years comes at a time when some companies and sectors may be vulnerable</w:t>
      </w:r>
    </w:p>
    <w:p w:rsidR="00075B3B" w:rsidRDefault="00075B3B" w:rsidP="00075B3B">
      <w:pPr>
        <w:spacing w:line="240" w:lineRule="auto"/>
        <w:jc w:val="both"/>
        <w:rPr>
          <w:rFonts w:ascii="Times New Roman" w:hAnsi="Times New Roman" w:cs="Times New Roman"/>
          <w:sz w:val="24"/>
          <w:szCs w:val="24"/>
          <w:lang w:val="en-US"/>
        </w:rPr>
      </w:pPr>
      <w:r w:rsidRPr="005F0DE5">
        <w:rPr>
          <w:rFonts w:ascii="Times New Roman" w:hAnsi="Times New Roman" w:cs="Times New Roman"/>
          <w:sz w:val="24"/>
          <w:szCs w:val="24"/>
          <w:lang w:val="en-US"/>
        </w:rPr>
        <w:lastRenderedPageBreak/>
        <w:t>From 2018 to</w:t>
      </w:r>
      <w:r>
        <w:rPr>
          <w:rFonts w:ascii="Times New Roman" w:hAnsi="Times New Roman" w:cs="Times New Roman"/>
          <w:sz w:val="24"/>
          <w:szCs w:val="24"/>
          <w:lang w:val="en-US"/>
        </w:rPr>
        <w:t xml:space="preserve"> 2022, a record amount of bonds -</w:t>
      </w:r>
      <w:r w:rsidRPr="005F0DE5">
        <w:rPr>
          <w:rFonts w:ascii="Times New Roman" w:hAnsi="Times New Roman" w:cs="Times New Roman"/>
          <w:sz w:val="24"/>
          <w:szCs w:val="24"/>
          <w:lang w:val="en-US"/>
        </w:rPr>
        <w:t>between $</w:t>
      </w:r>
      <w:r w:rsidR="00AD55A7">
        <w:rPr>
          <w:rFonts w:ascii="Times New Roman" w:hAnsi="Times New Roman" w:cs="Times New Roman"/>
          <w:sz w:val="24"/>
          <w:szCs w:val="24"/>
          <w:lang w:val="en-US"/>
        </w:rPr>
        <w:t xml:space="preserve"> 1,</w:t>
      </w:r>
      <w:r w:rsidRPr="005F0DE5">
        <w:rPr>
          <w:rFonts w:ascii="Times New Roman" w:hAnsi="Times New Roman" w:cs="Times New Roman"/>
          <w:sz w:val="24"/>
          <w:szCs w:val="24"/>
          <w:lang w:val="en-US"/>
        </w:rPr>
        <w:t>6 tril</w:t>
      </w:r>
      <w:r>
        <w:rPr>
          <w:rFonts w:ascii="Times New Roman" w:hAnsi="Times New Roman" w:cs="Times New Roman"/>
          <w:sz w:val="24"/>
          <w:szCs w:val="24"/>
          <w:lang w:val="en-US"/>
        </w:rPr>
        <w:t>lion and $</w:t>
      </w:r>
      <w:r w:rsidR="00AD55A7">
        <w:rPr>
          <w:rFonts w:ascii="Times New Roman" w:hAnsi="Times New Roman" w:cs="Times New Roman"/>
          <w:sz w:val="24"/>
          <w:szCs w:val="24"/>
          <w:lang w:val="en-US"/>
        </w:rPr>
        <w:t xml:space="preserve"> 2,</w:t>
      </w:r>
      <w:r>
        <w:rPr>
          <w:rFonts w:ascii="Times New Roman" w:hAnsi="Times New Roman" w:cs="Times New Roman"/>
          <w:sz w:val="24"/>
          <w:szCs w:val="24"/>
          <w:lang w:val="en-US"/>
        </w:rPr>
        <w:t xml:space="preserve">1 trillion annually- </w:t>
      </w:r>
      <w:r w:rsidRPr="005F0DE5">
        <w:rPr>
          <w:rFonts w:ascii="Times New Roman" w:hAnsi="Times New Roman" w:cs="Times New Roman"/>
          <w:sz w:val="24"/>
          <w:szCs w:val="24"/>
          <w:lang w:val="en-US"/>
        </w:rPr>
        <w:t>will mature (Exhibit 2). Globally, a total of $</w:t>
      </w:r>
      <w:r w:rsidR="00AD55A7">
        <w:rPr>
          <w:rFonts w:ascii="Times New Roman" w:hAnsi="Times New Roman" w:cs="Times New Roman"/>
          <w:sz w:val="24"/>
          <w:szCs w:val="24"/>
          <w:lang w:val="en-US"/>
        </w:rPr>
        <w:t xml:space="preserve"> 7,</w:t>
      </w:r>
      <w:r w:rsidRPr="005F0DE5">
        <w:rPr>
          <w:rFonts w:ascii="Times New Roman" w:hAnsi="Times New Roman" w:cs="Times New Roman"/>
          <w:sz w:val="24"/>
          <w:szCs w:val="24"/>
          <w:lang w:val="en-US"/>
        </w:rPr>
        <w:t>9 trillion of bonds will come due during those five years, based on bonds already issued. However, some bonds have maturities of less than five years and may still be issued and come due during that period. If current issuance trends continue, then as much as $</w:t>
      </w:r>
      <w:r w:rsidR="00AD55A7">
        <w:rPr>
          <w:rFonts w:ascii="Times New Roman" w:hAnsi="Times New Roman" w:cs="Times New Roman"/>
          <w:sz w:val="24"/>
          <w:szCs w:val="24"/>
          <w:lang w:val="en-US"/>
        </w:rPr>
        <w:t xml:space="preserve"> </w:t>
      </w:r>
      <w:r w:rsidRPr="005F0DE5">
        <w:rPr>
          <w:rFonts w:ascii="Times New Roman" w:hAnsi="Times New Roman" w:cs="Times New Roman"/>
          <w:sz w:val="24"/>
          <w:szCs w:val="24"/>
          <w:lang w:val="en-US"/>
        </w:rPr>
        <w:t>10 trillion of bonds will come due over the next five years. At least $</w:t>
      </w:r>
      <w:r w:rsidR="00AD55A7">
        <w:rPr>
          <w:rFonts w:ascii="Times New Roman" w:hAnsi="Times New Roman" w:cs="Times New Roman"/>
          <w:sz w:val="24"/>
          <w:szCs w:val="24"/>
          <w:lang w:val="en-US"/>
        </w:rPr>
        <w:t xml:space="preserve"> </w:t>
      </w:r>
      <w:r w:rsidRPr="005F0DE5">
        <w:rPr>
          <w:rFonts w:ascii="Times New Roman" w:hAnsi="Times New Roman" w:cs="Times New Roman"/>
          <w:sz w:val="24"/>
          <w:szCs w:val="24"/>
          <w:lang w:val="en-US"/>
        </w:rPr>
        <w:t>3 trillion of this total will be from US corporations, $</w:t>
      </w:r>
      <w:r w:rsidR="00AD55A7">
        <w:rPr>
          <w:rFonts w:ascii="Times New Roman" w:hAnsi="Times New Roman" w:cs="Times New Roman"/>
          <w:sz w:val="24"/>
          <w:szCs w:val="24"/>
          <w:lang w:val="en-US"/>
        </w:rPr>
        <w:t xml:space="preserve"> 1,</w:t>
      </w:r>
      <w:r w:rsidRPr="005F0DE5">
        <w:rPr>
          <w:rFonts w:ascii="Times New Roman" w:hAnsi="Times New Roman" w:cs="Times New Roman"/>
          <w:sz w:val="24"/>
          <w:szCs w:val="24"/>
          <w:lang w:val="en-US"/>
        </w:rPr>
        <w:t>7 trillion from Chinese companies, and $</w:t>
      </w:r>
      <w:r w:rsidR="00AD55A7">
        <w:rPr>
          <w:rFonts w:ascii="Times New Roman" w:hAnsi="Times New Roman" w:cs="Times New Roman"/>
          <w:sz w:val="24"/>
          <w:szCs w:val="24"/>
          <w:lang w:val="en-US"/>
        </w:rPr>
        <w:t xml:space="preserve"> 1,</w:t>
      </w:r>
      <w:r w:rsidRPr="005F0DE5">
        <w:rPr>
          <w:rFonts w:ascii="Times New Roman" w:hAnsi="Times New Roman" w:cs="Times New Roman"/>
          <w:sz w:val="24"/>
          <w:szCs w:val="24"/>
          <w:lang w:val="en-US"/>
        </w:rPr>
        <w:t>7 trillion from Western European companies.</w:t>
      </w:r>
    </w:p>
    <w:p w:rsidR="00075B3B" w:rsidRDefault="00075B3B" w:rsidP="00075B3B">
      <w:pPr>
        <w:spacing w:line="240" w:lineRule="auto"/>
        <w:jc w:val="both"/>
        <w:rPr>
          <w:rFonts w:ascii="Times New Roman" w:hAnsi="Times New Roman" w:cs="Times New Roman"/>
          <w:sz w:val="24"/>
          <w:szCs w:val="24"/>
          <w:lang w:val="en-US"/>
        </w:rPr>
      </w:pPr>
      <w:r w:rsidRPr="005F0DE5">
        <w:rPr>
          <w:rFonts w:ascii="Times New Roman" w:hAnsi="Times New Roman" w:cs="Times New Roman"/>
          <w:noProof/>
          <w:sz w:val="24"/>
          <w:szCs w:val="24"/>
          <w:lang w:eastAsia="es-ES"/>
        </w:rPr>
        <w:drawing>
          <wp:inline distT="0" distB="0" distL="0" distR="0" wp14:anchorId="7F817FEA" wp14:editId="26153FAD">
            <wp:extent cx="5397500" cy="3511550"/>
            <wp:effectExtent l="0" t="0" r="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401429" cy="3514106"/>
                    </a:xfrm>
                    <a:prstGeom prst="rect">
                      <a:avLst/>
                    </a:prstGeom>
                  </pic:spPr>
                </pic:pic>
              </a:graphicData>
            </a:graphic>
          </wp:inline>
        </w:drawing>
      </w:r>
    </w:p>
    <w:p w:rsidR="00525F1B" w:rsidRDefault="00075B3B" w:rsidP="00451026">
      <w:pPr>
        <w:spacing w:line="240" w:lineRule="auto"/>
        <w:jc w:val="both"/>
        <w:rPr>
          <w:rFonts w:ascii="Times New Roman" w:hAnsi="Times New Roman" w:cs="Times New Roman"/>
          <w:sz w:val="24"/>
          <w:szCs w:val="24"/>
          <w:lang w:val="en-US"/>
        </w:rPr>
      </w:pPr>
      <w:r w:rsidRPr="005F0DE5">
        <w:rPr>
          <w:rFonts w:ascii="Times New Roman" w:hAnsi="Times New Roman" w:cs="Times New Roman"/>
          <w:noProof/>
          <w:sz w:val="24"/>
          <w:szCs w:val="24"/>
          <w:lang w:eastAsia="es-ES"/>
        </w:rPr>
        <w:drawing>
          <wp:inline distT="0" distB="0" distL="0" distR="0" wp14:anchorId="18389981" wp14:editId="4E65B28B">
            <wp:extent cx="5530850" cy="3759200"/>
            <wp:effectExtent l="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534797" cy="3761883"/>
                    </a:xfrm>
                    <a:prstGeom prst="rect">
                      <a:avLst/>
                    </a:prstGeom>
                  </pic:spPr>
                </pic:pic>
              </a:graphicData>
            </a:graphic>
          </wp:inline>
        </w:drawing>
      </w:r>
    </w:p>
    <w:p w:rsidR="00150C27" w:rsidRDefault="00150C27" w:rsidP="00150C2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E</w:t>
      </w:r>
      <w:r w:rsidRPr="00DD4E39">
        <w:rPr>
          <w:rFonts w:ascii="Times New Roman" w:hAnsi="Times New Roman" w:cs="Times New Roman"/>
          <w:b/>
          <w:sz w:val="24"/>
          <w:szCs w:val="24"/>
        </w:rPr>
        <w:t>l canario en la</w:t>
      </w:r>
      <w:r>
        <w:rPr>
          <w:rFonts w:ascii="Times New Roman" w:hAnsi="Times New Roman" w:cs="Times New Roman"/>
          <w:b/>
          <w:sz w:val="24"/>
          <w:szCs w:val="24"/>
        </w:rPr>
        <w:t xml:space="preserve"> mina, el elefante en la habitación, los cisnes negros…</w:t>
      </w:r>
      <w:r w:rsidRPr="00DD4E39">
        <w:rPr>
          <w:rFonts w:ascii="Times New Roman" w:hAnsi="Times New Roman" w:cs="Times New Roman"/>
          <w:b/>
          <w:sz w:val="24"/>
          <w:szCs w:val="24"/>
        </w:rPr>
        <w:t>(</w:t>
      </w:r>
      <w:r>
        <w:rPr>
          <w:rFonts w:ascii="Times New Roman" w:hAnsi="Times New Roman" w:cs="Times New Roman"/>
          <w:b/>
          <w:sz w:val="24"/>
          <w:szCs w:val="24"/>
        </w:rPr>
        <w:t>¿</w:t>
      </w:r>
      <w:r w:rsidRPr="00DD4E39">
        <w:rPr>
          <w:rFonts w:ascii="Times New Roman" w:hAnsi="Times New Roman" w:cs="Times New Roman"/>
          <w:b/>
          <w:sz w:val="24"/>
          <w:szCs w:val="24"/>
        </w:rPr>
        <w:t>un'altra volta</w:t>
      </w:r>
      <w:r>
        <w:rPr>
          <w:rFonts w:ascii="Times New Roman" w:hAnsi="Times New Roman" w:cs="Times New Roman"/>
          <w:b/>
          <w:sz w:val="24"/>
          <w:szCs w:val="24"/>
        </w:rPr>
        <w:t>?</w:t>
      </w:r>
      <w:r w:rsidRPr="00DD4E39">
        <w:rPr>
          <w:rFonts w:ascii="Times New Roman" w:hAnsi="Times New Roman" w:cs="Times New Roman"/>
          <w:b/>
          <w:sz w:val="24"/>
          <w:szCs w:val="24"/>
        </w:rPr>
        <w:t>)</w:t>
      </w:r>
    </w:p>
    <w:p w:rsidR="00150C27" w:rsidRDefault="00150C27" w:rsidP="00150C27">
      <w:pPr>
        <w:spacing w:line="240" w:lineRule="auto"/>
      </w:pPr>
      <w:r>
        <w:rPr>
          <w:noProof/>
          <w:lang w:eastAsia="es-ES"/>
        </w:rPr>
        <w:drawing>
          <wp:inline distT="0" distB="0" distL="0" distR="0" wp14:anchorId="77DB8B23" wp14:editId="3C75A98A">
            <wp:extent cx="5726218" cy="2901950"/>
            <wp:effectExtent l="0" t="0" r="8255" b="0"/>
            <wp:docPr id="380" name="Imagen 380" descr="cisnes-negros-dreams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snes-negros-dreamstime.jp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1510" cy="2904632"/>
                    </a:xfrm>
                    <a:prstGeom prst="rect">
                      <a:avLst/>
                    </a:prstGeom>
                    <a:noFill/>
                    <a:ln>
                      <a:noFill/>
                    </a:ln>
                  </pic:spPr>
                </pic:pic>
              </a:graphicData>
            </a:graphic>
          </wp:inline>
        </w:drawing>
      </w:r>
    </w:p>
    <w:p w:rsidR="00150C27" w:rsidRPr="002B44EB" w:rsidRDefault="00150C27" w:rsidP="00150C27">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 “</w:t>
      </w:r>
      <w:r w:rsidRPr="002B44EB">
        <w:rPr>
          <w:rFonts w:ascii="Times New Roman" w:hAnsi="Times New Roman" w:cs="Times New Roman"/>
          <w:i/>
          <w:sz w:val="24"/>
          <w:szCs w:val="24"/>
        </w:rPr>
        <w:t>La subida de tipos en EEUU y el encarecimiento del dólar reavivan el temor a una nueva crisis en los países emergentes como la de finales de los 90</w:t>
      </w:r>
      <w:r>
        <w:rPr>
          <w:rFonts w:ascii="Times New Roman" w:hAnsi="Times New Roman" w:cs="Times New Roman"/>
          <w:i/>
          <w:sz w:val="24"/>
          <w:szCs w:val="24"/>
        </w:rPr>
        <w:t>”..</w:t>
      </w:r>
      <w:r w:rsidRPr="002B44EB">
        <w:rPr>
          <w:rFonts w:ascii="Times New Roman" w:hAnsi="Times New Roman" w:cs="Times New Roman"/>
          <w:i/>
          <w:sz w:val="24"/>
          <w:szCs w:val="24"/>
        </w:rPr>
        <w:t>.</w:t>
      </w:r>
      <w:r>
        <w:rPr>
          <w:rFonts w:ascii="Times New Roman" w:hAnsi="Times New Roman" w:cs="Times New Roman"/>
          <w:i/>
          <w:sz w:val="24"/>
          <w:szCs w:val="24"/>
        </w:rPr>
        <w:t xml:space="preserve"> </w:t>
      </w:r>
      <w:r w:rsidRPr="00713D04">
        <w:rPr>
          <w:rFonts w:ascii="Times New Roman" w:hAnsi="Times New Roman" w:cs="Times New Roman"/>
          <w:sz w:val="24"/>
          <w:szCs w:val="24"/>
          <w:u w:val="single"/>
        </w:rPr>
        <w:t>¿Tormenta a la vista?: Turquía es el canario en la mina, pero China el elefante en la habitación</w:t>
      </w:r>
      <w:r>
        <w:rPr>
          <w:rFonts w:ascii="Times New Roman" w:hAnsi="Times New Roman" w:cs="Times New Roman"/>
          <w:sz w:val="24"/>
          <w:szCs w:val="24"/>
        </w:rPr>
        <w:t xml:space="preserve"> (Libertad Digital - </w:t>
      </w:r>
      <w:r w:rsidRPr="00713D04">
        <w:rPr>
          <w:rFonts w:ascii="Times New Roman" w:hAnsi="Times New Roman" w:cs="Times New Roman"/>
          <w:b/>
          <w:sz w:val="24"/>
          <w:szCs w:val="24"/>
        </w:rPr>
        <w:t>16/8/18</w:t>
      </w:r>
      <w:r>
        <w:rPr>
          <w:rFonts w:ascii="Times New Roman" w:hAnsi="Times New Roman" w:cs="Times New Roman"/>
          <w:sz w:val="24"/>
          <w:szCs w:val="24"/>
        </w:rPr>
        <w:t>)</w:t>
      </w:r>
    </w:p>
    <w:p w:rsidR="00150C27" w:rsidRDefault="00150C27" w:rsidP="00150C27">
      <w:pPr>
        <w:spacing w:line="240" w:lineRule="auto"/>
        <w:jc w:val="both"/>
        <w:rPr>
          <w:rFonts w:ascii="Times New Roman" w:hAnsi="Times New Roman" w:cs="Times New Roman"/>
          <w:sz w:val="24"/>
          <w:szCs w:val="24"/>
        </w:rPr>
      </w:pPr>
      <w:r w:rsidRPr="00713D04">
        <w:rPr>
          <w:rFonts w:ascii="Times New Roman" w:hAnsi="Times New Roman" w:cs="Times New Roman"/>
          <w:sz w:val="24"/>
          <w:szCs w:val="24"/>
        </w:rPr>
        <w:t>Turquía no es la causa de las turbulencias financieras</w:t>
      </w:r>
      <w:r>
        <w:rPr>
          <w:rFonts w:ascii="Times New Roman" w:hAnsi="Times New Roman" w:cs="Times New Roman"/>
          <w:sz w:val="24"/>
          <w:szCs w:val="24"/>
        </w:rPr>
        <w:t xml:space="preserve"> registradas en la segunda quincena de agosto (2018)</w:t>
      </w:r>
      <w:r w:rsidRPr="00713D04">
        <w:rPr>
          <w:rFonts w:ascii="Times New Roman" w:hAnsi="Times New Roman" w:cs="Times New Roman"/>
          <w:sz w:val="24"/>
          <w:szCs w:val="24"/>
        </w:rPr>
        <w:t>, sino la consecuencia de un fenómeno mucho más amplio y profundo… El fin del dinero barato a nivel global. Siendo el dólar la moneda de reserva por excelencia y la Reserva Federal el banco central que marca sus designios, el progresivo endurecimiento de la política monetaria que lleva a cabo EEUU desde 2013 se traduce en un encarecimiento del crédito y una menor liquidez, cuyo impacto pone a prueba el modelo de crecimiento seguido por algunas potencias emergentes a lo largo de los últimos años</w:t>
      </w:r>
      <w:r>
        <w:rPr>
          <w:rFonts w:ascii="Times New Roman" w:hAnsi="Times New Roman" w:cs="Times New Roman"/>
          <w:sz w:val="24"/>
          <w:szCs w:val="24"/>
        </w:rPr>
        <w:t>…</w:t>
      </w:r>
    </w:p>
    <w:p w:rsidR="00150C27" w:rsidRDefault="00150C27" w:rsidP="00150C27">
      <w:pPr>
        <w:spacing w:line="240" w:lineRule="auto"/>
        <w:jc w:val="both"/>
        <w:rPr>
          <w:rFonts w:ascii="Times New Roman" w:hAnsi="Times New Roman" w:cs="Times New Roman"/>
          <w:sz w:val="24"/>
          <w:szCs w:val="24"/>
        </w:rPr>
      </w:pPr>
      <w:r>
        <w:rPr>
          <w:noProof/>
          <w:lang w:eastAsia="es-ES"/>
        </w:rPr>
        <w:drawing>
          <wp:inline distT="0" distB="0" distL="0" distR="0" wp14:anchorId="08F5D54C" wp14:editId="5A0486FF">
            <wp:extent cx="5731510" cy="3047878"/>
            <wp:effectExtent l="0" t="0" r="2540" b="635"/>
            <wp:docPr id="381" name="Imagen 381" descr="https://s.libertaddigital.com/2018/08/15/turchi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bertaddigital.com/2018/08/15/turchina2.jp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31510" cy="3047878"/>
                    </a:xfrm>
                    <a:prstGeom prst="rect">
                      <a:avLst/>
                    </a:prstGeom>
                    <a:noFill/>
                    <a:ln>
                      <a:noFill/>
                    </a:ln>
                  </pic:spPr>
                </pic:pic>
              </a:graphicData>
            </a:graphic>
          </wp:inline>
        </w:drawing>
      </w:r>
    </w:p>
    <w:p w:rsidR="00150C27" w:rsidRDefault="00150C27" w:rsidP="00150C27">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ABBBBED" wp14:editId="0F256464">
            <wp:extent cx="5549900" cy="3194050"/>
            <wp:effectExtent l="0" t="0" r="0" b="6350"/>
            <wp:docPr id="382" name="Imagen 382" descr="https://s.libertaddigital.com/2018/08/15/turchin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18/08/15/turchina3.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549900" cy="3194050"/>
                    </a:xfrm>
                    <a:prstGeom prst="rect">
                      <a:avLst/>
                    </a:prstGeom>
                    <a:noFill/>
                    <a:ln>
                      <a:noFill/>
                    </a:ln>
                  </pic:spPr>
                </pic:pic>
              </a:graphicData>
            </a:graphic>
          </wp:inline>
        </w:drawing>
      </w:r>
    </w:p>
    <w:p w:rsidR="00150C27" w:rsidRDefault="00150C27" w:rsidP="00150C27">
      <w:pPr>
        <w:spacing w:line="240" w:lineRule="auto"/>
        <w:jc w:val="both"/>
        <w:rPr>
          <w:rFonts w:ascii="Times New Roman" w:hAnsi="Times New Roman" w:cs="Times New Roman"/>
          <w:sz w:val="24"/>
          <w:szCs w:val="24"/>
        </w:rPr>
      </w:pPr>
      <w:r>
        <w:rPr>
          <w:noProof/>
          <w:lang w:eastAsia="es-ES"/>
        </w:rPr>
        <w:drawing>
          <wp:inline distT="0" distB="0" distL="0" distR="0" wp14:anchorId="28891C62" wp14:editId="2F129D17">
            <wp:extent cx="5731510" cy="5104370"/>
            <wp:effectExtent l="0" t="0" r="2540" b="1270"/>
            <wp:docPr id="383" name="Imagen 383" descr="https://s.libertaddigital.com/2018/08/15/turchin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18/08/15/turchina4.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1510" cy="5104370"/>
                    </a:xfrm>
                    <a:prstGeom prst="rect">
                      <a:avLst/>
                    </a:prstGeom>
                    <a:noFill/>
                    <a:ln>
                      <a:noFill/>
                    </a:ln>
                  </pic:spPr>
                </pic:pic>
              </a:graphicData>
            </a:graphic>
          </wp:inline>
        </w:drawing>
      </w:r>
    </w:p>
    <w:p w:rsidR="00150C27" w:rsidRDefault="00150C27" w:rsidP="00150C27">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8214BC0" wp14:editId="30640122">
            <wp:extent cx="5730206" cy="2787650"/>
            <wp:effectExtent l="0" t="0" r="4445" b="0"/>
            <wp:docPr id="384" name="Imagen 384" descr="https://s.libertaddigital.com/2018/08/15/turchin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18/08/15/turchina5.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1510" cy="2788284"/>
                    </a:xfrm>
                    <a:prstGeom prst="rect">
                      <a:avLst/>
                    </a:prstGeom>
                    <a:noFill/>
                    <a:ln>
                      <a:noFill/>
                    </a:ln>
                  </pic:spPr>
                </pic:pic>
              </a:graphicData>
            </a:graphic>
          </wp:inline>
        </w:drawing>
      </w:r>
    </w:p>
    <w:p w:rsidR="00150C27" w:rsidRPr="00713D04" w:rsidRDefault="00150C27" w:rsidP="00150C27">
      <w:pPr>
        <w:spacing w:line="240" w:lineRule="auto"/>
        <w:jc w:val="both"/>
        <w:rPr>
          <w:rFonts w:ascii="Times New Roman" w:hAnsi="Times New Roman" w:cs="Times New Roman"/>
          <w:sz w:val="24"/>
          <w:szCs w:val="24"/>
        </w:rPr>
      </w:pPr>
      <w:r w:rsidRPr="00713D04">
        <w:rPr>
          <w:rFonts w:ascii="Times New Roman" w:hAnsi="Times New Roman" w:cs="Times New Roman"/>
          <w:sz w:val="24"/>
          <w:szCs w:val="24"/>
        </w:rPr>
        <w:t>En general, los países que sufren un mayor déficit por cuenta corriente y una deuda externa más elevada, siendo, por tanto, más dependientes de la financiación exterior, ostentarán un mayor grado de vulnerabilidad ante la menor liquidez disponible. Argentina -que ya ha tenido que solicitar un rescate al FMI- y Turquía encabezan esta particular lista, pero le siguen otros países, desde Colombia y Sudáfrica hasta Indonesia, India, Brasil, México, China...</w:t>
      </w:r>
    </w:p>
    <w:p w:rsidR="00150C27" w:rsidRPr="00713D04" w:rsidRDefault="00150C27" w:rsidP="00150C27">
      <w:pPr>
        <w:spacing w:line="240" w:lineRule="auto"/>
        <w:jc w:val="both"/>
        <w:rPr>
          <w:rFonts w:ascii="Times New Roman" w:hAnsi="Times New Roman" w:cs="Times New Roman"/>
          <w:sz w:val="24"/>
          <w:szCs w:val="24"/>
        </w:rPr>
      </w:pPr>
      <w:r w:rsidRPr="00713D04">
        <w:rPr>
          <w:rFonts w:ascii="Times New Roman" w:hAnsi="Times New Roman" w:cs="Times New Roman"/>
          <w:sz w:val="24"/>
          <w:szCs w:val="24"/>
        </w:rPr>
        <w:t>El volumen y la estructura de crédito presente en estos países debe</w:t>
      </w:r>
      <w:r>
        <w:rPr>
          <w:rFonts w:ascii="Times New Roman" w:hAnsi="Times New Roman" w:cs="Times New Roman"/>
          <w:sz w:val="24"/>
          <w:szCs w:val="24"/>
        </w:rPr>
        <w:t>n</w:t>
      </w:r>
      <w:r w:rsidRPr="00713D04">
        <w:rPr>
          <w:rFonts w:ascii="Times New Roman" w:hAnsi="Times New Roman" w:cs="Times New Roman"/>
          <w:sz w:val="24"/>
          <w:szCs w:val="24"/>
        </w:rPr>
        <w:t xml:space="preserve"> amoldarse de algún modo a la realidad de sus fundamentales, es decir, a su verdadero nivel de solvencia. El problema de fondo, por tanto, no es tanto Turquía como el posible contagio a otras potencias emergentes.</w:t>
      </w:r>
    </w:p>
    <w:p w:rsidR="00150C27" w:rsidRDefault="00150C27" w:rsidP="00150C27">
      <w:pPr>
        <w:spacing w:line="240" w:lineRule="auto"/>
        <w:jc w:val="both"/>
        <w:rPr>
          <w:rFonts w:ascii="Times New Roman" w:hAnsi="Times New Roman" w:cs="Times New Roman"/>
          <w:sz w:val="24"/>
          <w:szCs w:val="24"/>
        </w:rPr>
      </w:pPr>
      <w:r w:rsidRPr="00713D04">
        <w:rPr>
          <w:rFonts w:ascii="Times New Roman" w:hAnsi="Times New Roman" w:cs="Times New Roman"/>
          <w:sz w:val="24"/>
          <w:szCs w:val="24"/>
        </w:rPr>
        <w:t>De ahí, precisamente, que el desplome de la lira turca sea percibido por los inversores como una especie de alerta, a modo de canario en la mina, cuya tendencia hay que seguir de cerca. No en vano, su economía apenas representa el 1% del PIB global, mientras que las exportaciones de la zona euro al país otomano apenas representan el 0,5% de su PIB</w:t>
      </w:r>
      <w:r>
        <w:rPr>
          <w:rFonts w:ascii="Times New Roman" w:hAnsi="Times New Roman" w:cs="Times New Roman"/>
          <w:sz w:val="24"/>
          <w:szCs w:val="24"/>
        </w:rPr>
        <w:t>…</w:t>
      </w:r>
    </w:p>
    <w:p w:rsidR="00150C27" w:rsidRPr="00713D04" w:rsidRDefault="00150C27" w:rsidP="00150C27">
      <w:pPr>
        <w:spacing w:line="240" w:lineRule="auto"/>
        <w:jc w:val="both"/>
        <w:rPr>
          <w:rFonts w:ascii="Times New Roman" w:hAnsi="Times New Roman" w:cs="Times New Roman"/>
          <w:sz w:val="24"/>
          <w:szCs w:val="24"/>
        </w:rPr>
      </w:pPr>
      <w:r w:rsidRPr="00713D04">
        <w:rPr>
          <w:rFonts w:ascii="Times New Roman" w:hAnsi="Times New Roman" w:cs="Times New Roman"/>
          <w:sz w:val="24"/>
          <w:szCs w:val="24"/>
        </w:rPr>
        <w:t>Cosa distinta es que estas turbulencias acaben desembocando en una nueva crisis de los países emergentes, similar a la que tuvo lugar a fi</w:t>
      </w:r>
      <w:r>
        <w:rPr>
          <w:rFonts w:ascii="Times New Roman" w:hAnsi="Times New Roman" w:cs="Times New Roman"/>
          <w:sz w:val="24"/>
          <w:szCs w:val="24"/>
        </w:rPr>
        <w:t>nales de los años 90, ya que actualmente</w:t>
      </w:r>
      <w:r w:rsidRPr="00713D04">
        <w:rPr>
          <w:rFonts w:ascii="Times New Roman" w:hAnsi="Times New Roman" w:cs="Times New Roman"/>
          <w:sz w:val="24"/>
          <w:szCs w:val="24"/>
        </w:rPr>
        <w:t>, a diferencia de entonces, su peso ha crecido del 40% al 60% del PIB mundial. Y dentro de los emergentes, Asia, con más de 2 billones de deuda denominada en dólares, y más concretamente China, con 500.000 millones, es el elefante en la habitación, ya que la apreciación del dólar encarece la financiación y acelera la fuga de capitales, impactando en sus monedas.</w:t>
      </w:r>
    </w:p>
    <w:p w:rsidR="00150C27" w:rsidRDefault="00150C27" w:rsidP="00150C27">
      <w:pPr>
        <w:spacing w:line="240" w:lineRule="auto"/>
        <w:jc w:val="both"/>
        <w:rPr>
          <w:rFonts w:ascii="Times New Roman" w:hAnsi="Times New Roman" w:cs="Times New Roman"/>
          <w:sz w:val="24"/>
          <w:szCs w:val="24"/>
        </w:rPr>
      </w:pPr>
      <w:r w:rsidRPr="00713D04">
        <w:rPr>
          <w:rFonts w:ascii="Times New Roman" w:hAnsi="Times New Roman" w:cs="Times New Roman"/>
          <w:sz w:val="24"/>
          <w:szCs w:val="24"/>
        </w:rPr>
        <w:t>De hecho, China ya tuvo que aplicar una devaluación en 2015 y otra a principios de 2016, cuya decisión generó una gran incertidumbre en los mercados. La cuestión ahora es que el yuan está sufriendo una caída similar, tras acumular un retroceso próximo al 7% en los últimos tres meses, hasta el punto de tocar los mínimos de mediados de 2017.</w:t>
      </w:r>
    </w:p>
    <w:p w:rsidR="00150C27" w:rsidRDefault="00150C27" w:rsidP="00150C27">
      <w:pPr>
        <w:spacing w:line="240" w:lineRule="auto"/>
        <w:jc w:val="both"/>
        <w:rPr>
          <w:rFonts w:ascii="Times New Roman" w:hAnsi="Times New Roman" w:cs="Times New Roman"/>
          <w:sz w:val="24"/>
          <w:szCs w:val="24"/>
        </w:rPr>
      </w:pPr>
      <w:r w:rsidRPr="00713D04">
        <w:rPr>
          <w:rFonts w:ascii="Times New Roman" w:hAnsi="Times New Roman" w:cs="Times New Roman"/>
          <w:sz w:val="24"/>
          <w:szCs w:val="24"/>
        </w:rPr>
        <w:t>El intenso endeudamiento que ha registrado el gigante asiático y las recientes señales de desaceleración económica, unido a la guerra comercial con EEUU, son factores que acrecientan el nerviosismo y las dudas entre los inversores. No en vano, el frenazo de China, de llegar a confirmase, sí tendría entidad suficiente como para hacer tambalear de nuevo la economía mundial.</w:t>
      </w:r>
    </w:p>
    <w:p w:rsidR="00150C27" w:rsidRDefault="00150C27" w:rsidP="00150C2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w:t>
      </w:r>
      <w:r w:rsidRPr="002B44EB">
        <w:rPr>
          <w:rFonts w:ascii="Times New Roman" w:hAnsi="Times New Roman" w:cs="Times New Roman"/>
          <w:b/>
          <w:sz w:val="24"/>
          <w:szCs w:val="24"/>
        </w:rPr>
        <w:t>Venga del aire o del sol</w:t>
      </w:r>
      <w:r>
        <w:rPr>
          <w:rFonts w:ascii="Times New Roman" w:hAnsi="Times New Roman" w:cs="Times New Roman"/>
          <w:b/>
          <w:sz w:val="24"/>
          <w:szCs w:val="24"/>
        </w:rPr>
        <w:t>,</w:t>
      </w:r>
      <w:r w:rsidRPr="002B44EB">
        <w:rPr>
          <w:rFonts w:ascii="Times New Roman" w:hAnsi="Times New Roman" w:cs="Times New Roman"/>
          <w:b/>
          <w:sz w:val="24"/>
          <w:szCs w:val="24"/>
        </w:rPr>
        <w:t xml:space="preserve"> del vino o de la cerveza</w:t>
      </w:r>
      <w:r>
        <w:rPr>
          <w:rFonts w:ascii="Times New Roman" w:hAnsi="Times New Roman" w:cs="Times New Roman"/>
          <w:b/>
          <w:sz w:val="24"/>
          <w:szCs w:val="24"/>
        </w:rPr>
        <w:t>,</w:t>
      </w:r>
      <w:r w:rsidRPr="002B44EB">
        <w:rPr>
          <w:rFonts w:ascii="Times New Roman" w:hAnsi="Times New Roman" w:cs="Times New Roman"/>
          <w:b/>
          <w:sz w:val="24"/>
          <w:szCs w:val="24"/>
        </w:rPr>
        <w:t xml:space="preserve"> cualquier dolor de cabeza se quita con un</w:t>
      </w:r>
      <w:r w:rsidR="004E1245">
        <w:rPr>
          <w:rFonts w:ascii="Times New Roman" w:hAnsi="Times New Roman" w:cs="Times New Roman"/>
          <w:b/>
          <w:sz w:val="24"/>
          <w:szCs w:val="24"/>
        </w:rPr>
        <w:t>…</w:t>
      </w:r>
      <w:r w:rsidRPr="002B44EB">
        <w:rPr>
          <w:rFonts w:ascii="Times New Roman" w:hAnsi="Times New Roman" w:cs="Times New Roman"/>
          <w:b/>
          <w:sz w:val="24"/>
          <w:szCs w:val="24"/>
        </w:rPr>
        <w:t xml:space="preserve"> </w:t>
      </w:r>
      <w:r w:rsidR="004E1245">
        <w:rPr>
          <w:rFonts w:ascii="Times New Roman" w:hAnsi="Times New Roman" w:cs="Times New Roman"/>
          <w:b/>
          <w:sz w:val="24"/>
          <w:szCs w:val="24"/>
        </w:rPr>
        <w:t>¿</w:t>
      </w:r>
      <w:r>
        <w:rPr>
          <w:rFonts w:ascii="Times New Roman" w:hAnsi="Times New Roman" w:cs="Times New Roman"/>
          <w:b/>
          <w:sz w:val="24"/>
          <w:szCs w:val="24"/>
        </w:rPr>
        <w:t>Quantitative Easing (</w:t>
      </w:r>
      <w:r w:rsidRPr="002B44EB">
        <w:rPr>
          <w:rFonts w:ascii="Times New Roman" w:hAnsi="Times New Roman" w:cs="Times New Roman"/>
          <w:b/>
          <w:sz w:val="24"/>
          <w:szCs w:val="24"/>
        </w:rPr>
        <w:t>QE</w:t>
      </w:r>
      <w:r>
        <w:rPr>
          <w:rFonts w:ascii="Times New Roman" w:hAnsi="Times New Roman" w:cs="Times New Roman"/>
          <w:b/>
          <w:sz w:val="24"/>
          <w:szCs w:val="24"/>
        </w:rPr>
        <w:t>)</w:t>
      </w:r>
      <w:r w:rsidR="004E1245">
        <w:rPr>
          <w:rFonts w:ascii="Times New Roman" w:hAnsi="Times New Roman" w:cs="Times New Roman"/>
          <w:b/>
          <w:sz w:val="24"/>
          <w:szCs w:val="24"/>
        </w:rPr>
        <w:t>?</w:t>
      </w:r>
    </w:p>
    <w:p w:rsidR="00150C27" w:rsidRPr="002B44EB" w:rsidRDefault="00150C27" w:rsidP="00150C27">
      <w:pPr>
        <w:spacing w:line="240" w:lineRule="auto"/>
        <w:jc w:val="both"/>
        <w:rPr>
          <w:rFonts w:ascii="Times New Roman" w:hAnsi="Times New Roman" w:cs="Times New Roman"/>
          <w:b/>
          <w:sz w:val="24"/>
          <w:szCs w:val="24"/>
        </w:rPr>
      </w:pPr>
      <w:r>
        <w:rPr>
          <w:noProof/>
          <w:lang w:eastAsia="es-ES"/>
        </w:rPr>
        <w:drawing>
          <wp:inline distT="0" distB="0" distL="0" distR="0" wp14:anchorId="078C3CE9" wp14:editId="2A097C08">
            <wp:extent cx="5726020" cy="2559050"/>
            <wp:effectExtent l="0" t="0" r="8255" b="0"/>
            <wp:docPr id="385" name="Imagen 385" descr="Fo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1510" cy="2561503"/>
                    </a:xfrm>
                    <a:prstGeom prst="rect">
                      <a:avLst/>
                    </a:prstGeom>
                    <a:noFill/>
                    <a:ln>
                      <a:noFill/>
                    </a:ln>
                  </pic:spPr>
                </pic:pic>
              </a:graphicData>
            </a:graphic>
          </wp:inline>
        </w:drawing>
      </w:r>
    </w:p>
    <w:p w:rsidR="00150C27" w:rsidRDefault="00150C27" w:rsidP="00150C27">
      <w:pPr>
        <w:pStyle w:val="NormalWeb"/>
        <w:shd w:val="clear" w:color="auto" w:fill="FFFFFF"/>
        <w:spacing w:before="0" w:beforeAutospacing="0" w:after="270" w:afterAutospacing="0"/>
        <w:jc w:val="both"/>
        <w:rPr>
          <w:spacing w:val="-1"/>
        </w:rPr>
      </w:pPr>
      <w:r w:rsidRPr="001327C0">
        <w:rPr>
          <w:bCs/>
          <w:spacing w:val="-1"/>
        </w:rPr>
        <w:t>La desaceleración de China y</w:t>
      </w:r>
      <w:r>
        <w:rPr>
          <w:bCs/>
          <w:spacing w:val="-1"/>
        </w:rPr>
        <w:t xml:space="preserve"> los</w:t>
      </w:r>
      <w:r w:rsidRPr="001327C0">
        <w:rPr>
          <w:bCs/>
          <w:spacing w:val="-1"/>
        </w:rPr>
        <w:t xml:space="preserve"> emergentes</w:t>
      </w:r>
      <w:r>
        <w:rPr>
          <w:bCs/>
          <w:spacing w:val="-1"/>
        </w:rPr>
        <w:t xml:space="preserve">… </w:t>
      </w:r>
      <w:r w:rsidRPr="001327C0">
        <w:rPr>
          <w:spacing w:val="-1"/>
        </w:rPr>
        <w:t>el </w:t>
      </w:r>
      <w:hyperlink r:id="rId213" w:history="1">
        <w:r w:rsidRPr="001327C0">
          <w:rPr>
            <w:rStyle w:val="Hipervnculo"/>
            <w:rFonts w:eastAsiaTheme="majorEastAsia"/>
            <w:color w:val="auto"/>
            <w:spacing w:val="-1"/>
            <w:u w:val="none"/>
          </w:rPr>
          <w:t>aplanamiento de la curva de tipos</w:t>
        </w:r>
      </w:hyperlink>
      <w:r>
        <w:rPr>
          <w:spacing w:val="-1"/>
        </w:rPr>
        <w:t>…</w:t>
      </w:r>
      <w:r w:rsidRPr="002B44EB">
        <w:rPr>
          <w:spacing w:val="-1"/>
        </w:rPr>
        <w:t xml:space="preserve"> </w:t>
      </w:r>
      <w:r>
        <w:rPr>
          <w:spacing w:val="-1"/>
        </w:rPr>
        <w:t xml:space="preserve">el </w:t>
      </w:r>
      <w:r w:rsidRPr="002B44EB">
        <w:rPr>
          <w:spacing w:val="-1"/>
        </w:rPr>
        <w:t>incremento de las tensiones comerciales</w:t>
      </w:r>
      <w:r>
        <w:rPr>
          <w:spacing w:val="-1"/>
        </w:rPr>
        <w:t>…</w:t>
      </w:r>
      <w:r w:rsidRPr="002B44EB">
        <w:rPr>
          <w:spacing w:val="-1"/>
        </w:rPr>
        <w:t xml:space="preserve"> la reacción de la economía de EEUU cuando el estímulo de la reforma fiscal vaya desapareciendo</w:t>
      </w:r>
      <w:r>
        <w:rPr>
          <w:spacing w:val="-1"/>
        </w:rPr>
        <w:t>…</w:t>
      </w:r>
      <w:r w:rsidRPr="002B44EB">
        <w:rPr>
          <w:spacing w:val="-1"/>
        </w:rPr>
        <w:t xml:space="preserve"> </w:t>
      </w:r>
      <w:r>
        <w:rPr>
          <w:spacing w:val="-1"/>
        </w:rPr>
        <w:t>e</w:t>
      </w:r>
      <w:r w:rsidRPr="002B44EB">
        <w:rPr>
          <w:spacing w:val="-1"/>
        </w:rPr>
        <w:t>l Brexit</w:t>
      </w:r>
      <w:r>
        <w:rPr>
          <w:spacing w:val="-1"/>
        </w:rPr>
        <w:t xml:space="preserve"> y una</w:t>
      </w:r>
      <w:r w:rsidRPr="002B44EB">
        <w:rPr>
          <w:spacing w:val="-1"/>
        </w:rPr>
        <w:t xml:space="preserve"> falta de acuerdo</w:t>
      </w:r>
      <w:r>
        <w:rPr>
          <w:spacing w:val="-1"/>
        </w:rPr>
        <w:t xml:space="preserve"> con la UE… cualquiera de estos motivos, o una combinación de varios, o el simple transcurso del tiempo (el fin del ciclo económico de crecimiento), puede provocar la llegada de una nueva crisis (la recesión anticipada por diversos analistas u otra depresión -como la del 2008- que nadie se anima a mentar -como la bicha- pero que no habría que descartar totalmente dada la adicción al excepcionalismo económico de los mercados de valores). </w:t>
      </w:r>
    </w:p>
    <w:p w:rsidR="00150C27" w:rsidRDefault="004E1245" w:rsidP="00150C27">
      <w:pPr>
        <w:pStyle w:val="NormalWeb"/>
        <w:shd w:val="clear" w:color="auto" w:fill="FFFFFF"/>
        <w:spacing w:before="0" w:beforeAutospacing="0" w:after="270" w:afterAutospacing="0"/>
        <w:jc w:val="both"/>
        <w:rPr>
          <w:spacing w:val="-1"/>
        </w:rPr>
      </w:pPr>
      <w:r>
        <w:rPr>
          <w:spacing w:val="-1"/>
        </w:rPr>
        <w:t>Esa financierización adictiva</w:t>
      </w:r>
      <w:r w:rsidR="00150C27">
        <w:rPr>
          <w:spacing w:val="-1"/>
        </w:rPr>
        <w:t>, aumenta los riesgos de colapso, y puede ser la causa (nuevamente)  de otra tormenta perfecta que combine tensiones previas -la crisis bancaria no resuelta- con el endurecimiento de las condiciones monetarias, reeditando la “comedia de los idiotas” (si lo que está ocurriendo aquí y ahora no fuera un drama, podría ser el perfecto argumento para una farsa).</w:t>
      </w:r>
    </w:p>
    <w:p w:rsidR="00150C27" w:rsidRDefault="00150C27" w:rsidP="00150C27">
      <w:pPr>
        <w:pStyle w:val="NormalWeb"/>
        <w:shd w:val="clear" w:color="auto" w:fill="FFFFFF"/>
        <w:spacing w:before="0" w:beforeAutospacing="0" w:after="270" w:afterAutospacing="0"/>
        <w:jc w:val="both"/>
        <w:rPr>
          <w:spacing w:val="-1"/>
        </w:rPr>
      </w:pPr>
      <w:r>
        <w:rPr>
          <w:spacing w:val="-1"/>
        </w:rPr>
        <w:t>Mucho antes de lo que considera el consenso de los economistas, puede haber una recesión (desaceleración, la llaman los “eufemistas”) más intensa de lo previsible. Entonces, sin puta idea de nada, esos necios presuntuosos, con su verborrea fatua, volverán a negar la exuberancia irracional, los proyectos capciosos, la connivencia y la falta de escrúpulos.</w:t>
      </w:r>
    </w:p>
    <w:p w:rsidR="00150C27" w:rsidRDefault="00150C27" w:rsidP="00150C27">
      <w:pPr>
        <w:pStyle w:val="NormalWeb"/>
        <w:shd w:val="clear" w:color="auto" w:fill="FFFFFF"/>
        <w:spacing w:before="0" w:beforeAutospacing="0" w:after="270" w:afterAutospacing="0"/>
        <w:jc w:val="both"/>
        <w:rPr>
          <w:spacing w:val="-1"/>
        </w:rPr>
      </w:pPr>
      <w:r>
        <w:rPr>
          <w:spacing w:val="-1"/>
        </w:rPr>
        <w:t xml:space="preserve">Entre la maldad de unos y la desidia de otros (recordando lo más estúpido): </w:t>
      </w:r>
      <w:r w:rsidR="0079727F">
        <w:rPr>
          <w:spacing w:val="-1"/>
        </w:rPr>
        <w:t>“</w:t>
      </w:r>
      <w:r>
        <w:rPr>
          <w:spacing w:val="-1"/>
        </w:rPr>
        <w:t>en Europa, decían los “Grandes Bonetes” no puede pasar</w:t>
      </w:r>
      <w:r w:rsidR="0079727F">
        <w:rPr>
          <w:spacing w:val="-1"/>
        </w:rPr>
        <w:t>”</w:t>
      </w:r>
      <w:r>
        <w:rPr>
          <w:spacing w:val="-1"/>
        </w:rPr>
        <w:t xml:space="preserve">. Y pasó. </w:t>
      </w:r>
      <w:r w:rsidR="0079727F">
        <w:rPr>
          <w:spacing w:val="-1"/>
        </w:rPr>
        <w:t>“</w:t>
      </w:r>
      <w:r>
        <w:rPr>
          <w:spacing w:val="-1"/>
        </w:rPr>
        <w:t>Ahora, estamos preparados para que no vuelva a pasar</w:t>
      </w:r>
      <w:r w:rsidR="0079727F">
        <w:rPr>
          <w:spacing w:val="-1"/>
        </w:rPr>
        <w:t>”</w:t>
      </w:r>
      <w:r>
        <w:rPr>
          <w:spacing w:val="-1"/>
        </w:rPr>
        <w:t>. Y volverá a pasar (ya está pasando). Los disparates en materia monetaria y fiscal lo prueban. El que no lo quiere ver</w:t>
      </w:r>
      <w:r w:rsidR="0079727F">
        <w:rPr>
          <w:spacing w:val="-1"/>
        </w:rPr>
        <w:t>,</w:t>
      </w:r>
      <w:r>
        <w:rPr>
          <w:spacing w:val="-1"/>
        </w:rPr>
        <w:t xml:space="preserve"> está esperando (como Bernanke, o Draghi, u otros funambulistas monetarios, en la crisis anterior) que no pasara lo que había pasado ya. </w:t>
      </w:r>
    </w:p>
    <w:p w:rsidR="00150C27" w:rsidRDefault="00150C27" w:rsidP="00150C27">
      <w:pPr>
        <w:pStyle w:val="NormalWeb"/>
        <w:shd w:val="clear" w:color="auto" w:fill="FFFFFF"/>
        <w:spacing w:before="0" w:beforeAutospacing="0" w:after="270" w:afterAutospacing="0"/>
        <w:jc w:val="both"/>
        <w:rPr>
          <w:spacing w:val="-1"/>
        </w:rPr>
      </w:pPr>
      <w:r>
        <w:rPr>
          <w:spacing w:val="-1"/>
        </w:rPr>
        <w:t>Y lo que pasó en 2008 sigue pasando ahora. Con un factor que lo agrava “terroríficamente”: no hay tanta agua (monetaria y fiscal) para apagar tanto fuego (endeudamiento público y privado, déficit público, depresión económica, desempleo y precariedad laboral).</w:t>
      </w:r>
    </w:p>
    <w:p w:rsidR="00150C27" w:rsidRDefault="00150C27" w:rsidP="00150C27">
      <w:pPr>
        <w:pStyle w:val="NormalWeb"/>
        <w:shd w:val="clear" w:color="auto" w:fill="FFFFFF"/>
        <w:spacing w:before="0" w:beforeAutospacing="0" w:after="270" w:afterAutospacing="0"/>
        <w:jc w:val="both"/>
        <w:rPr>
          <w:spacing w:val="-1"/>
        </w:rPr>
      </w:pPr>
    </w:p>
    <w:p w:rsidR="00150C27" w:rsidRDefault="00150C27" w:rsidP="00150C27">
      <w:pPr>
        <w:pStyle w:val="NormalWeb"/>
        <w:shd w:val="clear" w:color="auto" w:fill="FFFFFF"/>
        <w:spacing w:before="0" w:beforeAutospacing="0" w:after="270" w:afterAutospacing="0"/>
        <w:jc w:val="both"/>
        <w:rPr>
          <w:b/>
          <w:spacing w:val="-1"/>
        </w:rPr>
      </w:pPr>
      <w:r w:rsidRPr="009462FF">
        <w:rPr>
          <w:b/>
          <w:spacing w:val="-1"/>
        </w:rPr>
        <w:lastRenderedPageBreak/>
        <w:t>- Quizás el asco del espectáculo reemplace la desesperación del recuerdo</w:t>
      </w:r>
    </w:p>
    <w:p w:rsidR="00150C27" w:rsidRDefault="00150C27" w:rsidP="00150C27">
      <w:pPr>
        <w:pStyle w:val="NormalWeb"/>
        <w:shd w:val="clear" w:color="auto" w:fill="FFFFFF"/>
        <w:spacing w:before="0" w:beforeAutospacing="0" w:after="270" w:afterAutospacing="0"/>
        <w:jc w:val="both"/>
        <w:rPr>
          <w:b/>
          <w:spacing w:val="-1"/>
        </w:rPr>
      </w:pPr>
      <w:r>
        <w:rPr>
          <w:noProof/>
        </w:rPr>
        <w:drawing>
          <wp:inline distT="0" distB="0" distL="0" distR="0" wp14:anchorId="48E7FA06" wp14:editId="066F9E16">
            <wp:extent cx="5731510" cy="2983508"/>
            <wp:effectExtent l="0" t="0" r="2540" b="7620"/>
            <wp:docPr id="386" name="Imagen 386" descr="https://images.wsj.net/im-24406?width=620&amp;height=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24406?width=620&amp;height=41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2983508"/>
                    </a:xfrm>
                    <a:prstGeom prst="rect">
                      <a:avLst/>
                    </a:prstGeom>
                    <a:noFill/>
                    <a:ln>
                      <a:noFill/>
                    </a:ln>
                  </pic:spPr>
                </pic:pic>
              </a:graphicData>
            </a:graphic>
          </wp:inline>
        </w:drawing>
      </w:r>
    </w:p>
    <w:p w:rsidR="00150C27" w:rsidRDefault="00150C27" w:rsidP="00150C27">
      <w:pPr>
        <w:pStyle w:val="NormalWeb"/>
        <w:shd w:val="clear" w:color="auto" w:fill="FFFFFF"/>
        <w:spacing w:before="0" w:beforeAutospacing="0" w:after="270" w:afterAutospacing="0"/>
        <w:jc w:val="both"/>
        <w:rPr>
          <w:spacing w:val="-1"/>
        </w:rPr>
      </w:pPr>
      <w:r>
        <w:rPr>
          <w:spacing w:val="-1"/>
        </w:rPr>
        <w:t xml:space="preserve">Los mismos Hamelin, volverán a tocar las (mismas) flautas, para volver a engañar a los (mismos) ratones. Negaran la evidencia, no reconocerán lo obvio, serán ciegos voluntarios. </w:t>
      </w:r>
    </w:p>
    <w:p w:rsidR="00150C27" w:rsidRDefault="00150C27" w:rsidP="00150C27">
      <w:pPr>
        <w:pStyle w:val="NormalWeb"/>
        <w:shd w:val="clear" w:color="auto" w:fill="FFFFFF"/>
        <w:spacing w:before="0" w:beforeAutospacing="0" w:after="270" w:afterAutospacing="0"/>
        <w:jc w:val="both"/>
        <w:rPr>
          <w:spacing w:val="-1"/>
        </w:rPr>
      </w:pPr>
      <w:r w:rsidRPr="009462FF">
        <w:rPr>
          <w:spacing w:val="-1"/>
        </w:rPr>
        <w:t>Eufemismos</w:t>
      </w:r>
      <w:r>
        <w:rPr>
          <w:spacing w:val="-1"/>
        </w:rPr>
        <w:t xml:space="preserve"> cínicos: para no reconocer la recesión (o depresión) hablarán de normalización, consolidación del crecimiento, aterrizaje suave, leve desaceleración, ralentización, debilitamiento del ciclo, toma de ganancias, rentabilidad negativa, desapalancamiento…</w:t>
      </w:r>
    </w:p>
    <w:p w:rsidR="00150C27" w:rsidRDefault="00150C27" w:rsidP="00150C27">
      <w:pPr>
        <w:pStyle w:val="NormalWeb"/>
        <w:shd w:val="clear" w:color="auto" w:fill="FFFFFF"/>
        <w:spacing w:before="0" w:beforeAutospacing="0" w:after="270" w:afterAutospacing="0"/>
        <w:jc w:val="both"/>
        <w:rPr>
          <w:spacing w:val="-1"/>
        </w:rPr>
      </w:pPr>
      <w:r>
        <w:rPr>
          <w:spacing w:val="-1"/>
        </w:rPr>
        <w:t>La tradición de los aniversarios nos obliga a recordar lo que pasó. La inútil costumbre de mirar hacia atrás solo admite la excepción de aprender de los errores pasados para no volver a cometerlos en el futuro.</w:t>
      </w:r>
    </w:p>
    <w:p w:rsidR="00150C27" w:rsidRDefault="00150C27" w:rsidP="00150C27">
      <w:pPr>
        <w:pStyle w:val="NormalWeb"/>
        <w:shd w:val="clear" w:color="auto" w:fill="FFFFFF"/>
        <w:spacing w:before="0" w:beforeAutospacing="0" w:after="270" w:afterAutospacing="0"/>
        <w:jc w:val="both"/>
        <w:rPr>
          <w:spacing w:val="-1"/>
        </w:rPr>
      </w:pPr>
      <w:r>
        <w:rPr>
          <w:spacing w:val="-1"/>
        </w:rPr>
        <w:t>La memez fatua: la paja mental de un voluntarismo estúpido que solo admite la repetición, corregida y aumentada del error anterior.</w:t>
      </w:r>
    </w:p>
    <w:p w:rsidR="00150C27" w:rsidRDefault="00150C27" w:rsidP="00150C27">
      <w:pPr>
        <w:pStyle w:val="NormalWeb"/>
        <w:shd w:val="clear" w:color="auto" w:fill="FFFFFF"/>
        <w:spacing w:before="0" w:beforeAutospacing="0" w:after="270" w:afterAutospacing="0"/>
        <w:jc w:val="both"/>
        <w:rPr>
          <w:spacing w:val="-1"/>
        </w:rPr>
      </w:pPr>
      <w:r>
        <w:rPr>
          <w:spacing w:val="-1"/>
        </w:rPr>
        <w:t>Vuelve a surgir</w:t>
      </w:r>
      <w:r w:rsidRPr="00E17C72">
        <w:rPr>
          <w:spacing w:val="-1"/>
        </w:rPr>
        <w:t xml:space="preserve"> la eterna duda: ¿En qué momento los banqueros centrales deben apagar la música y dejar de servir copas en la fiesta monetaria?, y que, en el caso de EEUU, se acerca a una auténtica orgía. Diez años después de Lehman, el valor en Bolsa de Apple y Amazon supera ya el billón de dólares, y Wall Street, de hecho, vive el ciclo expansivo más largo de su historia, lo que significa, lisa y llanamente, que quienes caus</w:t>
      </w:r>
      <w:r>
        <w:rPr>
          <w:spacing w:val="-1"/>
        </w:rPr>
        <w:t>aron la crisis -</w:t>
      </w:r>
      <w:r w:rsidRPr="00E17C72">
        <w:rPr>
          <w:spacing w:val="-1"/>
        </w:rPr>
        <w:t>con la c</w:t>
      </w:r>
      <w:r>
        <w:rPr>
          <w:spacing w:val="-1"/>
        </w:rPr>
        <w:t>omplacencia de los supervisores-</w:t>
      </w:r>
      <w:r w:rsidRPr="00E17C72">
        <w:rPr>
          <w:spacing w:val="-1"/>
        </w:rPr>
        <w:t xml:space="preserve"> son hoy los más beneficiados por la política monetaria ultraexpansiva.</w:t>
      </w:r>
      <w:r>
        <w:rPr>
          <w:spacing w:val="-1"/>
        </w:rPr>
        <w:t xml:space="preserve"> </w:t>
      </w:r>
      <w:r w:rsidRPr="00E17C72">
        <w:rPr>
          <w:spacing w:val="-1"/>
        </w:rPr>
        <w:t>La desregulación del sistema financiero, la codicia, la ambición y el exceso de confianza lleva</w:t>
      </w:r>
      <w:r>
        <w:rPr>
          <w:spacing w:val="-1"/>
        </w:rPr>
        <w:t>ron a “actores” y “controladores” a</w:t>
      </w:r>
      <w:r w:rsidRPr="00E17C72">
        <w:rPr>
          <w:spacing w:val="-1"/>
        </w:rPr>
        <w:t xml:space="preserve"> protagonizar la mayor quiebra de la historia en EEUU</w:t>
      </w:r>
      <w:r>
        <w:rPr>
          <w:spacing w:val="-1"/>
        </w:rPr>
        <w:t xml:space="preserve">. ¿Será la “inflación provocada” la medicina de último recurso para la próxima crisis? ¿Podrán los “bomberos inflacionistas” apagar el nuevo incendio intencionado? </w:t>
      </w:r>
    </w:p>
    <w:p w:rsidR="00150C27" w:rsidRPr="00150C27" w:rsidRDefault="00150C27" w:rsidP="00150C27">
      <w:pPr>
        <w:pStyle w:val="NormalWeb"/>
        <w:shd w:val="clear" w:color="auto" w:fill="FFFFFF"/>
        <w:spacing w:before="0" w:beforeAutospacing="0" w:after="270" w:afterAutospacing="0"/>
        <w:jc w:val="both"/>
        <w:rPr>
          <w:b/>
          <w:spacing w:val="-1"/>
        </w:rPr>
      </w:pPr>
      <w:r w:rsidRPr="00150C27">
        <w:rPr>
          <w:b/>
          <w:spacing w:val="-1"/>
        </w:rPr>
        <w:t xml:space="preserve">La conclusión es que, 10 años después </w:t>
      </w:r>
      <w:r w:rsidRPr="00150C27">
        <w:rPr>
          <w:b/>
        </w:rPr>
        <w:t>de la caída de Lehman Brothers</w:t>
      </w:r>
      <w:r w:rsidRPr="00150C27">
        <w:rPr>
          <w:b/>
          <w:spacing w:val="-1"/>
        </w:rPr>
        <w:t>, en víspe</w:t>
      </w:r>
      <w:r w:rsidR="00B466F3">
        <w:rPr>
          <w:b/>
          <w:spacing w:val="-1"/>
        </w:rPr>
        <w:t>ras que la historia se repita, l</w:t>
      </w:r>
      <w:r w:rsidRPr="00150C27">
        <w:rPr>
          <w:b/>
          <w:spacing w:val="-1"/>
        </w:rPr>
        <w:t xml:space="preserve">as cosas siguen igual o peor de lo que estaban. No hemos aprendido la lección. La mirada al pasado no está sirviendo para prevenir el futuro. Nos hemos ganado el derecho a que las generaciones futuras nos llamen </w:t>
      </w:r>
      <w:r w:rsidR="00B466F3">
        <w:rPr>
          <w:b/>
          <w:spacing w:val="-1"/>
        </w:rPr>
        <w:t>“</w:t>
      </w:r>
      <w:r w:rsidRPr="00150C27">
        <w:rPr>
          <w:b/>
          <w:spacing w:val="-1"/>
        </w:rPr>
        <w:t>idiotas</w:t>
      </w:r>
      <w:r w:rsidR="00B466F3">
        <w:rPr>
          <w:b/>
          <w:spacing w:val="-1"/>
        </w:rPr>
        <w:t>”</w:t>
      </w:r>
      <w:r w:rsidRPr="00150C27">
        <w:rPr>
          <w:b/>
          <w:spacing w:val="-1"/>
        </w:rPr>
        <w:t xml:space="preserve"> (por ignorancia), </w:t>
      </w:r>
      <w:r w:rsidR="00B466F3">
        <w:rPr>
          <w:b/>
          <w:spacing w:val="-1"/>
        </w:rPr>
        <w:t>“</w:t>
      </w:r>
      <w:r w:rsidRPr="00150C27">
        <w:rPr>
          <w:b/>
          <w:spacing w:val="-1"/>
        </w:rPr>
        <w:t>cómplices</w:t>
      </w:r>
      <w:r w:rsidR="00B466F3">
        <w:rPr>
          <w:b/>
          <w:spacing w:val="-1"/>
        </w:rPr>
        <w:t>” (por cooperación</w:t>
      </w:r>
      <w:r w:rsidRPr="00150C27">
        <w:rPr>
          <w:b/>
          <w:spacing w:val="-1"/>
        </w:rPr>
        <w:t xml:space="preserve">) o </w:t>
      </w:r>
      <w:r w:rsidR="00B466F3">
        <w:rPr>
          <w:b/>
          <w:spacing w:val="-1"/>
        </w:rPr>
        <w:t>“</w:t>
      </w:r>
      <w:r w:rsidRPr="00150C27">
        <w:rPr>
          <w:b/>
          <w:spacing w:val="-1"/>
        </w:rPr>
        <w:t>traidores</w:t>
      </w:r>
      <w:r w:rsidR="00B466F3">
        <w:rPr>
          <w:b/>
          <w:spacing w:val="-1"/>
        </w:rPr>
        <w:t>” (por negligencia</w:t>
      </w:r>
      <w:r w:rsidRPr="00150C27">
        <w:rPr>
          <w:b/>
          <w:spacing w:val="-1"/>
        </w:rPr>
        <w:t>).</w:t>
      </w:r>
    </w:p>
    <w:p w:rsidR="00451026" w:rsidRPr="00150C27" w:rsidRDefault="00451026" w:rsidP="00150C27">
      <w:pPr>
        <w:pStyle w:val="NormalWeb"/>
        <w:shd w:val="clear" w:color="auto" w:fill="FFFFFF"/>
        <w:spacing w:before="0" w:beforeAutospacing="0" w:after="270" w:afterAutospacing="0"/>
        <w:jc w:val="both"/>
        <w:rPr>
          <w:spacing w:val="-1"/>
        </w:rPr>
      </w:pPr>
      <w:r w:rsidRPr="004D522D">
        <w:rPr>
          <w:b/>
        </w:rPr>
        <w:lastRenderedPageBreak/>
        <w:t>Anexo -</w:t>
      </w:r>
      <w:r>
        <w:t xml:space="preserve"> </w:t>
      </w:r>
      <w:r w:rsidRPr="004D522D">
        <w:rPr>
          <w:b/>
        </w:rPr>
        <w:t>Base de datos</w:t>
      </w:r>
      <w:r w:rsidR="0015310F">
        <w:rPr>
          <w:b/>
        </w:rPr>
        <w:t xml:space="preserve"> e Informe</w:t>
      </w:r>
      <w:r w:rsidR="00525F1B">
        <w:rPr>
          <w:b/>
        </w:rPr>
        <w:t xml:space="preserve">s de Organismos Internacionales </w:t>
      </w:r>
      <w:r w:rsidR="0015310F">
        <w:rPr>
          <w:b/>
        </w:rPr>
        <w:t>utilizados</w:t>
      </w:r>
      <w:r>
        <w:t xml:space="preserve"> </w:t>
      </w:r>
      <w:r>
        <w:rPr>
          <w:b/>
        </w:rPr>
        <w:t>para el análisis y cálculo s</w:t>
      </w:r>
      <w:r w:rsidRPr="007730F7">
        <w:rPr>
          <w:b/>
        </w:rPr>
        <w:t>obre</w:t>
      </w:r>
      <w:r>
        <w:rPr>
          <w:b/>
        </w:rPr>
        <w:t xml:space="preserve"> el margen de ma</w:t>
      </w:r>
      <w:r w:rsidR="00525F1B">
        <w:rPr>
          <w:b/>
        </w:rPr>
        <w:t>niobra del BCE</w:t>
      </w:r>
      <w:r>
        <w:rPr>
          <w:b/>
        </w:rPr>
        <w:t xml:space="preserve"> y del Sector Público, de los países miembro de la euro-zona, para hacerle frente</w:t>
      </w:r>
      <w:r w:rsidRPr="007730F7">
        <w:rPr>
          <w:b/>
        </w:rPr>
        <w:t xml:space="preserve"> la próxima recesión</w:t>
      </w:r>
      <w:r>
        <w:rPr>
          <w:b/>
        </w:rPr>
        <w:t xml:space="preserve"> (agosto 2018)</w:t>
      </w:r>
      <w:r>
        <w:t xml:space="preserve"> </w:t>
      </w: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Eurostat Database</w:t>
      </w:r>
    </w:p>
    <w:p w:rsidR="00451026" w:rsidRDefault="00451026" w:rsidP="00451026">
      <w:pPr>
        <w:spacing w:line="240" w:lineRule="auto"/>
        <w:jc w:val="both"/>
        <w:rPr>
          <w:rFonts w:ascii="Times New Roman" w:hAnsi="Times New Roman" w:cs="Times New Roman"/>
          <w:b/>
          <w:sz w:val="24"/>
          <w:szCs w:val="24"/>
        </w:rPr>
      </w:pPr>
      <w:r w:rsidRPr="00A232AF">
        <w:rPr>
          <w:rFonts w:ascii="Times New Roman" w:hAnsi="Times New Roman" w:cs="Times New Roman"/>
          <w:b/>
          <w:noProof/>
          <w:sz w:val="24"/>
          <w:szCs w:val="24"/>
          <w:lang w:eastAsia="es-ES"/>
        </w:rPr>
        <w:drawing>
          <wp:inline distT="0" distB="0" distL="0" distR="0" wp14:anchorId="7684D5F0" wp14:editId="6110510C">
            <wp:extent cx="5731510" cy="3229485"/>
            <wp:effectExtent l="0" t="0" r="2540" b="952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229485"/>
                    </a:xfrm>
                    <a:prstGeom prst="rect">
                      <a:avLst/>
                    </a:prstGeom>
                  </pic:spPr>
                </pic:pic>
              </a:graphicData>
            </a:graphic>
          </wp:inline>
        </w:drawing>
      </w:r>
      <w:r w:rsidRPr="00A232AF">
        <w:rPr>
          <w:rFonts w:ascii="Times New Roman" w:hAnsi="Times New Roman" w:cs="Times New Roman"/>
          <w:b/>
          <w:noProof/>
          <w:sz w:val="24"/>
          <w:szCs w:val="24"/>
          <w:lang w:eastAsia="es-ES"/>
        </w:rPr>
        <w:drawing>
          <wp:inline distT="0" distB="0" distL="0" distR="0" wp14:anchorId="4A0212C0" wp14:editId="4C961DFA">
            <wp:extent cx="5731510" cy="74706"/>
            <wp:effectExtent l="0" t="0" r="0" b="190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7470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D10949">
        <w:rPr>
          <w:rFonts w:ascii="Times New Roman" w:hAnsi="Times New Roman" w:cs="Times New Roman"/>
          <w:sz w:val="24"/>
          <w:szCs w:val="24"/>
          <w:lang w:val="en-US"/>
        </w:rPr>
        <w:t>Gross household saving rate (B8G/(B6G+D8Net)*100)</w:t>
      </w:r>
    </w:p>
    <w:p w:rsidR="00451026" w:rsidRDefault="00451026" w:rsidP="00451026">
      <w:pPr>
        <w:spacing w:line="240" w:lineRule="auto"/>
        <w:jc w:val="both"/>
        <w:rPr>
          <w:rFonts w:ascii="Times New Roman" w:hAnsi="Times New Roman" w:cs="Times New Roman"/>
          <w:sz w:val="24"/>
          <w:szCs w:val="24"/>
          <w:lang w:val="en-US"/>
        </w:rPr>
      </w:pPr>
      <w:r w:rsidRPr="004D1B58">
        <w:rPr>
          <w:rFonts w:ascii="Times New Roman" w:hAnsi="Times New Roman" w:cs="Times New Roman"/>
          <w:noProof/>
          <w:sz w:val="24"/>
          <w:szCs w:val="24"/>
          <w:lang w:eastAsia="es-ES"/>
        </w:rPr>
        <w:drawing>
          <wp:inline distT="0" distB="0" distL="0" distR="0" wp14:anchorId="01DA7420" wp14:editId="34A59DC8">
            <wp:extent cx="5731510" cy="2942910"/>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294291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4D1B58">
        <w:rPr>
          <w:rFonts w:ascii="Times New Roman" w:hAnsi="Times New Roman" w:cs="Times New Roman"/>
          <w:noProof/>
          <w:sz w:val="24"/>
          <w:szCs w:val="24"/>
          <w:lang w:eastAsia="es-ES"/>
        </w:rPr>
        <w:drawing>
          <wp:inline distT="0" distB="0" distL="0" distR="0" wp14:anchorId="122A870F" wp14:editId="048BF503">
            <wp:extent cx="5731510" cy="709703"/>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709703"/>
                    </a:xfrm>
                    <a:prstGeom prst="rect">
                      <a:avLst/>
                    </a:prstGeom>
                  </pic:spPr>
                </pic:pic>
              </a:graphicData>
            </a:graphic>
          </wp:inline>
        </w:drawing>
      </w:r>
      <w:r w:rsidRPr="004D1B58">
        <w:rPr>
          <w:rFonts w:ascii="Times New Roman" w:hAnsi="Times New Roman" w:cs="Times New Roman"/>
          <w:sz w:val="24"/>
          <w:szCs w:val="24"/>
          <w:lang w:val="en-US"/>
        </w:rPr>
        <w:t>Government revenue, expenditure and main aggregates</w:t>
      </w:r>
    </w:p>
    <w:p w:rsidR="00451026" w:rsidRDefault="00451026" w:rsidP="00451026">
      <w:pPr>
        <w:spacing w:line="240" w:lineRule="auto"/>
        <w:jc w:val="both"/>
        <w:rPr>
          <w:rFonts w:ascii="Times New Roman" w:hAnsi="Times New Roman" w:cs="Times New Roman"/>
          <w:sz w:val="24"/>
          <w:szCs w:val="24"/>
          <w:lang w:val="en-US"/>
        </w:rPr>
      </w:pPr>
      <w:r w:rsidRPr="004D1B58">
        <w:rPr>
          <w:rFonts w:ascii="Times New Roman" w:hAnsi="Times New Roman" w:cs="Times New Roman"/>
          <w:noProof/>
          <w:sz w:val="24"/>
          <w:szCs w:val="24"/>
          <w:lang w:eastAsia="es-ES"/>
        </w:rPr>
        <w:lastRenderedPageBreak/>
        <w:drawing>
          <wp:inline distT="0" distB="0" distL="0" distR="0" wp14:anchorId="144EABF8" wp14:editId="2928111A">
            <wp:extent cx="5731510" cy="3214789"/>
            <wp:effectExtent l="0" t="0" r="2540" b="508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321478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4D1B58">
        <w:rPr>
          <w:rFonts w:ascii="Times New Roman" w:hAnsi="Times New Roman" w:cs="Times New Roman"/>
          <w:noProof/>
          <w:sz w:val="24"/>
          <w:szCs w:val="24"/>
          <w:lang w:eastAsia="es-ES"/>
        </w:rPr>
        <w:drawing>
          <wp:inline distT="0" distB="0" distL="0" distR="0" wp14:anchorId="7DFCFB8B" wp14:editId="6D4B1202">
            <wp:extent cx="5731510" cy="584785"/>
            <wp:effectExtent l="0" t="0" r="254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58478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AA2199">
        <w:rPr>
          <w:rFonts w:ascii="Times New Roman" w:hAnsi="Times New Roman" w:cs="Times New Roman"/>
          <w:sz w:val="24"/>
          <w:szCs w:val="24"/>
          <w:lang w:val="en-US"/>
        </w:rPr>
        <w:t>Annual financial accounts for general government</w:t>
      </w:r>
    </w:p>
    <w:p w:rsidR="00451026" w:rsidRDefault="00451026" w:rsidP="00451026">
      <w:pPr>
        <w:spacing w:line="240" w:lineRule="auto"/>
        <w:jc w:val="both"/>
        <w:rPr>
          <w:rFonts w:ascii="Times New Roman" w:hAnsi="Times New Roman" w:cs="Times New Roman"/>
          <w:sz w:val="24"/>
          <w:szCs w:val="24"/>
          <w:lang w:val="en-US"/>
        </w:rPr>
      </w:pPr>
      <w:r w:rsidRPr="00AA2199">
        <w:rPr>
          <w:rFonts w:ascii="Times New Roman" w:hAnsi="Times New Roman" w:cs="Times New Roman"/>
          <w:noProof/>
          <w:sz w:val="24"/>
          <w:szCs w:val="24"/>
          <w:lang w:eastAsia="es-ES"/>
        </w:rPr>
        <w:drawing>
          <wp:inline distT="0" distB="0" distL="0" distR="0" wp14:anchorId="505F8FEF" wp14:editId="7D21914C">
            <wp:extent cx="5731510" cy="2949646"/>
            <wp:effectExtent l="0" t="0" r="2540" b="317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294964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AA2199">
        <w:rPr>
          <w:rFonts w:ascii="Times New Roman" w:hAnsi="Times New Roman" w:cs="Times New Roman"/>
          <w:noProof/>
          <w:sz w:val="24"/>
          <w:szCs w:val="24"/>
          <w:lang w:eastAsia="es-ES"/>
        </w:rPr>
        <w:drawing>
          <wp:inline distT="0" distB="0" distL="0" distR="0" wp14:anchorId="47139977" wp14:editId="55F34E55">
            <wp:extent cx="5731510" cy="789920"/>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78992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General government expenditure by function</w:t>
      </w:r>
    </w:p>
    <w:p w:rsidR="00451026" w:rsidRDefault="00451026" w:rsidP="00451026">
      <w:pPr>
        <w:spacing w:line="240" w:lineRule="auto"/>
        <w:jc w:val="both"/>
        <w:rPr>
          <w:rFonts w:ascii="Times New Roman" w:hAnsi="Times New Roman" w:cs="Times New Roman"/>
          <w:sz w:val="24"/>
          <w:szCs w:val="24"/>
          <w:lang w:val="en-US"/>
        </w:rPr>
      </w:pPr>
      <w:r w:rsidRPr="001D1D3E">
        <w:rPr>
          <w:rFonts w:ascii="Times New Roman" w:hAnsi="Times New Roman" w:cs="Times New Roman"/>
          <w:noProof/>
          <w:sz w:val="24"/>
          <w:szCs w:val="24"/>
          <w:lang w:eastAsia="es-ES"/>
        </w:rPr>
        <w:lastRenderedPageBreak/>
        <w:drawing>
          <wp:inline distT="0" distB="0" distL="0" distR="0" wp14:anchorId="47C88BE1" wp14:editId="73AB20AF">
            <wp:extent cx="5731510" cy="3212340"/>
            <wp:effectExtent l="0" t="0" r="2540" b="762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31510" cy="321234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1D1D3E">
        <w:rPr>
          <w:rFonts w:ascii="Times New Roman" w:hAnsi="Times New Roman" w:cs="Times New Roman"/>
          <w:noProof/>
          <w:sz w:val="24"/>
          <w:szCs w:val="24"/>
          <w:lang w:eastAsia="es-ES"/>
        </w:rPr>
        <w:drawing>
          <wp:inline distT="0" distB="0" distL="0" distR="0" wp14:anchorId="51F0C3A5" wp14:editId="1C8E69F5">
            <wp:extent cx="5731510" cy="465379"/>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46537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1D1D3E">
        <w:rPr>
          <w:rFonts w:ascii="Times New Roman" w:hAnsi="Times New Roman" w:cs="Times New Roman"/>
          <w:sz w:val="24"/>
          <w:szCs w:val="24"/>
          <w:lang w:val="en-US"/>
        </w:rPr>
        <w:t>Main national accounts tax aggregates</w:t>
      </w:r>
    </w:p>
    <w:p w:rsidR="00451026" w:rsidRDefault="00451026" w:rsidP="00451026">
      <w:pPr>
        <w:spacing w:line="240" w:lineRule="auto"/>
        <w:jc w:val="both"/>
        <w:rPr>
          <w:rFonts w:ascii="Times New Roman" w:hAnsi="Times New Roman" w:cs="Times New Roman"/>
          <w:sz w:val="24"/>
          <w:szCs w:val="24"/>
          <w:lang w:val="en-US"/>
        </w:rPr>
      </w:pPr>
      <w:r w:rsidRPr="001D1D3E">
        <w:rPr>
          <w:rFonts w:ascii="Times New Roman" w:hAnsi="Times New Roman" w:cs="Times New Roman"/>
          <w:noProof/>
          <w:sz w:val="24"/>
          <w:szCs w:val="24"/>
          <w:lang w:eastAsia="es-ES"/>
        </w:rPr>
        <w:drawing>
          <wp:inline distT="0" distB="0" distL="0" distR="0" wp14:anchorId="66F21F46" wp14:editId="71A6B2EB">
            <wp:extent cx="5731510" cy="3203767"/>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31510" cy="3203767"/>
                    </a:xfrm>
                    <a:prstGeom prst="rect">
                      <a:avLst/>
                    </a:prstGeom>
                  </pic:spPr>
                </pic:pic>
              </a:graphicData>
            </a:graphic>
          </wp:inline>
        </w:drawing>
      </w:r>
      <w:r w:rsidRPr="001D1D3E">
        <w:rPr>
          <w:rFonts w:ascii="Times New Roman" w:hAnsi="Times New Roman" w:cs="Times New Roman"/>
          <w:noProof/>
          <w:sz w:val="24"/>
          <w:szCs w:val="24"/>
          <w:lang w:eastAsia="es-ES"/>
        </w:rPr>
        <w:drawing>
          <wp:inline distT="0" distB="0" distL="0" distR="0" wp14:anchorId="232AD031" wp14:editId="3C81B427">
            <wp:extent cx="5842000" cy="104856"/>
            <wp:effectExtent l="0" t="0" r="0" b="952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6045033" cy="10850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C07F3F">
        <w:rPr>
          <w:rFonts w:ascii="Times New Roman" w:hAnsi="Times New Roman" w:cs="Times New Roman"/>
          <w:sz w:val="24"/>
          <w:szCs w:val="24"/>
          <w:lang w:val="en-US"/>
        </w:rPr>
        <w:t>Government deficit/surplus, debt and associated data</w:t>
      </w:r>
    </w:p>
    <w:p w:rsidR="00451026" w:rsidRDefault="00451026" w:rsidP="00451026">
      <w:pPr>
        <w:spacing w:line="240" w:lineRule="auto"/>
        <w:jc w:val="both"/>
        <w:rPr>
          <w:rFonts w:ascii="Times New Roman" w:hAnsi="Times New Roman" w:cs="Times New Roman"/>
          <w:sz w:val="24"/>
          <w:szCs w:val="24"/>
          <w:lang w:val="en-US"/>
        </w:rPr>
      </w:pPr>
      <w:r w:rsidRPr="00C07F3F">
        <w:rPr>
          <w:rFonts w:ascii="Times New Roman" w:hAnsi="Times New Roman" w:cs="Times New Roman"/>
          <w:noProof/>
          <w:sz w:val="24"/>
          <w:szCs w:val="24"/>
          <w:lang w:eastAsia="es-ES"/>
        </w:rPr>
        <w:lastRenderedPageBreak/>
        <w:drawing>
          <wp:inline distT="0" distB="0" distL="0" distR="0" wp14:anchorId="5C81BF4E" wp14:editId="7894F32B">
            <wp:extent cx="5731510" cy="4239848"/>
            <wp:effectExtent l="0" t="0" r="2540" b="889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423984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C07F3F">
        <w:rPr>
          <w:rFonts w:ascii="Times New Roman" w:hAnsi="Times New Roman" w:cs="Times New Roman"/>
          <w:sz w:val="24"/>
          <w:szCs w:val="24"/>
          <w:lang w:val="en-US"/>
        </w:rPr>
        <w:t>General government deb</w:t>
      </w:r>
      <w:r>
        <w:rPr>
          <w:rFonts w:ascii="Times New Roman" w:hAnsi="Times New Roman" w:cs="Times New Roman"/>
          <w:sz w:val="24"/>
          <w:szCs w:val="24"/>
          <w:lang w:val="en-US"/>
        </w:rPr>
        <w:t>t</w:t>
      </w:r>
    </w:p>
    <w:p w:rsidR="00451026" w:rsidRDefault="00451026" w:rsidP="00451026">
      <w:pPr>
        <w:spacing w:line="240" w:lineRule="auto"/>
        <w:jc w:val="both"/>
        <w:rPr>
          <w:rFonts w:ascii="Times New Roman" w:hAnsi="Times New Roman" w:cs="Times New Roman"/>
          <w:sz w:val="24"/>
          <w:szCs w:val="24"/>
          <w:lang w:val="en-US"/>
        </w:rPr>
      </w:pPr>
      <w:r w:rsidRPr="00C07F3F">
        <w:rPr>
          <w:rFonts w:ascii="Times New Roman" w:hAnsi="Times New Roman" w:cs="Times New Roman"/>
          <w:noProof/>
          <w:sz w:val="24"/>
          <w:szCs w:val="24"/>
          <w:lang w:eastAsia="es-ES"/>
        </w:rPr>
        <w:drawing>
          <wp:inline distT="0" distB="0" distL="0" distR="0" wp14:anchorId="2A56D571" wp14:editId="60472CBC">
            <wp:extent cx="5731510" cy="3189683"/>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731510" cy="3189683"/>
                    </a:xfrm>
                    <a:prstGeom prst="rect">
                      <a:avLst/>
                    </a:prstGeom>
                  </pic:spPr>
                </pic:pic>
              </a:graphicData>
            </a:graphic>
          </wp:inline>
        </w:drawing>
      </w:r>
      <w:r w:rsidRPr="00C07F3F">
        <w:rPr>
          <w:rFonts w:ascii="Times New Roman" w:hAnsi="Times New Roman" w:cs="Times New Roman"/>
          <w:noProof/>
          <w:sz w:val="24"/>
          <w:szCs w:val="24"/>
          <w:lang w:eastAsia="es-ES"/>
        </w:rPr>
        <w:drawing>
          <wp:inline distT="0" distB="0" distL="0" distR="0" wp14:anchorId="258C1C96" wp14:editId="0B317CBD">
            <wp:extent cx="5731510" cy="89402"/>
            <wp:effectExtent l="0" t="0" r="0" b="635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731510" cy="8940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C07F3F">
        <w:rPr>
          <w:rFonts w:ascii="Times New Roman" w:hAnsi="Times New Roman" w:cs="Times New Roman"/>
          <w:sz w:val="24"/>
          <w:szCs w:val="24"/>
          <w:lang w:val="en-US"/>
        </w:rPr>
        <w:t>Transition from the working balance to the deficit/surplus</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Pr="00D10949"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b/>
          <w:sz w:val="24"/>
          <w:szCs w:val="24"/>
        </w:rPr>
      </w:pPr>
      <w:r w:rsidRPr="007730F7">
        <w:rPr>
          <w:rFonts w:ascii="Times New Roman" w:hAnsi="Times New Roman" w:cs="Times New Roman"/>
          <w:b/>
          <w:noProof/>
          <w:sz w:val="24"/>
          <w:szCs w:val="24"/>
          <w:lang w:eastAsia="es-ES"/>
        </w:rPr>
        <w:drawing>
          <wp:inline distT="0" distB="0" distL="0" distR="0" wp14:anchorId="50329922" wp14:editId="40298312">
            <wp:extent cx="5731510" cy="3192133"/>
            <wp:effectExtent l="0" t="0" r="2540" b="889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731510" cy="319213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7730F7">
        <w:rPr>
          <w:rFonts w:ascii="Times New Roman" w:hAnsi="Times New Roman" w:cs="Times New Roman"/>
          <w:b/>
          <w:noProof/>
          <w:sz w:val="24"/>
          <w:szCs w:val="24"/>
          <w:lang w:eastAsia="es-ES"/>
        </w:rPr>
        <w:drawing>
          <wp:inline distT="0" distB="0" distL="0" distR="0" wp14:anchorId="00AD1F5D" wp14:editId="0C98EC69">
            <wp:extent cx="5731510" cy="2255251"/>
            <wp:effectExtent l="0" t="0" r="254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31510" cy="2255251"/>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sz w:val="24"/>
          <w:szCs w:val="24"/>
          <w:lang w:val="en-US"/>
        </w:rPr>
        <w:t>Gross debt-to</w:t>
      </w:r>
      <w:r>
        <w:rPr>
          <w:rFonts w:ascii="Times New Roman" w:hAnsi="Times New Roman" w:cs="Times New Roman"/>
          <w:sz w:val="24"/>
          <w:szCs w:val="24"/>
          <w:lang w:val="en-US"/>
        </w:rPr>
        <w:t>-income ratio of households - %:</w:t>
      </w:r>
    </w:p>
    <w:p w:rsidR="00451026"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sz w:val="24"/>
          <w:szCs w:val="24"/>
          <w:lang w:val="en-US"/>
        </w:rPr>
        <w:t>Short Description: Gross debt-to-income ratio of households (including Non-Profit Institutions Serving Households) is defined as loans (ESA 2010 code: AF4), liabilities divided by gross disposable income (B6G) with the latter being adjusted for the net change in pension entitlements (D8net).</w:t>
      </w:r>
      <w:r>
        <w:rPr>
          <w:rFonts w:ascii="Times New Roman" w:hAnsi="Times New Roman" w:cs="Times New Roman"/>
          <w:sz w:val="24"/>
          <w:szCs w:val="24"/>
          <w:lang w:val="en-US"/>
        </w:rPr>
        <w:t xml:space="preserve"> </w:t>
      </w:r>
    </w:p>
    <w:p w:rsidR="00451026"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noProof/>
          <w:sz w:val="24"/>
          <w:szCs w:val="24"/>
          <w:lang w:eastAsia="es-ES"/>
        </w:rPr>
        <w:lastRenderedPageBreak/>
        <w:drawing>
          <wp:inline distT="0" distB="0" distL="0" distR="0" wp14:anchorId="5E6C2ACE" wp14:editId="76B30F6D">
            <wp:extent cx="5731510" cy="3224587"/>
            <wp:effectExtent l="0" t="0" r="254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31510" cy="322458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noProof/>
          <w:sz w:val="24"/>
          <w:szCs w:val="24"/>
          <w:lang w:eastAsia="es-ES"/>
        </w:rPr>
        <w:drawing>
          <wp:inline distT="0" distB="0" distL="0" distR="0" wp14:anchorId="65B0AB7E" wp14:editId="45AFF104">
            <wp:extent cx="5731510" cy="2274234"/>
            <wp:effectExtent l="0" t="0" r="254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31510" cy="2274234"/>
                    </a:xfrm>
                    <a:prstGeom prst="rect">
                      <a:avLst/>
                    </a:prstGeom>
                  </pic:spPr>
                </pic:pic>
              </a:graphicData>
            </a:graphic>
          </wp:inline>
        </w:drawing>
      </w:r>
    </w:p>
    <w:p w:rsidR="00451026" w:rsidRPr="007730F7"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sz w:val="24"/>
          <w:szCs w:val="24"/>
          <w:lang w:val="en-US"/>
        </w:rPr>
        <w:t>Investment by institutional sectors - % of GDP</w:t>
      </w:r>
    </w:p>
    <w:p w:rsidR="00451026" w:rsidRPr="007730F7"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sz w:val="24"/>
          <w:szCs w:val="24"/>
          <w:lang w:val="en-US"/>
        </w:rPr>
        <w:t xml:space="preserve">Short Description: This indicator shows the investment for the total economy, government, business as well as household sectors. The indicator gives the share of GDP that is used for gross investment (rather than being used for e.g. consumption or exports). It is defined as gross fixed capital formation (GFCF) expressed as a percentage of GDP for the government, business and households sectors. </w:t>
      </w:r>
    </w:p>
    <w:p w:rsidR="00451026" w:rsidRPr="007730F7"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sz w:val="24"/>
          <w:szCs w:val="24"/>
          <w:lang w:val="en-US"/>
        </w:rPr>
        <w:t xml:space="preserve">GFCF consists of resident producers' acquisitions, less disposals of fixed assets plus certain additions to the value of non-produced assets realised by productive activity, such as improvements to land. </w:t>
      </w:r>
    </w:p>
    <w:p w:rsidR="00451026" w:rsidRDefault="00451026" w:rsidP="00451026">
      <w:pPr>
        <w:spacing w:line="240" w:lineRule="auto"/>
        <w:jc w:val="both"/>
        <w:rPr>
          <w:rFonts w:ascii="Times New Roman" w:hAnsi="Times New Roman" w:cs="Times New Roman"/>
          <w:sz w:val="24"/>
          <w:szCs w:val="24"/>
          <w:lang w:val="en-US"/>
        </w:rPr>
      </w:pPr>
      <w:r w:rsidRPr="007730F7">
        <w:rPr>
          <w:rFonts w:ascii="Times New Roman" w:hAnsi="Times New Roman" w:cs="Times New Roman"/>
          <w:sz w:val="24"/>
          <w:szCs w:val="24"/>
          <w:lang w:val="en-US"/>
        </w:rPr>
        <w:t>Fixed assets comprise, for example, dwellings, other buildings and structures (roads, bridges etc.), machinery and equipment, but also intangible assets such as computer software.</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Pr="007730F7" w:rsidRDefault="00451026" w:rsidP="00451026">
      <w:pPr>
        <w:spacing w:line="240" w:lineRule="auto"/>
        <w:jc w:val="both"/>
        <w:rPr>
          <w:rFonts w:ascii="Times New Roman" w:hAnsi="Times New Roman" w:cs="Times New Roman"/>
          <w:sz w:val="24"/>
          <w:szCs w:val="24"/>
          <w:lang w:val="en-US"/>
        </w:rPr>
      </w:pPr>
    </w:p>
    <w:p w:rsidR="00451026" w:rsidRPr="007730F7"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A232AF">
        <w:rPr>
          <w:rFonts w:ascii="Times New Roman" w:hAnsi="Times New Roman" w:cs="Times New Roman"/>
          <w:noProof/>
          <w:sz w:val="24"/>
          <w:szCs w:val="24"/>
          <w:lang w:eastAsia="es-ES"/>
        </w:rPr>
        <w:drawing>
          <wp:inline distT="0" distB="0" distL="0" distR="0" wp14:anchorId="404476E1" wp14:editId="1D917D37">
            <wp:extent cx="5731510" cy="3174375"/>
            <wp:effectExtent l="0" t="0" r="2540" b="6985"/>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731510" cy="317437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A232AF">
        <w:rPr>
          <w:rFonts w:ascii="Times New Roman" w:hAnsi="Times New Roman" w:cs="Times New Roman"/>
          <w:noProof/>
          <w:sz w:val="24"/>
          <w:szCs w:val="24"/>
          <w:lang w:eastAsia="es-ES"/>
        </w:rPr>
        <w:drawing>
          <wp:inline distT="0" distB="0" distL="0" distR="0" wp14:anchorId="75E0B42D" wp14:editId="486D0E78">
            <wp:extent cx="5731510" cy="2277908"/>
            <wp:effectExtent l="0" t="0" r="2540" b="8255"/>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31510" cy="2277908"/>
                    </a:xfrm>
                    <a:prstGeom prst="rect">
                      <a:avLst/>
                    </a:prstGeom>
                  </pic:spPr>
                </pic:pic>
              </a:graphicData>
            </a:graphic>
          </wp:inline>
        </w:drawing>
      </w:r>
    </w:p>
    <w:p w:rsidR="00451026" w:rsidRPr="00A232AF" w:rsidRDefault="00451026" w:rsidP="00451026">
      <w:pPr>
        <w:spacing w:line="240" w:lineRule="auto"/>
        <w:jc w:val="both"/>
        <w:rPr>
          <w:rFonts w:ascii="Times New Roman" w:hAnsi="Times New Roman" w:cs="Times New Roman"/>
          <w:sz w:val="24"/>
          <w:szCs w:val="24"/>
          <w:lang w:val="en-US"/>
        </w:rPr>
      </w:pPr>
      <w:r w:rsidRPr="00A232AF">
        <w:rPr>
          <w:rFonts w:ascii="Times New Roman" w:hAnsi="Times New Roman" w:cs="Times New Roman"/>
          <w:sz w:val="24"/>
          <w:szCs w:val="24"/>
          <w:lang w:val="en-US"/>
        </w:rPr>
        <w:t>Current account transactions - credits, debits and balance - million EUR</w:t>
      </w:r>
    </w:p>
    <w:p w:rsidR="00451026" w:rsidRDefault="00451026" w:rsidP="00451026">
      <w:pPr>
        <w:spacing w:line="240" w:lineRule="auto"/>
        <w:jc w:val="both"/>
        <w:rPr>
          <w:rFonts w:ascii="Times New Roman" w:hAnsi="Times New Roman" w:cs="Times New Roman"/>
          <w:sz w:val="24"/>
          <w:szCs w:val="24"/>
          <w:lang w:val="en-US"/>
        </w:rPr>
      </w:pPr>
      <w:r w:rsidRPr="00A232AF">
        <w:rPr>
          <w:rFonts w:ascii="Times New Roman" w:hAnsi="Times New Roman" w:cs="Times New Roman"/>
          <w:sz w:val="24"/>
          <w:szCs w:val="24"/>
          <w:lang w:val="en-US"/>
        </w:rPr>
        <w:t>Short Description: The balance of payments is a record of a country's international transactions with the rest of the world. It is composed of the current account and the capital and financial account. The current account is itself subdivided into goods, services, income and current transfers; it registers the value of exports (credits) and imports (debits). The difference b</w:t>
      </w:r>
      <w:r>
        <w:rPr>
          <w:rFonts w:ascii="Times New Roman" w:hAnsi="Times New Roman" w:cs="Times New Roman"/>
          <w:sz w:val="24"/>
          <w:szCs w:val="24"/>
          <w:lang w:val="en-US"/>
        </w:rPr>
        <w:t>etween these two values is the “balance”</w:t>
      </w:r>
      <w:r w:rsidRPr="00A232AF">
        <w:rPr>
          <w:rFonts w:ascii="Times New Roman" w:hAnsi="Times New Roman" w:cs="Times New Roman"/>
          <w:sz w:val="24"/>
          <w:szCs w:val="24"/>
          <w:lang w:val="en-US"/>
        </w:rPr>
        <w:t>.</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F0210D">
        <w:rPr>
          <w:rFonts w:ascii="Times New Roman" w:hAnsi="Times New Roman" w:cs="Times New Roman"/>
          <w:b/>
          <w:sz w:val="24"/>
          <w:szCs w:val="24"/>
          <w:lang w:val="en-US"/>
        </w:rPr>
        <w:t xml:space="preserve">The EU in the world - 2018 edition </w:t>
      </w:r>
      <w:r>
        <w:rPr>
          <w:rFonts w:ascii="Times New Roman" w:hAnsi="Times New Roman" w:cs="Times New Roman"/>
          <w:b/>
          <w:sz w:val="24"/>
          <w:szCs w:val="24"/>
          <w:lang w:val="en-US"/>
        </w:rPr>
        <w:t>-</w:t>
      </w:r>
      <w:r w:rsidRPr="00F0210D">
        <w:rPr>
          <w:rFonts w:ascii="Times New Roman" w:hAnsi="Times New Roman" w:cs="Times New Roman"/>
          <w:b/>
          <w:sz w:val="24"/>
          <w:szCs w:val="24"/>
          <w:lang w:val="en-US"/>
        </w:rPr>
        <w:t xml:space="preserve"> Eurostat</w:t>
      </w:r>
    </w:p>
    <w:p w:rsidR="00451026" w:rsidRDefault="00451026" w:rsidP="00451026">
      <w:pPr>
        <w:spacing w:line="240" w:lineRule="auto"/>
        <w:jc w:val="both"/>
        <w:rPr>
          <w:rFonts w:ascii="Times New Roman" w:hAnsi="Times New Roman" w:cs="Times New Roman"/>
          <w:b/>
          <w:sz w:val="24"/>
          <w:szCs w:val="24"/>
          <w:lang w:val="en-US"/>
        </w:rPr>
      </w:pPr>
      <w:r w:rsidRPr="00F0210D">
        <w:rPr>
          <w:rFonts w:ascii="Times New Roman" w:hAnsi="Times New Roman" w:cs="Times New Roman"/>
          <w:b/>
          <w:noProof/>
          <w:sz w:val="24"/>
          <w:szCs w:val="24"/>
          <w:lang w:eastAsia="es-ES"/>
        </w:rPr>
        <w:drawing>
          <wp:inline distT="0" distB="0" distL="0" distR="0" wp14:anchorId="61F49094" wp14:editId="7E5B5B0C">
            <wp:extent cx="5731510" cy="3666084"/>
            <wp:effectExtent l="0" t="0" r="2540" b="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731510" cy="366608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0210D">
        <w:rPr>
          <w:rFonts w:ascii="Times New Roman" w:hAnsi="Times New Roman" w:cs="Times New Roman"/>
          <w:b/>
          <w:noProof/>
          <w:sz w:val="24"/>
          <w:szCs w:val="24"/>
          <w:lang w:eastAsia="es-ES"/>
        </w:rPr>
        <w:drawing>
          <wp:inline distT="0" distB="0" distL="0" distR="0" wp14:anchorId="2F85CB8B" wp14:editId="3ADE72F5">
            <wp:extent cx="5731510" cy="3982052"/>
            <wp:effectExtent l="0" t="0" r="254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731510" cy="398205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0210D">
        <w:rPr>
          <w:rFonts w:ascii="Times New Roman" w:hAnsi="Times New Roman" w:cs="Times New Roman"/>
          <w:b/>
          <w:noProof/>
          <w:sz w:val="24"/>
          <w:szCs w:val="24"/>
          <w:lang w:eastAsia="es-ES"/>
        </w:rPr>
        <w:lastRenderedPageBreak/>
        <w:drawing>
          <wp:inline distT="0" distB="0" distL="0" distR="0" wp14:anchorId="54FBE932" wp14:editId="5F2E0D7D">
            <wp:extent cx="5731510" cy="4253319"/>
            <wp:effectExtent l="0" t="0" r="254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731510" cy="425331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3C46B5">
        <w:rPr>
          <w:rFonts w:ascii="Times New Roman" w:hAnsi="Times New Roman" w:cs="Times New Roman"/>
          <w:b/>
          <w:noProof/>
          <w:sz w:val="24"/>
          <w:szCs w:val="24"/>
          <w:lang w:eastAsia="es-ES"/>
        </w:rPr>
        <w:drawing>
          <wp:inline distT="0" distB="0" distL="0" distR="0" wp14:anchorId="156E67E8" wp14:editId="4794DDA9">
            <wp:extent cx="5731510" cy="4086763"/>
            <wp:effectExtent l="0" t="0" r="2540" b="9525"/>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731510" cy="408676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3C46B5">
        <w:rPr>
          <w:rFonts w:ascii="Times New Roman" w:hAnsi="Times New Roman" w:cs="Times New Roman"/>
          <w:b/>
          <w:noProof/>
          <w:sz w:val="24"/>
          <w:szCs w:val="24"/>
          <w:lang w:eastAsia="es-ES"/>
        </w:rPr>
        <w:lastRenderedPageBreak/>
        <w:drawing>
          <wp:inline distT="0" distB="0" distL="0" distR="0" wp14:anchorId="232DB0A2" wp14:editId="2ADDEB9A">
            <wp:extent cx="5731510" cy="4238623"/>
            <wp:effectExtent l="0" t="0" r="2540" b="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731510" cy="423862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3C46B5">
        <w:rPr>
          <w:rFonts w:ascii="Times New Roman" w:hAnsi="Times New Roman" w:cs="Times New Roman"/>
          <w:b/>
          <w:noProof/>
          <w:sz w:val="24"/>
          <w:szCs w:val="24"/>
          <w:lang w:eastAsia="es-ES"/>
        </w:rPr>
        <w:drawing>
          <wp:inline distT="0" distB="0" distL="0" distR="0" wp14:anchorId="1F6A94F8" wp14:editId="56E1C2B0">
            <wp:extent cx="5731510" cy="3694252"/>
            <wp:effectExtent l="0" t="0" r="2540" b="1905"/>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731510" cy="369425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3C46B5">
        <w:rPr>
          <w:rFonts w:ascii="Times New Roman" w:hAnsi="Times New Roman" w:cs="Times New Roman"/>
          <w:b/>
          <w:noProof/>
          <w:sz w:val="24"/>
          <w:szCs w:val="24"/>
          <w:lang w:eastAsia="es-ES"/>
        </w:rPr>
        <w:drawing>
          <wp:inline distT="0" distB="0" distL="0" distR="0" wp14:anchorId="225D07B5" wp14:editId="65FD6C8A">
            <wp:extent cx="5591955" cy="6325483"/>
            <wp:effectExtent l="0" t="0" r="8890" b="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591955" cy="632548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Government finance statistics -</w:t>
      </w:r>
      <w:r w:rsidRPr="003C46B5">
        <w:rPr>
          <w:rFonts w:ascii="Times New Roman" w:hAnsi="Times New Roman" w:cs="Times New Roman"/>
          <w:b/>
          <w:sz w:val="24"/>
          <w:szCs w:val="24"/>
          <w:lang w:val="en-US"/>
        </w:rPr>
        <w:t xml:space="preserve"> summary tables 2/2017</w:t>
      </w:r>
      <w:r>
        <w:rPr>
          <w:rFonts w:ascii="Times New Roman" w:hAnsi="Times New Roman" w:cs="Times New Roman"/>
          <w:b/>
          <w:sz w:val="24"/>
          <w:szCs w:val="24"/>
          <w:lang w:val="en-US"/>
        </w:rPr>
        <w:t xml:space="preserve"> - Eurostat</w:t>
      </w:r>
    </w:p>
    <w:p w:rsidR="00451026" w:rsidRDefault="00451026" w:rsidP="00451026">
      <w:pPr>
        <w:spacing w:line="240" w:lineRule="auto"/>
        <w:jc w:val="both"/>
        <w:rPr>
          <w:rFonts w:ascii="Times New Roman" w:hAnsi="Times New Roman" w:cs="Times New Roman"/>
          <w:b/>
          <w:sz w:val="24"/>
          <w:szCs w:val="24"/>
          <w:lang w:val="en-US"/>
        </w:rPr>
      </w:pPr>
      <w:r w:rsidRPr="00B2325A">
        <w:rPr>
          <w:rFonts w:ascii="Times New Roman" w:hAnsi="Times New Roman" w:cs="Times New Roman"/>
          <w:b/>
          <w:noProof/>
          <w:sz w:val="24"/>
          <w:szCs w:val="24"/>
          <w:lang w:eastAsia="es-ES"/>
        </w:rPr>
        <w:drawing>
          <wp:inline distT="0" distB="0" distL="0" distR="0" wp14:anchorId="078EEE71" wp14:editId="115E1A07">
            <wp:extent cx="5732782" cy="2597150"/>
            <wp:effectExtent l="0" t="0" r="127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31510" cy="259657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3C46B5">
        <w:rPr>
          <w:rFonts w:ascii="Times New Roman" w:hAnsi="Times New Roman" w:cs="Times New Roman"/>
          <w:b/>
          <w:noProof/>
          <w:sz w:val="24"/>
          <w:szCs w:val="24"/>
          <w:lang w:eastAsia="es-ES"/>
        </w:rPr>
        <w:drawing>
          <wp:inline distT="0" distB="0" distL="0" distR="0" wp14:anchorId="7E0ABFAE" wp14:editId="7D68724A">
            <wp:extent cx="5731931" cy="5619750"/>
            <wp:effectExtent l="0" t="0" r="254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561933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3C46B5">
        <w:rPr>
          <w:rFonts w:ascii="Times New Roman" w:hAnsi="Times New Roman" w:cs="Times New Roman"/>
          <w:b/>
          <w:noProof/>
          <w:sz w:val="24"/>
          <w:szCs w:val="24"/>
          <w:lang w:eastAsia="es-ES"/>
        </w:rPr>
        <w:lastRenderedPageBreak/>
        <w:drawing>
          <wp:inline distT="0" distB="0" distL="0" distR="0" wp14:anchorId="263B0831" wp14:editId="41B60064">
            <wp:extent cx="5728957" cy="4286250"/>
            <wp:effectExtent l="0" t="0" r="571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731510" cy="428816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drawing>
          <wp:inline distT="0" distB="0" distL="0" distR="0" wp14:anchorId="09675D7D" wp14:editId="5D7A4778">
            <wp:extent cx="5727959" cy="3473450"/>
            <wp:effectExtent l="0" t="0" r="635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731510" cy="347560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drawing>
          <wp:inline distT="0" distB="0" distL="0" distR="0" wp14:anchorId="30A00E5D" wp14:editId="0753D537">
            <wp:extent cx="5734050" cy="685800"/>
            <wp:effectExtent l="0" t="0" r="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68549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lastRenderedPageBreak/>
        <w:drawing>
          <wp:inline distT="0" distB="0" distL="0" distR="0" wp14:anchorId="1AECC2B3" wp14:editId="07F60D8B">
            <wp:extent cx="5731510" cy="4685632"/>
            <wp:effectExtent l="0" t="0" r="2540" b="127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731510" cy="468563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drawing>
          <wp:inline distT="0" distB="0" distL="0" distR="0" wp14:anchorId="0D752823" wp14:editId="62918966">
            <wp:extent cx="5731510" cy="3355628"/>
            <wp:effectExtent l="0" t="0" r="254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335562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lastRenderedPageBreak/>
        <w:drawing>
          <wp:inline distT="0" distB="0" distL="0" distR="0" wp14:anchorId="32A8A227" wp14:editId="0A617FB9">
            <wp:extent cx="5731510" cy="5068345"/>
            <wp:effectExtent l="0" t="0" r="2540" b="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506834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drawing>
          <wp:inline distT="0" distB="0" distL="0" distR="0" wp14:anchorId="5B2B1E60" wp14:editId="20392663">
            <wp:extent cx="5728138" cy="3111500"/>
            <wp:effectExtent l="0" t="0" r="6350" b="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11333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drawing>
          <wp:inline distT="0" distB="0" distL="0" distR="0" wp14:anchorId="0B1A802F" wp14:editId="12B44AD7">
            <wp:extent cx="5727948" cy="4019550"/>
            <wp:effectExtent l="0" t="0" r="635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402205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drawing>
          <wp:inline distT="0" distB="0" distL="0" distR="0" wp14:anchorId="4BAAFD9B" wp14:editId="79D01353">
            <wp:extent cx="5726566" cy="3333750"/>
            <wp:effectExtent l="0" t="0" r="762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33662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F61D2E">
        <w:rPr>
          <w:rFonts w:ascii="Times New Roman" w:hAnsi="Times New Roman" w:cs="Times New Roman"/>
          <w:b/>
          <w:noProof/>
          <w:sz w:val="24"/>
          <w:szCs w:val="24"/>
          <w:lang w:eastAsia="es-ES"/>
        </w:rPr>
        <w:lastRenderedPageBreak/>
        <w:drawing>
          <wp:inline distT="0" distB="0" distL="0" distR="0" wp14:anchorId="10421DBB" wp14:editId="537B35F8">
            <wp:extent cx="5727237" cy="3625850"/>
            <wp:effectExtent l="0" t="0" r="6985"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628555"/>
                    </a:xfrm>
                    <a:prstGeom prst="rect">
                      <a:avLst/>
                    </a:prstGeom>
                  </pic:spPr>
                </pic:pic>
              </a:graphicData>
            </a:graphic>
          </wp:inline>
        </w:drawing>
      </w:r>
      <w:r w:rsidRPr="00EE440F">
        <w:rPr>
          <w:rFonts w:ascii="Times New Roman" w:hAnsi="Times New Roman" w:cs="Times New Roman"/>
          <w:b/>
          <w:noProof/>
          <w:sz w:val="24"/>
          <w:szCs w:val="24"/>
          <w:lang w:eastAsia="es-ES"/>
        </w:rPr>
        <w:drawing>
          <wp:inline distT="0" distB="0" distL="0" distR="0" wp14:anchorId="38D25D49" wp14:editId="79518C76">
            <wp:extent cx="5728875" cy="4933950"/>
            <wp:effectExtent l="0" t="0" r="5715" b="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493621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lastRenderedPageBreak/>
        <w:drawing>
          <wp:inline distT="0" distB="0" distL="0" distR="0" wp14:anchorId="0551E97D" wp14:editId="32770ECB">
            <wp:extent cx="5734050" cy="3505200"/>
            <wp:effectExtent l="0" t="0" r="0" b="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50364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drawing>
          <wp:inline distT="0" distB="0" distL="0" distR="0" wp14:anchorId="2FB2AAEF" wp14:editId="74544C85">
            <wp:extent cx="5725055" cy="3289300"/>
            <wp:effectExtent l="0" t="0" r="9525" b="635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29300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drawing>
          <wp:inline distT="0" distB="0" distL="0" distR="0" wp14:anchorId="520334C2" wp14:editId="600BD376">
            <wp:extent cx="5733155" cy="4000500"/>
            <wp:effectExtent l="0" t="0" r="1270"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99935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EE440F">
        <w:rPr>
          <w:rFonts w:ascii="Times New Roman" w:hAnsi="Times New Roman" w:cs="Times New Roman"/>
          <w:b/>
          <w:noProof/>
          <w:sz w:val="24"/>
          <w:szCs w:val="24"/>
          <w:lang w:eastAsia="es-ES"/>
        </w:rPr>
        <w:drawing>
          <wp:inline distT="0" distB="0" distL="0" distR="0" wp14:anchorId="10E348E2" wp14:editId="7A6FBDB2">
            <wp:extent cx="5727661" cy="3435350"/>
            <wp:effectExtent l="0" t="0" r="6985"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43765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7E1C4623" wp14:editId="1DBB9684">
            <wp:extent cx="5728930" cy="3359150"/>
            <wp:effectExtent l="0" t="0" r="5715"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36066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0AF02315" wp14:editId="397E8790">
            <wp:extent cx="5733531" cy="4356100"/>
            <wp:effectExtent l="0" t="0" r="635" b="635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35456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5A617989" wp14:editId="68806D03">
            <wp:extent cx="5730998" cy="2978150"/>
            <wp:effectExtent l="0" t="0" r="317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297841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192B66AB" wp14:editId="310E7947">
            <wp:extent cx="5325218" cy="4420217"/>
            <wp:effectExtent l="0" t="0" r="889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325218" cy="442021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653ED873" wp14:editId="3702ABAA">
            <wp:extent cx="5296639" cy="6182588"/>
            <wp:effectExtent l="0" t="0" r="0" b="889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296639" cy="618258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64914215" wp14:editId="33A11125">
            <wp:extent cx="5277587" cy="4172532"/>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277587" cy="417253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4ED8B98B" wp14:editId="6B52DB04">
            <wp:extent cx="5730871" cy="3448050"/>
            <wp:effectExtent l="0" t="0" r="381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44843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46619F9C" wp14:editId="2A34F5A5">
            <wp:extent cx="5731451" cy="4464050"/>
            <wp:effectExtent l="0" t="0" r="317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446409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drawing>
          <wp:inline distT="0" distB="0" distL="0" distR="0" wp14:anchorId="1174E136" wp14:editId="4BF0A1DE">
            <wp:extent cx="5734050" cy="336550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336400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890FA4">
        <w:rPr>
          <w:rFonts w:ascii="Times New Roman" w:hAnsi="Times New Roman" w:cs="Times New Roman"/>
          <w:b/>
          <w:noProof/>
          <w:sz w:val="24"/>
          <w:szCs w:val="24"/>
          <w:lang w:eastAsia="es-ES"/>
        </w:rPr>
        <w:lastRenderedPageBreak/>
        <w:drawing>
          <wp:inline distT="0" distB="0" distL="0" distR="0" wp14:anchorId="3AAF6A1B" wp14:editId="768669D1">
            <wp:extent cx="5721349" cy="32448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325061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B2325A">
        <w:rPr>
          <w:rFonts w:ascii="Times New Roman" w:hAnsi="Times New Roman" w:cs="Times New Roman"/>
          <w:b/>
          <w:noProof/>
          <w:sz w:val="24"/>
          <w:szCs w:val="24"/>
          <w:lang w:eastAsia="es-ES"/>
        </w:rPr>
        <w:drawing>
          <wp:inline distT="0" distB="0" distL="0" distR="0" wp14:anchorId="30B57B1D" wp14:editId="3D40E798">
            <wp:extent cx="5727700" cy="4133850"/>
            <wp:effectExtent l="0" t="0" r="635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413660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r w:rsidRPr="00B2325A">
        <w:rPr>
          <w:rFonts w:ascii="Times New Roman" w:hAnsi="Times New Roman" w:cs="Times New Roman"/>
          <w:b/>
          <w:noProof/>
          <w:sz w:val="24"/>
          <w:szCs w:val="24"/>
          <w:lang w:eastAsia="es-ES"/>
        </w:rPr>
        <w:lastRenderedPageBreak/>
        <w:drawing>
          <wp:inline distT="0" distB="0" distL="0" distR="0" wp14:anchorId="1B9DB62D" wp14:editId="0C62A34F">
            <wp:extent cx="5727700" cy="3086100"/>
            <wp:effectExtent l="0" t="0" r="635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08815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Estadística de la Zona Euro - </w:t>
      </w:r>
      <w:r w:rsidRPr="00946C77">
        <w:rPr>
          <w:rFonts w:ascii="Times New Roman" w:hAnsi="Times New Roman" w:cs="Times New Roman"/>
          <w:b/>
          <w:sz w:val="24"/>
          <w:szCs w:val="24"/>
        </w:rPr>
        <w:t>Tipos de interés bancarios - Préstamos y créditos</w:t>
      </w:r>
      <w:r>
        <w:rPr>
          <w:rFonts w:ascii="Times New Roman" w:hAnsi="Times New Roman" w:cs="Times New Roman"/>
          <w:b/>
          <w:sz w:val="24"/>
          <w:szCs w:val="24"/>
        </w:rPr>
        <w:t xml:space="preserve"> - Eurostat 2018</w:t>
      </w:r>
    </w:p>
    <w:p w:rsidR="00451026" w:rsidRDefault="00451026" w:rsidP="00451026">
      <w:pPr>
        <w:spacing w:line="240" w:lineRule="auto"/>
        <w:jc w:val="both"/>
        <w:rPr>
          <w:rFonts w:ascii="Times New Roman" w:hAnsi="Times New Roman" w:cs="Times New Roman"/>
          <w:b/>
          <w:sz w:val="24"/>
          <w:szCs w:val="24"/>
        </w:rPr>
      </w:pP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Depósitos - Hogares</w:t>
      </w:r>
    </w:p>
    <w:p w:rsidR="00451026" w:rsidRDefault="00451026" w:rsidP="00451026">
      <w:pPr>
        <w:spacing w:line="240" w:lineRule="auto"/>
        <w:jc w:val="both"/>
        <w:rPr>
          <w:rFonts w:ascii="Times New Roman" w:hAnsi="Times New Roman" w:cs="Times New Roman"/>
          <w:b/>
          <w:sz w:val="24"/>
          <w:szCs w:val="24"/>
        </w:rPr>
      </w:pPr>
      <w:r w:rsidRPr="00946C77">
        <w:rPr>
          <w:rFonts w:ascii="Times New Roman" w:hAnsi="Times New Roman" w:cs="Times New Roman"/>
          <w:b/>
          <w:noProof/>
          <w:sz w:val="24"/>
          <w:szCs w:val="24"/>
          <w:lang w:eastAsia="es-ES"/>
        </w:rPr>
        <w:drawing>
          <wp:inline distT="0" distB="0" distL="0" distR="0" wp14:anchorId="5400AC02" wp14:editId="38D3B6B9">
            <wp:extent cx="5720192" cy="1384300"/>
            <wp:effectExtent l="0" t="0" r="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138703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946C77">
        <w:rPr>
          <w:rFonts w:ascii="Times New Roman" w:hAnsi="Times New Roman" w:cs="Times New Roman"/>
          <w:b/>
          <w:noProof/>
          <w:sz w:val="24"/>
          <w:szCs w:val="24"/>
          <w:lang w:eastAsia="es-ES"/>
        </w:rPr>
        <w:drawing>
          <wp:inline distT="0" distB="0" distL="0" distR="0" wp14:anchorId="32308250" wp14:editId="0A03F6FB">
            <wp:extent cx="5731510" cy="327602"/>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31510" cy="32760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Depósitos - Empresas</w:t>
      </w:r>
    </w:p>
    <w:p w:rsidR="00451026" w:rsidRDefault="00451026" w:rsidP="00451026">
      <w:pPr>
        <w:spacing w:line="240" w:lineRule="auto"/>
        <w:jc w:val="both"/>
        <w:rPr>
          <w:rFonts w:ascii="Times New Roman" w:hAnsi="Times New Roman" w:cs="Times New Roman"/>
          <w:b/>
          <w:sz w:val="24"/>
          <w:szCs w:val="24"/>
        </w:rPr>
      </w:pPr>
      <w:r w:rsidRPr="00946C77">
        <w:rPr>
          <w:rFonts w:ascii="Times New Roman" w:hAnsi="Times New Roman" w:cs="Times New Roman"/>
          <w:b/>
          <w:noProof/>
          <w:sz w:val="24"/>
          <w:szCs w:val="24"/>
          <w:lang w:eastAsia="es-ES"/>
        </w:rPr>
        <w:drawing>
          <wp:inline distT="0" distB="0" distL="0" distR="0" wp14:anchorId="02B6A1F5" wp14:editId="336FF69E">
            <wp:extent cx="5732663" cy="1498600"/>
            <wp:effectExtent l="0" t="0" r="1905" b="635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149829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Créditos - Hogares</w:t>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530DB429" wp14:editId="4FC56F2C">
            <wp:extent cx="5733945" cy="1339850"/>
            <wp:effectExtent l="0" t="0" r="63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3945" cy="133985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09A08856" wp14:editId="6E9B0AEE">
            <wp:extent cx="5731510" cy="434762"/>
            <wp:effectExtent l="0" t="0" r="2540" b="381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731510" cy="43476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Crédito - Empresas</w:t>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4175E61E" wp14:editId="6309D5F4">
            <wp:extent cx="5731510" cy="1469618"/>
            <wp:effectExtent l="0" t="0" r="254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731510" cy="146961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Coste de financiación sintético</w:t>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28A337E0" wp14:editId="18A34759">
            <wp:extent cx="5731510" cy="1461045"/>
            <wp:effectExtent l="0" t="0" r="254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731510" cy="146104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2D4CFE1B" wp14:editId="7DBD1F22">
            <wp:extent cx="5731510" cy="336787"/>
            <wp:effectExtent l="0" t="0" r="2540"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731510" cy="33678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17804C8C" wp14:editId="300553DA">
            <wp:extent cx="5731510" cy="1476354"/>
            <wp:effectExtent l="0" t="0" r="254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731510" cy="147635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4AF5F083" wp14:editId="5818A908">
            <wp:extent cx="5731510" cy="377814"/>
            <wp:effectExtent l="0" t="0" r="0" b="381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731510" cy="37781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Endeudamiento</w:t>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5EB67E42" wp14:editId="1A1699B3">
            <wp:extent cx="5731510" cy="1491050"/>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731510" cy="149105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2713210C" wp14:editId="23E791F8">
            <wp:extent cx="5731510" cy="978521"/>
            <wp:effectExtent l="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731510" cy="978521"/>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Sector Exterior - Cuenta Corriente</w:t>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76789176" wp14:editId="0A7162D1">
            <wp:extent cx="5731510" cy="1448186"/>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731510" cy="144818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141422">
        <w:rPr>
          <w:rFonts w:ascii="Times New Roman" w:hAnsi="Times New Roman" w:cs="Times New Roman"/>
          <w:b/>
          <w:noProof/>
          <w:sz w:val="24"/>
          <w:szCs w:val="24"/>
          <w:lang w:eastAsia="es-ES"/>
        </w:rPr>
        <w:drawing>
          <wp:inline distT="0" distB="0" distL="0" distR="0" wp14:anchorId="0A013B0A" wp14:editId="6C42B417">
            <wp:extent cx="5731510" cy="437824"/>
            <wp:effectExtent l="0" t="0" r="2540" b="63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731510" cy="43782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b/>
          <w:sz w:val="24"/>
          <w:szCs w:val="24"/>
        </w:rPr>
        <w:t>Sector Exterior - Activos de Reserva</w:t>
      </w:r>
    </w:p>
    <w:p w:rsidR="00451026" w:rsidRDefault="00451026" w:rsidP="00451026">
      <w:pPr>
        <w:spacing w:line="240" w:lineRule="auto"/>
        <w:jc w:val="both"/>
        <w:rPr>
          <w:rFonts w:ascii="Times New Roman" w:hAnsi="Times New Roman" w:cs="Times New Roman"/>
          <w:b/>
          <w:sz w:val="24"/>
          <w:szCs w:val="24"/>
        </w:rPr>
      </w:pPr>
      <w:r w:rsidRPr="005726BF">
        <w:rPr>
          <w:rFonts w:ascii="Times New Roman" w:hAnsi="Times New Roman" w:cs="Times New Roman"/>
          <w:b/>
          <w:noProof/>
          <w:sz w:val="24"/>
          <w:szCs w:val="24"/>
          <w:lang w:eastAsia="es-ES"/>
        </w:rPr>
        <w:drawing>
          <wp:inline distT="0" distB="0" distL="0" distR="0" wp14:anchorId="06C5368E" wp14:editId="56CAA7E5">
            <wp:extent cx="5731510" cy="1462270"/>
            <wp:effectExtent l="0" t="0" r="2540" b="508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731510" cy="146227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5726BF">
        <w:rPr>
          <w:rFonts w:ascii="Times New Roman" w:hAnsi="Times New Roman" w:cs="Times New Roman"/>
          <w:b/>
          <w:noProof/>
          <w:sz w:val="24"/>
          <w:szCs w:val="24"/>
          <w:lang w:eastAsia="es-ES"/>
        </w:rPr>
        <w:drawing>
          <wp:inline distT="0" distB="0" distL="0" distR="0" wp14:anchorId="5B4D70C9" wp14:editId="44ECC10F">
            <wp:extent cx="5731510" cy="304946"/>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31510" cy="30494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p>
    <w:p w:rsidR="00451026" w:rsidRDefault="00451026" w:rsidP="00451026">
      <w:pPr>
        <w:spacing w:line="240" w:lineRule="auto"/>
        <w:jc w:val="both"/>
        <w:rPr>
          <w:rFonts w:ascii="Times New Roman" w:hAnsi="Times New Roman" w:cs="Times New Roman"/>
          <w:b/>
          <w:sz w:val="24"/>
          <w:szCs w:val="24"/>
        </w:rPr>
      </w:pPr>
    </w:p>
    <w:p w:rsidR="00451026" w:rsidRDefault="00451026" w:rsidP="00451026">
      <w:pPr>
        <w:spacing w:line="240" w:lineRule="auto"/>
        <w:jc w:val="both"/>
        <w:rPr>
          <w:rFonts w:ascii="Times New Roman" w:hAnsi="Times New Roman" w:cs="Times New Roman"/>
          <w:b/>
          <w:sz w:val="24"/>
          <w:szCs w:val="24"/>
        </w:rPr>
      </w:pPr>
      <w:r w:rsidRPr="005726BF">
        <w:rPr>
          <w:rFonts w:ascii="Times New Roman" w:hAnsi="Times New Roman" w:cs="Times New Roman"/>
          <w:b/>
          <w:sz w:val="24"/>
          <w:szCs w:val="24"/>
        </w:rPr>
        <w:lastRenderedPageBreak/>
        <w:t>Valores - Valores representativos de deuda</w:t>
      </w:r>
    </w:p>
    <w:p w:rsidR="00451026" w:rsidRDefault="00451026" w:rsidP="00451026">
      <w:pPr>
        <w:spacing w:line="240" w:lineRule="auto"/>
        <w:jc w:val="both"/>
        <w:rPr>
          <w:rFonts w:ascii="Times New Roman" w:hAnsi="Times New Roman" w:cs="Times New Roman"/>
          <w:b/>
          <w:sz w:val="24"/>
          <w:szCs w:val="24"/>
        </w:rPr>
      </w:pPr>
      <w:r w:rsidRPr="005726BF">
        <w:rPr>
          <w:rFonts w:ascii="Times New Roman" w:hAnsi="Times New Roman" w:cs="Times New Roman"/>
          <w:b/>
          <w:noProof/>
          <w:sz w:val="24"/>
          <w:szCs w:val="24"/>
          <w:lang w:eastAsia="es-ES"/>
        </w:rPr>
        <w:drawing>
          <wp:inline distT="0" distB="0" distL="0" distR="0" wp14:anchorId="73044374" wp14:editId="059CB7A0">
            <wp:extent cx="5731510" cy="1420018"/>
            <wp:effectExtent l="0" t="0" r="2540" b="889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731510" cy="142001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5726BF">
        <w:rPr>
          <w:rFonts w:ascii="Times New Roman" w:hAnsi="Times New Roman" w:cs="Times New Roman"/>
          <w:b/>
          <w:noProof/>
          <w:sz w:val="24"/>
          <w:szCs w:val="24"/>
          <w:lang w:eastAsia="es-ES"/>
        </w:rPr>
        <w:drawing>
          <wp:inline distT="0" distB="0" distL="0" distR="0" wp14:anchorId="0B0C877C" wp14:editId="7AB665A7">
            <wp:extent cx="5731510" cy="434762"/>
            <wp:effectExtent l="0" t="0" r="2540" b="381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731510" cy="43476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0C7C14">
        <w:rPr>
          <w:rFonts w:ascii="Times New Roman" w:hAnsi="Times New Roman" w:cs="Times New Roman"/>
          <w:b/>
          <w:sz w:val="24"/>
          <w:szCs w:val="24"/>
          <w:lang w:val="en-US"/>
        </w:rPr>
        <w:t xml:space="preserve">European Central Bank </w:t>
      </w:r>
      <w:r>
        <w:rPr>
          <w:rFonts w:ascii="Times New Roman" w:hAnsi="Times New Roman" w:cs="Times New Roman"/>
          <w:b/>
          <w:sz w:val="24"/>
          <w:szCs w:val="24"/>
          <w:lang w:val="en-US"/>
        </w:rPr>
        <w:t>-</w:t>
      </w:r>
      <w:r w:rsidRPr="000C7C14">
        <w:rPr>
          <w:rFonts w:ascii="Times New Roman" w:hAnsi="Times New Roman" w:cs="Times New Roman"/>
          <w:b/>
          <w:sz w:val="24"/>
          <w:szCs w:val="24"/>
          <w:lang w:val="en-US"/>
        </w:rPr>
        <w:t xml:space="preserve"> Statistical Data Warehouse</w:t>
      </w:r>
      <w:r>
        <w:rPr>
          <w:rFonts w:ascii="Times New Roman" w:hAnsi="Times New Roman" w:cs="Times New Roman"/>
          <w:b/>
          <w:sz w:val="24"/>
          <w:szCs w:val="24"/>
          <w:lang w:val="en-US"/>
        </w:rPr>
        <w:t xml:space="preserve"> - 2018 </w:t>
      </w:r>
    </w:p>
    <w:p w:rsidR="00451026" w:rsidRDefault="00451026" w:rsidP="00451026">
      <w:pPr>
        <w:spacing w:line="240" w:lineRule="auto"/>
        <w:jc w:val="both"/>
        <w:rPr>
          <w:rFonts w:ascii="Times New Roman" w:hAnsi="Times New Roman" w:cs="Times New Roman"/>
          <w:sz w:val="24"/>
          <w:szCs w:val="24"/>
          <w:lang w:val="en-US"/>
        </w:rPr>
      </w:pPr>
      <w:r w:rsidRPr="000C7C14">
        <w:rPr>
          <w:rFonts w:ascii="Times New Roman" w:hAnsi="Times New Roman" w:cs="Times New Roman"/>
          <w:sz w:val="24"/>
          <w:szCs w:val="24"/>
          <w:lang w:val="en-US"/>
        </w:rPr>
        <w:t>Monetary aggregate M3</w:t>
      </w:r>
    </w:p>
    <w:p w:rsidR="00451026" w:rsidRDefault="00451026" w:rsidP="00451026">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C75212">
        <w:rPr>
          <w:rFonts w:ascii="Times New Roman" w:hAnsi="Times New Roman" w:cs="Times New Roman"/>
          <w:b/>
          <w:noProof/>
          <w:sz w:val="24"/>
          <w:szCs w:val="24"/>
          <w:lang w:eastAsia="es-ES"/>
        </w:rPr>
        <w:drawing>
          <wp:inline distT="0" distB="0" distL="0" distR="0" wp14:anchorId="1942AF29" wp14:editId="2E46897E">
            <wp:extent cx="4477375" cy="2896004"/>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4477375" cy="289600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C75212">
        <w:rPr>
          <w:rFonts w:ascii="Times New Roman" w:hAnsi="Times New Roman" w:cs="Times New Roman"/>
          <w:sz w:val="24"/>
          <w:szCs w:val="24"/>
          <w:lang w:val="en-US"/>
        </w:rPr>
        <w:t>Monetary aggregate M3 vis-a-vis euro area non-MFI excl. central gov. reported by MFI &amp; central gov. &amp; post office giro Inst. in the euro area (stock)</w:t>
      </w:r>
    </w:p>
    <w:p w:rsidR="00451026" w:rsidRDefault="00451026" w:rsidP="00451026">
      <w:pPr>
        <w:spacing w:line="240" w:lineRule="auto"/>
        <w:jc w:val="both"/>
        <w:rPr>
          <w:rFonts w:ascii="Times New Roman" w:hAnsi="Times New Roman" w:cs="Times New Roman"/>
          <w:sz w:val="24"/>
          <w:szCs w:val="24"/>
          <w:lang w:val="en-US"/>
        </w:rPr>
      </w:pPr>
      <w:r w:rsidRPr="00C75212">
        <w:rPr>
          <w:rFonts w:ascii="Times New Roman" w:hAnsi="Times New Roman" w:cs="Times New Roman"/>
          <w:sz w:val="24"/>
          <w:szCs w:val="24"/>
          <w:lang w:val="en-US"/>
        </w:rPr>
        <w:t>Euro area (changing composition), Outstanding amounts at the end of the period (stocks), MFIs, central government and post office giro institutions reporting sector - Monetary aggregate M3, All currencies combined - Euro area (changing composition) counterpart, Non-MFIs excluding central government sector, denominated in Euro, data Working day and seasonally adjusted</w:t>
      </w:r>
    </w:p>
    <w:p w:rsidR="00451026" w:rsidRDefault="00451026" w:rsidP="00451026">
      <w:pPr>
        <w:spacing w:line="240" w:lineRule="auto"/>
        <w:jc w:val="both"/>
        <w:rPr>
          <w:rFonts w:ascii="Times New Roman" w:hAnsi="Times New Roman" w:cs="Times New Roman"/>
          <w:sz w:val="24"/>
          <w:szCs w:val="24"/>
          <w:lang w:val="en-US"/>
        </w:rPr>
      </w:pPr>
      <w:r w:rsidRPr="00C75212">
        <w:rPr>
          <w:rFonts w:ascii="Times New Roman" w:hAnsi="Times New Roman" w:cs="Times New Roman"/>
          <w:sz w:val="24"/>
          <w:szCs w:val="24"/>
          <w:lang w:val="en-US"/>
        </w:rPr>
        <w:t>Millions of Euro</w:t>
      </w:r>
    </w:p>
    <w:p w:rsidR="00451026" w:rsidRPr="00C75212" w:rsidRDefault="00451026" w:rsidP="00451026">
      <w:pPr>
        <w:spacing w:line="240" w:lineRule="auto"/>
        <w:jc w:val="both"/>
        <w:rPr>
          <w:rFonts w:ascii="Times New Roman" w:hAnsi="Times New Roman" w:cs="Times New Roman"/>
          <w:sz w:val="24"/>
          <w:szCs w:val="24"/>
          <w:lang w:val="en-US"/>
        </w:rPr>
      </w:pPr>
      <w:r w:rsidRPr="00C75212">
        <w:rPr>
          <w:rFonts w:ascii="Times New Roman" w:hAnsi="Times New Roman" w:cs="Times New Roman"/>
          <w:sz w:val="24"/>
          <w:szCs w:val="24"/>
          <w:lang w:val="en-US"/>
        </w:rPr>
        <w:t>BSI : Balance Sheet Items</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Dy</w:t>
      </w:r>
      <w:r w:rsidRPr="00446772">
        <w:rPr>
          <w:rFonts w:ascii="Times New Roman" w:hAnsi="Times New Roman" w:cs="Times New Roman"/>
          <w:sz w:val="24"/>
          <w:szCs w:val="24"/>
          <w:lang w:val="en-US"/>
        </w:rPr>
        <w:t>namic Chart</w:t>
      </w:r>
    </w:p>
    <w:p w:rsidR="00451026" w:rsidRDefault="00451026" w:rsidP="00451026">
      <w:pPr>
        <w:spacing w:line="240" w:lineRule="auto"/>
        <w:jc w:val="both"/>
        <w:rPr>
          <w:rFonts w:ascii="Times New Roman" w:hAnsi="Times New Roman" w:cs="Times New Roman"/>
          <w:sz w:val="24"/>
          <w:szCs w:val="24"/>
          <w:lang w:val="en-US"/>
        </w:rPr>
      </w:pPr>
      <w:r w:rsidRPr="00C75212">
        <w:rPr>
          <w:rFonts w:ascii="Times New Roman" w:hAnsi="Times New Roman" w:cs="Times New Roman"/>
          <w:noProof/>
          <w:sz w:val="24"/>
          <w:szCs w:val="24"/>
          <w:lang w:eastAsia="es-ES"/>
        </w:rPr>
        <w:lastRenderedPageBreak/>
        <w:drawing>
          <wp:inline distT="0" distB="0" distL="0" distR="0" wp14:anchorId="25F6D84A" wp14:editId="09D44DE7">
            <wp:extent cx="5731510" cy="747668"/>
            <wp:effectExtent l="0" t="0" r="254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747668"/>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30BD412E" wp14:editId="677A4645">
            <wp:extent cx="5731510" cy="162270"/>
            <wp:effectExtent l="0" t="0" r="0" b="952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162270"/>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58E6A69F" wp14:editId="23930EA2">
            <wp:extent cx="5731510" cy="140838"/>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140838"/>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5BA533C4" wp14:editId="6BBFDB04">
            <wp:extent cx="5731510" cy="127979"/>
            <wp:effectExtent l="0" t="0" r="0" b="571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127979"/>
                    </a:xfrm>
                    <a:prstGeom prst="rect">
                      <a:avLst/>
                    </a:prstGeom>
                  </pic:spPr>
                </pic:pic>
              </a:graphicData>
            </a:graphic>
          </wp:inline>
        </w:drawing>
      </w:r>
      <w:r w:rsidRPr="00C75212">
        <w:rPr>
          <w:rFonts w:ascii="Times New Roman" w:hAnsi="Times New Roman" w:cs="Times New Roman"/>
          <w:noProof/>
          <w:sz w:val="24"/>
          <w:szCs w:val="24"/>
          <w:lang w:eastAsia="es-ES"/>
        </w:rPr>
        <w:drawing>
          <wp:inline distT="0" distB="0" distL="0" distR="0" wp14:anchorId="3A42091C" wp14:editId="12645D4D">
            <wp:extent cx="5731510" cy="132878"/>
            <wp:effectExtent l="0" t="0" r="0" b="63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132878"/>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2F5C1C8E" wp14:editId="7BC0354B">
            <wp:extent cx="5731510" cy="144512"/>
            <wp:effectExtent l="0" t="0" r="0" b="825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144512"/>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17C989EA" wp14:editId="29BC9FAA">
            <wp:extent cx="5731510" cy="137164"/>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137164"/>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44460570" wp14:editId="4D4B7ADE">
            <wp:extent cx="5731510" cy="145125"/>
            <wp:effectExtent l="0" t="0" r="0" b="762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145125"/>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63B5870A" wp14:editId="460A7628">
            <wp:extent cx="5731510" cy="132266"/>
            <wp:effectExtent l="0" t="0" r="0" b="127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132266"/>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1A63A91C" wp14:editId="7C5B6312">
            <wp:extent cx="5731510" cy="153698"/>
            <wp:effectExtent l="0" t="0" r="254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153698"/>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58F4A9D1" wp14:editId="3D238F91">
            <wp:extent cx="5731510" cy="102873"/>
            <wp:effectExtent l="0" t="0" r="254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102873"/>
                    </a:xfrm>
                    <a:prstGeom prst="rect">
                      <a:avLst/>
                    </a:prstGeom>
                  </pic:spPr>
                </pic:pic>
              </a:graphicData>
            </a:graphic>
          </wp:inline>
        </w:drawing>
      </w:r>
      <w:r w:rsidRPr="00281619">
        <w:rPr>
          <w:rFonts w:ascii="Times New Roman" w:hAnsi="Times New Roman" w:cs="Times New Roman"/>
          <w:noProof/>
          <w:sz w:val="24"/>
          <w:szCs w:val="24"/>
          <w:lang w:eastAsia="es-ES"/>
        </w:rPr>
        <w:drawing>
          <wp:inline distT="0" distB="0" distL="0" distR="0" wp14:anchorId="184782F2" wp14:editId="0A774C84">
            <wp:extent cx="5731510" cy="158596"/>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15859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Pr="00446772" w:rsidRDefault="00451026" w:rsidP="00451026">
      <w:pPr>
        <w:spacing w:line="240" w:lineRule="auto"/>
        <w:jc w:val="both"/>
        <w:rPr>
          <w:rFonts w:ascii="Times New Roman" w:hAnsi="Times New Roman" w:cs="Times New Roman"/>
          <w:sz w:val="24"/>
          <w:szCs w:val="24"/>
          <w:lang w:val="en-US"/>
        </w:rPr>
      </w:pPr>
      <w:r w:rsidRPr="000C7C14">
        <w:rPr>
          <w:rFonts w:ascii="Times New Roman" w:hAnsi="Times New Roman" w:cs="Times New Roman"/>
          <w:sz w:val="24"/>
          <w:szCs w:val="24"/>
          <w:lang w:val="en-US"/>
        </w:rPr>
        <w:t>Monetary aggregate M3</w:t>
      </w:r>
    </w:p>
    <w:p w:rsidR="00451026" w:rsidRDefault="00451026" w:rsidP="00451026">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0C7C14">
        <w:rPr>
          <w:rFonts w:ascii="Times New Roman" w:hAnsi="Times New Roman" w:cs="Times New Roman"/>
          <w:b/>
          <w:noProof/>
          <w:sz w:val="24"/>
          <w:szCs w:val="24"/>
          <w:lang w:eastAsia="es-ES"/>
        </w:rPr>
        <w:drawing>
          <wp:inline distT="0" distB="0" distL="0" distR="0" wp14:anchorId="3E7368EA" wp14:editId="6C8CBAB6">
            <wp:extent cx="5005498" cy="2863850"/>
            <wp:effectExtent l="0" t="0" r="508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010849" cy="2866911"/>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0C7C14">
        <w:rPr>
          <w:rFonts w:ascii="Times New Roman" w:hAnsi="Times New Roman" w:cs="Times New Roman"/>
          <w:sz w:val="24"/>
          <w:szCs w:val="24"/>
          <w:lang w:val="en-US"/>
        </w:rPr>
        <w:t>Monetary aggregate M3 vis-a-vis euro area non-MFI excl. central gov. reported by MFI &amp; central gov. &amp; post office giro Inst. in the euro area (index)</w:t>
      </w:r>
    </w:p>
    <w:p w:rsidR="00451026" w:rsidRDefault="00451026" w:rsidP="00451026">
      <w:pPr>
        <w:spacing w:line="240" w:lineRule="auto"/>
        <w:jc w:val="both"/>
        <w:rPr>
          <w:rFonts w:ascii="Times New Roman" w:hAnsi="Times New Roman" w:cs="Times New Roman"/>
          <w:sz w:val="24"/>
          <w:szCs w:val="24"/>
          <w:lang w:val="en-US"/>
        </w:rPr>
      </w:pPr>
      <w:r w:rsidRPr="000C7C14">
        <w:rPr>
          <w:rFonts w:ascii="Times New Roman" w:hAnsi="Times New Roman" w:cs="Times New Roman"/>
          <w:sz w:val="24"/>
          <w:szCs w:val="24"/>
          <w:lang w:val="en-US"/>
        </w:rPr>
        <w:t>Euro area (changing composition), Index of Notional Stocks, MFIs, central government and post office giro institutions reporting sector - Monetary aggregate M3, All currencies combined - Euro area (changing composition) counterpart, Non-MFIs excluding central government sector, Annual growth rate, data Working day and seasonally adjusted</w:t>
      </w:r>
    </w:p>
    <w:p w:rsidR="00451026" w:rsidRDefault="00451026" w:rsidP="00451026">
      <w:pPr>
        <w:spacing w:line="240" w:lineRule="auto"/>
        <w:jc w:val="both"/>
        <w:rPr>
          <w:rFonts w:ascii="Times New Roman" w:hAnsi="Times New Roman" w:cs="Times New Roman"/>
          <w:sz w:val="24"/>
          <w:szCs w:val="24"/>
          <w:lang w:val="en-US"/>
        </w:rPr>
      </w:pPr>
      <w:r w:rsidRPr="00446772">
        <w:rPr>
          <w:rFonts w:ascii="Times New Roman" w:hAnsi="Times New Roman" w:cs="Times New Roman"/>
          <w:sz w:val="24"/>
          <w:szCs w:val="24"/>
          <w:lang w:val="en-US"/>
        </w:rPr>
        <w:t>Percentage change</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BSI</w:t>
      </w:r>
      <w:r w:rsidRPr="00446772">
        <w:rPr>
          <w:rFonts w:ascii="Times New Roman" w:hAnsi="Times New Roman" w:cs="Times New Roman"/>
          <w:sz w:val="24"/>
          <w:szCs w:val="24"/>
          <w:lang w:val="en-US"/>
        </w:rPr>
        <w:t>: Balance Sheet Items</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Static Chart</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446772">
        <w:rPr>
          <w:rFonts w:ascii="Times New Roman" w:hAnsi="Times New Roman" w:cs="Times New Roman"/>
          <w:noProof/>
          <w:sz w:val="24"/>
          <w:szCs w:val="24"/>
          <w:lang w:eastAsia="es-ES"/>
        </w:rPr>
        <w:drawing>
          <wp:inline distT="0" distB="0" distL="0" distR="0" wp14:anchorId="72A0D768" wp14:editId="1F749ACF">
            <wp:extent cx="4595269" cy="2584450"/>
            <wp:effectExtent l="0" t="0" r="0" b="635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4601217" cy="258779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DE7BEB">
        <w:rPr>
          <w:rFonts w:ascii="Times New Roman" w:hAnsi="Times New Roman" w:cs="Times New Roman"/>
          <w:sz w:val="24"/>
          <w:szCs w:val="24"/>
          <w:lang w:val="en-US"/>
        </w:rPr>
        <w:t>Government debt (consolidated) (as % of GDP)</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E7BEB">
        <w:rPr>
          <w:rFonts w:ascii="Times New Roman" w:hAnsi="Times New Roman" w:cs="Times New Roman"/>
          <w:noProof/>
          <w:sz w:val="24"/>
          <w:szCs w:val="24"/>
          <w:lang w:eastAsia="es-ES"/>
        </w:rPr>
        <w:drawing>
          <wp:inline distT="0" distB="0" distL="0" distR="0" wp14:anchorId="4608595D" wp14:editId="4959260B">
            <wp:extent cx="5215860" cy="3860800"/>
            <wp:effectExtent l="0" t="0" r="4445" b="635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220429" cy="386418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DE7BEB">
        <w:rPr>
          <w:rFonts w:ascii="Times New Roman" w:hAnsi="Times New Roman" w:cs="Times New Roman"/>
          <w:sz w:val="24"/>
          <w:szCs w:val="24"/>
          <w:lang w:val="en-US"/>
        </w:rPr>
        <w:t>Government debt (consolidated) (as % of GDP)</w:t>
      </w:r>
    </w:p>
    <w:p w:rsidR="00451026" w:rsidRDefault="00451026" w:rsidP="00451026">
      <w:pPr>
        <w:spacing w:line="240" w:lineRule="auto"/>
        <w:jc w:val="both"/>
        <w:rPr>
          <w:rFonts w:ascii="Times New Roman" w:hAnsi="Times New Roman" w:cs="Times New Roman"/>
          <w:sz w:val="24"/>
          <w:szCs w:val="24"/>
          <w:lang w:val="en-US"/>
        </w:rPr>
      </w:pPr>
      <w:r w:rsidRPr="00DE7BEB">
        <w:rPr>
          <w:rFonts w:ascii="Times New Roman" w:hAnsi="Times New Roman" w:cs="Times New Roman"/>
          <w:sz w:val="24"/>
          <w:szCs w:val="24"/>
          <w:lang w:val="en-US"/>
        </w:rPr>
        <w:t xml:space="preserve">Euro area 19 (fixed composition) as of 1 January 2015 - Closing balance sheet/Positions/Stocks - Maastricht debt - Liabilities (Net Incurrence of) - maturity: All original maturities - counterpart area: World (all entities, including reference area, including IO), counterpart sector: Total economy - Consolidated, Current prices - Domestic currency </w:t>
      </w:r>
      <w:r w:rsidRPr="00DE7BEB">
        <w:rPr>
          <w:rFonts w:ascii="Times New Roman" w:hAnsi="Times New Roman" w:cs="Times New Roman"/>
          <w:sz w:val="24"/>
          <w:szCs w:val="24"/>
          <w:lang w:val="en-US"/>
        </w:rPr>
        <w:lastRenderedPageBreak/>
        <w:t>(incl. conversion to current currency made using a fixed parity); ratio to gross domestic product, Face value, Neither seasonally adjusted nor calendar adjusted data - ESA 2010</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E7BEB">
        <w:rPr>
          <w:rFonts w:ascii="Times New Roman" w:hAnsi="Times New Roman" w:cs="Times New Roman"/>
          <w:noProof/>
          <w:sz w:val="24"/>
          <w:szCs w:val="24"/>
          <w:lang w:eastAsia="es-ES"/>
        </w:rPr>
        <w:drawing>
          <wp:inline distT="0" distB="0" distL="0" distR="0" wp14:anchorId="119BF8DB" wp14:editId="27A6AEDE">
            <wp:extent cx="4705350" cy="2965450"/>
            <wp:effectExtent l="0" t="0" r="0" b="635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4706007" cy="296586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F227CE">
        <w:rPr>
          <w:rFonts w:ascii="Times New Roman" w:hAnsi="Times New Roman" w:cs="Times New Roman"/>
          <w:sz w:val="24"/>
          <w:szCs w:val="24"/>
          <w:lang w:val="en-US"/>
        </w:rPr>
        <w:t>Total loans and securities vis-a-vis euro area General Government reported by MFI in the euro area (stock)</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F227CE">
        <w:rPr>
          <w:rFonts w:ascii="Times New Roman" w:hAnsi="Times New Roman" w:cs="Times New Roman"/>
          <w:noProof/>
          <w:sz w:val="24"/>
          <w:szCs w:val="24"/>
          <w:lang w:eastAsia="es-ES"/>
        </w:rPr>
        <w:drawing>
          <wp:inline distT="0" distB="0" distL="0" distR="0" wp14:anchorId="327AE509" wp14:editId="2FB15BDE">
            <wp:extent cx="5264150" cy="356870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268060" cy="3571351"/>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F227CE">
        <w:rPr>
          <w:rFonts w:ascii="Times New Roman" w:hAnsi="Times New Roman" w:cs="Times New Roman"/>
          <w:sz w:val="24"/>
          <w:szCs w:val="24"/>
          <w:lang w:val="en-US"/>
        </w:rPr>
        <w:t>Total loans and securities vis-a-vis euro area General Government reported by MFI in the euro area (stock)</w:t>
      </w:r>
    </w:p>
    <w:p w:rsidR="00451026" w:rsidRDefault="00451026" w:rsidP="00451026">
      <w:pPr>
        <w:spacing w:line="240" w:lineRule="auto"/>
        <w:jc w:val="both"/>
        <w:rPr>
          <w:rFonts w:ascii="Times New Roman" w:hAnsi="Times New Roman" w:cs="Times New Roman"/>
          <w:sz w:val="24"/>
          <w:szCs w:val="24"/>
          <w:lang w:val="en-US"/>
        </w:rPr>
      </w:pPr>
      <w:r w:rsidRPr="002D1697">
        <w:rPr>
          <w:rFonts w:ascii="Times New Roman" w:hAnsi="Times New Roman" w:cs="Times New Roman"/>
          <w:sz w:val="24"/>
          <w:szCs w:val="24"/>
          <w:lang w:val="en-US"/>
        </w:rPr>
        <w:t>Euro area (changing composition), Outstanding amounts at the end of the period (stocks), Monetary and Financial Institutions (</w:t>
      </w:r>
      <w:r>
        <w:rPr>
          <w:rFonts w:ascii="Times New Roman" w:hAnsi="Times New Roman" w:cs="Times New Roman"/>
          <w:sz w:val="24"/>
          <w:szCs w:val="24"/>
          <w:lang w:val="en-US"/>
        </w:rPr>
        <w:t>MFIs) reporting sector - Loans (A20) and securities (AT1)</w:t>
      </w:r>
      <w:r w:rsidRPr="002D1697">
        <w:rPr>
          <w:rFonts w:ascii="Times New Roman" w:hAnsi="Times New Roman" w:cs="Times New Roman"/>
          <w:sz w:val="24"/>
          <w:szCs w:val="24"/>
          <w:lang w:val="en-US"/>
        </w:rPr>
        <w:t xml:space="preserve">, Total maturity, All currencies combined - Euro area (changing composition) </w:t>
      </w:r>
      <w:r w:rsidRPr="002D1697">
        <w:rPr>
          <w:rFonts w:ascii="Times New Roman" w:hAnsi="Times New Roman" w:cs="Times New Roman"/>
          <w:sz w:val="24"/>
          <w:szCs w:val="24"/>
          <w:lang w:val="en-US"/>
        </w:rPr>
        <w:lastRenderedPageBreak/>
        <w:t>counterpart, General Government sector, denominated in Euro, data Working day and seasonally adjusted</w:t>
      </w:r>
    </w:p>
    <w:p w:rsidR="00451026" w:rsidRDefault="00451026" w:rsidP="00451026">
      <w:pPr>
        <w:spacing w:line="240" w:lineRule="auto"/>
        <w:jc w:val="both"/>
        <w:rPr>
          <w:rFonts w:ascii="Times New Roman" w:hAnsi="Times New Roman" w:cs="Times New Roman"/>
          <w:sz w:val="24"/>
          <w:szCs w:val="24"/>
          <w:lang w:val="en-US"/>
        </w:rPr>
      </w:pPr>
      <w:r w:rsidRPr="002D1697">
        <w:rPr>
          <w:rFonts w:ascii="Times New Roman" w:hAnsi="Times New Roman" w:cs="Times New Roman"/>
          <w:sz w:val="24"/>
          <w:szCs w:val="24"/>
          <w:lang w:val="en-US"/>
        </w:rPr>
        <w:t>Millions of Euro</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BSI</w:t>
      </w:r>
      <w:r w:rsidRPr="002D1697">
        <w:rPr>
          <w:rFonts w:ascii="Times New Roman" w:hAnsi="Times New Roman" w:cs="Times New Roman"/>
          <w:sz w:val="24"/>
          <w:szCs w:val="24"/>
          <w:lang w:val="en-US"/>
        </w:rPr>
        <w:t>: Balance Sheet Items</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2D1697">
        <w:rPr>
          <w:rFonts w:ascii="Times New Roman" w:hAnsi="Times New Roman" w:cs="Times New Roman"/>
          <w:noProof/>
          <w:sz w:val="24"/>
          <w:szCs w:val="24"/>
          <w:lang w:eastAsia="es-ES"/>
        </w:rPr>
        <w:drawing>
          <wp:inline distT="0" distB="0" distL="0" distR="0" wp14:anchorId="651DFDFD" wp14:editId="4AA5BA29">
            <wp:extent cx="5200650" cy="2520950"/>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201376" cy="252130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2D1697">
        <w:rPr>
          <w:rFonts w:ascii="Times New Roman" w:hAnsi="Times New Roman" w:cs="Times New Roman"/>
          <w:sz w:val="24"/>
          <w:szCs w:val="24"/>
          <w:lang w:val="en-US"/>
        </w:rPr>
        <w:t>Total loans and securities vis-a-vis euro area non-MFI excl. general gov. reported by MFI in the euro area (stock)</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2D1697">
        <w:rPr>
          <w:rFonts w:ascii="Times New Roman" w:hAnsi="Times New Roman" w:cs="Times New Roman"/>
          <w:noProof/>
          <w:sz w:val="24"/>
          <w:szCs w:val="24"/>
          <w:lang w:eastAsia="es-ES"/>
        </w:rPr>
        <w:drawing>
          <wp:inline distT="0" distB="0" distL="0" distR="0" wp14:anchorId="6AFBAFA5" wp14:editId="548E2E80">
            <wp:extent cx="5194300" cy="3803650"/>
            <wp:effectExtent l="0" t="0" r="6350" b="635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201376" cy="380883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2D1697">
        <w:rPr>
          <w:rFonts w:ascii="Times New Roman" w:hAnsi="Times New Roman" w:cs="Times New Roman"/>
          <w:sz w:val="24"/>
          <w:szCs w:val="24"/>
          <w:lang w:val="en-US"/>
        </w:rPr>
        <w:t>Euro area (changing composition), Outstanding amounts at the end of the period (stocks), Monetary and Financial Institutions (</w:t>
      </w:r>
      <w:r>
        <w:rPr>
          <w:rFonts w:ascii="Times New Roman" w:hAnsi="Times New Roman" w:cs="Times New Roman"/>
          <w:sz w:val="24"/>
          <w:szCs w:val="24"/>
          <w:lang w:val="en-US"/>
        </w:rPr>
        <w:t>MFIs) reporting sector - Loans (A20) and securities (AT1)</w:t>
      </w:r>
      <w:r w:rsidRPr="002D1697">
        <w:rPr>
          <w:rFonts w:ascii="Times New Roman" w:hAnsi="Times New Roman" w:cs="Times New Roman"/>
          <w:sz w:val="24"/>
          <w:szCs w:val="24"/>
          <w:lang w:val="en-US"/>
        </w:rPr>
        <w:t xml:space="preserve">, Total maturity, All currencies combined - Euro area (changing composition) </w:t>
      </w:r>
      <w:r w:rsidRPr="002D1697">
        <w:rPr>
          <w:rFonts w:ascii="Times New Roman" w:hAnsi="Times New Roman" w:cs="Times New Roman"/>
          <w:sz w:val="24"/>
          <w:szCs w:val="24"/>
          <w:lang w:val="en-US"/>
        </w:rPr>
        <w:lastRenderedPageBreak/>
        <w:t>counterpart, Non-MFIs excluding general government sector, denominated in Euro, data Working day and seasonally adjusted</w:t>
      </w:r>
    </w:p>
    <w:p w:rsidR="00451026" w:rsidRDefault="00451026" w:rsidP="00451026">
      <w:pPr>
        <w:spacing w:line="240" w:lineRule="auto"/>
        <w:jc w:val="both"/>
        <w:rPr>
          <w:rFonts w:ascii="Times New Roman" w:hAnsi="Times New Roman" w:cs="Times New Roman"/>
          <w:sz w:val="24"/>
          <w:szCs w:val="24"/>
          <w:lang w:val="en-US"/>
        </w:rPr>
      </w:pPr>
      <w:r w:rsidRPr="002D1697">
        <w:rPr>
          <w:rFonts w:ascii="Times New Roman" w:hAnsi="Times New Roman" w:cs="Times New Roman"/>
          <w:sz w:val="24"/>
          <w:szCs w:val="24"/>
          <w:lang w:val="en-US"/>
        </w:rPr>
        <w:t>Millions of Euro</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BSI</w:t>
      </w:r>
      <w:r w:rsidRPr="002D1697">
        <w:rPr>
          <w:rFonts w:ascii="Times New Roman" w:hAnsi="Times New Roman" w:cs="Times New Roman"/>
          <w:sz w:val="24"/>
          <w:szCs w:val="24"/>
          <w:lang w:val="en-US"/>
        </w:rPr>
        <w:t xml:space="preserve">: Balance Sheet Items </w:t>
      </w:r>
      <w:r>
        <w:rPr>
          <w:rFonts w:ascii="Times New Roman" w:hAnsi="Times New Roman" w:cs="Times New Roman"/>
          <w:sz w:val="24"/>
          <w:szCs w:val="24"/>
          <w:lang w:val="en-US"/>
        </w:rPr>
        <w:t xml:space="preserve"> </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2D1697">
        <w:rPr>
          <w:rFonts w:ascii="Times New Roman" w:hAnsi="Times New Roman" w:cs="Times New Roman"/>
          <w:noProof/>
          <w:sz w:val="24"/>
          <w:szCs w:val="24"/>
          <w:lang w:eastAsia="es-ES"/>
        </w:rPr>
        <w:drawing>
          <wp:inline distT="0" distB="0" distL="0" distR="0" wp14:anchorId="27D40A22" wp14:editId="0C9581C3">
            <wp:extent cx="5167078" cy="2730500"/>
            <wp:effectExtent l="0" t="0" r="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167078" cy="2730500"/>
                    </a:xfrm>
                    <a:prstGeom prst="rect">
                      <a:avLst/>
                    </a:prstGeom>
                  </pic:spPr>
                </pic:pic>
              </a:graphicData>
            </a:graphic>
          </wp:inline>
        </w:drawing>
      </w:r>
      <w:r>
        <w:rPr>
          <w:rFonts w:ascii="Times New Roman" w:hAnsi="Times New Roman" w:cs="Times New Roman"/>
          <w:sz w:val="24"/>
          <w:szCs w:val="24"/>
          <w:lang w:val="en-US"/>
        </w:rPr>
        <w:t xml:space="preserve">  </w:t>
      </w:r>
    </w:p>
    <w:p w:rsidR="00451026" w:rsidRDefault="00451026" w:rsidP="00451026">
      <w:pPr>
        <w:spacing w:line="240" w:lineRule="auto"/>
        <w:jc w:val="both"/>
        <w:rPr>
          <w:rFonts w:ascii="Times New Roman" w:hAnsi="Times New Roman" w:cs="Times New Roman"/>
          <w:sz w:val="24"/>
          <w:szCs w:val="24"/>
          <w:lang w:val="en-US"/>
        </w:rPr>
      </w:pPr>
      <w:r w:rsidRPr="0010343A">
        <w:rPr>
          <w:rFonts w:ascii="Times New Roman" w:hAnsi="Times New Roman" w:cs="Times New Roman"/>
          <w:sz w:val="24"/>
          <w:szCs w:val="24"/>
          <w:lang w:val="en-US"/>
        </w:rPr>
        <w:t>Gross external debt</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10343A">
        <w:rPr>
          <w:rFonts w:ascii="Times New Roman" w:hAnsi="Times New Roman" w:cs="Times New Roman"/>
          <w:noProof/>
          <w:sz w:val="24"/>
          <w:szCs w:val="24"/>
          <w:lang w:eastAsia="es-ES"/>
        </w:rPr>
        <w:drawing>
          <wp:inline distT="0" distB="0" distL="0" distR="0" wp14:anchorId="35ED56AD" wp14:editId="6D230CED">
            <wp:extent cx="5130800" cy="3505200"/>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134692" cy="350785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10343A">
        <w:rPr>
          <w:rFonts w:ascii="Times New Roman" w:hAnsi="Times New Roman" w:cs="Times New Roman"/>
          <w:sz w:val="24"/>
          <w:szCs w:val="24"/>
          <w:lang w:val="en-US"/>
        </w:rPr>
        <w:t>Gross external debt</w:t>
      </w:r>
    </w:p>
    <w:p w:rsidR="00451026" w:rsidRDefault="00451026" w:rsidP="00451026">
      <w:pPr>
        <w:spacing w:line="240" w:lineRule="auto"/>
        <w:jc w:val="both"/>
        <w:rPr>
          <w:rFonts w:ascii="Times New Roman" w:hAnsi="Times New Roman" w:cs="Times New Roman"/>
          <w:sz w:val="24"/>
          <w:szCs w:val="24"/>
          <w:lang w:val="en-US"/>
        </w:rPr>
      </w:pPr>
      <w:r w:rsidRPr="0010343A">
        <w:rPr>
          <w:rFonts w:ascii="Times New Roman" w:hAnsi="Times New Roman" w:cs="Times New Roman"/>
          <w:sz w:val="24"/>
          <w:szCs w:val="24"/>
          <w:lang w:val="en-US"/>
        </w:rPr>
        <w:t>- Quarterly- Neither seasonally adjusted nor calendar adjusted data</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Euro area 19 (fixed composition) vis-a-vis Rest of the World</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sector: Total economy vis-a-vis Total economy</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Closing balance sheet/Positions/Stocks</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Liabilities (Net Incurrence of)</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Financial account</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lastRenderedPageBreak/>
        <w:t>All functional categories</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Gross external debt</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xml:space="preserve"> Euro</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All currencies</w:t>
      </w:r>
      <w:r>
        <w:rPr>
          <w:rFonts w:ascii="Times New Roman" w:hAnsi="Times New Roman" w:cs="Times New Roman"/>
          <w:sz w:val="24"/>
          <w:szCs w:val="24"/>
          <w:lang w:val="en-US"/>
        </w:rPr>
        <w:t xml:space="preserve"> </w:t>
      </w:r>
      <w:r w:rsidRPr="0010343A">
        <w:rPr>
          <w:rFonts w:ascii="Times New Roman" w:hAnsi="Times New Roman" w:cs="Times New Roman"/>
          <w:sz w:val="24"/>
          <w:szCs w:val="24"/>
          <w:lang w:val="en-US"/>
        </w:rPr>
        <w:t>- Compilation methodology based on international standards</w:t>
      </w:r>
    </w:p>
    <w:p w:rsidR="00451026" w:rsidRDefault="00451026" w:rsidP="00451026">
      <w:pPr>
        <w:spacing w:line="240" w:lineRule="auto"/>
        <w:jc w:val="both"/>
        <w:rPr>
          <w:rFonts w:ascii="Times New Roman" w:hAnsi="Times New Roman" w:cs="Times New Roman"/>
          <w:sz w:val="24"/>
          <w:szCs w:val="24"/>
          <w:lang w:val="en-US"/>
        </w:rPr>
      </w:pPr>
      <w:r w:rsidRPr="0010343A">
        <w:rPr>
          <w:rFonts w:ascii="Times New Roman" w:hAnsi="Times New Roman" w:cs="Times New Roman"/>
          <w:sz w:val="24"/>
          <w:szCs w:val="24"/>
          <w:lang w:val="en-US"/>
        </w:rPr>
        <w:t>Millions of Euro</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BP6</w:t>
      </w:r>
      <w:r w:rsidRPr="0010343A">
        <w:rPr>
          <w:rFonts w:ascii="Times New Roman" w:hAnsi="Times New Roman" w:cs="Times New Roman"/>
          <w:sz w:val="24"/>
          <w:szCs w:val="24"/>
          <w:lang w:val="en-US"/>
        </w:rPr>
        <w:t>: Balance of Payments and International Investment Position (BPM6)</w:t>
      </w:r>
      <w:r>
        <w:rPr>
          <w:rFonts w:ascii="Times New Roman" w:hAnsi="Times New Roman" w:cs="Times New Roman"/>
          <w:sz w:val="24"/>
          <w:szCs w:val="24"/>
          <w:lang w:val="en-US"/>
        </w:rPr>
        <w:t xml:space="preserve"> </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10343A">
        <w:rPr>
          <w:rFonts w:ascii="Times New Roman" w:hAnsi="Times New Roman" w:cs="Times New Roman"/>
          <w:noProof/>
          <w:sz w:val="24"/>
          <w:szCs w:val="24"/>
          <w:lang w:eastAsia="es-ES"/>
        </w:rPr>
        <w:drawing>
          <wp:inline distT="0" distB="0" distL="0" distR="0" wp14:anchorId="5DB45EA0" wp14:editId="6B9F04C0">
            <wp:extent cx="4978399" cy="2927350"/>
            <wp:effectExtent l="0" t="0" r="0" b="635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4982270" cy="2929626"/>
                    </a:xfrm>
                    <a:prstGeom prst="rect">
                      <a:avLst/>
                    </a:prstGeom>
                  </pic:spPr>
                </pic:pic>
              </a:graphicData>
            </a:graphic>
          </wp:inline>
        </w:drawing>
      </w:r>
      <w:r>
        <w:rPr>
          <w:rFonts w:ascii="Times New Roman" w:hAnsi="Times New Roman" w:cs="Times New Roman"/>
          <w:sz w:val="24"/>
          <w:szCs w:val="24"/>
          <w:lang w:val="en-US"/>
        </w:rPr>
        <w:t xml:space="preserve">    </w:t>
      </w:r>
    </w:p>
    <w:p w:rsidR="00451026" w:rsidRDefault="00451026" w:rsidP="00451026">
      <w:pPr>
        <w:spacing w:line="240" w:lineRule="auto"/>
        <w:jc w:val="both"/>
        <w:rPr>
          <w:rFonts w:ascii="Times New Roman" w:hAnsi="Times New Roman" w:cs="Times New Roman"/>
          <w:sz w:val="24"/>
          <w:szCs w:val="24"/>
          <w:lang w:val="en-US"/>
        </w:rPr>
      </w:pPr>
      <w:r w:rsidRPr="00C65A5D">
        <w:rPr>
          <w:rFonts w:ascii="Times New Roman" w:hAnsi="Times New Roman" w:cs="Times New Roman"/>
          <w:sz w:val="24"/>
          <w:szCs w:val="24"/>
          <w:lang w:val="en-US"/>
        </w:rPr>
        <w:t>Euribor 1-year - Historical close, average of observations through period</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65A5D">
        <w:rPr>
          <w:rFonts w:ascii="Times New Roman" w:hAnsi="Times New Roman" w:cs="Times New Roman"/>
          <w:noProof/>
          <w:sz w:val="24"/>
          <w:szCs w:val="24"/>
          <w:lang w:eastAsia="es-ES"/>
        </w:rPr>
        <w:drawing>
          <wp:inline distT="0" distB="0" distL="0" distR="0" wp14:anchorId="1918F25E" wp14:editId="6D16BB44">
            <wp:extent cx="5225360" cy="3835400"/>
            <wp:effectExtent l="0" t="0" r="0" b="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229955" cy="383877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C65A5D">
        <w:rPr>
          <w:rFonts w:ascii="Times New Roman" w:hAnsi="Times New Roman" w:cs="Times New Roman"/>
          <w:sz w:val="24"/>
          <w:szCs w:val="24"/>
          <w:lang w:val="en-US"/>
        </w:rPr>
        <w:t>Euribor 1-year - Historical close, average of observations through period</w:t>
      </w:r>
    </w:p>
    <w:p w:rsidR="00451026" w:rsidRDefault="00451026" w:rsidP="00451026">
      <w:pPr>
        <w:spacing w:line="240" w:lineRule="auto"/>
        <w:jc w:val="both"/>
        <w:rPr>
          <w:rFonts w:ascii="Times New Roman" w:hAnsi="Times New Roman" w:cs="Times New Roman"/>
          <w:sz w:val="24"/>
          <w:szCs w:val="24"/>
          <w:lang w:val="en-US"/>
        </w:rPr>
      </w:pPr>
      <w:r w:rsidRPr="00C65A5D">
        <w:rPr>
          <w:rFonts w:ascii="Times New Roman" w:hAnsi="Times New Roman" w:cs="Times New Roman"/>
          <w:sz w:val="24"/>
          <w:szCs w:val="24"/>
          <w:lang w:val="en-US"/>
        </w:rPr>
        <w:lastRenderedPageBreak/>
        <w:t>Euro area (changing composition) - Money Market - Euribor 1-year - Historical close, average of observations through period - Euro, provided by Reuters</w:t>
      </w:r>
    </w:p>
    <w:p w:rsidR="00451026" w:rsidRDefault="00451026" w:rsidP="00451026">
      <w:pPr>
        <w:spacing w:line="240" w:lineRule="auto"/>
        <w:jc w:val="both"/>
        <w:rPr>
          <w:rFonts w:ascii="Times New Roman" w:hAnsi="Times New Roman" w:cs="Times New Roman"/>
          <w:sz w:val="24"/>
          <w:szCs w:val="24"/>
          <w:lang w:val="en-US"/>
        </w:rPr>
      </w:pPr>
      <w:r w:rsidRPr="00C65A5D">
        <w:rPr>
          <w:rFonts w:ascii="Times New Roman" w:hAnsi="Times New Roman" w:cs="Times New Roman"/>
          <w:sz w:val="24"/>
          <w:szCs w:val="24"/>
          <w:lang w:val="en-US"/>
        </w:rPr>
        <w:t>Percent per annum</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FM</w:t>
      </w:r>
      <w:r w:rsidRPr="00C65A5D">
        <w:rPr>
          <w:rFonts w:ascii="Times New Roman" w:hAnsi="Times New Roman" w:cs="Times New Roman"/>
          <w:sz w:val="24"/>
          <w:szCs w:val="24"/>
          <w:lang w:val="en-US"/>
        </w:rPr>
        <w:t xml:space="preserve">: Financial market data </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65A5D">
        <w:rPr>
          <w:rFonts w:ascii="Times New Roman" w:hAnsi="Times New Roman" w:cs="Times New Roman"/>
          <w:noProof/>
          <w:sz w:val="24"/>
          <w:szCs w:val="24"/>
          <w:lang w:eastAsia="es-ES"/>
        </w:rPr>
        <w:drawing>
          <wp:inline distT="0" distB="0" distL="0" distR="0" wp14:anchorId="216122A1" wp14:editId="267A2FB0">
            <wp:extent cx="4919801" cy="3111500"/>
            <wp:effectExtent l="0" t="0" r="0"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925112" cy="3114859"/>
                    </a:xfrm>
                    <a:prstGeom prst="rect">
                      <a:avLst/>
                    </a:prstGeom>
                  </pic:spPr>
                </pic:pic>
              </a:graphicData>
            </a:graphic>
          </wp:inline>
        </w:drawing>
      </w:r>
      <w:r>
        <w:rPr>
          <w:rFonts w:ascii="Times New Roman" w:hAnsi="Times New Roman" w:cs="Times New Roman"/>
          <w:sz w:val="24"/>
          <w:szCs w:val="24"/>
          <w:lang w:val="en-US"/>
        </w:rPr>
        <w:t xml:space="preserve"> </w:t>
      </w:r>
    </w:p>
    <w:p w:rsidR="00451026" w:rsidRDefault="00451026" w:rsidP="00451026">
      <w:pPr>
        <w:spacing w:line="240" w:lineRule="auto"/>
        <w:jc w:val="both"/>
        <w:rPr>
          <w:rFonts w:ascii="Times New Roman" w:hAnsi="Times New Roman" w:cs="Times New Roman"/>
          <w:sz w:val="24"/>
          <w:szCs w:val="24"/>
          <w:lang w:val="en-US"/>
        </w:rPr>
      </w:pPr>
      <w:r w:rsidRPr="00C65A5D">
        <w:rPr>
          <w:rFonts w:ascii="Times New Roman" w:hAnsi="Times New Roman" w:cs="Times New Roman"/>
          <w:sz w:val="24"/>
          <w:szCs w:val="24"/>
          <w:lang w:val="en-US"/>
        </w:rPr>
        <w:t xml:space="preserve">Euro area 10-year Government Benchmark bond yield </w:t>
      </w:r>
      <w:r>
        <w:rPr>
          <w:rFonts w:ascii="Times New Roman" w:hAnsi="Times New Roman" w:cs="Times New Roman"/>
          <w:sz w:val="24"/>
          <w:szCs w:val="24"/>
          <w:lang w:val="en-US"/>
        </w:rPr>
        <w:t>-</w:t>
      </w:r>
      <w:r w:rsidRPr="00C65A5D">
        <w:rPr>
          <w:rFonts w:ascii="Times New Roman" w:hAnsi="Times New Roman" w:cs="Times New Roman"/>
          <w:sz w:val="24"/>
          <w:szCs w:val="24"/>
          <w:lang w:val="en-US"/>
        </w:rPr>
        <w:t xml:space="preserve"> Yield</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65A5D">
        <w:rPr>
          <w:rFonts w:ascii="Times New Roman" w:hAnsi="Times New Roman" w:cs="Times New Roman"/>
          <w:noProof/>
          <w:sz w:val="24"/>
          <w:szCs w:val="24"/>
          <w:lang w:eastAsia="es-ES"/>
        </w:rPr>
        <w:drawing>
          <wp:inline distT="0" distB="0" distL="0" distR="0" wp14:anchorId="4CE94E16" wp14:editId="2D658FD7">
            <wp:extent cx="5245100" cy="3987800"/>
            <wp:effectExtent l="0" t="0" r="0"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249008" cy="3990771"/>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C65A5D">
        <w:rPr>
          <w:rFonts w:ascii="Times New Roman" w:hAnsi="Times New Roman" w:cs="Times New Roman"/>
          <w:sz w:val="24"/>
          <w:szCs w:val="24"/>
          <w:lang w:val="en-US"/>
        </w:rPr>
        <w:lastRenderedPageBreak/>
        <w:t>Euro area (changing composition) - Benchmark bond - Euro area 10-year Government Benchmark bond yield - Yield - Euro, provided by ECB</w:t>
      </w:r>
    </w:p>
    <w:p w:rsidR="00451026" w:rsidRDefault="00451026" w:rsidP="00451026">
      <w:pPr>
        <w:spacing w:line="240" w:lineRule="auto"/>
        <w:jc w:val="both"/>
        <w:rPr>
          <w:rFonts w:ascii="Times New Roman" w:hAnsi="Times New Roman" w:cs="Times New Roman"/>
          <w:sz w:val="24"/>
          <w:szCs w:val="24"/>
          <w:lang w:val="en-US"/>
        </w:rPr>
      </w:pPr>
      <w:r w:rsidRPr="00C65A5D">
        <w:rPr>
          <w:rFonts w:ascii="Times New Roman" w:hAnsi="Times New Roman" w:cs="Times New Roman"/>
          <w:sz w:val="24"/>
          <w:szCs w:val="24"/>
          <w:lang w:val="en-US"/>
        </w:rPr>
        <w:t>Percent per annum</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FM</w:t>
      </w:r>
      <w:r w:rsidRPr="00C65A5D">
        <w:rPr>
          <w:rFonts w:ascii="Times New Roman" w:hAnsi="Times New Roman" w:cs="Times New Roman"/>
          <w:sz w:val="24"/>
          <w:szCs w:val="24"/>
          <w:lang w:val="en-US"/>
        </w:rPr>
        <w:t>: Financial market data</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65A5D">
        <w:rPr>
          <w:rFonts w:ascii="Times New Roman" w:hAnsi="Times New Roman" w:cs="Times New Roman"/>
          <w:noProof/>
          <w:sz w:val="24"/>
          <w:szCs w:val="24"/>
          <w:lang w:eastAsia="es-ES"/>
        </w:rPr>
        <w:drawing>
          <wp:inline distT="0" distB="0" distL="0" distR="0" wp14:anchorId="2DB0AD2A" wp14:editId="6DEFE30C">
            <wp:extent cx="4972050" cy="3086100"/>
            <wp:effectExtent l="0" t="0" r="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4972744" cy="3086531"/>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BB000B">
        <w:rPr>
          <w:rFonts w:ascii="Times New Roman" w:hAnsi="Times New Roman" w:cs="Times New Roman"/>
          <w:sz w:val="24"/>
          <w:szCs w:val="24"/>
          <w:lang w:val="en-US"/>
        </w:rPr>
        <w:t>Current account</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BB000B">
        <w:rPr>
          <w:rFonts w:ascii="Times New Roman" w:hAnsi="Times New Roman" w:cs="Times New Roman"/>
          <w:noProof/>
          <w:sz w:val="24"/>
          <w:szCs w:val="24"/>
          <w:lang w:eastAsia="es-ES"/>
        </w:rPr>
        <w:drawing>
          <wp:inline distT="0" distB="0" distL="0" distR="0" wp14:anchorId="6E6180C2" wp14:editId="2D9585CB">
            <wp:extent cx="5206290" cy="3771900"/>
            <wp:effectExtent l="0" t="0" r="0"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210902" cy="3775241"/>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BB000B">
        <w:rPr>
          <w:rFonts w:ascii="Times New Roman" w:hAnsi="Times New Roman" w:cs="Times New Roman"/>
          <w:sz w:val="24"/>
          <w:szCs w:val="24"/>
          <w:lang w:val="en-US"/>
        </w:rPr>
        <w:t>Current account</w:t>
      </w:r>
    </w:p>
    <w:p w:rsidR="00451026" w:rsidRDefault="00451026" w:rsidP="00451026">
      <w:pPr>
        <w:spacing w:line="240" w:lineRule="auto"/>
        <w:jc w:val="both"/>
        <w:rPr>
          <w:rFonts w:ascii="Times New Roman" w:hAnsi="Times New Roman" w:cs="Times New Roman"/>
          <w:sz w:val="24"/>
          <w:szCs w:val="24"/>
          <w:lang w:val="en-US"/>
        </w:rPr>
      </w:pPr>
      <w:r w:rsidRPr="00BB000B">
        <w:rPr>
          <w:rFonts w:ascii="Times New Roman" w:hAnsi="Times New Roman" w:cs="Times New Roman"/>
          <w:sz w:val="24"/>
          <w:szCs w:val="24"/>
          <w:lang w:val="en-US"/>
        </w:rPr>
        <w:lastRenderedPageBreak/>
        <w:t>- Monthly- Calendar and seasonally adjusted data- Euro area 19 (fixed composition) vis-a-vis Rest of the World- sector: Total economy vis-a-vis Total economy</w:t>
      </w:r>
      <w:r>
        <w:rPr>
          <w:rFonts w:ascii="Times New Roman" w:hAnsi="Times New Roman" w:cs="Times New Roman"/>
          <w:sz w:val="24"/>
          <w:szCs w:val="24"/>
          <w:lang w:val="en-US"/>
        </w:rPr>
        <w:t xml:space="preserve"> -</w:t>
      </w:r>
      <w:r w:rsidRPr="00BB000B">
        <w:rPr>
          <w:rFonts w:ascii="Times New Roman" w:hAnsi="Times New Roman" w:cs="Times New Roman"/>
          <w:sz w:val="24"/>
          <w:szCs w:val="24"/>
          <w:lang w:val="en-US"/>
        </w:rPr>
        <w:t xml:space="preserve"> Transactions</w:t>
      </w:r>
      <w:r>
        <w:rPr>
          <w:rFonts w:ascii="Times New Roman" w:hAnsi="Times New Roman" w:cs="Times New Roman"/>
          <w:sz w:val="24"/>
          <w:szCs w:val="24"/>
          <w:lang w:val="en-US"/>
        </w:rPr>
        <w:t xml:space="preserve"> </w:t>
      </w:r>
      <w:r w:rsidRPr="00BB000B">
        <w:rPr>
          <w:rFonts w:ascii="Times New Roman" w:hAnsi="Times New Roman" w:cs="Times New Roman"/>
          <w:sz w:val="24"/>
          <w:szCs w:val="24"/>
          <w:lang w:val="en-US"/>
        </w:rPr>
        <w:t>- Balance (Credits minus Debits)</w:t>
      </w:r>
      <w:r>
        <w:rPr>
          <w:rFonts w:ascii="Times New Roman" w:hAnsi="Times New Roman" w:cs="Times New Roman"/>
          <w:sz w:val="24"/>
          <w:szCs w:val="24"/>
          <w:lang w:val="en-US"/>
        </w:rPr>
        <w:t xml:space="preserve"> </w:t>
      </w:r>
      <w:r w:rsidRPr="00BB000B">
        <w:rPr>
          <w:rFonts w:ascii="Times New Roman" w:hAnsi="Times New Roman" w:cs="Times New Roman"/>
          <w:sz w:val="24"/>
          <w:szCs w:val="24"/>
          <w:lang w:val="en-US"/>
        </w:rPr>
        <w:t>- Current account</w:t>
      </w:r>
      <w:r>
        <w:rPr>
          <w:rFonts w:ascii="Times New Roman" w:hAnsi="Times New Roman" w:cs="Times New Roman"/>
          <w:sz w:val="24"/>
          <w:szCs w:val="24"/>
          <w:lang w:val="en-US"/>
        </w:rPr>
        <w:t xml:space="preserve"> –</w:t>
      </w:r>
      <w:r w:rsidRPr="00BB000B">
        <w:rPr>
          <w:rFonts w:ascii="Times New Roman" w:hAnsi="Times New Roman" w:cs="Times New Roman"/>
          <w:sz w:val="24"/>
          <w:szCs w:val="24"/>
          <w:lang w:val="en-US"/>
        </w:rPr>
        <w:t xml:space="preserve"> Euro</w:t>
      </w:r>
      <w:r>
        <w:rPr>
          <w:rFonts w:ascii="Times New Roman" w:hAnsi="Times New Roman" w:cs="Times New Roman"/>
          <w:sz w:val="24"/>
          <w:szCs w:val="24"/>
          <w:lang w:val="en-US"/>
        </w:rPr>
        <w:t xml:space="preserve"> </w:t>
      </w:r>
      <w:r w:rsidRPr="00BB000B">
        <w:rPr>
          <w:rFonts w:ascii="Times New Roman" w:hAnsi="Times New Roman" w:cs="Times New Roman"/>
          <w:sz w:val="24"/>
          <w:szCs w:val="24"/>
          <w:lang w:val="en-US"/>
        </w:rPr>
        <w:t>- All currencies</w:t>
      </w:r>
      <w:r>
        <w:rPr>
          <w:rFonts w:ascii="Times New Roman" w:hAnsi="Times New Roman" w:cs="Times New Roman"/>
          <w:sz w:val="24"/>
          <w:szCs w:val="24"/>
          <w:lang w:val="en-US"/>
        </w:rPr>
        <w:t xml:space="preserve"> </w:t>
      </w:r>
      <w:r w:rsidRPr="00BB000B">
        <w:rPr>
          <w:rFonts w:ascii="Times New Roman" w:hAnsi="Times New Roman" w:cs="Times New Roman"/>
          <w:sz w:val="24"/>
          <w:szCs w:val="24"/>
          <w:lang w:val="en-US"/>
        </w:rPr>
        <w:t>- Compilation methodology based on international standards</w:t>
      </w:r>
    </w:p>
    <w:p w:rsidR="00451026" w:rsidRDefault="00451026" w:rsidP="00451026">
      <w:pPr>
        <w:spacing w:line="240" w:lineRule="auto"/>
        <w:jc w:val="both"/>
        <w:rPr>
          <w:rFonts w:ascii="Times New Roman" w:hAnsi="Times New Roman" w:cs="Times New Roman"/>
          <w:sz w:val="24"/>
          <w:szCs w:val="24"/>
          <w:lang w:val="en-US"/>
        </w:rPr>
      </w:pPr>
      <w:r w:rsidRPr="00BB000B">
        <w:rPr>
          <w:rFonts w:ascii="Times New Roman" w:hAnsi="Times New Roman" w:cs="Times New Roman"/>
          <w:sz w:val="24"/>
          <w:szCs w:val="24"/>
          <w:lang w:val="en-US"/>
        </w:rPr>
        <w:t>Millions of Euro</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BP6</w:t>
      </w:r>
      <w:r w:rsidRPr="00BB000B">
        <w:rPr>
          <w:rFonts w:ascii="Times New Roman" w:hAnsi="Times New Roman" w:cs="Times New Roman"/>
          <w:sz w:val="24"/>
          <w:szCs w:val="24"/>
          <w:lang w:val="en-US"/>
        </w:rPr>
        <w:t>: Balance of Payments and International Investment Position (BPM6)</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BB000B">
        <w:rPr>
          <w:rFonts w:ascii="Times New Roman" w:hAnsi="Times New Roman" w:cs="Times New Roman"/>
          <w:noProof/>
          <w:sz w:val="24"/>
          <w:szCs w:val="24"/>
          <w:lang w:eastAsia="es-ES"/>
        </w:rPr>
        <w:drawing>
          <wp:inline distT="0" distB="0" distL="0" distR="0" wp14:anchorId="1976E395" wp14:editId="01057910">
            <wp:extent cx="5073650" cy="2908300"/>
            <wp:effectExtent l="0" t="0" r="0" b="635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077534" cy="291052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446772">
        <w:rPr>
          <w:rFonts w:ascii="Times New Roman" w:hAnsi="Times New Roman" w:cs="Times New Roman"/>
          <w:sz w:val="24"/>
          <w:szCs w:val="24"/>
          <w:lang w:val="en-US"/>
        </w:rPr>
        <w:t>Euro area current account as percentage of GDP</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46772">
        <w:rPr>
          <w:rFonts w:ascii="Times New Roman" w:hAnsi="Times New Roman" w:cs="Times New Roman"/>
          <w:noProof/>
          <w:sz w:val="24"/>
          <w:szCs w:val="24"/>
          <w:lang w:eastAsia="es-ES"/>
        </w:rPr>
        <w:drawing>
          <wp:inline distT="0" distB="0" distL="0" distR="0" wp14:anchorId="4FE3A916" wp14:editId="6BDA9325">
            <wp:extent cx="5244414" cy="4013200"/>
            <wp:effectExtent l="0" t="0" r="0" b="635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249008" cy="401671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446772">
        <w:rPr>
          <w:rFonts w:ascii="Times New Roman" w:hAnsi="Times New Roman" w:cs="Times New Roman"/>
          <w:sz w:val="24"/>
          <w:szCs w:val="24"/>
          <w:lang w:val="en-US"/>
        </w:rPr>
        <w:lastRenderedPageBreak/>
        <w:t>Euro area current account as percentage of GDP</w:t>
      </w:r>
    </w:p>
    <w:p w:rsidR="00451026" w:rsidRDefault="00451026" w:rsidP="00451026">
      <w:pPr>
        <w:spacing w:line="240" w:lineRule="auto"/>
        <w:jc w:val="both"/>
        <w:rPr>
          <w:rFonts w:ascii="Times New Roman" w:hAnsi="Times New Roman" w:cs="Times New Roman"/>
          <w:sz w:val="24"/>
          <w:szCs w:val="24"/>
          <w:lang w:val="en-US"/>
        </w:rPr>
      </w:pPr>
      <w:r w:rsidRPr="00446772">
        <w:rPr>
          <w:rFonts w:ascii="Times New Roman" w:hAnsi="Times New Roman" w:cs="Times New Roman"/>
          <w:sz w:val="24"/>
          <w:szCs w:val="24"/>
          <w:lang w:val="en-US"/>
        </w:rPr>
        <w:t>Euro area 19 (fixed composition), Current account balance, Percentage of GDP - ECB, Neither seasonally nor working day adjusted</w:t>
      </w:r>
    </w:p>
    <w:p w:rsidR="00451026" w:rsidRDefault="00451026" w:rsidP="00451026">
      <w:pPr>
        <w:spacing w:line="240" w:lineRule="auto"/>
        <w:jc w:val="both"/>
        <w:rPr>
          <w:rFonts w:ascii="Times New Roman" w:hAnsi="Times New Roman" w:cs="Times New Roman"/>
          <w:sz w:val="24"/>
          <w:szCs w:val="24"/>
          <w:lang w:val="en-US"/>
        </w:rPr>
      </w:pPr>
      <w:r w:rsidRPr="00446772">
        <w:rPr>
          <w:rFonts w:ascii="Times New Roman" w:hAnsi="Times New Roman" w:cs="Times New Roman"/>
          <w:sz w:val="24"/>
          <w:szCs w:val="24"/>
          <w:lang w:val="en-US"/>
        </w:rPr>
        <w:t>Percent</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46772">
        <w:rPr>
          <w:rFonts w:ascii="Times New Roman" w:hAnsi="Times New Roman" w:cs="Times New Roman"/>
          <w:noProof/>
          <w:sz w:val="24"/>
          <w:szCs w:val="24"/>
          <w:lang w:eastAsia="es-ES"/>
        </w:rPr>
        <w:drawing>
          <wp:inline distT="0" distB="0" distL="0" distR="0" wp14:anchorId="0E0C3B04" wp14:editId="0640CF90">
            <wp:extent cx="5172076" cy="3054350"/>
            <wp:effectExtent l="0" t="0" r="9525"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172797" cy="305477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t>Official reserve assets</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7E2108">
        <w:rPr>
          <w:rFonts w:ascii="Times New Roman" w:hAnsi="Times New Roman" w:cs="Times New Roman"/>
          <w:noProof/>
          <w:sz w:val="24"/>
          <w:szCs w:val="24"/>
          <w:lang w:eastAsia="es-ES"/>
        </w:rPr>
        <w:drawing>
          <wp:inline distT="0" distB="0" distL="0" distR="0" wp14:anchorId="7586EC72" wp14:editId="5429C88D">
            <wp:extent cx="5086350" cy="3486150"/>
            <wp:effectExtent l="0" t="0" r="0"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087060" cy="348663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t>Official reserve assets</w:t>
      </w: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t>Monthly- Neither seasonally adjusted nor calendar adjusted data- Euro area (Member States and Institutions of the Euro Area) changing composition vis-a-vis Rest of the World</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xml:space="preserve">- sector: </w:t>
      </w:r>
      <w:r w:rsidRPr="007E2108">
        <w:rPr>
          <w:rFonts w:ascii="Times New Roman" w:hAnsi="Times New Roman" w:cs="Times New Roman"/>
          <w:sz w:val="24"/>
          <w:szCs w:val="24"/>
          <w:lang w:val="en-US"/>
        </w:rPr>
        <w:lastRenderedPageBreak/>
        <w:t>Central bank vis-a-vis Total economy</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Closing balance sheet/Positions/Stocks</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Assets (Net Acquisition of)</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Financial account</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Reserve Assets</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Total financial assets/liabilities</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Euro- Euro</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All currencies except national currency</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Compilation methodology based on international standards</w:t>
      </w: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t>Millions of Euro</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RA6</w:t>
      </w:r>
      <w:r w:rsidRPr="007E2108">
        <w:rPr>
          <w:rFonts w:ascii="Times New Roman" w:hAnsi="Times New Roman" w:cs="Times New Roman"/>
          <w:sz w:val="24"/>
          <w:szCs w:val="24"/>
          <w:lang w:val="en-US"/>
        </w:rPr>
        <w:t>: International Reserves of the Eurosystem (BPM6)</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7E2108">
        <w:rPr>
          <w:rFonts w:ascii="Times New Roman" w:hAnsi="Times New Roman" w:cs="Times New Roman"/>
          <w:noProof/>
          <w:sz w:val="24"/>
          <w:szCs w:val="24"/>
          <w:lang w:eastAsia="es-ES"/>
        </w:rPr>
        <w:drawing>
          <wp:inline distT="0" distB="0" distL="0" distR="0" wp14:anchorId="114C93CD" wp14:editId="41CEE5FB">
            <wp:extent cx="4895850" cy="2730500"/>
            <wp:effectExtent l="0" t="0" r="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4895850" cy="273050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t>Monetary gold</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7E2108">
        <w:rPr>
          <w:rFonts w:ascii="Times New Roman" w:hAnsi="Times New Roman" w:cs="Times New Roman"/>
          <w:noProof/>
          <w:sz w:val="24"/>
          <w:szCs w:val="24"/>
          <w:lang w:eastAsia="es-ES"/>
        </w:rPr>
        <w:drawing>
          <wp:inline distT="0" distB="0" distL="0" distR="0" wp14:anchorId="3C05C5D9" wp14:editId="4483FBCF">
            <wp:extent cx="5082540" cy="3695700"/>
            <wp:effectExtent l="0" t="0" r="3810" b="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087060" cy="369898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lastRenderedPageBreak/>
        <w:t>Monetary gold</w:t>
      </w: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t>Monthly- Neither seasonally adjusted nor calendar adjusted data- Euro area (Member States and Institutions of the Euro Area) changing composition vis-a-vis Rest of the World</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sector: Central bank vis-a-vis Total economy</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Closing balance sheet/Positions/Stocks</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Assets (Net Acquisition of)</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Financial account</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Reserve Assets</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Monetary gold</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xml:space="preserve"> Euro</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xml:space="preserve"> Euro</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Gold- Market value</w:t>
      </w:r>
      <w:r>
        <w:rPr>
          <w:rFonts w:ascii="Times New Roman" w:hAnsi="Times New Roman" w:cs="Times New Roman"/>
          <w:sz w:val="24"/>
          <w:szCs w:val="24"/>
          <w:lang w:val="en-US"/>
        </w:rPr>
        <w:t xml:space="preserve"> </w:t>
      </w:r>
      <w:r w:rsidRPr="007E2108">
        <w:rPr>
          <w:rFonts w:ascii="Times New Roman" w:hAnsi="Times New Roman" w:cs="Times New Roman"/>
          <w:sz w:val="24"/>
          <w:szCs w:val="24"/>
          <w:lang w:val="en-US"/>
        </w:rPr>
        <w:t>- Compilation methodology based on international standards</w:t>
      </w:r>
    </w:p>
    <w:p w:rsidR="00451026" w:rsidRDefault="00451026" w:rsidP="00451026">
      <w:pPr>
        <w:spacing w:line="240" w:lineRule="auto"/>
        <w:jc w:val="both"/>
        <w:rPr>
          <w:rFonts w:ascii="Times New Roman" w:hAnsi="Times New Roman" w:cs="Times New Roman"/>
          <w:sz w:val="24"/>
          <w:szCs w:val="24"/>
          <w:lang w:val="en-US"/>
        </w:rPr>
      </w:pPr>
      <w:r w:rsidRPr="007E2108">
        <w:rPr>
          <w:rFonts w:ascii="Times New Roman" w:hAnsi="Times New Roman" w:cs="Times New Roman"/>
          <w:sz w:val="24"/>
          <w:szCs w:val="24"/>
          <w:lang w:val="en-US"/>
        </w:rPr>
        <w:t>Millions of Euro</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RA6</w:t>
      </w:r>
      <w:r w:rsidRPr="007E2108">
        <w:rPr>
          <w:rFonts w:ascii="Times New Roman" w:hAnsi="Times New Roman" w:cs="Times New Roman"/>
          <w:sz w:val="24"/>
          <w:szCs w:val="24"/>
          <w:lang w:val="en-US"/>
        </w:rPr>
        <w:t>: International Reserves of the Eurosystem (BPM6)</w:t>
      </w:r>
    </w:p>
    <w:p w:rsidR="00451026" w:rsidRDefault="00451026" w:rsidP="0045102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7E2108">
        <w:rPr>
          <w:rFonts w:ascii="Times New Roman" w:hAnsi="Times New Roman" w:cs="Times New Roman"/>
          <w:noProof/>
          <w:sz w:val="24"/>
          <w:szCs w:val="24"/>
          <w:lang w:eastAsia="es-ES"/>
        </w:rPr>
        <w:drawing>
          <wp:inline distT="0" distB="0" distL="0" distR="0" wp14:anchorId="0683625C" wp14:editId="796109C8">
            <wp:extent cx="5010149" cy="2813050"/>
            <wp:effectExtent l="0" t="0" r="635" b="635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5010849" cy="2813443"/>
                    </a:xfrm>
                    <a:prstGeom prst="rect">
                      <a:avLst/>
                    </a:prstGeom>
                  </pic:spPr>
                </pic:pic>
              </a:graphicData>
            </a:graphic>
          </wp:inline>
        </w:drawing>
      </w:r>
    </w:p>
    <w:p w:rsidR="00451026" w:rsidRPr="0010343A" w:rsidRDefault="00451026" w:rsidP="00451026">
      <w:pPr>
        <w:shd w:val="clear" w:color="auto" w:fill="FFFFFF"/>
        <w:spacing w:before="195" w:after="375" w:line="240" w:lineRule="auto"/>
        <w:jc w:val="both"/>
        <w:textAlignment w:val="baseline"/>
        <w:outlineLvl w:val="0"/>
        <w:rPr>
          <w:rFonts w:ascii="Times New Roman" w:eastAsia="Times New Roman" w:hAnsi="Times New Roman" w:cs="Times New Roman"/>
          <w:b/>
          <w:bCs/>
          <w:kern w:val="36"/>
          <w:sz w:val="24"/>
          <w:szCs w:val="24"/>
          <w:lang w:val="en-US" w:eastAsia="es-ES"/>
        </w:rPr>
      </w:pPr>
      <w:r w:rsidRPr="0010343A">
        <w:rPr>
          <w:rFonts w:ascii="Times New Roman" w:eastAsia="Times New Roman" w:hAnsi="Times New Roman" w:cs="Times New Roman"/>
          <w:b/>
          <w:bCs/>
          <w:kern w:val="36"/>
          <w:sz w:val="24"/>
          <w:szCs w:val="24"/>
          <w:lang w:val="en-US" w:eastAsia="es-ES"/>
        </w:rPr>
        <w:t>Monetary policy decisions</w:t>
      </w:r>
    </w:p>
    <w:p w:rsidR="00451026" w:rsidRPr="0010343A" w:rsidRDefault="00451026" w:rsidP="00451026">
      <w:pPr>
        <w:shd w:val="clear" w:color="auto" w:fill="FFFFFF"/>
        <w:spacing w:before="300"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The main objective of the ECB is to maintain price stability in the euro area. To this end</w:t>
      </w:r>
      <w:r>
        <w:rPr>
          <w:rFonts w:ascii="Times New Roman" w:eastAsia="Times New Roman" w:hAnsi="Times New Roman" w:cs="Times New Roman"/>
          <w:sz w:val="24"/>
          <w:szCs w:val="24"/>
          <w:lang w:val="en-US" w:eastAsia="es-ES"/>
        </w:rPr>
        <w:t>, the ECB uses interest rates -</w:t>
      </w:r>
      <w:r w:rsidRPr="0010343A">
        <w:rPr>
          <w:rFonts w:ascii="Times New Roman" w:eastAsia="Times New Roman" w:hAnsi="Times New Roman" w:cs="Times New Roman"/>
          <w:sz w:val="24"/>
          <w:szCs w:val="24"/>
          <w:lang w:val="en-US" w:eastAsia="es-ES"/>
        </w:rPr>
        <w:t xml:space="preserve">and since </w:t>
      </w:r>
      <w:r>
        <w:rPr>
          <w:rFonts w:ascii="Times New Roman" w:eastAsia="Times New Roman" w:hAnsi="Times New Roman" w:cs="Times New Roman"/>
          <w:sz w:val="24"/>
          <w:szCs w:val="24"/>
          <w:lang w:val="en-US" w:eastAsia="es-ES"/>
        </w:rPr>
        <w:t>the crisis also other measures-</w:t>
      </w:r>
      <w:r w:rsidRPr="0010343A">
        <w:rPr>
          <w:rFonts w:ascii="Times New Roman" w:eastAsia="Times New Roman" w:hAnsi="Times New Roman" w:cs="Times New Roman"/>
          <w:sz w:val="24"/>
          <w:szCs w:val="24"/>
          <w:lang w:val="en-US" w:eastAsia="es-ES"/>
        </w:rPr>
        <w:t xml:space="preserve"> to affect financing conditions in the economy. By steering financing conditions, the ECB can influence the overall level of activity in the economy and can ensure that the inflation aim is met.</w:t>
      </w:r>
    </w:p>
    <w:p w:rsidR="00451026" w:rsidRPr="0010343A" w:rsidRDefault="00451026" w:rsidP="00451026">
      <w:pPr>
        <w:shd w:val="clear" w:color="auto" w:fill="FFFFFF"/>
        <w:spacing w:before="300" w:after="195" w:line="240" w:lineRule="auto"/>
        <w:jc w:val="both"/>
        <w:textAlignment w:val="baseline"/>
        <w:outlineLvl w:val="1"/>
        <w:rPr>
          <w:rFonts w:ascii="Times New Roman" w:eastAsia="Times New Roman" w:hAnsi="Times New Roman" w:cs="Times New Roman"/>
          <w:b/>
          <w:bCs/>
          <w:sz w:val="24"/>
          <w:szCs w:val="24"/>
          <w:lang w:val="en-US" w:eastAsia="es-ES"/>
        </w:rPr>
      </w:pPr>
      <w:r w:rsidRPr="0010343A">
        <w:rPr>
          <w:rFonts w:ascii="Times New Roman" w:eastAsia="Times New Roman" w:hAnsi="Times New Roman" w:cs="Times New Roman"/>
          <w:b/>
          <w:bCs/>
          <w:sz w:val="24"/>
          <w:szCs w:val="24"/>
          <w:lang w:val="en-US" w:eastAsia="es-ES"/>
        </w:rPr>
        <w:t>Key interest rates</w:t>
      </w:r>
    </w:p>
    <w:p w:rsidR="00451026" w:rsidRPr="0010343A" w:rsidRDefault="00451026" w:rsidP="00451026">
      <w:pPr>
        <w:shd w:val="clear" w:color="auto" w:fill="FFFFFF"/>
        <w:spacing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The Governing Council of the ECB sets three key interest rates.</w:t>
      </w:r>
    </w:p>
    <w:p w:rsidR="00451026" w:rsidRPr="0010343A" w:rsidRDefault="00451026" w:rsidP="00451026">
      <w:pPr>
        <w:numPr>
          <w:ilvl w:val="0"/>
          <w:numId w:val="13"/>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The interest rate on the </w:t>
      </w:r>
      <w:r w:rsidRPr="0010343A">
        <w:rPr>
          <w:rFonts w:ascii="Times New Roman" w:eastAsia="Times New Roman" w:hAnsi="Times New Roman" w:cs="Times New Roman"/>
          <w:b/>
          <w:bCs/>
          <w:sz w:val="24"/>
          <w:szCs w:val="24"/>
          <w:bdr w:val="none" w:sz="0" w:space="0" w:color="auto" w:frame="1"/>
          <w:lang w:val="en-US" w:eastAsia="es-ES"/>
        </w:rPr>
        <w:t>main refinancing operations</w:t>
      </w:r>
      <w:r w:rsidRPr="0010343A">
        <w:rPr>
          <w:rFonts w:ascii="Times New Roman" w:eastAsia="Times New Roman" w:hAnsi="Times New Roman" w:cs="Times New Roman"/>
          <w:sz w:val="24"/>
          <w:szCs w:val="24"/>
          <w:lang w:val="en-US" w:eastAsia="es-ES"/>
        </w:rPr>
        <w:t>. In these operations banks can borrow liquidity from the Eurosystem against collateral on a weekly basis, at a pre-determined interest rate.</w:t>
      </w:r>
    </w:p>
    <w:p w:rsidR="00451026" w:rsidRPr="0010343A" w:rsidRDefault="00451026" w:rsidP="00451026">
      <w:pPr>
        <w:numPr>
          <w:ilvl w:val="0"/>
          <w:numId w:val="13"/>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The rate on the </w:t>
      </w:r>
      <w:r w:rsidRPr="0010343A">
        <w:rPr>
          <w:rFonts w:ascii="Times New Roman" w:eastAsia="Times New Roman" w:hAnsi="Times New Roman" w:cs="Times New Roman"/>
          <w:b/>
          <w:bCs/>
          <w:sz w:val="24"/>
          <w:szCs w:val="24"/>
          <w:bdr w:val="none" w:sz="0" w:space="0" w:color="auto" w:frame="1"/>
          <w:lang w:val="en-US" w:eastAsia="es-ES"/>
        </w:rPr>
        <w:t>deposit facility</w:t>
      </w:r>
      <w:r w:rsidRPr="0010343A">
        <w:rPr>
          <w:rFonts w:ascii="Times New Roman" w:eastAsia="Times New Roman" w:hAnsi="Times New Roman" w:cs="Times New Roman"/>
          <w:sz w:val="24"/>
          <w:szCs w:val="24"/>
          <w:lang w:val="en-US" w:eastAsia="es-ES"/>
        </w:rPr>
        <w:t>, which banks may use to make overnight deposits with the Eurosystem at a (pre-set) rate lower than the main refinancing operations rate.</w:t>
      </w:r>
    </w:p>
    <w:p w:rsidR="00451026" w:rsidRPr="0010343A" w:rsidRDefault="00451026" w:rsidP="00451026">
      <w:pPr>
        <w:numPr>
          <w:ilvl w:val="0"/>
          <w:numId w:val="13"/>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The rate on the </w:t>
      </w:r>
      <w:r w:rsidRPr="0010343A">
        <w:rPr>
          <w:rFonts w:ascii="Times New Roman" w:eastAsia="Times New Roman" w:hAnsi="Times New Roman" w:cs="Times New Roman"/>
          <w:b/>
          <w:bCs/>
          <w:sz w:val="24"/>
          <w:szCs w:val="24"/>
          <w:bdr w:val="none" w:sz="0" w:space="0" w:color="auto" w:frame="1"/>
          <w:lang w:val="en-US" w:eastAsia="es-ES"/>
        </w:rPr>
        <w:t>marginal lending facility</w:t>
      </w:r>
      <w:r w:rsidRPr="0010343A">
        <w:rPr>
          <w:rFonts w:ascii="Times New Roman" w:eastAsia="Times New Roman" w:hAnsi="Times New Roman" w:cs="Times New Roman"/>
          <w:sz w:val="24"/>
          <w:szCs w:val="24"/>
          <w:lang w:val="en-US" w:eastAsia="es-ES"/>
        </w:rPr>
        <w:t>, which offers overnight credit to banks from the Eurosystem at an interest rate (also pre-set) above the main refinancing operations rate.</w:t>
      </w:r>
    </w:p>
    <w:p w:rsidR="00451026" w:rsidRPr="0010343A" w:rsidRDefault="00451026" w:rsidP="00451026">
      <w:pPr>
        <w:shd w:val="clear" w:color="auto" w:fill="FFFFFF"/>
        <w:spacing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The rate on the deposit facility and the rate on the marginal lending facility define a corridor for the overnight interest rate at which banks lend to each other. The deposit facility rate acts as the floor of this corridor and the marginal lending facility acts as the ceiling.</w:t>
      </w:r>
    </w:p>
    <w:p w:rsidR="00451026" w:rsidRPr="0010343A" w:rsidRDefault="00451026" w:rsidP="00451026">
      <w:pPr>
        <w:shd w:val="clear" w:color="auto" w:fill="FFFFFF"/>
        <w:spacing w:before="300" w:after="195" w:line="240" w:lineRule="auto"/>
        <w:jc w:val="both"/>
        <w:textAlignment w:val="baseline"/>
        <w:outlineLvl w:val="1"/>
        <w:rPr>
          <w:rFonts w:ascii="Times New Roman" w:eastAsia="Times New Roman" w:hAnsi="Times New Roman" w:cs="Times New Roman"/>
          <w:b/>
          <w:bCs/>
          <w:sz w:val="24"/>
          <w:szCs w:val="24"/>
          <w:lang w:val="en-US" w:eastAsia="es-ES"/>
        </w:rPr>
      </w:pPr>
      <w:r w:rsidRPr="0010343A">
        <w:rPr>
          <w:rFonts w:ascii="Times New Roman" w:eastAsia="Times New Roman" w:hAnsi="Times New Roman" w:cs="Times New Roman"/>
          <w:b/>
          <w:bCs/>
          <w:sz w:val="24"/>
          <w:szCs w:val="24"/>
          <w:lang w:val="en-US" w:eastAsia="es-ES"/>
        </w:rPr>
        <w:lastRenderedPageBreak/>
        <w:t>Non-standard measures</w:t>
      </w:r>
    </w:p>
    <w:p w:rsidR="00451026" w:rsidRPr="0010343A" w:rsidRDefault="00451026" w:rsidP="00451026">
      <w:pPr>
        <w:shd w:val="clear" w:color="auto" w:fill="FFFFFF"/>
        <w:spacing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Before the crisis, the ECB provided a pre-set amount of credit to banks through auctions, in which banks put up collateral to guarantee the loans. Banks would also lend to and borrow from each other in the interbank market to fulfil their liquidity needs.</w:t>
      </w:r>
    </w:p>
    <w:p w:rsidR="00451026" w:rsidRPr="0010343A" w:rsidRDefault="00451026" w:rsidP="00451026">
      <w:pPr>
        <w:shd w:val="clear" w:color="auto" w:fill="FFFFFF"/>
        <w:spacing w:before="300"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Since the financial crisis began in 2007, the ECB has introduced several non-standard monetary policy measures. The ECB’s non-standard measures have responded to the challenges posed by the different phases of the crisis.</w:t>
      </w:r>
    </w:p>
    <w:p w:rsidR="00451026" w:rsidRPr="0010343A" w:rsidRDefault="00451026" w:rsidP="00451026">
      <w:pPr>
        <w:shd w:val="clear" w:color="auto" w:fill="FFFFFF"/>
        <w:spacing w:before="300"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In the first phase of the financial crisis, the primary aim of the ECB’s non-standard measures was to provide liquidity to banks and to keep financial markets functioning.</w:t>
      </w:r>
      <w:r>
        <w:rPr>
          <w:rFonts w:ascii="Times New Roman" w:eastAsia="Times New Roman" w:hAnsi="Times New Roman" w:cs="Times New Roman"/>
          <w:sz w:val="24"/>
          <w:szCs w:val="24"/>
          <w:lang w:val="en-US" w:eastAsia="es-ES"/>
        </w:rPr>
        <w:t xml:space="preserve"> </w:t>
      </w:r>
      <w:r w:rsidRPr="0010343A">
        <w:rPr>
          <w:rFonts w:ascii="Times New Roman" w:eastAsia="Times New Roman" w:hAnsi="Times New Roman" w:cs="Times New Roman"/>
          <w:sz w:val="24"/>
          <w:szCs w:val="24"/>
          <w:lang w:val="en-US" w:eastAsia="es-ES"/>
        </w:rPr>
        <w:t>As the interbank market dried up in autumn 2008, and banks could no longer rely on borrowing from each other, the ECB amended its approach and provided unlimited credit to banks at a fixed interest rate. The amended approach came to be known as </w:t>
      </w:r>
      <w:r w:rsidRPr="0010343A">
        <w:rPr>
          <w:rFonts w:ascii="Times New Roman" w:eastAsia="Times New Roman" w:hAnsi="Times New Roman" w:cs="Times New Roman"/>
          <w:b/>
          <w:bCs/>
          <w:sz w:val="24"/>
          <w:szCs w:val="24"/>
          <w:bdr w:val="none" w:sz="0" w:space="0" w:color="auto" w:frame="1"/>
          <w:lang w:val="en-US" w:eastAsia="es-ES"/>
        </w:rPr>
        <w:t>fixed-rate full allotment</w:t>
      </w:r>
      <w:r w:rsidRPr="0010343A">
        <w:rPr>
          <w:rFonts w:ascii="Times New Roman" w:eastAsia="Times New Roman" w:hAnsi="Times New Roman" w:cs="Times New Roman"/>
          <w:sz w:val="24"/>
          <w:szCs w:val="24"/>
          <w:lang w:val="en-US" w:eastAsia="es-ES"/>
        </w:rPr>
        <w:t>. The maturity of these operations was extended considerably. Furthermore, the </w:t>
      </w:r>
      <w:r w:rsidRPr="0010343A">
        <w:rPr>
          <w:rFonts w:ascii="Times New Roman" w:eastAsia="Times New Roman" w:hAnsi="Times New Roman" w:cs="Times New Roman"/>
          <w:b/>
          <w:bCs/>
          <w:sz w:val="24"/>
          <w:szCs w:val="24"/>
          <w:bdr w:val="none" w:sz="0" w:space="0" w:color="auto" w:frame="1"/>
          <w:lang w:val="en-US" w:eastAsia="es-ES"/>
        </w:rPr>
        <w:t>range of eligible assets</w:t>
      </w:r>
      <w:r w:rsidRPr="0010343A">
        <w:rPr>
          <w:rFonts w:ascii="Times New Roman" w:eastAsia="Times New Roman" w:hAnsi="Times New Roman" w:cs="Times New Roman"/>
          <w:sz w:val="24"/>
          <w:szCs w:val="24"/>
          <w:lang w:val="en-US" w:eastAsia="es-ES"/>
        </w:rPr>
        <w:t> that could be used as collateral in refinancing operations was expanded.</w:t>
      </w:r>
    </w:p>
    <w:p w:rsidR="00451026" w:rsidRPr="0010343A" w:rsidRDefault="00451026" w:rsidP="00451026">
      <w:pPr>
        <w:shd w:val="clear" w:color="auto" w:fill="FFFFFF"/>
        <w:spacing w:before="300"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In the second phase of the crisis, which took the form of a sovereign debt crisis, the ECB’s non-standard measures aimed to address markets’ malfunctioning and to reduce differences in financing conditions faced by businesses and households in different euro area countries.</w:t>
      </w:r>
    </w:p>
    <w:p w:rsidR="00451026" w:rsidRPr="0010343A" w:rsidRDefault="00451026" w:rsidP="00451026">
      <w:pPr>
        <w:shd w:val="clear" w:color="auto" w:fill="FFFFFF"/>
        <w:spacing w:before="300" w:after="0" w:line="240" w:lineRule="auto"/>
        <w:jc w:val="both"/>
        <w:textAlignment w:val="baseline"/>
        <w:rPr>
          <w:rFonts w:ascii="Times New Roman" w:eastAsia="Times New Roman" w:hAnsi="Times New Roman" w:cs="Times New Roman"/>
          <w:sz w:val="24"/>
          <w:szCs w:val="24"/>
          <w:lang w:eastAsia="es-ES"/>
        </w:rPr>
      </w:pPr>
      <w:r w:rsidRPr="0010343A">
        <w:rPr>
          <w:rFonts w:ascii="Times New Roman" w:eastAsia="Times New Roman" w:hAnsi="Times New Roman" w:cs="Times New Roman"/>
          <w:sz w:val="24"/>
          <w:szCs w:val="24"/>
          <w:lang w:eastAsia="es-ES"/>
        </w:rPr>
        <w:t>The ECB</w:t>
      </w:r>
    </w:p>
    <w:p w:rsidR="00451026" w:rsidRPr="0010343A" w:rsidRDefault="00451026" w:rsidP="00451026">
      <w:pPr>
        <w:numPr>
          <w:ilvl w:val="0"/>
          <w:numId w:val="14"/>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b/>
          <w:bCs/>
          <w:sz w:val="24"/>
          <w:szCs w:val="24"/>
          <w:bdr w:val="none" w:sz="0" w:space="0" w:color="auto" w:frame="1"/>
          <w:lang w:val="en-US" w:eastAsia="es-ES"/>
        </w:rPr>
        <w:t>purchased debt securities</w:t>
      </w:r>
      <w:r w:rsidRPr="0010343A">
        <w:rPr>
          <w:rFonts w:ascii="Times New Roman" w:eastAsia="Times New Roman" w:hAnsi="Times New Roman" w:cs="Times New Roman"/>
          <w:sz w:val="24"/>
          <w:szCs w:val="24"/>
          <w:lang w:val="en-US" w:eastAsia="es-ES"/>
        </w:rPr>
        <w:t> (</w:t>
      </w:r>
      <w:hyperlink r:id="rId291" w:history="1">
        <w:r w:rsidRPr="0010343A">
          <w:rPr>
            <w:rFonts w:ascii="Times New Roman" w:eastAsia="Times New Roman" w:hAnsi="Times New Roman" w:cs="Times New Roman"/>
            <w:sz w:val="24"/>
            <w:szCs w:val="24"/>
            <w:u w:val="single"/>
            <w:bdr w:val="none" w:sz="0" w:space="0" w:color="auto" w:frame="1"/>
            <w:lang w:val="en-US" w:eastAsia="es-ES"/>
          </w:rPr>
          <w:t xml:space="preserve">Securities Markets </w:t>
        </w:r>
        <w:proofErr w:type="spellStart"/>
        <w:r w:rsidRPr="0010343A">
          <w:rPr>
            <w:rFonts w:ascii="Times New Roman" w:eastAsia="Times New Roman" w:hAnsi="Times New Roman" w:cs="Times New Roman"/>
            <w:sz w:val="24"/>
            <w:szCs w:val="24"/>
            <w:u w:val="single"/>
            <w:bdr w:val="none" w:sz="0" w:space="0" w:color="auto" w:frame="1"/>
            <w:lang w:val="en-US" w:eastAsia="es-ES"/>
          </w:rPr>
          <w:t>Programme</w:t>
        </w:r>
        <w:proofErr w:type="spellEnd"/>
      </w:hyperlink>
      <w:r w:rsidRPr="0010343A">
        <w:rPr>
          <w:rFonts w:ascii="Times New Roman" w:eastAsia="Times New Roman" w:hAnsi="Times New Roman" w:cs="Times New Roman"/>
          <w:sz w:val="24"/>
          <w:szCs w:val="24"/>
          <w:lang w:val="en-US" w:eastAsia="es-ES"/>
        </w:rPr>
        <w:t>)</w:t>
      </w:r>
    </w:p>
    <w:p w:rsidR="00451026" w:rsidRPr="0010343A" w:rsidRDefault="00451026" w:rsidP="00451026">
      <w:pPr>
        <w:numPr>
          <w:ilvl w:val="0"/>
          <w:numId w:val="14"/>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carried out </w:t>
      </w:r>
      <w:r w:rsidRPr="0010343A">
        <w:rPr>
          <w:rFonts w:ascii="Times New Roman" w:eastAsia="Times New Roman" w:hAnsi="Times New Roman" w:cs="Times New Roman"/>
          <w:b/>
          <w:bCs/>
          <w:sz w:val="24"/>
          <w:szCs w:val="24"/>
          <w:bdr w:val="none" w:sz="0" w:space="0" w:color="auto" w:frame="1"/>
          <w:lang w:val="en-US" w:eastAsia="es-ES"/>
        </w:rPr>
        <w:t>very long-term refinancing operations</w:t>
      </w:r>
      <w:r w:rsidRPr="0010343A">
        <w:rPr>
          <w:rFonts w:ascii="Times New Roman" w:eastAsia="Times New Roman" w:hAnsi="Times New Roman" w:cs="Times New Roman"/>
          <w:sz w:val="24"/>
          <w:szCs w:val="24"/>
          <w:lang w:val="en-US" w:eastAsia="es-ES"/>
        </w:rPr>
        <w:t> (</w:t>
      </w:r>
      <w:hyperlink r:id="rId292" w:history="1">
        <w:r w:rsidRPr="0010343A">
          <w:rPr>
            <w:rFonts w:ascii="Times New Roman" w:eastAsia="Times New Roman" w:hAnsi="Times New Roman" w:cs="Times New Roman"/>
            <w:sz w:val="24"/>
            <w:szCs w:val="24"/>
            <w:u w:val="single"/>
            <w:bdr w:val="none" w:sz="0" w:space="0" w:color="auto" w:frame="1"/>
            <w:lang w:val="en-US" w:eastAsia="es-ES"/>
          </w:rPr>
          <w:t>VLTROs</w:t>
        </w:r>
      </w:hyperlink>
      <w:r w:rsidRPr="0010343A">
        <w:rPr>
          <w:rFonts w:ascii="Times New Roman" w:eastAsia="Times New Roman" w:hAnsi="Times New Roman" w:cs="Times New Roman"/>
          <w:sz w:val="24"/>
          <w:szCs w:val="24"/>
          <w:lang w:val="en-US" w:eastAsia="es-ES"/>
        </w:rPr>
        <w:t>)</w:t>
      </w:r>
    </w:p>
    <w:p w:rsidR="00451026" w:rsidRPr="0010343A" w:rsidRDefault="00451026" w:rsidP="00451026">
      <w:pPr>
        <w:numPr>
          <w:ilvl w:val="0"/>
          <w:numId w:val="14"/>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proofErr w:type="gramStart"/>
      <w:r w:rsidRPr="0010343A">
        <w:rPr>
          <w:rFonts w:ascii="Times New Roman" w:eastAsia="Times New Roman" w:hAnsi="Times New Roman" w:cs="Times New Roman"/>
          <w:sz w:val="24"/>
          <w:szCs w:val="24"/>
          <w:lang w:val="en-US" w:eastAsia="es-ES"/>
        </w:rPr>
        <w:t>announced</w:t>
      </w:r>
      <w:proofErr w:type="gramEnd"/>
      <w:r w:rsidRPr="0010343A">
        <w:rPr>
          <w:rFonts w:ascii="Times New Roman" w:eastAsia="Times New Roman" w:hAnsi="Times New Roman" w:cs="Times New Roman"/>
          <w:sz w:val="24"/>
          <w:szCs w:val="24"/>
          <w:lang w:val="en-US" w:eastAsia="es-ES"/>
        </w:rPr>
        <w:t xml:space="preserve"> conditional </w:t>
      </w:r>
      <w:r w:rsidRPr="0010343A">
        <w:rPr>
          <w:rFonts w:ascii="Times New Roman" w:eastAsia="Times New Roman" w:hAnsi="Times New Roman" w:cs="Times New Roman"/>
          <w:b/>
          <w:bCs/>
          <w:sz w:val="24"/>
          <w:szCs w:val="24"/>
          <w:bdr w:val="none" w:sz="0" w:space="0" w:color="auto" w:frame="1"/>
          <w:lang w:val="en-US" w:eastAsia="es-ES"/>
        </w:rPr>
        <w:t>Outright Monetary Transactions</w:t>
      </w:r>
      <w:r w:rsidRPr="0010343A">
        <w:rPr>
          <w:rFonts w:ascii="Times New Roman" w:eastAsia="Times New Roman" w:hAnsi="Times New Roman" w:cs="Times New Roman"/>
          <w:sz w:val="24"/>
          <w:szCs w:val="24"/>
          <w:lang w:val="en-US" w:eastAsia="es-ES"/>
        </w:rPr>
        <w:t> (</w:t>
      </w:r>
      <w:hyperlink r:id="rId293" w:history="1">
        <w:r w:rsidRPr="0010343A">
          <w:rPr>
            <w:rFonts w:ascii="Times New Roman" w:eastAsia="Times New Roman" w:hAnsi="Times New Roman" w:cs="Times New Roman"/>
            <w:b/>
            <w:bCs/>
            <w:sz w:val="24"/>
            <w:szCs w:val="24"/>
            <w:u w:val="single"/>
            <w:bdr w:val="none" w:sz="0" w:space="0" w:color="auto" w:frame="1"/>
            <w:lang w:val="en-US" w:eastAsia="es-ES"/>
          </w:rPr>
          <w:t>OMT</w:t>
        </w:r>
      </w:hyperlink>
      <w:r w:rsidRPr="0010343A">
        <w:rPr>
          <w:rFonts w:ascii="Times New Roman" w:eastAsia="Times New Roman" w:hAnsi="Times New Roman" w:cs="Times New Roman"/>
          <w:sz w:val="24"/>
          <w:szCs w:val="24"/>
          <w:lang w:val="en-US" w:eastAsia="es-ES"/>
        </w:rPr>
        <w:t>), which acted as a powerful circuit breaker against self-reinforcing fears in sovereign bond markets.</w:t>
      </w:r>
    </w:p>
    <w:p w:rsidR="00451026" w:rsidRPr="0010343A" w:rsidRDefault="00451026" w:rsidP="00451026">
      <w:pPr>
        <w:shd w:val="clear" w:color="auto" w:fill="FFFFFF"/>
        <w:spacing w:after="0" w:line="240" w:lineRule="auto"/>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In the third phase of the crisis the ECB’s non-standard measures addressed the onset of a credit crunch and the risk of deflation. With short-term interest rates already close to zero, the ECB’s non-standard measures were intended to influence the whole constellation of interest rates that are relevant for financing conditions in the euro area.</w:t>
      </w:r>
    </w:p>
    <w:p w:rsidR="00451026" w:rsidRPr="0010343A" w:rsidRDefault="00451026" w:rsidP="00451026">
      <w:pPr>
        <w:shd w:val="clear" w:color="auto" w:fill="FFFFFF"/>
        <w:spacing w:before="300" w:after="0" w:line="240" w:lineRule="auto"/>
        <w:jc w:val="both"/>
        <w:textAlignment w:val="baseline"/>
        <w:rPr>
          <w:rFonts w:ascii="Times New Roman" w:eastAsia="Times New Roman" w:hAnsi="Times New Roman" w:cs="Times New Roman"/>
          <w:sz w:val="24"/>
          <w:szCs w:val="24"/>
          <w:lang w:eastAsia="es-ES"/>
        </w:rPr>
      </w:pPr>
      <w:r w:rsidRPr="0010343A">
        <w:rPr>
          <w:rFonts w:ascii="Times New Roman" w:eastAsia="Times New Roman" w:hAnsi="Times New Roman" w:cs="Times New Roman"/>
          <w:sz w:val="24"/>
          <w:szCs w:val="24"/>
          <w:lang w:eastAsia="es-ES"/>
        </w:rPr>
        <w:t>The ECB’s measures included:</w:t>
      </w:r>
    </w:p>
    <w:p w:rsidR="00451026" w:rsidRPr="0010343A" w:rsidRDefault="00451026" w:rsidP="00451026">
      <w:pPr>
        <w:numPr>
          <w:ilvl w:val="0"/>
          <w:numId w:val="15"/>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a </w:t>
      </w:r>
      <w:hyperlink r:id="rId294" w:history="1">
        <w:r w:rsidRPr="0010343A">
          <w:rPr>
            <w:rFonts w:ascii="Times New Roman" w:eastAsia="Times New Roman" w:hAnsi="Times New Roman" w:cs="Times New Roman"/>
            <w:sz w:val="24"/>
            <w:szCs w:val="24"/>
            <w:u w:val="single"/>
            <w:bdr w:val="none" w:sz="0" w:space="0" w:color="auto" w:frame="1"/>
            <w:lang w:val="en-US" w:eastAsia="es-ES"/>
          </w:rPr>
          <w:t>negative interest rate on the deposit facility</w:t>
        </w:r>
      </w:hyperlink>
      <w:r w:rsidRPr="0010343A">
        <w:rPr>
          <w:rFonts w:ascii="Times New Roman" w:eastAsia="Times New Roman" w:hAnsi="Times New Roman" w:cs="Times New Roman"/>
          <w:sz w:val="24"/>
          <w:szCs w:val="24"/>
          <w:lang w:val="en-US" w:eastAsia="es-ES"/>
        </w:rPr>
        <w:t>;</w:t>
      </w:r>
    </w:p>
    <w:p w:rsidR="00451026" w:rsidRPr="0010343A" w:rsidRDefault="00F753F8" w:rsidP="00451026">
      <w:pPr>
        <w:numPr>
          <w:ilvl w:val="0"/>
          <w:numId w:val="15"/>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hyperlink r:id="rId295" w:history="1">
        <w:r w:rsidR="00451026" w:rsidRPr="0010343A">
          <w:rPr>
            <w:rFonts w:ascii="Times New Roman" w:eastAsia="Times New Roman" w:hAnsi="Times New Roman" w:cs="Times New Roman"/>
            <w:sz w:val="24"/>
            <w:szCs w:val="24"/>
            <w:u w:val="single"/>
            <w:bdr w:val="none" w:sz="0" w:space="0" w:color="auto" w:frame="1"/>
            <w:lang w:val="en-US" w:eastAsia="es-ES"/>
          </w:rPr>
          <w:t>targeted longer-term refinancing operations</w:t>
        </w:r>
      </w:hyperlink>
      <w:r w:rsidR="00451026" w:rsidRPr="0010343A">
        <w:rPr>
          <w:rFonts w:ascii="Times New Roman" w:eastAsia="Times New Roman" w:hAnsi="Times New Roman" w:cs="Times New Roman"/>
          <w:sz w:val="24"/>
          <w:szCs w:val="24"/>
          <w:lang w:val="en-US" w:eastAsia="es-ES"/>
        </w:rPr>
        <w:t> (TLTROs), designed to support bank lending to businesses and households;</w:t>
      </w:r>
    </w:p>
    <w:p w:rsidR="00451026" w:rsidRPr="0010343A" w:rsidRDefault="00451026" w:rsidP="00451026">
      <w:pPr>
        <w:numPr>
          <w:ilvl w:val="0"/>
          <w:numId w:val="15"/>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r w:rsidRPr="0010343A">
        <w:rPr>
          <w:rFonts w:ascii="Times New Roman" w:eastAsia="Times New Roman" w:hAnsi="Times New Roman" w:cs="Times New Roman"/>
          <w:sz w:val="24"/>
          <w:szCs w:val="24"/>
          <w:lang w:val="en-US" w:eastAsia="es-ES"/>
        </w:rPr>
        <w:t>an </w:t>
      </w:r>
      <w:hyperlink r:id="rId296" w:history="1">
        <w:r w:rsidRPr="0010343A">
          <w:rPr>
            <w:rFonts w:ascii="Times New Roman" w:eastAsia="Times New Roman" w:hAnsi="Times New Roman" w:cs="Times New Roman"/>
            <w:sz w:val="24"/>
            <w:szCs w:val="24"/>
            <w:u w:val="single"/>
            <w:bdr w:val="none" w:sz="0" w:space="0" w:color="auto" w:frame="1"/>
            <w:lang w:val="en-US" w:eastAsia="es-ES"/>
          </w:rPr>
          <w:t xml:space="preserve">asset purchase </w:t>
        </w:r>
        <w:proofErr w:type="spellStart"/>
        <w:r w:rsidRPr="0010343A">
          <w:rPr>
            <w:rFonts w:ascii="Times New Roman" w:eastAsia="Times New Roman" w:hAnsi="Times New Roman" w:cs="Times New Roman"/>
            <w:sz w:val="24"/>
            <w:szCs w:val="24"/>
            <w:u w:val="single"/>
            <w:bdr w:val="none" w:sz="0" w:space="0" w:color="auto" w:frame="1"/>
            <w:lang w:val="en-US" w:eastAsia="es-ES"/>
          </w:rPr>
          <w:t>programme</w:t>
        </w:r>
        <w:proofErr w:type="spellEnd"/>
      </w:hyperlink>
      <w:r w:rsidRPr="0010343A">
        <w:rPr>
          <w:rFonts w:ascii="Times New Roman" w:eastAsia="Times New Roman" w:hAnsi="Times New Roman" w:cs="Times New Roman"/>
          <w:sz w:val="24"/>
          <w:szCs w:val="24"/>
          <w:lang w:val="en-US" w:eastAsia="es-ES"/>
        </w:rPr>
        <w:t> (APP), involving private and public sector securities, to put downward pressure on the term structure of interest rates;</w:t>
      </w:r>
    </w:p>
    <w:p w:rsidR="00451026" w:rsidRDefault="00F753F8" w:rsidP="00451026">
      <w:pPr>
        <w:numPr>
          <w:ilvl w:val="0"/>
          <w:numId w:val="15"/>
        </w:numPr>
        <w:shd w:val="clear" w:color="auto" w:fill="FFFFFF"/>
        <w:spacing w:after="0" w:line="240" w:lineRule="auto"/>
        <w:ind w:left="420"/>
        <w:jc w:val="both"/>
        <w:textAlignment w:val="baseline"/>
        <w:rPr>
          <w:rFonts w:ascii="Times New Roman" w:eastAsia="Times New Roman" w:hAnsi="Times New Roman" w:cs="Times New Roman"/>
          <w:sz w:val="24"/>
          <w:szCs w:val="24"/>
          <w:lang w:val="en-US" w:eastAsia="es-ES"/>
        </w:rPr>
      </w:pPr>
      <w:hyperlink r:id="rId297" w:history="1">
        <w:proofErr w:type="gramStart"/>
        <w:r w:rsidR="00451026" w:rsidRPr="0010343A">
          <w:rPr>
            <w:rFonts w:ascii="Times New Roman" w:eastAsia="Times New Roman" w:hAnsi="Times New Roman" w:cs="Times New Roman"/>
            <w:sz w:val="24"/>
            <w:szCs w:val="24"/>
            <w:u w:val="single"/>
            <w:bdr w:val="none" w:sz="0" w:space="0" w:color="auto" w:frame="1"/>
            <w:lang w:val="en-US" w:eastAsia="es-ES"/>
          </w:rPr>
          <w:t>forward</w:t>
        </w:r>
        <w:proofErr w:type="gramEnd"/>
        <w:r w:rsidR="00451026" w:rsidRPr="0010343A">
          <w:rPr>
            <w:rFonts w:ascii="Times New Roman" w:eastAsia="Times New Roman" w:hAnsi="Times New Roman" w:cs="Times New Roman"/>
            <w:sz w:val="24"/>
            <w:szCs w:val="24"/>
            <w:u w:val="single"/>
            <w:bdr w:val="none" w:sz="0" w:space="0" w:color="auto" w:frame="1"/>
            <w:lang w:val="en-US" w:eastAsia="es-ES"/>
          </w:rPr>
          <w:t xml:space="preserve"> guidance</w:t>
        </w:r>
      </w:hyperlink>
      <w:r w:rsidR="00451026" w:rsidRPr="0010343A">
        <w:rPr>
          <w:rFonts w:ascii="Times New Roman" w:eastAsia="Times New Roman" w:hAnsi="Times New Roman" w:cs="Times New Roman"/>
          <w:sz w:val="24"/>
          <w:szCs w:val="24"/>
          <w:lang w:val="en-US" w:eastAsia="es-ES"/>
        </w:rPr>
        <w:t>, which means communicating how the ECB expects its policy measures to evolve in the future and what conditions would warrant a change in the policy stance.</w:t>
      </w:r>
    </w:p>
    <w:p w:rsidR="00451026" w:rsidRDefault="00451026" w:rsidP="00451026">
      <w:pPr>
        <w:shd w:val="clear" w:color="auto" w:fill="FFFFFF"/>
        <w:spacing w:after="0" w:line="240" w:lineRule="auto"/>
        <w:ind w:left="60"/>
        <w:jc w:val="both"/>
        <w:textAlignment w:val="baseline"/>
        <w:rPr>
          <w:rFonts w:ascii="Times New Roman" w:eastAsia="Times New Roman" w:hAnsi="Times New Roman" w:cs="Times New Roman"/>
          <w:sz w:val="24"/>
          <w:szCs w:val="24"/>
          <w:lang w:val="en-US" w:eastAsia="es-ES"/>
        </w:rPr>
      </w:pPr>
    </w:p>
    <w:p w:rsidR="00451026" w:rsidRPr="0015310F" w:rsidRDefault="00451026" w:rsidP="00451026">
      <w:pPr>
        <w:pStyle w:val="Ttulo1"/>
        <w:shd w:val="clear" w:color="auto" w:fill="FFFFFF"/>
        <w:spacing w:before="195" w:after="375"/>
        <w:jc w:val="both"/>
        <w:textAlignment w:val="baseline"/>
        <w:rPr>
          <w:rFonts w:ascii="Times New Roman" w:hAnsi="Times New Roman" w:cs="Times New Roman"/>
          <w:color w:val="auto"/>
          <w:sz w:val="24"/>
          <w:szCs w:val="24"/>
          <w:lang w:val="en-US"/>
        </w:rPr>
      </w:pPr>
      <w:r w:rsidRPr="0015310F">
        <w:rPr>
          <w:rFonts w:ascii="Times New Roman" w:hAnsi="Times New Roman" w:cs="Times New Roman"/>
          <w:color w:val="auto"/>
          <w:sz w:val="24"/>
          <w:szCs w:val="24"/>
          <w:lang w:val="en-US"/>
        </w:rPr>
        <w:t>Transmission mechanism of monetary policy</w:t>
      </w:r>
    </w:p>
    <w:p w:rsidR="00451026" w:rsidRPr="002418F1" w:rsidRDefault="00451026" w:rsidP="00451026">
      <w:pPr>
        <w:pStyle w:val="NormalWeb"/>
        <w:shd w:val="clear" w:color="auto" w:fill="FFFFFF"/>
        <w:spacing w:before="300" w:beforeAutospacing="0" w:after="0" w:afterAutospacing="0"/>
        <w:jc w:val="both"/>
        <w:textAlignment w:val="baseline"/>
        <w:rPr>
          <w:lang w:val="en-US"/>
        </w:rPr>
      </w:pPr>
      <w:r w:rsidRPr="002418F1">
        <w:rPr>
          <w:lang w:val="en-US"/>
        </w:rPr>
        <w:t>This is the process through which monetary policy decisions affect the economy in general and the price level in particular. The transmission mechanism is characterised by long, variable and uncertain time lags. Thus it is difficult to predict the precise effect of monetary policy actions on the economy and price level.</w:t>
      </w:r>
    </w:p>
    <w:p w:rsidR="00451026" w:rsidRPr="002418F1" w:rsidRDefault="00451026" w:rsidP="00451026">
      <w:pPr>
        <w:pStyle w:val="NormalWeb"/>
        <w:shd w:val="clear" w:color="auto" w:fill="FFFFFF"/>
        <w:spacing w:before="300" w:beforeAutospacing="0" w:after="0" w:afterAutospacing="0"/>
        <w:jc w:val="both"/>
        <w:textAlignment w:val="baseline"/>
        <w:rPr>
          <w:lang w:val="en-US"/>
        </w:rPr>
      </w:pPr>
      <w:r w:rsidRPr="002418F1">
        <w:rPr>
          <w:lang w:val="en-US"/>
        </w:rPr>
        <w:lastRenderedPageBreak/>
        <w:t>The chart below provides a schematic illustration of the main transmission channels of monetary policy decisions.</w:t>
      </w:r>
    </w:p>
    <w:p w:rsidR="00451026" w:rsidRPr="002418F1" w:rsidRDefault="00451026" w:rsidP="00451026">
      <w:pPr>
        <w:spacing w:line="240" w:lineRule="auto"/>
        <w:jc w:val="both"/>
        <w:rPr>
          <w:rFonts w:ascii="Times New Roman" w:hAnsi="Times New Roman" w:cs="Times New Roman"/>
          <w:sz w:val="24"/>
          <w:szCs w:val="24"/>
        </w:rPr>
      </w:pPr>
      <w:r w:rsidRPr="002418F1">
        <w:rPr>
          <w:rFonts w:ascii="Times New Roman" w:hAnsi="Times New Roman" w:cs="Times New Roman"/>
          <w:noProof/>
          <w:sz w:val="24"/>
          <w:szCs w:val="24"/>
          <w:lang w:eastAsia="es-ES"/>
        </w:rPr>
        <w:drawing>
          <wp:inline distT="0" distB="0" distL="0" distR="0" wp14:anchorId="2010064C" wp14:editId="21CE4B15">
            <wp:extent cx="5988050" cy="4286250"/>
            <wp:effectExtent l="0" t="0" r="0" b="0"/>
            <wp:docPr id="303" name="Imagen 303" descr="Stylised illustration of the transmission mechanism from interest rates to pr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ylised illustration of the transmission mechanism from interest rates to prices"/>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988050" cy="4286250"/>
                    </a:xfrm>
                    <a:prstGeom prst="rect">
                      <a:avLst/>
                    </a:prstGeom>
                    <a:noFill/>
                    <a:ln>
                      <a:noFill/>
                    </a:ln>
                  </pic:spPr>
                </pic:pic>
              </a:graphicData>
            </a:graphic>
          </wp:inline>
        </w:drawing>
      </w:r>
    </w:p>
    <w:p w:rsidR="00451026" w:rsidRPr="0015310F" w:rsidRDefault="00451026" w:rsidP="00451026">
      <w:pPr>
        <w:pStyle w:val="Ttulo2"/>
        <w:shd w:val="clear" w:color="auto" w:fill="FFFFFF"/>
        <w:spacing w:before="375" w:after="195"/>
        <w:jc w:val="both"/>
        <w:textAlignment w:val="baseline"/>
        <w:rPr>
          <w:rFonts w:ascii="Times New Roman" w:hAnsi="Times New Roman" w:cs="Times New Roman"/>
          <w:color w:val="auto"/>
          <w:sz w:val="24"/>
          <w:szCs w:val="24"/>
          <w:lang w:val="en-US"/>
        </w:rPr>
      </w:pPr>
      <w:r w:rsidRPr="0015310F">
        <w:rPr>
          <w:rFonts w:ascii="Times New Roman" w:hAnsi="Times New Roman" w:cs="Times New Roman"/>
          <w:color w:val="auto"/>
          <w:sz w:val="24"/>
          <w:szCs w:val="24"/>
          <w:lang w:val="en-US"/>
        </w:rPr>
        <w:t>Change in official interest rates</w:t>
      </w:r>
    </w:p>
    <w:p w:rsidR="00451026" w:rsidRPr="002418F1" w:rsidRDefault="00451026" w:rsidP="00451026">
      <w:pPr>
        <w:pStyle w:val="NormalWeb"/>
        <w:shd w:val="clear" w:color="auto" w:fill="FFFFFF"/>
        <w:spacing w:before="0" w:beforeAutospacing="0" w:after="0" w:afterAutospacing="0"/>
        <w:jc w:val="both"/>
        <w:textAlignment w:val="baseline"/>
        <w:rPr>
          <w:lang w:val="en-US"/>
        </w:rPr>
      </w:pPr>
      <w:r w:rsidRPr="002418F1">
        <w:rPr>
          <w:lang w:val="en-US"/>
        </w:rPr>
        <w:t>The central bank provides funds to the banking system and charges interest. Given its monopoly power over the issuing of money, the central bank can fully determine this interest rate.</w:t>
      </w:r>
    </w:p>
    <w:p w:rsidR="00451026" w:rsidRPr="002418F1" w:rsidRDefault="00451026" w:rsidP="00451026">
      <w:pPr>
        <w:pStyle w:val="Ttulo3"/>
        <w:shd w:val="clear" w:color="auto" w:fill="FFFFFF"/>
        <w:spacing w:before="300" w:after="195" w:line="240" w:lineRule="auto"/>
        <w:jc w:val="both"/>
        <w:textAlignment w:val="baseline"/>
        <w:rPr>
          <w:rFonts w:ascii="Times New Roman" w:hAnsi="Times New Roman" w:cs="Times New Roman"/>
          <w:color w:val="auto"/>
          <w:sz w:val="24"/>
          <w:szCs w:val="24"/>
          <w:lang w:val="en-US"/>
        </w:rPr>
      </w:pPr>
      <w:r w:rsidRPr="002418F1">
        <w:rPr>
          <w:rFonts w:ascii="Times New Roman" w:hAnsi="Times New Roman" w:cs="Times New Roman"/>
          <w:color w:val="auto"/>
          <w:sz w:val="24"/>
          <w:szCs w:val="24"/>
          <w:lang w:val="en-US"/>
        </w:rPr>
        <w:t>Affects banks and money-market interest rates</w:t>
      </w:r>
    </w:p>
    <w:p w:rsidR="00451026" w:rsidRPr="002418F1" w:rsidRDefault="00451026" w:rsidP="00451026">
      <w:pPr>
        <w:pStyle w:val="NormalWeb"/>
        <w:shd w:val="clear" w:color="auto" w:fill="FFFFFF"/>
        <w:spacing w:before="0" w:beforeAutospacing="0" w:after="0" w:afterAutospacing="0"/>
        <w:jc w:val="both"/>
        <w:textAlignment w:val="baseline"/>
        <w:rPr>
          <w:lang w:val="en-US"/>
        </w:rPr>
      </w:pPr>
      <w:r w:rsidRPr="002418F1">
        <w:rPr>
          <w:lang w:val="en-US"/>
        </w:rPr>
        <w:t>The change in the official interest rates affects directly money-market interest rates and, indirectly, lending and deposit rates, which are set by banks to their customers.</w:t>
      </w:r>
    </w:p>
    <w:p w:rsidR="00451026" w:rsidRPr="00AA6CBB" w:rsidRDefault="00451026" w:rsidP="00451026">
      <w:pPr>
        <w:pStyle w:val="Ttulo3"/>
        <w:shd w:val="clear" w:color="auto" w:fill="FFFFFF"/>
        <w:spacing w:before="300" w:after="195" w:line="240" w:lineRule="auto"/>
        <w:jc w:val="both"/>
        <w:textAlignment w:val="baseline"/>
        <w:rPr>
          <w:rFonts w:ascii="Times New Roman" w:hAnsi="Times New Roman" w:cs="Times New Roman"/>
          <w:color w:val="auto"/>
          <w:sz w:val="24"/>
          <w:szCs w:val="24"/>
          <w:lang w:val="en-US"/>
        </w:rPr>
      </w:pPr>
      <w:r w:rsidRPr="00AA6CBB">
        <w:rPr>
          <w:rFonts w:ascii="Times New Roman" w:hAnsi="Times New Roman" w:cs="Times New Roman"/>
          <w:color w:val="auto"/>
          <w:sz w:val="24"/>
          <w:szCs w:val="24"/>
          <w:lang w:val="en-US"/>
        </w:rPr>
        <w:t>Affects expectations</w:t>
      </w:r>
    </w:p>
    <w:p w:rsidR="00451026" w:rsidRPr="002418F1" w:rsidRDefault="00451026" w:rsidP="00451026">
      <w:pPr>
        <w:pStyle w:val="NormalWeb"/>
        <w:shd w:val="clear" w:color="auto" w:fill="FFFFFF"/>
        <w:spacing w:before="0" w:beforeAutospacing="0" w:after="0" w:afterAutospacing="0"/>
        <w:jc w:val="both"/>
        <w:textAlignment w:val="baseline"/>
        <w:rPr>
          <w:lang w:val="en-US"/>
        </w:rPr>
      </w:pPr>
      <w:r w:rsidRPr="002418F1">
        <w:rPr>
          <w:lang w:val="en-US"/>
        </w:rPr>
        <w:t>Expectations of future official interest-rate changes affect medium and long-term interest rates. In particular, longer-term interest rates depend in part on market expectations about the future course of short-term rates.</w:t>
      </w:r>
    </w:p>
    <w:p w:rsidR="00451026" w:rsidRPr="002418F1" w:rsidRDefault="00451026" w:rsidP="00451026">
      <w:pPr>
        <w:pStyle w:val="NormalWeb"/>
        <w:shd w:val="clear" w:color="auto" w:fill="FFFFFF"/>
        <w:spacing w:before="300" w:beforeAutospacing="0" w:after="0" w:afterAutospacing="0"/>
        <w:jc w:val="both"/>
        <w:textAlignment w:val="baseline"/>
        <w:rPr>
          <w:lang w:val="en-US"/>
        </w:rPr>
      </w:pPr>
      <w:r w:rsidRPr="002418F1">
        <w:rPr>
          <w:lang w:val="en-US"/>
        </w:rPr>
        <w:t>Monetary policy can also guide economic agents’ expectations of future inflation and thus influence price developments. A central bank with a high degree of credibility firmly anchors expectations of price stability. In this case, economic agents do not have to increase their prices for fear of higher inflation or reduce them for fear of deflation.</w:t>
      </w:r>
    </w:p>
    <w:p w:rsidR="00451026" w:rsidRPr="002418F1" w:rsidRDefault="00451026" w:rsidP="00451026">
      <w:pPr>
        <w:pStyle w:val="Ttulo3"/>
        <w:shd w:val="clear" w:color="auto" w:fill="FFFFFF"/>
        <w:spacing w:before="300" w:after="195" w:line="240" w:lineRule="auto"/>
        <w:jc w:val="both"/>
        <w:textAlignment w:val="baseline"/>
        <w:rPr>
          <w:rFonts w:ascii="Times New Roman" w:hAnsi="Times New Roman" w:cs="Times New Roman"/>
          <w:color w:val="auto"/>
          <w:sz w:val="24"/>
          <w:szCs w:val="24"/>
          <w:lang w:val="en-US"/>
        </w:rPr>
      </w:pPr>
      <w:r w:rsidRPr="002418F1">
        <w:rPr>
          <w:rFonts w:ascii="Times New Roman" w:hAnsi="Times New Roman" w:cs="Times New Roman"/>
          <w:color w:val="auto"/>
          <w:sz w:val="24"/>
          <w:szCs w:val="24"/>
          <w:lang w:val="en-US"/>
        </w:rPr>
        <w:lastRenderedPageBreak/>
        <w:t>Affects asset prices</w:t>
      </w:r>
    </w:p>
    <w:p w:rsidR="00451026" w:rsidRPr="002418F1" w:rsidRDefault="00451026" w:rsidP="00451026">
      <w:pPr>
        <w:pStyle w:val="NormalWeb"/>
        <w:shd w:val="clear" w:color="auto" w:fill="FFFFFF"/>
        <w:spacing w:before="0" w:beforeAutospacing="0" w:after="0" w:afterAutospacing="0"/>
        <w:jc w:val="both"/>
        <w:textAlignment w:val="baseline"/>
        <w:rPr>
          <w:lang w:val="en-US"/>
        </w:rPr>
      </w:pPr>
      <w:r w:rsidRPr="002418F1">
        <w:rPr>
          <w:lang w:val="en-US"/>
        </w:rPr>
        <w:t>The impact on financing conditions in the economy and on market expectations triggered by monetary policy actions may lead to adjustments in asset prices (e.g. stock market prices) and the exchange rate. Changes in the exchange rate can affect inflation directly, insofar as imported goods are directly used in consumption, but they may also work through other channels.</w:t>
      </w:r>
    </w:p>
    <w:p w:rsidR="00451026" w:rsidRPr="002418F1" w:rsidRDefault="00451026" w:rsidP="00451026">
      <w:pPr>
        <w:pStyle w:val="Ttulo3"/>
        <w:shd w:val="clear" w:color="auto" w:fill="FFFFFF"/>
        <w:spacing w:before="300" w:after="195" w:line="240" w:lineRule="auto"/>
        <w:jc w:val="both"/>
        <w:textAlignment w:val="baseline"/>
        <w:rPr>
          <w:rFonts w:ascii="Times New Roman" w:hAnsi="Times New Roman" w:cs="Times New Roman"/>
          <w:color w:val="auto"/>
          <w:sz w:val="24"/>
          <w:szCs w:val="24"/>
          <w:lang w:val="en-US"/>
        </w:rPr>
      </w:pPr>
      <w:r w:rsidRPr="002418F1">
        <w:rPr>
          <w:rFonts w:ascii="Times New Roman" w:hAnsi="Times New Roman" w:cs="Times New Roman"/>
          <w:color w:val="auto"/>
          <w:sz w:val="24"/>
          <w:szCs w:val="24"/>
          <w:lang w:val="en-US"/>
        </w:rPr>
        <w:t>Affects saving and investment decisions</w:t>
      </w:r>
    </w:p>
    <w:p w:rsidR="00451026" w:rsidRPr="002418F1" w:rsidRDefault="00451026" w:rsidP="00451026">
      <w:pPr>
        <w:pStyle w:val="NormalWeb"/>
        <w:shd w:val="clear" w:color="auto" w:fill="FFFFFF"/>
        <w:spacing w:before="0" w:beforeAutospacing="0" w:after="0" w:afterAutospacing="0"/>
        <w:jc w:val="both"/>
        <w:textAlignment w:val="baseline"/>
        <w:rPr>
          <w:lang w:val="en-US"/>
        </w:rPr>
      </w:pPr>
      <w:r w:rsidRPr="002418F1">
        <w:rPr>
          <w:lang w:val="en-US"/>
        </w:rPr>
        <w:t xml:space="preserve">Changes in interest rates affect saving and investment decisions of households and firms. For example, everything else being equal, higher interest rates </w:t>
      </w:r>
      <w:r w:rsidR="00EF04BA" w:rsidRPr="002418F1">
        <w:rPr>
          <w:lang w:val="en-US"/>
        </w:rPr>
        <w:t>makes</w:t>
      </w:r>
      <w:r w:rsidRPr="002418F1">
        <w:rPr>
          <w:lang w:val="en-US"/>
        </w:rPr>
        <w:t xml:space="preserve"> it less attractive to take out loans for financing consumption or investment.</w:t>
      </w:r>
    </w:p>
    <w:p w:rsidR="00451026" w:rsidRPr="002418F1" w:rsidRDefault="00451026" w:rsidP="00451026">
      <w:pPr>
        <w:pStyle w:val="NormalWeb"/>
        <w:shd w:val="clear" w:color="auto" w:fill="FFFFFF"/>
        <w:spacing w:before="300" w:beforeAutospacing="0" w:after="0" w:afterAutospacing="0"/>
        <w:jc w:val="both"/>
        <w:textAlignment w:val="baseline"/>
        <w:rPr>
          <w:lang w:val="en-US"/>
        </w:rPr>
      </w:pPr>
      <w:r w:rsidRPr="002418F1">
        <w:rPr>
          <w:lang w:val="en-US"/>
        </w:rPr>
        <w:t>In addition, consumption and investment are also affected by movements in asset prices via wealth effects and effects on the value of collateral. For example, as equity prices rise, share-owning households become wealthier and may choose to increase their consumption. Conversely, when equity prices fall, households may reduce consumption.</w:t>
      </w:r>
    </w:p>
    <w:p w:rsidR="00451026" w:rsidRPr="002418F1" w:rsidRDefault="00451026" w:rsidP="00451026">
      <w:pPr>
        <w:pStyle w:val="NormalWeb"/>
        <w:shd w:val="clear" w:color="auto" w:fill="FFFFFF"/>
        <w:spacing w:before="300" w:beforeAutospacing="0" w:after="0" w:afterAutospacing="0"/>
        <w:jc w:val="both"/>
        <w:textAlignment w:val="baseline"/>
        <w:rPr>
          <w:lang w:val="en-US"/>
        </w:rPr>
      </w:pPr>
      <w:r w:rsidRPr="002418F1">
        <w:rPr>
          <w:lang w:val="en-US"/>
        </w:rPr>
        <w:t>Asset prices can also have impact on aggregate demand via the value of collateral that allows borrowers to get more loans and/or to reduce the risk premia demanded by lenders/banks.</w:t>
      </w:r>
    </w:p>
    <w:p w:rsidR="00451026" w:rsidRPr="002418F1" w:rsidRDefault="00451026" w:rsidP="00451026">
      <w:pPr>
        <w:pStyle w:val="Ttulo3"/>
        <w:shd w:val="clear" w:color="auto" w:fill="FFFFFF"/>
        <w:spacing w:before="300" w:after="195" w:line="240" w:lineRule="auto"/>
        <w:jc w:val="both"/>
        <w:textAlignment w:val="baseline"/>
        <w:rPr>
          <w:rFonts w:ascii="Times New Roman" w:hAnsi="Times New Roman" w:cs="Times New Roman"/>
          <w:color w:val="auto"/>
          <w:sz w:val="24"/>
          <w:szCs w:val="24"/>
          <w:lang w:val="en-US"/>
        </w:rPr>
      </w:pPr>
      <w:r w:rsidRPr="002418F1">
        <w:rPr>
          <w:rFonts w:ascii="Times New Roman" w:hAnsi="Times New Roman" w:cs="Times New Roman"/>
          <w:color w:val="auto"/>
          <w:sz w:val="24"/>
          <w:szCs w:val="24"/>
          <w:lang w:val="en-US"/>
        </w:rPr>
        <w:t>Affects the supply of credit</w:t>
      </w:r>
    </w:p>
    <w:p w:rsidR="00451026" w:rsidRPr="002418F1" w:rsidRDefault="00451026" w:rsidP="00451026">
      <w:pPr>
        <w:pStyle w:val="NormalWeb"/>
        <w:shd w:val="clear" w:color="auto" w:fill="FFFFFF"/>
        <w:spacing w:before="0" w:beforeAutospacing="0" w:after="0" w:afterAutospacing="0"/>
        <w:jc w:val="both"/>
        <w:textAlignment w:val="baseline"/>
        <w:rPr>
          <w:lang w:val="en-US"/>
        </w:rPr>
      </w:pPr>
      <w:r w:rsidRPr="002418F1">
        <w:rPr>
          <w:lang w:val="en-US"/>
        </w:rPr>
        <w:t>For example, higher interest rates increase the risk of borrowers being unable to pay back their loans. Banks may cut back on the amount of funds they lend to households and firms. This may also reduce the consumption and investment by households and firms respectively.</w:t>
      </w:r>
    </w:p>
    <w:p w:rsidR="00451026" w:rsidRPr="002418F1" w:rsidRDefault="00451026" w:rsidP="00451026">
      <w:pPr>
        <w:pStyle w:val="Ttulo3"/>
        <w:shd w:val="clear" w:color="auto" w:fill="FFFFFF"/>
        <w:spacing w:before="300" w:after="195" w:line="240" w:lineRule="auto"/>
        <w:jc w:val="both"/>
        <w:textAlignment w:val="baseline"/>
        <w:rPr>
          <w:rFonts w:ascii="Times New Roman" w:hAnsi="Times New Roman" w:cs="Times New Roman"/>
          <w:color w:val="auto"/>
          <w:sz w:val="24"/>
          <w:szCs w:val="24"/>
          <w:lang w:val="en-US"/>
        </w:rPr>
      </w:pPr>
      <w:r w:rsidRPr="002418F1">
        <w:rPr>
          <w:rFonts w:ascii="Times New Roman" w:hAnsi="Times New Roman" w:cs="Times New Roman"/>
          <w:color w:val="auto"/>
          <w:sz w:val="24"/>
          <w:szCs w:val="24"/>
          <w:lang w:val="en-US"/>
        </w:rPr>
        <w:t>Leads to changes in aggregate demand and prices</w:t>
      </w:r>
    </w:p>
    <w:p w:rsidR="00451026" w:rsidRPr="002418F1" w:rsidRDefault="00451026" w:rsidP="00451026">
      <w:pPr>
        <w:pStyle w:val="NormalWeb"/>
        <w:shd w:val="clear" w:color="auto" w:fill="FFFFFF"/>
        <w:spacing w:before="0" w:beforeAutospacing="0" w:after="0" w:afterAutospacing="0"/>
        <w:jc w:val="both"/>
        <w:textAlignment w:val="baseline"/>
        <w:rPr>
          <w:lang w:val="en-US"/>
        </w:rPr>
      </w:pPr>
      <w:r w:rsidRPr="002418F1">
        <w:rPr>
          <w:lang w:val="en-US"/>
        </w:rPr>
        <w:t>Changes in consumption and investment will change the level of domestic demand for goods and services relative to domestic supply. When demand exceeds supply, upward price pressure is likely to occur. In addition, changes in aggregate demand may translate into tighter or looser conditions in labour and intermediate product markets. This in turn can affect price and wage-setting in the respective market.</w:t>
      </w:r>
    </w:p>
    <w:p w:rsidR="00451026" w:rsidRPr="002418F1" w:rsidRDefault="00451026" w:rsidP="00451026">
      <w:pPr>
        <w:pStyle w:val="Ttulo3"/>
        <w:shd w:val="clear" w:color="auto" w:fill="FFFFFF"/>
        <w:spacing w:before="300" w:after="195" w:line="240" w:lineRule="auto"/>
        <w:jc w:val="both"/>
        <w:textAlignment w:val="baseline"/>
        <w:rPr>
          <w:rFonts w:ascii="Times New Roman" w:hAnsi="Times New Roman" w:cs="Times New Roman"/>
          <w:color w:val="auto"/>
          <w:sz w:val="24"/>
          <w:szCs w:val="24"/>
          <w:lang w:val="en-US"/>
        </w:rPr>
      </w:pPr>
      <w:r w:rsidRPr="002418F1">
        <w:rPr>
          <w:rFonts w:ascii="Times New Roman" w:hAnsi="Times New Roman" w:cs="Times New Roman"/>
          <w:color w:val="auto"/>
          <w:sz w:val="24"/>
          <w:szCs w:val="24"/>
          <w:lang w:val="en-US"/>
        </w:rPr>
        <w:t>Affects the supply of bank loans</w:t>
      </w:r>
    </w:p>
    <w:p w:rsidR="00451026" w:rsidRPr="002418F1" w:rsidRDefault="00451026" w:rsidP="00451026">
      <w:pPr>
        <w:pStyle w:val="NormalWeb"/>
        <w:shd w:val="clear" w:color="auto" w:fill="FFFFFF"/>
        <w:spacing w:before="0" w:beforeAutospacing="0" w:after="0" w:afterAutospacing="0"/>
        <w:jc w:val="both"/>
        <w:textAlignment w:val="baseline"/>
        <w:rPr>
          <w:color w:val="191919"/>
          <w:lang w:val="en-US"/>
        </w:rPr>
      </w:pPr>
      <w:r w:rsidRPr="002418F1">
        <w:rPr>
          <w:color w:val="191919"/>
          <w:lang w:val="en-US"/>
        </w:rPr>
        <w:t>Changes in policy rates can affect banks’ marginal cost for obtaining external finance differently, depending on the level of a bank’s own resources, or bank capital. This channel is particularly relevant in bad times such as a financial crisis, when capital is scarcer and banks find it more difficult to raise capital.</w:t>
      </w:r>
    </w:p>
    <w:p w:rsidR="00451026" w:rsidRDefault="00451026" w:rsidP="00451026">
      <w:pPr>
        <w:pStyle w:val="NormalWeb"/>
        <w:shd w:val="clear" w:color="auto" w:fill="FFFFFF"/>
        <w:spacing w:before="300" w:beforeAutospacing="0" w:after="0" w:afterAutospacing="0"/>
        <w:jc w:val="both"/>
        <w:textAlignment w:val="baseline"/>
        <w:rPr>
          <w:color w:val="191919"/>
          <w:lang w:val="en-US"/>
        </w:rPr>
      </w:pPr>
      <w:r w:rsidRPr="002418F1">
        <w:rPr>
          <w:color w:val="191919"/>
          <w:lang w:val="en-US"/>
        </w:rPr>
        <w:t>In addition to the traditional bank lending channel, which focuses on the quantity of loans supplied, a risk-taking channel may exist when banks’ incentive to bear risk related to the provision of loans is affected. The risk-taking channel is thought to operate mainly via two mechanisms. First, low interest rates boost asset and collateral values. This, in conjunction with the belief that the increase in asset values is sustainable, leads both borrowers and banks to accept higher risks. Second, low interest rates make riskier assets more attractive, as agents search for higher yields. In the case of banks, these two effects usually translate into a softening of credit standards, which can lead to an excessive increase in loan supply.</w:t>
      </w:r>
    </w:p>
    <w:p w:rsidR="00451026" w:rsidRPr="002418F1" w:rsidRDefault="00451026" w:rsidP="00451026">
      <w:pPr>
        <w:pStyle w:val="NormalWeb"/>
        <w:shd w:val="clear" w:color="auto" w:fill="FFFFFF"/>
        <w:spacing w:before="300" w:beforeAutospacing="0" w:after="0" w:afterAutospacing="0"/>
        <w:jc w:val="both"/>
        <w:textAlignment w:val="baseline"/>
        <w:rPr>
          <w:color w:val="191919"/>
          <w:lang w:val="en-US"/>
        </w:rPr>
      </w:pPr>
      <w:r w:rsidRPr="002418F1">
        <w:rPr>
          <w:noProof/>
          <w:color w:val="191919"/>
        </w:rPr>
        <w:lastRenderedPageBreak/>
        <w:drawing>
          <wp:inline distT="0" distB="0" distL="0" distR="0" wp14:anchorId="02F42016" wp14:editId="6A7F9D71">
            <wp:extent cx="5733600" cy="4521200"/>
            <wp:effectExtent l="0" t="0" r="635"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4519552"/>
                    </a:xfrm>
                    <a:prstGeom prst="rect">
                      <a:avLst/>
                    </a:prstGeom>
                  </pic:spPr>
                </pic:pic>
              </a:graphicData>
            </a:graphic>
          </wp:inline>
        </w:drawing>
      </w:r>
    </w:p>
    <w:p w:rsidR="00451026" w:rsidRPr="0010343A" w:rsidRDefault="00451026" w:rsidP="00451026">
      <w:pPr>
        <w:shd w:val="clear" w:color="auto" w:fill="FFFFFF"/>
        <w:spacing w:after="0" w:line="240" w:lineRule="auto"/>
        <w:ind w:left="60"/>
        <w:jc w:val="both"/>
        <w:textAlignment w:val="baseline"/>
        <w:rPr>
          <w:rFonts w:ascii="Times New Roman" w:eastAsia="Times New Roman" w:hAnsi="Times New Roman" w:cs="Times New Roman"/>
          <w:sz w:val="24"/>
          <w:szCs w:val="24"/>
          <w:lang w:val="en-US" w:eastAsia="es-ES"/>
        </w:rPr>
      </w:pPr>
      <w:r w:rsidRPr="002418F1">
        <w:rPr>
          <w:rFonts w:ascii="Times New Roman" w:eastAsia="Times New Roman" w:hAnsi="Times New Roman" w:cs="Times New Roman"/>
          <w:noProof/>
          <w:sz w:val="24"/>
          <w:szCs w:val="24"/>
          <w:lang w:eastAsia="es-ES"/>
        </w:rPr>
        <w:drawing>
          <wp:inline distT="0" distB="0" distL="0" distR="0" wp14:anchorId="5DDF460C" wp14:editId="598F1BC4">
            <wp:extent cx="5734050" cy="3035300"/>
            <wp:effectExtent l="0" t="0" r="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03395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r w:rsidRPr="002418F1">
        <w:rPr>
          <w:rFonts w:ascii="Times New Roman" w:hAnsi="Times New Roman" w:cs="Times New Roman"/>
          <w:b/>
          <w:sz w:val="24"/>
          <w:szCs w:val="24"/>
          <w:lang w:val="en-US"/>
        </w:rPr>
        <w:t>ECB Economic Bulletin, Issue 6 / 2017</w:t>
      </w:r>
    </w:p>
    <w:p w:rsidR="00451026" w:rsidRDefault="00451026" w:rsidP="00451026">
      <w:pPr>
        <w:spacing w:line="240" w:lineRule="auto"/>
        <w:jc w:val="both"/>
        <w:rPr>
          <w:rFonts w:ascii="Times New Roman" w:hAnsi="Times New Roman" w:cs="Times New Roman"/>
          <w:color w:val="191919"/>
          <w:sz w:val="24"/>
          <w:szCs w:val="24"/>
          <w:shd w:val="clear" w:color="auto" w:fill="FFFFFF"/>
          <w:lang w:val="en-US"/>
        </w:rPr>
      </w:pPr>
      <w:r w:rsidRPr="005006D9">
        <w:rPr>
          <w:rStyle w:val="Textoennegrita"/>
          <w:rFonts w:ascii="Times New Roman" w:hAnsi="Times New Roman" w:cs="Times New Roman"/>
          <w:color w:val="191919"/>
          <w:sz w:val="24"/>
          <w:szCs w:val="24"/>
          <w:bdr w:val="none" w:sz="0" w:space="0" w:color="auto" w:frame="1"/>
          <w:shd w:val="clear" w:color="auto" w:fill="FFFFFF"/>
          <w:lang w:val="en-US"/>
        </w:rPr>
        <w:t>Sovereign bond spreads vis-à-vis risk-free OIS rates declined in a number of countries against the background of an improved euro area macroeconomic outlook.</w:t>
      </w:r>
      <w:r w:rsidRPr="005006D9">
        <w:rPr>
          <w:rFonts w:ascii="Times New Roman" w:hAnsi="Times New Roman" w:cs="Times New Roman"/>
          <w:color w:val="191919"/>
          <w:sz w:val="24"/>
          <w:szCs w:val="24"/>
          <w:shd w:val="clear" w:color="auto" w:fill="FFFFFF"/>
          <w:lang w:val="en-US"/>
        </w:rPr>
        <w:t xml:space="preserve"> The declines ranged from 1 basis point in France to 19 basis points in Italy and 20 basis points in Portugal (see Chart 5). They were initially precipitated following the results of the French presidential </w:t>
      </w:r>
      <w:r w:rsidRPr="005006D9">
        <w:rPr>
          <w:rFonts w:ascii="Times New Roman" w:hAnsi="Times New Roman" w:cs="Times New Roman"/>
          <w:color w:val="191919"/>
          <w:sz w:val="24"/>
          <w:szCs w:val="24"/>
          <w:shd w:val="clear" w:color="auto" w:fill="FFFFFF"/>
          <w:lang w:val="en-US"/>
        </w:rPr>
        <w:lastRenderedPageBreak/>
        <w:t>election in April. Thereafter they reflected primarily an improvement in the euro area macroeconomic environment.</w:t>
      </w:r>
    </w:p>
    <w:p w:rsidR="00451026" w:rsidRPr="005006D9" w:rsidRDefault="00451026" w:rsidP="00451026">
      <w:pPr>
        <w:spacing w:line="240" w:lineRule="auto"/>
        <w:jc w:val="both"/>
        <w:rPr>
          <w:rFonts w:ascii="Times New Roman" w:hAnsi="Times New Roman" w:cs="Times New Roman"/>
          <w:sz w:val="24"/>
          <w:szCs w:val="24"/>
          <w:lang w:val="en-US"/>
        </w:rPr>
      </w:pPr>
      <w:r w:rsidRPr="005006D9">
        <w:rPr>
          <w:rFonts w:ascii="Times New Roman" w:hAnsi="Times New Roman" w:cs="Times New Roman"/>
          <w:noProof/>
          <w:sz w:val="24"/>
          <w:szCs w:val="24"/>
          <w:lang w:eastAsia="es-ES"/>
        </w:rPr>
        <w:drawing>
          <wp:inline distT="0" distB="0" distL="0" distR="0" wp14:anchorId="17A981C6" wp14:editId="5CE440D3">
            <wp:extent cx="5733422" cy="3994150"/>
            <wp:effectExtent l="0" t="0" r="635" b="635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399281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color w:val="191919"/>
          <w:sz w:val="24"/>
          <w:szCs w:val="24"/>
          <w:shd w:val="clear" w:color="auto" w:fill="FFFFFF"/>
          <w:lang w:val="en-US"/>
        </w:rPr>
      </w:pPr>
      <w:r w:rsidRPr="005006D9">
        <w:rPr>
          <w:rStyle w:val="Textoennegrita"/>
          <w:rFonts w:ascii="Times New Roman" w:hAnsi="Times New Roman" w:cs="Times New Roman"/>
          <w:color w:val="191919"/>
          <w:sz w:val="24"/>
          <w:szCs w:val="24"/>
          <w:bdr w:val="none" w:sz="0" w:space="0" w:color="auto" w:frame="1"/>
          <w:shd w:val="clear" w:color="auto" w:fill="FFFFFF"/>
          <w:lang w:val="en-US"/>
        </w:rPr>
        <w:t>The euro overnight index average (EONIA) forward curve has shifted slightly downwards for short maturities, but remains largely unchanged for longer maturities (see Chart 6).</w:t>
      </w:r>
      <w:r w:rsidRPr="005006D9">
        <w:rPr>
          <w:rFonts w:ascii="Times New Roman" w:hAnsi="Times New Roman" w:cs="Times New Roman"/>
          <w:color w:val="191919"/>
          <w:sz w:val="24"/>
          <w:szCs w:val="24"/>
          <w:shd w:val="clear" w:color="auto" w:fill="FFFFFF"/>
          <w:lang w:val="en-US"/>
        </w:rPr>
        <w:t> The gradual upward slope of the curve implies that market participants continue to expect a prolonged period of negative EONIA rates until around mid-2020.</w:t>
      </w:r>
    </w:p>
    <w:p w:rsidR="00451026" w:rsidRDefault="00451026" w:rsidP="00451026">
      <w:pPr>
        <w:spacing w:line="240" w:lineRule="auto"/>
        <w:jc w:val="both"/>
        <w:rPr>
          <w:rFonts w:ascii="Times New Roman" w:hAnsi="Times New Roman" w:cs="Times New Roman"/>
          <w:sz w:val="24"/>
          <w:szCs w:val="24"/>
          <w:lang w:val="en-US"/>
        </w:rPr>
      </w:pPr>
      <w:r w:rsidRPr="005006D9">
        <w:rPr>
          <w:rFonts w:ascii="Times New Roman" w:hAnsi="Times New Roman" w:cs="Times New Roman"/>
          <w:noProof/>
          <w:sz w:val="24"/>
          <w:szCs w:val="24"/>
          <w:lang w:eastAsia="es-ES"/>
        </w:rPr>
        <w:drawing>
          <wp:inline distT="0" distB="0" distL="0" distR="0" wp14:anchorId="62222598" wp14:editId="53091A60">
            <wp:extent cx="5727700" cy="2768600"/>
            <wp:effectExtent l="0" t="0" r="635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2770442"/>
                    </a:xfrm>
                    <a:prstGeom prst="rect">
                      <a:avLst/>
                    </a:prstGeom>
                  </pic:spPr>
                </pic:pic>
              </a:graphicData>
            </a:graphic>
          </wp:inline>
        </w:drawing>
      </w:r>
    </w:p>
    <w:p w:rsidR="00451026" w:rsidRPr="005006D9" w:rsidRDefault="00451026" w:rsidP="00451026">
      <w:pPr>
        <w:pStyle w:val="NormalWeb"/>
        <w:shd w:val="clear" w:color="auto" w:fill="FFFFFF"/>
        <w:spacing w:before="0" w:beforeAutospacing="0" w:after="0" w:afterAutospacing="0"/>
        <w:jc w:val="both"/>
        <w:textAlignment w:val="baseline"/>
        <w:rPr>
          <w:color w:val="191919"/>
          <w:lang w:val="en-US"/>
        </w:rPr>
      </w:pPr>
      <w:r>
        <w:rPr>
          <w:rStyle w:val="Textoennegrita"/>
          <w:color w:val="191919"/>
          <w:bdr w:val="none" w:sz="0" w:space="0" w:color="auto" w:frame="1"/>
          <w:lang w:val="en-US"/>
        </w:rPr>
        <w:t>The EONIA hovered around -</w:t>
      </w:r>
      <w:r w:rsidRPr="005006D9">
        <w:rPr>
          <w:rStyle w:val="Textoennegrita"/>
          <w:color w:val="191919"/>
          <w:bdr w:val="none" w:sz="0" w:space="0" w:color="auto" w:frame="1"/>
          <w:lang w:val="en-US"/>
        </w:rPr>
        <w:t>36 basis points during the review period.</w:t>
      </w:r>
      <w:r w:rsidRPr="005006D9">
        <w:rPr>
          <w:color w:val="191919"/>
          <w:lang w:val="en-US"/>
        </w:rPr>
        <w:t xml:space="preserve"> Excess liquidity increased by about €100 billion, to around €1,770 billion. This increase is attributable to </w:t>
      </w:r>
      <w:r w:rsidRPr="005006D9">
        <w:rPr>
          <w:color w:val="191919"/>
          <w:lang w:val="en-US"/>
        </w:rPr>
        <w:lastRenderedPageBreak/>
        <w:t>ongoing purchases under the expanded asset purchase programme. Liquidity conditions are discussed in more detail in Box 2.</w:t>
      </w:r>
    </w:p>
    <w:p w:rsidR="00451026" w:rsidRDefault="00451026" w:rsidP="00451026">
      <w:pPr>
        <w:pStyle w:val="NormalWeb"/>
        <w:shd w:val="clear" w:color="auto" w:fill="FFFFFF"/>
        <w:spacing w:before="0" w:beforeAutospacing="0" w:after="0" w:afterAutospacing="0"/>
        <w:jc w:val="both"/>
        <w:textAlignment w:val="baseline"/>
        <w:rPr>
          <w:rStyle w:val="Textoennegrita"/>
          <w:color w:val="191919"/>
          <w:bdr w:val="none" w:sz="0" w:space="0" w:color="auto" w:frame="1"/>
          <w:lang w:val="en-US"/>
        </w:rPr>
      </w:pP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5006D9">
        <w:rPr>
          <w:rStyle w:val="Textoennegrita"/>
          <w:color w:val="191919"/>
          <w:bdr w:val="none" w:sz="0" w:space="0" w:color="auto" w:frame="1"/>
          <w:lang w:val="en-US"/>
        </w:rPr>
        <w:t>Spreads on bonds issued by NFCs declined marginally during the period under review (see Chart 7).</w:t>
      </w:r>
      <w:r w:rsidRPr="005006D9">
        <w:rPr>
          <w:color w:val="191919"/>
          <w:lang w:val="en-US"/>
        </w:rPr>
        <w:t> On 6 September investment-grade NFC bond spreads (over the corresponding AAA-rated euro area average yield curve) were on average 5 basis points lower than in early June and around 70 basis points below their levels in March 2016, prior to the announcement and subsequent launch of the CSPP. Spreads on non-investment-grade NFC and financial sector debt also declined during the period under review, falling by 39 basis points and 6 basis points respectively. The low level and further compression of corporate bond spreads is consistent with a firming economic recovery.</w:t>
      </w:r>
    </w:p>
    <w:p w:rsidR="00451026" w:rsidRPr="005006D9" w:rsidRDefault="00451026" w:rsidP="00451026">
      <w:pPr>
        <w:pStyle w:val="NormalWeb"/>
        <w:shd w:val="clear" w:color="auto" w:fill="FFFFFF"/>
        <w:spacing w:before="0" w:beforeAutospacing="0" w:after="0" w:afterAutospacing="0"/>
        <w:jc w:val="both"/>
        <w:textAlignment w:val="baseline"/>
        <w:rPr>
          <w:color w:val="191919"/>
          <w:lang w:val="en-US"/>
        </w:rPr>
      </w:pPr>
    </w:p>
    <w:p w:rsidR="00451026" w:rsidRDefault="00451026" w:rsidP="00451026">
      <w:pPr>
        <w:spacing w:line="240" w:lineRule="auto"/>
        <w:jc w:val="both"/>
        <w:rPr>
          <w:rFonts w:ascii="Times New Roman" w:hAnsi="Times New Roman" w:cs="Times New Roman"/>
          <w:sz w:val="24"/>
          <w:szCs w:val="24"/>
          <w:lang w:val="en-US"/>
        </w:rPr>
      </w:pPr>
      <w:r w:rsidRPr="005006D9">
        <w:rPr>
          <w:rFonts w:ascii="Times New Roman" w:hAnsi="Times New Roman" w:cs="Times New Roman"/>
          <w:noProof/>
          <w:sz w:val="24"/>
          <w:szCs w:val="24"/>
          <w:lang w:eastAsia="es-ES"/>
        </w:rPr>
        <w:drawing>
          <wp:inline distT="0" distB="0" distL="0" distR="0" wp14:anchorId="5A2C4CDB" wp14:editId="708D4419">
            <wp:extent cx="5734050" cy="2990850"/>
            <wp:effectExtent l="0" t="0" r="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4050" cy="2990850"/>
                    </a:xfrm>
                    <a:prstGeom prst="rect">
                      <a:avLst/>
                    </a:prstGeom>
                  </pic:spPr>
                </pic:pic>
              </a:graphicData>
            </a:graphic>
          </wp:inline>
        </w:drawing>
      </w:r>
    </w:p>
    <w:p w:rsidR="00451026" w:rsidRPr="005006D9" w:rsidRDefault="00451026" w:rsidP="00451026">
      <w:pPr>
        <w:spacing w:line="240" w:lineRule="auto"/>
        <w:jc w:val="both"/>
        <w:rPr>
          <w:rFonts w:ascii="Times New Roman" w:hAnsi="Times New Roman" w:cs="Times New Roman"/>
          <w:b/>
          <w:sz w:val="24"/>
          <w:szCs w:val="24"/>
          <w:lang w:val="en-US"/>
        </w:rPr>
      </w:pPr>
      <w:r w:rsidRPr="005006D9">
        <w:rPr>
          <w:rFonts w:ascii="Times New Roman" w:hAnsi="Times New Roman" w:cs="Times New Roman"/>
          <w:b/>
          <w:sz w:val="24"/>
          <w:szCs w:val="24"/>
          <w:lang w:val="en-US"/>
        </w:rPr>
        <w:t>Money and credit</w:t>
      </w:r>
    </w:p>
    <w:p w:rsidR="00451026" w:rsidRPr="005006D9" w:rsidRDefault="00451026" w:rsidP="00451026">
      <w:pPr>
        <w:spacing w:line="240" w:lineRule="auto"/>
        <w:jc w:val="both"/>
        <w:rPr>
          <w:rFonts w:ascii="Times New Roman" w:hAnsi="Times New Roman" w:cs="Times New Roman"/>
          <w:sz w:val="24"/>
          <w:szCs w:val="24"/>
          <w:lang w:val="en-US"/>
        </w:rPr>
      </w:pPr>
      <w:r w:rsidRPr="005006D9">
        <w:rPr>
          <w:rFonts w:ascii="Times New Roman" w:hAnsi="Times New Roman" w:cs="Times New Roman"/>
          <w:sz w:val="24"/>
          <w:szCs w:val="24"/>
          <w:lang w:val="en-US"/>
        </w:rPr>
        <w:t>Money growth expanded at the robust pace generally witnessed since mid-2015 in the second quarter of 2017 and showed a moderation in July. The recovery in loan growth to the private sector continued to proceed. And the annual flow of total external financing to non-financial corporations (NFCs) is estimated to have eased somewhat</w:t>
      </w:r>
      <w:r>
        <w:rPr>
          <w:rFonts w:ascii="Times New Roman" w:hAnsi="Times New Roman" w:cs="Times New Roman"/>
          <w:sz w:val="24"/>
          <w:szCs w:val="24"/>
          <w:lang w:val="en-US"/>
        </w:rPr>
        <w:t xml:space="preserve"> in the second quarter of 2017.</w:t>
      </w:r>
    </w:p>
    <w:p w:rsidR="00451026" w:rsidRDefault="00451026" w:rsidP="00451026">
      <w:pPr>
        <w:spacing w:line="240" w:lineRule="auto"/>
        <w:jc w:val="both"/>
        <w:rPr>
          <w:rFonts w:ascii="Times New Roman" w:hAnsi="Times New Roman" w:cs="Times New Roman"/>
          <w:sz w:val="24"/>
          <w:szCs w:val="24"/>
          <w:lang w:val="en-US"/>
        </w:rPr>
      </w:pPr>
      <w:r w:rsidRPr="005006D9">
        <w:rPr>
          <w:rFonts w:ascii="Times New Roman" w:hAnsi="Times New Roman" w:cs="Times New Roman"/>
          <w:b/>
          <w:sz w:val="24"/>
          <w:szCs w:val="24"/>
          <w:lang w:val="en-US"/>
        </w:rPr>
        <w:t>Broad money growth was robust at 5% in the second quarter of 2017, in line with its expansion since mid-2015, and then moderated in July</w:t>
      </w:r>
      <w:r w:rsidRPr="005006D9">
        <w:rPr>
          <w:rFonts w:ascii="Times New Roman" w:hAnsi="Times New Roman" w:cs="Times New Roman"/>
          <w:sz w:val="24"/>
          <w:szCs w:val="24"/>
          <w:lang w:val="en-US"/>
        </w:rPr>
        <w:t>. The annual growth rate of M3 decreased to 4.5% in July 2017, likely on account of temporary factors (see Chart 21). The low opportunity cost of holding the most liquid instruments in an environment of very low interest rates, as well as the impact of the ECB’s monetary policy measures, continued to lend support to money growth. However, the contribution of the most liquid components to annual M3 growth decreased, with the annual growth rate of M1 declining to 9.1% in July (compared with 9.3% in the second quarter of 2017 and 9.7% in June).</w:t>
      </w:r>
    </w:p>
    <w:p w:rsidR="00451026" w:rsidRPr="002418F1" w:rsidRDefault="00451026" w:rsidP="00451026">
      <w:pPr>
        <w:spacing w:line="240" w:lineRule="auto"/>
        <w:jc w:val="both"/>
        <w:rPr>
          <w:rFonts w:ascii="Times New Roman" w:hAnsi="Times New Roman" w:cs="Times New Roman"/>
          <w:sz w:val="24"/>
          <w:szCs w:val="24"/>
          <w:lang w:val="en-US"/>
        </w:rPr>
      </w:pPr>
      <w:r w:rsidRPr="005006D9">
        <w:rPr>
          <w:rFonts w:ascii="Times New Roman" w:hAnsi="Times New Roman" w:cs="Times New Roman"/>
          <w:noProof/>
          <w:sz w:val="24"/>
          <w:szCs w:val="24"/>
          <w:lang w:eastAsia="es-ES"/>
        </w:rPr>
        <w:lastRenderedPageBreak/>
        <w:drawing>
          <wp:inline distT="0" distB="0" distL="0" distR="0" wp14:anchorId="413580FF" wp14:editId="3CA29918">
            <wp:extent cx="5727700" cy="3613150"/>
            <wp:effectExtent l="0" t="0" r="6350" b="6350"/>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731510" cy="3615553"/>
                    </a:xfrm>
                    <a:prstGeom prst="rect">
                      <a:avLst/>
                    </a:prstGeom>
                  </pic:spPr>
                </pic:pic>
              </a:graphicData>
            </a:graphic>
          </wp:inline>
        </w:drawing>
      </w:r>
    </w:p>
    <w:p w:rsidR="00451026" w:rsidRPr="00F66D0A" w:rsidRDefault="00451026" w:rsidP="00451026">
      <w:pPr>
        <w:pStyle w:val="NormalWeb"/>
        <w:shd w:val="clear" w:color="auto" w:fill="FFFFFF"/>
        <w:spacing w:before="0" w:beforeAutospacing="0" w:after="0" w:afterAutospacing="0"/>
        <w:jc w:val="both"/>
        <w:textAlignment w:val="baseline"/>
        <w:rPr>
          <w:color w:val="191919"/>
          <w:lang w:val="en-US"/>
        </w:rPr>
      </w:pPr>
      <w:r w:rsidRPr="00F66D0A">
        <w:rPr>
          <w:rStyle w:val="Textoennegrita"/>
          <w:color w:val="191919"/>
          <w:bdr w:val="none" w:sz="0" w:space="0" w:color="auto" w:frame="1"/>
          <w:lang w:val="en-US"/>
        </w:rPr>
        <w:t>Overnight deposits continued to be the main driver of M3 growth.</w:t>
      </w:r>
      <w:r w:rsidRPr="00F66D0A">
        <w:rPr>
          <w:color w:val="191919"/>
          <w:lang w:val="en-US"/>
        </w:rPr>
        <w:t> Specifically, the annual growth rate of overnight deposits held by households and non-financial corporations remained strong in the second quarter of 2017 but softened in July 2017, likely owing to temporary factors. The annual growth rate of currency in circulation also decreased in July, indicating no tendency on the part of the money</w:t>
      </w:r>
      <w:r w:rsidRPr="00F66D0A">
        <w:rPr>
          <w:color w:val="191919"/>
          <w:lang w:val="en-US"/>
        </w:rPr>
        <w:noBreakHyphen/>
        <w:t>holding sector to substitute deposits with cash in an environment of very low or negative interest rates. Short</w:t>
      </w:r>
      <w:r w:rsidRPr="00F66D0A">
        <w:rPr>
          <w:color w:val="191919"/>
          <w:lang w:val="en-US"/>
        </w:rPr>
        <w:noBreakHyphen/>
        <w:t>term deposits other than overnight deposits (i.e. M2 minus M1) continued to have a negative impact on M3 in the second quarter and in July. The annual rate of change of marketable i</w:t>
      </w:r>
      <w:r>
        <w:rPr>
          <w:color w:val="191919"/>
          <w:lang w:val="en-US"/>
        </w:rPr>
        <w:t>nstruments (i.e. M3 minus M2) -a small component of M3-</w:t>
      </w:r>
      <w:r w:rsidRPr="00F66D0A">
        <w:rPr>
          <w:color w:val="191919"/>
          <w:lang w:val="en-US"/>
        </w:rPr>
        <w:t xml:space="preserve"> became significantly negative in July, contributing to the moderation in M3 growth observed at this time. This development followed a positive contribution in the second quarter of 2017 and was mainly driven by a further decline in monetary financial institutions’ (MFIs) issuance of short</w:t>
      </w:r>
      <w:r w:rsidRPr="00F66D0A">
        <w:rPr>
          <w:color w:val="191919"/>
          <w:lang w:val="en-US"/>
        </w:rPr>
        <w:noBreakHyphen/>
        <w:t>term debt securities. In contrast, the annual growth rate of money market fund shares/units remained positive.</w:t>
      </w:r>
    </w:p>
    <w:p w:rsidR="00451026" w:rsidRDefault="00451026" w:rsidP="00451026">
      <w:pPr>
        <w:pStyle w:val="NormalWeb"/>
        <w:shd w:val="clear" w:color="auto" w:fill="FFFFFF"/>
        <w:spacing w:before="0" w:beforeAutospacing="0" w:after="0" w:afterAutospacing="0"/>
        <w:jc w:val="both"/>
        <w:textAlignment w:val="baseline"/>
        <w:rPr>
          <w:rStyle w:val="Textoennegrita"/>
          <w:color w:val="191919"/>
          <w:bdr w:val="none" w:sz="0" w:space="0" w:color="auto" w:frame="1"/>
          <w:lang w:val="en-US"/>
        </w:rPr>
      </w:pP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F66D0A">
        <w:rPr>
          <w:rStyle w:val="Textoennegrita"/>
          <w:color w:val="191919"/>
          <w:bdr w:val="none" w:sz="0" w:space="0" w:color="auto" w:frame="1"/>
          <w:lang w:val="en-US"/>
        </w:rPr>
        <w:t>Domestic sources of money creation were again the main driver of broad money growth (see Chart 22).</w:t>
      </w:r>
      <w:r w:rsidRPr="00F66D0A">
        <w:rPr>
          <w:color w:val="191919"/>
          <w:lang w:val="en-US"/>
        </w:rPr>
        <w:t> From a counterpart perspective, the Eurosystem’s purchases of general government debt securities (see the red parts of Chart 22), conducted mainly in the context of the ECB’s public sector purchase programme (PSPP), contributed positively to M3 growth. The ongoing recovery in credit to the private sector (see the blue parts of Chart 22) also continued to support M3 growth. This includes both MFI loans to the private sector as well as MFI holdings of debt securities issued by the euro area private non-MFI sector. As such, it also covers the Eurosystem’s purchases of debt securities under the corporate sector purchase programme (CSPP). Longer-term financial liabilities and other counterparts together had a slightly negative effect on M3 growth as a result of the other counterparts (mainly repurchase agreements) (see the dark green parts of Chart 22). The persistent contraction in MFIs’ longer</w:t>
      </w:r>
      <w:r w:rsidRPr="00F66D0A">
        <w:rPr>
          <w:color w:val="191919"/>
          <w:lang w:val="en-US"/>
        </w:rPr>
        <w:noBreakHyphen/>
        <w:t>term financial liabilities (excluding capital and reserves), however, helped to increase M3 growth. The annual rate of change of such liabilities has been negative since the second quarter of 2012, partly owing to the impact of the ECB’s targeted longer</w:t>
      </w:r>
      <w:r w:rsidRPr="00F66D0A">
        <w:rPr>
          <w:color w:val="191919"/>
          <w:lang w:val="en-US"/>
        </w:rPr>
        <w:noBreakHyphen/>
        <w:t xml:space="preserve">term refinancing operations (TLTRO-II), which may be acting as a substitute </w:t>
      </w:r>
      <w:r w:rsidRPr="00F66D0A">
        <w:rPr>
          <w:color w:val="191919"/>
          <w:lang w:val="en-US"/>
        </w:rPr>
        <w:lastRenderedPageBreak/>
        <w:t>for longer</w:t>
      </w:r>
      <w:r w:rsidRPr="00F66D0A">
        <w:rPr>
          <w:color w:val="191919"/>
          <w:lang w:val="en-US"/>
        </w:rPr>
        <w:noBreakHyphen/>
        <w:t>term market-based bank funding. Finally, government bond sales from euro area MFIs excluding the Eurosystem contributed to the negative annual growth of credit to general government by MFIs excluding the Eurosystem and thus dampened M3 growth (see the light green parts of Chart 22).</w:t>
      </w: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p>
    <w:p w:rsidR="00451026" w:rsidRPr="00F66D0A" w:rsidRDefault="00451026" w:rsidP="00451026">
      <w:pPr>
        <w:pStyle w:val="NormalWeb"/>
        <w:shd w:val="clear" w:color="auto" w:fill="FFFFFF"/>
        <w:spacing w:before="0" w:beforeAutospacing="0" w:after="0" w:afterAutospacing="0"/>
        <w:jc w:val="both"/>
        <w:textAlignment w:val="baseline"/>
        <w:rPr>
          <w:color w:val="191919"/>
          <w:lang w:val="en-US"/>
        </w:rPr>
      </w:pPr>
      <w:r w:rsidRPr="00F66D0A">
        <w:rPr>
          <w:noProof/>
          <w:color w:val="191919"/>
        </w:rPr>
        <w:drawing>
          <wp:inline distT="0" distB="0" distL="0" distR="0" wp14:anchorId="3ECA95EC" wp14:editId="7CE65B91">
            <wp:extent cx="5733942" cy="4102100"/>
            <wp:effectExtent l="0" t="0" r="635"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731510" cy="4100360"/>
                    </a:xfrm>
                    <a:prstGeom prst="rect">
                      <a:avLst/>
                    </a:prstGeom>
                  </pic:spPr>
                </pic:pic>
              </a:graphicData>
            </a:graphic>
          </wp:inline>
        </w:drawing>
      </w:r>
    </w:p>
    <w:p w:rsidR="00451026" w:rsidRDefault="00451026" w:rsidP="00451026">
      <w:pPr>
        <w:spacing w:line="240" w:lineRule="auto"/>
        <w:jc w:val="both"/>
        <w:rPr>
          <w:rStyle w:val="Textoennegrita"/>
          <w:rFonts w:ascii="Times New Roman" w:hAnsi="Times New Roman" w:cs="Times New Roman"/>
          <w:color w:val="191919"/>
          <w:sz w:val="24"/>
          <w:szCs w:val="24"/>
          <w:bdr w:val="none" w:sz="0" w:space="0" w:color="auto" w:frame="1"/>
          <w:shd w:val="clear" w:color="auto" w:fill="FFFFFF"/>
          <w:lang w:val="en-US"/>
        </w:rPr>
      </w:pPr>
    </w:p>
    <w:p w:rsidR="00451026" w:rsidRDefault="00451026" w:rsidP="00451026">
      <w:pPr>
        <w:spacing w:line="240" w:lineRule="auto"/>
        <w:jc w:val="both"/>
        <w:rPr>
          <w:rFonts w:ascii="Times New Roman" w:hAnsi="Times New Roman" w:cs="Times New Roman"/>
          <w:color w:val="191919"/>
          <w:sz w:val="24"/>
          <w:szCs w:val="24"/>
          <w:shd w:val="clear" w:color="auto" w:fill="FFFFFF"/>
          <w:lang w:val="en-US"/>
        </w:rPr>
      </w:pPr>
      <w:r w:rsidRPr="00F66D0A">
        <w:rPr>
          <w:rStyle w:val="Textoennegrita"/>
          <w:rFonts w:ascii="Times New Roman" w:hAnsi="Times New Roman" w:cs="Times New Roman"/>
          <w:color w:val="191919"/>
          <w:sz w:val="24"/>
          <w:szCs w:val="24"/>
          <w:bdr w:val="none" w:sz="0" w:space="0" w:color="auto" w:frame="1"/>
          <w:shd w:val="clear" w:color="auto" w:fill="FFFFFF"/>
          <w:lang w:val="en-US"/>
        </w:rPr>
        <w:t>Banks’ funding conditions remained favourable.</w:t>
      </w:r>
      <w:r w:rsidRPr="00F66D0A">
        <w:rPr>
          <w:rFonts w:ascii="Times New Roman" w:hAnsi="Times New Roman" w:cs="Times New Roman"/>
          <w:color w:val="191919"/>
          <w:sz w:val="24"/>
          <w:szCs w:val="24"/>
          <w:shd w:val="clear" w:color="auto" w:fill="FFFFFF"/>
          <w:lang w:val="en-US"/>
        </w:rPr>
        <w:t> Banks’ composite cost of debt financing declined to a new historical low in July, after broadly stabilising in the second quarter of 2017 (see Chart 25). This trend was mainly driven by developments in the cost of deposits, which decreased marginally to a new historical low in July after pursuing a broadly stable path in the second quarter of 2017. In addition, bank bond yields generally stayed steady in the second quarter, despite a temporary increase in June, and declined in July. The ECB’s accommodative monetary policy stance, the net redemption of MFIs’ longer-term financial liabilities, the strengthening of bank balance sheets and receding fragmentation across financial markets have all contributed to the favourable conditions on this front.</w:t>
      </w:r>
    </w:p>
    <w:p w:rsidR="00451026" w:rsidRDefault="00451026" w:rsidP="00451026">
      <w:pPr>
        <w:spacing w:line="240" w:lineRule="auto"/>
        <w:jc w:val="both"/>
        <w:rPr>
          <w:rFonts w:ascii="Times New Roman" w:hAnsi="Times New Roman" w:cs="Times New Roman"/>
          <w:sz w:val="24"/>
          <w:szCs w:val="24"/>
          <w:lang w:val="en-US"/>
        </w:rPr>
      </w:pPr>
      <w:r w:rsidRPr="00F66D0A">
        <w:rPr>
          <w:rFonts w:ascii="Times New Roman" w:hAnsi="Times New Roman" w:cs="Times New Roman"/>
          <w:noProof/>
          <w:sz w:val="24"/>
          <w:szCs w:val="24"/>
          <w:lang w:eastAsia="es-ES"/>
        </w:rPr>
        <w:lastRenderedPageBreak/>
        <w:drawing>
          <wp:inline distT="0" distB="0" distL="0" distR="0" wp14:anchorId="4F943E40" wp14:editId="0524FDC3">
            <wp:extent cx="5733586" cy="3962400"/>
            <wp:effectExtent l="0" t="0" r="635"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3960965"/>
                    </a:xfrm>
                    <a:prstGeom prst="rect">
                      <a:avLst/>
                    </a:prstGeom>
                  </pic:spPr>
                </pic:pic>
              </a:graphicData>
            </a:graphic>
          </wp:inline>
        </w:drawing>
      </w:r>
    </w:p>
    <w:p w:rsidR="00451026" w:rsidRDefault="00451026" w:rsidP="00451026">
      <w:pPr>
        <w:pStyle w:val="NormalWeb"/>
        <w:shd w:val="clear" w:color="auto" w:fill="FFFFFF"/>
        <w:spacing w:before="0" w:beforeAutospacing="0" w:after="0" w:afterAutospacing="0"/>
        <w:jc w:val="both"/>
        <w:textAlignment w:val="baseline"/>
        <w:rPr>
          <w:rStyle w:val="Textoennegrita"/>
          <w:color w:val="191919"/>
          <w:bdr w:val="none" w:sz="0" w:space="0" w:color="auto" w:frame="1"/>
          <w:lang w:val="en-US"/>
        </w:rPr>
      </w:pP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F66D0A">
        <w:rPr>
          <w:rStyle w:val="Textoennegrita"/>
          <w:color w:val="191919"/>
          <w:bdr w:val="none" w:sz="0" w:space="0" w:color="auto" w:frame="1"/>
          <w:lang w:val="en-US"/>
        </w:rPr>
        <w:t>Bank lending rates for NFCs and households remained at or close to their historical lows in the second quarter of 2017 and in July (see charts 26 and 27).</w:t>
      </w:r>
      <w:r w:rsidRPr="00F66D0A">
        <w:rPr>
          <w:color w:val="191919"/>
          <w:lang w:val="en-US"/>
        </w:rPr>
        <w:t xml:space="preserve">Composite bank lending rates for both NFCs and households declined between early 2014 and end-2016 but have since moved differently, with the composite bank lending rate for housing loans increasing slightly until July 2017 and the composite bank lending rate for NFC loans declining further to reach a new historical low in July. Overall, composite bank lending rates for loans to NFCs and households have decreased by significantly more than market reference rates since the ECB’s credit easing measures were announced in June 2014; </w:t>
      </w:r>
      <w:r w:rsidR="00EF04BA" w:rsidRPr="00F66D0A">
        <w:rPr>
          <w:color w:val="191919"/>
          <w:lang w:val="en-US"/>
        </w:rPr>
        <w:t>signaling</w:t>
      </w:r>
      <w:r w:rsidRPr="00F66D0A">
        <w:rPr>
          <w:color w:val="191919"/>
          <w:lang w:val="en-US"/>
        </w:rPr>
        <w:t xml:space="preserve"> an improvement in the pass-through of monetary policy measures to bank lending rates. The aforementioned decrease in banks’ composite funding costs has supported the decline in composite lending rates. Between May 2014 and July 2017, composite lending rates on loans to NFCs and households fell by 119 basis points and 103 basis points, respectively. The reduction in bank lending rates on NFC loans was particularly strong in vulnerable euro area countries, supporting a more homogeneous transmission of monetary policy to such rates across countries. Over the same period, the spread between interest rates charged on very small loans (loans of up to €</w:t>
      </w:r>
      <w:r>
        <w:rPr>
          <w:color w:val="191919"/>
          <w:lang w:val="en-US"/>
        </w:rPr>
        <w:t xml:space="preserve"> 0,</w:t>
      </w:r>
      <w:r w:rsidRPr="00F66D0A">
        <w:rPr>
          <w:color w:val="191919"/>
          <w:lang w:val="en-US"/>
        </w:rPr>
        <w:t>25 million) and those charged on large loans (loans of above €</w:t>
      </w:r>
      <w:r>
        <w:rPr>
          <w:color w:val="191919"/>
          <w:lang w:val="en-US"/>
        </w:rPr>
        <w:t xml:space="preserve"> </w:t>
      </w:r>
      <w:r w:rsidRPr="00F66D0A">
        <w:rPr>
          <w:color w:val="191919"/>
          <w:lang w:val="en-US"/>
        </w:rPr>
        <w:t>1 million) in the euro area narrowed considerably and stood close to its historical low in July 2017. This indicates that small and medium-sized enterprises have generally benefited to a greater extent from the decline in bank lending rates than large companies.</w:t>
      </w: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F66D0A">
        <w:rPr>
          <w:noProof/>
          <w:color w:val="191919"/>
        </w:rPr>
        <w:lastRenderedPageBreak/>
        <w:drawing>
          <wp:inline distT="0" distB="0" distL="0" distR="0" wp14:anchorId="173CE90F" wp14:editId="16C5AFC1">
            <wp:extent cx="5727699" cy="3975100"/>
            <wp:effectExtent l="0" t="0" r="6985" b="635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5731510" cy="3977745"/>
                    </a:xfrm>
                    <a:prstGeom prst="rect">
                      <a:avLst/>
                    </a:prstGeom>
                  </pic:spPr>
                </pic:pic>
              </a:graphicData>
            </a:graphic>
          </wp:inline>
        </w:drawing>
      </w: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F66D0A">
        <w:rPr>
          <w:noProof/>
          <w:color w:val="191919"/>
        </w:rPr>
        <w:drawing>
          <wp:inline distT="0" distB="0" distL="0" distR="0" wp14:anchorId="0E6D5831" wp14:editId="13DCFBB6">
            <wp:extent cx="5727299" cy="4775200"/>
            <wp:effectExtent l="0" t="0" r="6985" b="635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5731510" cy="4778711"/>
                    </a:xfrm>
                    <a:prstGeom prst="rect">
                      <a:avLst/>
                    </a:prstGeom>
                  </pic:spPr>
                </pic:pic>
              </a:graphicData>
            </a:graphic>
          </wp:inline>
        </w:drawing>
      </w:r>
    </w:p>
    <w:p w:rsidR="00451026" w:rsidRPr="00475F36" w:rsidRDefault="00451026" w:rsidP="00451026">
      <w:pPr>
        <w:pStyle w:val="Ttulo3"/>
        <w:shd w:val="clear" w:color="auto" w:fill="FFFFFF"/>
        <w:spacing w:before="0" w:after="450" w:line="420" w:lineRule="atLeast"/>
        <w:textAlignment w:val="baseline"/>
        <w:rPr>
          <w:rFonts w:ascii="Times New Roman" w:hAnsi="Times New Roman" w:cs="Times New Roman"/>
          <w:color w:val="auto"/>
          <w:sz w:val="24"/>
          <w:szCs w:val="24"/>
          <w:lang w:val="en-US"/>
        </w:rPr>
      </w:pPr>
      <w:r w:rsidRPr="00475F36">
        <w:rPr>
          <w:rFonts w:ascii="Times New Roman" w:hAnsi="Times New Roman" w:cs="Times New Roman"/>
          <w:color w:val="auto"/>
          <w:sz w:val="24"/>
          <w:szCs w:val="24"/>
          <w:lang w:val="en-US"/>
        </w:rPr>
        <w:lastRenderedPageBreak/>
        <w:t>Liquidity provided through open market operations</w:t>
      </w:r>
    </w:p>
    <w:p w:rsidR="00451026" w:rsidRDefault="00451026" w:rsidP="00451026">
      <w:pPr>
        <w:pStyle w:val="NormalWeb"/>
        <w:shd w:val="clear" w:color="auto" w:fill="FFFFFF"/>
        <w:spacing w:before="0" w:beforeAutospacing="0" w:after="0" w:afterAutospacing="0"/>
        <w:jc w:val="both"/>
        <w:textAlignment w:val="baseline"/>
        <w:rPr>
          <w:lang w:val="en-US"/>
        </w:rPr>
      </w:pPr>
      <w:r w:rsidRPr="00475F36">
        <w:rPr>
          <w:rStyle w:val="Textoennegrita"/>
          <w:bdr w:val="none" w:sz="0" w:space="0" w:color="auto" w:frame="1"/>
          <w:lang w:val="en-US"/>
        </w:rPr>
        <w:t>The average amount of liquidity provided t</w:t>
      </w:r>
      <w:r>
        <w:rPr>
          <w:rStyle w:val="Textoennegrita"/>
          <w:bdr w:val="none" w:sz="0" w:space="0" w:color="auto" w:frame="1"/>
          <w:lang w:val="en-US"/>
        </w:rPr>
        <w:t>hrough open market operations -</w:t>
      </w:r>
      <w:r w:rsidRPr="00475F36">
        <w:rPr>
          <w:rStyle w:val="Textoennegrita"/>
          <w:bdr w:val="none" w:sz="0" w:space="0" w:color="auto" w:frame="1"/>
          <w:lang w:val="en-US"/>
        </w:rPr>
        <w:t xml:space="preserve">both tender operations </w:t>
      </w:r>
      <w:r>
        <w:rPr>
          <w:rStyle w:val="Textoennegrita"/>
          <w:bdr w:val="none" w:sz="0" w:space="0" w:color="auto" w:frame="1"/>
          <w:lang w:val="en-US"/>
        </w:rPr>
        <w:t>and the outright APP purchases-</w:t>
      </w:r>
      <w:r w:rsidRPr="00475F36">
        <w:rPr>
          <w:rStyle w:val="Textoennegrita"/>
          <w:bdr w:val="none" w:sz="0" w:space="0" w:color="auto" w:frame="1"/>
          <w:lang w:val="en-US"/>
        </w:rPr>
        <w:t xml:space="preserve"> increased by €</w:t>
      </w:r>
      <w:r>
        <w:rPr>
          <w:rStyle w:val="Textoennegrita"/>
          <w:bdr w:val="none" w:sz="0" w:space="0" w:color="auto" w:frame="1"/>
          <w:lang w:val="en-US"/>
        </w:rPr>
        <w:t xml:space="preserve"> 313,</w:t>
      </w:r>
      <w:r w:rsidRPr="00475F36">
        <w:rPr>
          <w:rStyle w:val="Textoennegrita"/>
          <w:bdr w:val="none" w:sz="0" w:space="0" w:color="auto" w:frame="1"/>
          <w:lang w:val="en-US"/>
        </w:rPr>
        <w:t>5 billion to stand at €</w:t>
      </w:r>
      <w:r>
        <w:rPr>
          <w:rStyle w:val="Textoennegrita"/>
          <w:bdr w:val="none" w:sz="0" w:space="0" w:color="auto" w:frame="1"/>
          <w:lang w:val="en-US"/>
        </w:rPr>
        <w:t xml:space="preserve"> 2.814,</w:t>
      </w:r>
      <w:r w:rsidRPr="00475F36">
        <w:rPr>
          <w:rStyle w:val="Textoennegrita"/>
          <w:bdr w:val="none" w:sz="0" w:space="0" w:color="auto" w:frame="1"/>
          <w:lang w:val="en-US"/>
        </w:rPr>
        <w:t>5 billion (see chart A).</w:t>
      </w:r>
      <w:r w:rsidRPr="00475F36">
        <w:rPr>
          <w:lang w:val="en-US"/>
        </w:rPr>
        <w:t> This increase was primarily due to the ECB’s APP and the fourth targeted longer-term refinancing operation in the second series of TLTROs (TLTRO-II), which was settled for an amount of €</w:t>
      </w:r>
      <w:r>
        <w:rPr>
          <w:lang w:val="en-US"/>
        </w:rPr>
        <w:t xml:space="preserve"> 233,</w:t>
      </w:r>
      <w:r w:rsidRPr="00475F36">
        <w:rPr>
          <w:lang w:val="en-US"/>
        </w:rPr>
        <w:t>4 billion on 29 March 2017.</w:t>
      </w:r>
    </w:p>
    <w:p w:rsidR="00451026" w:rsidRDefault="00451026" w:rsidP="00451026">
      <w:pPr>
        <w:pStyle w:val="NormalWeb"/>
        <w:shd w:val="clear" w:color="auto" w:fill="FFFFFF"/>
        <w:spacing w:before="0" w:beforeAutospacing="0" w:after="0" w:afterAutospacing="0"/>
        <w:jc w:val="both"/>
        <w:textAlignment w:val="baseline"/>
        <w:rPr>
          <w:lang w:val="en-US"/>
        </w:rPr>
      </w:pPr>
    </w:p>
    <w:p w:rsidR="00451026" w:rsidRPr="00475F36" w:rsidRDefault="00451026" w:rsidP="00451026">
      <w:pPr>
        <w:pStyle w:val="NormalWeb"/>
        <w:shd w:val="clear" w:color="auto" w:fill="FFFFFF"/>
        <w:spacing w:before="0" w:beforeAutospacing="0" w:after="0" w:afterAutospacing="0"/>
        <w:jc w:val="both"/>
        <w:textAlignment w:val="baseline"/>
        <w:rPr>
          <w:lang w:val="en-US"/>
        </w:rPr>
      </w:pPr>
      <w:r w:rsidRPr="00475F36">
        <w:rPr>
          <w:noProof/>
        </w:rPr>
        <w:drawing>
          <wp:inline distT="0" distB="0" distL="0" distR="0" wp14:anchorId="404C9C0E" wp14:editId="560BA478">
            <wp:extent cx="5734050" cy="3409950"/>
            <wp:effectExtent l="0" t="0" r="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731510" cy="3408440"/>
                    </a:xfrm>
                    <a:prstGeom prst="rect">
                      <a:avLst/>
                    </a:prstGeom>
                  </pic:spPr>
                </pic:pic>
              </a:graphicData>
            </a:graphic>
          </wp:inline>
        </w:drawing>
      </w:r>
    </w:p>
    <w:p w:rsidR="00451026" w:rsidRDefault="00451026" w:rsidP="00451026">
      <w:pPr>
        <w:pStyle w:val="NormalWeb"/>
        <w:shd w:val="clear" w:color="auto" w:fill="FFFFFF"/>
        <w:spacing w:before="0" w:beforeAutospacing="0" w:after="0" w:afterAutospacing="0"/>
        <w:jc w:val="both"/>
        <w:textAlignment w:val="baseline"/>
        <w:rPr>
          <w:lang w:val="en-US"/>
        </w:rPr>
      </w:pP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475F36">
        <w:rPr>
          <w:rStyle w:val="Textoennegrita"/>
          <w:color w:val="191919"/>
          <w:bdr w:val="none" w:sz="0" w:space="0" w:color="auto" w:frame="1"/>
          <w:lang w:val="en-US"/>
        </w:rPr>
        <w:t>The average amount of liquidity provided through tender operations increased by €</w:t>
      </w:r>
      <w:r>
        <w:rPr>
          <w:rStyle w:val="Textoennegrita"/>
          <w:color w:val="191919"/>
          <w:bdr w:val="none" w:sz="0" w:space="0" w:color="auto" w:frame="1"/>
          <w:lang w:val="en-US"/>
        </w:rPr>
        <w:t xml:space="preserve"> 124,</w:t>
      </w:r>
      <w:r w:rsidRPr="00475F36">
        <w:rPr>
          <w:rStyle w:val="Textoennegrita"/>
          <w:color w:val="191919"/>
          <w:bdr w:val="none" w:sz="0" w:space="0" w:color="auto" w:frame="1"/>
          <w:lang w:val="en-US"/>
        </w:rPr>
        <w:t>4 billion to stand at €</w:t>
      </w:r>
      <w:r>
        <w:rPr>
          <w:rStyle w:val="Textoennegrita"/>
          <w:color w:val="191919"/>
          <w:bdr w:val="none" w:sz="0" w:space="0" w:color="auto" w:frame="1"/>
          <w:lang w:val="en-US"/>
        </w:rPr>
        <w:t xml:space="preserve"> </w:t>
      </w:r>
      <w:r w:rsidRPr="00475F36">
        <w:rPr>
          <w:rStyle w:val="Textoennegrita"/>
          <w:color w:val="191919"/>
          <w:bdr w:val="none" w:sz="0" w:space="0" w:color="auto" w:frame="1"/>
          <w:lang w:val="en-US"/>
        </w:rPr>
        <w:t>779 billion.</w:t>
      </w:r>
      <w:r w:rsidRPr="00475F36">
        <w:rPr>
          <w:color w:val="191919"/>
          <w:lang w:val="en-US"/>
        </w:rPr>
        <w:t> This increase largely reflects the liquidity provided through the fourth TLTRO-II, which, unlike in the previous review period, is fully reflected in the average liquidity conditions of the current review period. The average outstanding amount of TLTROs increased by €</w:t>
      </w:r>
      <w:r>
        <w:rPr>
          <w:color w:val="191919"/>
          <w:lang w:val="en-US"/>
        </w:rPr>
        <w:t xml:space="preserve"> 138,</w:t>
      </w:r>
      <w:r w:rsidRPr="00475F36">
        <w:rPr>
          <w:color w:val="191919"/>
          <w:lang w:val="en-US"/>
        </w:rPr>
        <w:t>7 billion as a net effect of the settlement of the fourth TLTRO-II operation and voluntary early repayments for funds borrowed via TLTRO-I operations. Average liquidity provided via MROs and three-month LTROs decreased by €</w:t>
      </w:r>
      <w:r>
        <w:rPr>
          <w:color w:val="191919"/>
          <w:lang w:val="en-US"/>
        </w:rPr>
        <w:t xml:space="preserve"> 12,</w:t>
      </w:r>
      <w:r w:rsidRPr="00475F36">
        <w:rPr>
          <w:color w:val="191919"/>
          <w:lang w:val="en-US"/>
        </w:rPr>
        <w:t>2 billion and €</w:t>
      </w:r>
      <w:r>
        <w:rPr>
          <w:color w:val="191919"/>
          <w:lang w:val="en-US"/>
        </w:rPr>
        <w:t xml:space="preserve"> 2,</w:t>
      </w:r>
      <w:r w:rsidRPr="00475F36">
        <w:rPr>
          <w:color w:val="191919"/>
          <w:lang w:val="en-US"/>
        </w:rPr>
        <w:t>1 billion respectively.</w:t>
      </w:r>
    </w:p>
    <w:p w:rsidR="00451026" w:rsidRPr="00475F36" w:rsidRDefault="00451026" w:rsidP="00451026">
      <w:pPr>
        <w:pStyle w:val="NormalWeb"/>
        <w:shd w:val="clear" w:color="auto" w:fill="FFFFFF"/>
        <w:spacing w:before="0" w:beforeAutospacing="0" w:after="0" w:afterAutospacing="0"/>
        <w:jc w:val="both"/>
        <w:textAlignment w:val="baseline"/>
        <w:rPr>
          <w:color w:val="191919"/>
          <w:lang w:val="en-US"/>
        </w:rPr>
      </w:pPr>
    </w:p>
    <w:p w:rsidR="00451026" w:rsidRPr="00475F36" w:rsidRDefault="00451026" w:rsidP="00451026">
      <w:pPr>
        <w:pStyle w:val="NormalWeb"/>
        <w:shd w:val="clear" w:color="auto" w:fill="FFFFFF"/>
        <w:spacing w:before="0" w:beforeAutospacing="0" w:after="0" w:afterAutospacing="0"/>
        <w:jc w:val="both"/>
        <w:textAlignment w:val="baseline"/>
        <w:rPr>
          <w:color w:val="191919"/>
          <w:lang w:val="en-US"/>
        </w:rPr>
      </w:pPr>
      <w:r w:rsidRPr="00475F36">
        <w:rPr>
          <w:rStyle w:val="Textoennegrita"/>
          <w:color w:val="191919"/>
          <w:bdr w:val="none" w:sz="0" w:space="0" w:color="auto" w:frame="1"/>
          <w:lang w:val="en-US"/>
        </w:rPr>
        <w:t>Liquidity provided through the Eurosystem’s outright monetary policy portfolios increased by €</w:t>
      </w:r>
      <w:r>
        <w:rPr>
          <w:rStyle w:val="Textoennegrita"/>
          <w:color w:val="191919"/>
          <w:bdr w:val="none" w:sz="0" w:space="0" w:color="auto" w:frame="1"/>
          <w:lang w:val="en-US"/>
        </w:rPr>
        <w:t xml:space="preserve"> 189,</w:t>
      </w:r>
      <w:r w:rsidRPr="00475F36">
        <w:rPr>
          <w:rStyle w:val="Textoennegrita"/>
          <w:color w:val="191919"/>
          <w:bdr w:val="none" w:sz="0" w:space="0" w:color="auto" w:frame="1"/>
          <w:lang w:val="en-US"/>
        </w:rPr>
        <w:t>1 billion to stand at €</w:t>
      </w:r>
      <w:r>
        <w:rPr>
          <w:rStyle w:val="Textoennegrita"/>
          <w:color w:val="191919"/>
          <w:bdr w:val="none" w:sz="0" w:space="0" w:color="auto" w:frame="1"/>
          <w:lang w:val="en-US"/>
        </w:rPr>
        <w:t xml:space="preserve"> 2.035,</w:t>
      </w:r>
      <w:r w:rsidRPr="00475F36">
        <w:rPr>
          <w:rStyle w:val="Textoennegrita"/>
          <w:color w:val="191919"/>
          <w:bdr w:val="none" w:sz="0" w:space="0" w:color="auto" w:frame="1"/>
          <w:lang w:val="en-US"/>
        </w:rPr>
        <w:t>5 billion on average, as APP purchases continued.</w:t>
      </w:r>
      <w:r w:rsidRPr="00475F36">
        <w:rPr>
          <w:color w:val="191919"/>
          <w:lang w:val="en-US"/>
        </w:rPr>
        <w:t> Average liquidity provided by the public sector purchase programme (PSPP), the third covered bond purchase programme, the asset-backed securities purchase programme and the corporate sector purchase programme rose, on average, by €</w:t>
      </w:r>
      <w:r>
        <w:rPr>
          <w:color w:val="191919"/>
          <w:lang w:val="en-US"/>
        </w:rPr>
        <w:t xml:space="preserve"> 163,</w:t>
      </w:r>
      <w:r w:rsidRPr="00475F36">
        <w:rPr>
          <w:color w:val="191919"/>
          <w:lang w:val="en-US"/>
        </w:rPr>
        <w:t>6 billion, €</w:t>
      </w:r>
      <w:r>
        <w:rPr>
          <w:color w:val="191919"/>
          <w:lang w:val="en-US"/>
        </w:rPr>
        <w:t xml:space="preserve"> 8,</w:t>
      </w:r>
      <w:r w:rsidRPr="00475F36">
        <w:rPr>
          <w:color w:val="191919"/>
          <w:lang w:val="en-US"/>
        </w:rPr>
        <w:t>1 billion, €</w:t>
      </w:r>
      <w:r>
        <w:rPr>
          <w:color w:val="191919"/>
          <w:lang w:val="en-US"/>
        </w:rPr>
        <w:t xml:space="preserve"> 0,</w:t>
      </w:r>
      <w:r w:rsidRPr="00475F36">
        <w:rPr>
          <w:color w:val="191919"/>
          <w:lang w:val="en-US"/>
        </w:rPr>
        <w:t>2 billion and €</w:t>
      </w:r>
      <w:r>
        <w:rPr>
          <w:color w:val="191919"/>
          <w:lang w:val="en-US"/>
        </w:rPr>
        <w:t xml:space="preserve"> 21,</w:t>
      </w:r>
      <w:r w:rsidRPr="00475F36">
        <w:rPr>
          <w:color w:val="191919"/>
          <w:lang w:val="en-US"/>
        </w:rPr>
        <w:t xml:space="preserve">7 billion, respectively. The redemption of bonds held under the Securities Markets Programme and the previous two covered bond purchase programmes </w:t>
      </w:r>
      <w:r w:rsidR="00EF04BA" w:rsidRPr="00475F36">
        <w:rPr>
          <w:color w:val="191919"/>
          <w:lang w:val="en-US"/>
        </w:rPr>
        <w:t>totaled</w:t>
      </w:r>
      <w:r w:rsidRPr="00475F36">
        <w:rPr>
          <w:color w:val="191919"/>
          <w:lang w:val="en-US"/>
        </w:rPr>
        <w:t xml:space="preserve"> €</w:t>
      </w:r>
      <w:r>
        <w:rPr>
          <w:color w:val="191919"/>
          <w:lang w:val="en-US"/>
        </w:rPr>
        <w:t xml:space="preserve"> 4,</w:t>
      </w:r>
      <w:r w:rsidRPr="00475F36">
        <w:rPr>
          <w:color w:val="191919"/>
          <w:lang w:val="en-US"/>
        </w:rPr>
        <w:t>4 billion.</w:t>
      </w:r>
    </w:p>
    <w:p w:rsidR="00451026" w:rsidRDefault="00F753F8" w:rsidP="00451026">
      <w:pPr>
        <w:spacing w:before="450" w:after="480"/>
        <w:rPr>
          <w:rFonts w:ascii="Times New Roman" w:hAnsi="Times New Roman"/>
        </w:rPr>
      </w:pPr>
      <w:r>
        <w:pict>
          <v:rect id="_x0000_i1025" style="width:465pt;height:.75pt" o:hrpct="0" o:hralign="center" o:hrstd="t" o:hrnoshade="t" o:hr="t" stroked="f"/>
        </w:pict>
      </w:r>
    </w:p>
    <w:p w:rsidR="00451026" w:rsidRPr="00AA6CBB" w:rsidRDefault="00451026" w:rsidP="00451026">
      <w:pPr>
        <w:pStyle w:val="Ttulo3"/>
        <w:shd w:val="clear" w:color="auto" w:fill="FFFFFF"/>
        <w:spacing w:before="0" w:after="450" w:line="420" w:lineRule="atLeast"/>
        <w:jc w:val="both"/>
        <w:textAlignment w:val="baseline"/>
        <w:rPr>
          <w:rFonts w:ascii="Times New Roman" w:hAnsi="Times New Roman" w:cs="Times New Roman"/>
          <w:color w:val="auto"/>
          <w:sz w:val="24"/>
          <w:szCs w:val="24"/>
          <w:lang w:val="en-US"/>
        </w:rPr>
      </w:pPr>
      <w:r w:rsidRPr="00AA6CBB">
        <w:rPr>
          <w:rFonts w:ascii="Times New Roman" w:hAnsi="Times New Roman" w:cs="Times New Roman"/>
          <w:color w:val="auto"/>
          <w:sz w:val="24"/>
          <w:szCs w:val="24"/>
          <w:lang w:val="en-US"/>
        </w:rPr>
        <w:lastRenderedPageBreak/>
        <w:t>Excess liquidity</w:t>
      </w:r>
    </w:p>
    <w:p w:rsidR="00451026" w:rsidRPr="00475F36" w:rsidRDefault="00451026" w:rsidP="00451026">
      <w:pPr>
        <w:pStyle w:val="NormalWeb"/>
        <w:shd w:val="clear" w:color="auto" w:fill="FFFFFF"/>
        <w:spacing w:before="0" w:beforeAutospacing="0" w:after="0" w:afterAutospacing="0"/>
        <w:jc w:val="both"/>
        <w:textAlignment w:val="baseline"/>
        <w:rPr>
          <w:lang w:val="en-US"/>
        </w:rPr>
      </w:pPr>
      <w:r w:rsidRPr="00475F36">
        <w:rPr>
          <w:rStyle w:val="Textoennegrita"/>
          <w:bdr w:val="none" w:sz="0" w:space="0" w:color="auto" w:frame="1"/>
          <w:lang w:val="en-US"/>
        </w:rPr>
        <w:t>As a consequence of the developments detailed above, average excess liquidity in the period under review rose by €</w:t>
      </w:r>
      <w:r>
        <w:rPr>
          <w:rStyle w:val="Textoennegrita"/>
          <w:bdr w:val="none" w:sz="0" w:space="0" w:color="auto" w:frame="1"/>
          <w:lang w:val="en-US"/>
        </w:rPr>
        <w:t xml:space="preserve"> </w:t>
      </w:r>
      <w:r w:rsidRPr="00475F36">
        <w:rPr>
          <w:rStyle w:val="Textoennegrita"/>
          <w:bdr w:val="none" w:sz="0" w:space="0" w:color="auto" w:frame="1"/>
          <w:lang w:val="en-US"/>
        </w:rPr>
        <w:t>231 billion compared with the previous period, to stand at €</w:t>
      </w:r>
      <w:r>
        <w:rPr>
          <w:rStyle w:val="Textoennegrita"/>
          <w:bdr w:val="none" w:sz="0" w:space="0" w:color="auto" w:frame="1"/>
          <w:lang w:val="en-US"/>
        </w:rPr>
        <w:t xml:space="preserve"> 1.645,</w:t>
      </w:r>
      <w:r w:rsidRPr="00475F36">
        <w:rPr>
          <w:rStyle w:val="Textoennegrita"/>
          <w:bdr w:val="none" w:sz="0" w:space="0" w:color="auto" w:frame="1"/>
          <w:lang w:val="en-US"/>
        </w:rPr>
        <w:t>8 billion (see the chart).</w:t>
      </w:r>
      <w:r w:rsidRPr="00475F36">
        <w:rPr>
          <w:lang w:val="en-US"/>
        </w:rPr>
        <w:t> As mentioned above, this increase largely reflects the liquidity provided through the APP at a pace of €</w:t>
      </w:r>
      <w:r>
        <w:rPr>
          <w:lang w:val="en-US"/>
        </w:rPr>
        <w:t xml:space="preserve"> </w:t>
      </w:r>
      <w:r w:rsidRPr="00475F36">
        <w:rPr>
          <w:lang w:val="en-US"/>
        </w:rPr>
        <w:t>60 billion per month, as well as the allotment of €</w:t>
      </w:r>
      <w:r>
        <w:rPr>
          <w:lang w:val="en-US"/>
        </w:rPr>
        <w:t xml:space="preserve"> 233,</w:t>
      </w:r>
      <w:r w:rsidRPr="00475F36">
        <w:rPr>
          <w:lang w:val="en-US"/>
        </w:rPr>
        <w:t>4 billion from the fourth TLTRO-II, somewhat offset by an increase in liquidity needs resulting from autonomous factors. Focusing only on the period under review, a more detailed analysis shows that excess liquidity increased in the third maintenance period, growing by €</w:t>
      </w:r>
      <w:r>
        <w:rPr>
          <w:lang w:val="en-US"/>
        </w:rPr>
        <w:t xml:space="preserve"> 139,</w:t>
      </w:r>
      <w:r w:rsidRPr="00475F36">
        <w:rPr>
          <w:lang w:val="en-US"/>
        </w:rPr>
        <w:t>8 billion on account of liquidity provided by the fourth TLTRO-II operation and the APP purchases. The fourth maintenance period, however, saw a small decline in excess liquidity of €</w:t>
      </w:r>
      <w:r>
        <w:rPr>
          <w:lang w:val="en-US"/>
        </w:rPr>
        <w:t xml:space="preserve"> 8,</w:t>
      </w:r>
      <w:r w:rsidRPr="00475F36">
        <w:rPr>
          <w:lang w:val="en-US"/>
        </w:rPr>
        <w:t>3 billion, as the liquidity injected via the APP purchases was more than offset by the increase in the liquidity-absorbing effect of autonomous factors and a decrease in the take-up of MROs and three-month LTROs, as mentioned earlier.</w:t>
      </w:r>
    </w:p>
    <w:p w:rsidR="00451026" w:rsidRDefault="00451026" w:rsidP="00451026">
      <w:pPr>
        <w:pStyle w:val="NormalWeb"/>
        <w:shd w:val="clear" w:color="auto" w:fill="FFFFFF"/>
        <w:spacing w:before="300" w:beforeAutospacing="0" w:after="0" w:afterAutospacing="0"/>
        <w:jc w:val="both"/>
        <w:textAlignment w:val="baseline"/>
        <w:rPr>
          <w:lang w:val="en-US"/>
        </w:rPr>
      </w:pPr>
      <w:r w:rsidRPr="00475F36">
        <w:rPr>
          <w:lang w:val="en-US"/>
        </w:rPr>
        <w:t>The increase in excess liquidity corresponded to higher average current account holdings, which rose by €</w:t>
      </w:r>
      <w:r>
        <w:rPr>
          <w:lang w:val="en-US"/>
        </w:rPr>
        <w:t xml:space="preserve"> </w:t>
      </w:r>
      <w:r w:rsidRPr="00475F36">
        <w:rPr>
          <w:lang w:val="en-US"/>
        </w:rPr>
        <w:t>153 billion to stand at €</w:t>
      </w:r>
      <w:r>
        <w:rPr>
          <w:lang w:val="en-US"/>
        </w:rPr>
        <w:t xml:space="preserve"> 1.</w:t>
      </w:r>
      <w:r w:rsidRPr="00475F36">
        <w:rPr>
          <w:lang w:val="en-US"/>
        </w:rPr>
        <w:t>174 billion in the period under review, while the average recourse to the deposit facility increased by €</w:t>
      </w:r>
      <w:r>
        <w:rPr>
          <w:lang w:val="en-US"/>
        </w:rPr>
        <w:t xml:space="preserve"> 79,</w:t>
      </w:r>
      <w:r w:rsidRPr="00475F36">
        <w:rPr>
          <w:lang w:val="en-US"/>
        </w:rPr>
        <w:t>9 billion to stand at €</w:t>
      </w:r>
      <w:r>
        <w:rPr>
          <w:lang w:val="en-US"/>
        </w:rPr>
        <w:t xml:space="preserve"> 594,</w:t>
      </w:r>
      <w:r w:rsidRPr="00475F36">
        <w:rPr>
          <w:lang w:val="en-US"/>
        </w:rPr>
        <w:t>5 billion.</w:t>
      </w:r>
    </w:p>
    <w:p w:rsidR="00451026" w:rsidRPr="00475F36" w:rsidRDefault="00451026" w:rsidP="00451026">
      <w:pPr>
        <w:pStyle w:val="NormalWeb"/>
        <w:shd w:val="clear" w:color="auto" w:fill="FFFFFF"/>
        <w:spacing w:before="300" w:after="0"/>
        <w:jc w:val="both"/>
        <w:textAlignment w:val="baseline"/>
        <w:rPr>
          <w:b/>
          <w:lang w:val="en-US"/>
        </w:rPr>
      </w:pPr>
      <w:r w:rsidRPr="00475F36">
        <w:rPr>
          <w:b/>
          <w:lang w:val="en-US"/>
        </w:rPr>
        <w:t>Base money, broad money and the APP</w:t>
      </w:r>
    </w:p>
    <w:p w:rsidR="00451026" w:rsidRPr="00475F36" w:rsidRDefault="00451026" w:rsidP="00451026">
      <w:pPr>
        <w:pStyle w:val="NormalWeb"/>
        <w:shd w:val="clear" w:color="auto" w:fill="FFFFFF"/>
        <w:spacing w:before="300" w:after="0"/>
        <w:jc w:val="both"/>
        <w:textAlignment w:val="baseline"/>
        <w:rPr>
          <w:lang w:val="en-US"/>
        </w:rPr>
      </w:pPr>
      <w:r w:rsidRPr="00B23556">
        <w:rPr>
          <w:b/>
          <w:lang w:val="en-US"/>
        </w:rPr>
        <w:t>The significant expansion in base money induced by the asset purchase programme (APP) has attracted growing public attention</w:t>
      </w:r>
      <w:r w:rsidRPr="00475F36">
        <w:rPr>
          <w:lang w:val="en-US"/>
        </w:rPr>
        <w:t>. This box provides an overview of recent d</w:t>
      </w:r>
      <w:r>
        <w:rPr>
          <w:lang w:val="en-US"/>
        </w:rPr>
        <w:t>evelopments in base money</w:t>
      </w:r>
      <w:r w:rsidRPr="00475F36">
        <w:rPr>
          <w:lang w:val="en-US"/>
        </w:rPr>
        <w:t xml:space="preserve"> and discusses to what extent they have had </w:t>
      </w:r>
      <w:r>
        <w:rPr>
          <w:lang w:val="en-US"/>
        </w:rPr>
        <w:t>implications for broad money.</w:t>
      </w:r>
    </w:p>
    <w:p w:rsidR="00451026" w:rsidRDefault="00451026" w:rsidP="00451026">
      <w:pPr>
        <w:pStyle w:val="NormalWeb"/>
        <w:shd w:val="clear" w:color="auto" w:fill="FFFFFF"/>
        <w:spacing w:before="300" w:beforeAutospacing="0" w:after="0" w:afterAutospacing="0"/>
        <w:jc w:val="both"/>
        <w:textAlignment w:val="baseline"/>
        <w:rPr>
          <w:lang w:val="en-US"/>
        </w:rPr>
      </w:pPr>
      <w:r w:rsidRPr="00B23556">
        <w:rPr>
          <w:b/>
          <w:lang w:val="en-US"/>
        </w:rPr>
        <w:t>In the pre-crisis period, base money developments largely reflected changes in currency in circulation and required central bank reserves (see Chart A).</w:t>
      </w:r>
      <w:r w:rsidRPr="00475F36">
        <w:rPr>
          <w:lang w:val="en-US"/>
        </w:rPr>
        <w:t xml:space="preserve"> In periods when interbank markets are functioning normally, the Eurosystem provides the central bank reserves in euro needed by the banking system on aggregate, which are then traded among banks and thereby redistributed within the banking system as necessary. The aggregate demand for central bank reserves is thus effectively accommodated by the Eurosystem with very limited levels of excess reserves. In the pre-crisis period, base money developments in the euro area were therefore largely a reflection of changes in currency in circulation and required central bank reserves.</w:t>
      </w:r>
    </w:p>
    <w:p w:rsidR="00451026" w:rsidRPr="00B23556" w:rsidRDefault="00451026" w:rsidP="00451026">
      <w:pPr>
        <w:pStyle w:val="NormalWeb"/>
        <w:shd w:val="clear" w:color="auto" w:fill="FFFFFF"/>
        <w:spacing w:before="300" w:beforeAutospacing="0" w:after="0" w:afterAutospacing="0"/>
        <w:jc w:val="both"/>
        <w:textAlignment w:val="baseline"/>
        <w:rPr>
          <w:lang w:val="en-US"/>
        </w:rPr>
      </w:pPr>
      <w:r w:rsidRPr="00B23556">
        <w:rPr>
          <w:rStyle w:val="Textoennegrita"/>
          <w:color w:val="191919"/>
          <w:bdr w:val="none" w:sz="0" w:space="0" w:color="auto" w:frame="1"/>
          <w:shd w:val="clear" w:color="auto" w:fill="FFFFFF"/>
          <w:lang w:val="en-US"/>
        </w:rPr>
        <w:t>Prior to the financial crisis, base money and broad money developments were unfolding along similar trends (see Chart B).</w:t>
      </w:r>
      <w:r w:rsidRPr="00B23556">
        <w:rPr>
          <w:color w:val="191919"/>
          <w:shd w:val="clear" w:color="auto" w:fill="FFFFFF"/>
          <w:lang w:val="en-US"/>
        </w:rPr>
        <w:t> The growth in base money in the euro area mirrored that of broad money, since the injection of central bank reserves in that period was demand-driven, i.e. determined by currency in circulation and the evolution of banks’ reserve requirements, which in turn depended on the evolution of banks’ short-term liabilities (deposits and debt securities with a residual maturity of up to two years). As a result, the money multiplier (the ratio of broad money to base money) was rather stable.</w:t>
      </w:r>
    </w:p>
    <w:p w:rsidR="00451026" w:rsidRPr="00475F36" w:rsidRDefault="00451026" w:rsidP="00451026">
      <w:pPr>
        <w:pStyle w:val="NormalWeb"/>
        <w:shd w:val="clear" w:color="auto" w:fill="FFFFFF"/>
        <w:spacing w:before="300" w:beforeAutospacing="0" w:after="0" w:afterAutospacing="0"/>
        <w:jc w:val="both"/>
        <w:textAlignment w:val="baseline"/>
        <w:rPr>
          <w:lang w:val="en-US"/>
        </w:rPr>
      </w:pPr>
      <w:r w:rsidRPr="00475F36">
        <w:rPr>
          <w:noProof/>
        </w:rPr>
        <w:lastRenderedPageBreak/>
        <w:drawing>
          <wp:inline distT="0" distB="0" distL="0" distR="0" wp14:anchorId="5E4BF430" wp14:editId="22E3B7E5">
            <wp:extent cx="5727699" cy="3771900"/>
            <wp:effectExtent l="0" t="0" r="6985" b="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5731510" cy="3774409"/>
                    </a:xfrm>
                    <a:prstGeom prst="rect">
                      <a:avLst/>
                    </a:prstGeom>
                  </pic:spPr>
                </pic:pic>
              </a:graphicData>
            </a:graphic>
          </wp:inline>
        </w:drawing>
      </w:r>
    </w:p>
    <w:p w:rsidR="00451026" w:rsidRDefault="00451026" w:rsidP="00451026">
      <w:pPr>
        <w:spacing w:before="450" w:after="480"/>
      </w:pPr>
      <w:r w:rsidRPr="00B23556">
        <w:rPr>
          <w:noProof/>
          <w:lang w:eastAsia="es-ES"/>
        </w:rPr>
        <w:drawing>
          <wp:inline distT="0" distB="0" distL="0" distR="0" wp14:anchorId="059B280D" wp14:editId="2C5C274E">
            <wp:extent cx="5731510" cy="4384973"/>
            <wp:effectExtent l="0" t="0" r="2540" b="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731510" cy="4384973"/>
                    </a:xfrm>
                    <a:prstGeom prst="rect">
                      <a:avLst/>
                    </a:prstGeom>
                  </pic:spPr>
                </pic:pic>
              </a:graphicData>
            </a:graphic>
          </wp:inline>
        </w:drawing>
      </w: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B23556">
        <w:rPr>
          <w:rStyle w:val="Textoennegrita"/>
          <w:color w:val="191919"/>
          <w:bdr w:val="none" w:sz="0" w:space="0" w:color="auto" w:frame="1"/>
          <w:lang w:val="en-US"/>
        </w:rPr>
        <w:lastRenderedPageBreak/>
        <w:t>Since the financial crisis, base money has been increasingly driven by Eurosystem monetary policy operations.</w:t>
      </w:r>
      <w:r w:rsidRPr="00B23556">
        <w:rPr>
          <w:color w:val="191919"/>
          <w:lang w:val="en-US"/>
        </w:rPr>
        <w:t> In line with the responses of all major central banks to the financial crisis, the volume of monetary policy operations undertaken by the Eurosystem increased substantially from 2007 onwards and in particular after September 2008. In a situation of malfunctioning money markets and liquidity stress on banks’ balance sheets, the Eurosystem supplied central bank reserves to each counterparty elastically at a level well above the banking system aggregate demand, through fixed rate tenders with full allotment. Moreover, in 2009 the first programme of outright purchases of covered bonds (CBPP1) was launched. The resulting increase in excess central bank liquidity was mirrored by a significant expansion of base money (see Chart A). The volume of monetary policy operations increased again sharply in the second half of 2011, mainly as a consequence of the two longer-term refinancing operations (VLTROs) with a three-year maturity conducted in December 2011 and February 2012, and, to a lesser extent, outright purchases of securities under the CBPP2. As a result of these operations, excess reserves and, therefore, base money displayed a further sizeable increase.</w:t>
      </w:r>
    </w:p>
    <w:p w:rsidR="00451026" w:rsidRPr="00B23556" w:rsidRDefault="00451026" w:rsidP="00451026">
      <w:pPr>
        <w:pStyle w:val="NormalWeb"/>
        <w:shd w:val="clear" w:color="auto" w:fill="FFFFFF"/>
        <w:spacing w:before="0" w:beforeAutospacing="0" w:after="0" w:afterAutospacing="0"/>
        <w:jc w:val="both"/>
        <w:textAlignment w:val="baseline"/>
        <w:rPr>
          <w:color w:val="191919"/>
          <w:lang w:val="en-US"/>
        </w:rPr>
      </w:pP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B23556">
        <w:rPr>
          <w:rStyle w:val="Textoennegrita"/>
          <w:color w:val="191919"/>
          <w:bdr w:val="none" w:sz="0" w:space="0" w:color="auto" w:frame="1"/>
          <w:lang w:val="en-US"/>
        </w:rPr>
        <w:t>Since the introduction of non-standard measures, broad money has stopped closely mirroring developments in base money.</w:t>
      </w:r>
      <w:r w:rsidRPr="00B23556">
        <w:rPr>
          <w:color w:val="191919"/>
          <w:lang w:val="en-US"/>
        </w:rPr>
        <w:t> Since 2008, the trends in base money and broad money have decoupled, as the expansion in base money due to non-standard measures has not supported a similar uptrend in monetary holdings outside the banking sector. In the context of considerable financial fragmentation, economic uncertainty and weak credit demand, it was not surprising that the increase in banks’ holdings of central bank reserves, often as liquidity insurance, did not result mechanically in an increase in the supply of credit to the non-financial private sector, and hence in broad money, the levels of which remained subdued. At the same time, the expansion in base money was instrumental in avoiding fire sales and a curtailment of credit with potentially severe consequences for the real economy. Given this weak link between base money and broad money, the money multiplier was on a declining path from the onset of the financial crisis until the end of 2012.</w:t>
      </w:r>
    </w:p>
    <w:p w:rsidR="00451026" w:rsidRPr="00B23556" w:rsidRDefault="00451026" w:rsidP="00451026">
      <w:pPr>
        <w:pStyle w:val="NormalWeb"/>
        <w:shd w:val="clear" w:color="auto" w:fill="FFFFFF"/>
        <w:spacing w:before="0" w:beforeAutospacing="0" w:after="0" w:afterAutospacing="0"/>
        <w:jc w:val="both"/>
        <w:textAlignment w:val="baseline"/>
        <w:rPr>
          <w:color w:val="191919"/>
          <w:lang w:val="en-US"/>
        </w:rPr>
      </w:pP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B23556">
        <w:rPr>
          <w:rStyle w:val="Textoennegrita"/>
          <w:color w:val="191919"/>
          <w:bdr w:val="none" w:sz="0" w:space="0" w:color="auto" w:frame="1"/>
          <w:lang w:val="en-US"/>
        </w:rPr>
        <w:t>In 2013 banks’ preference for central bank liquidity waned and base money returned to the levels implied by the pre-crisis trend.</w:t>
      </w:r>
      <w:r w:rsidRPr="00B23556">
        <w:rPr>
          <w:color w:val="191919"/>
          <w:lang w:val="en-US"/>
        </w:rPr>
        <w:t> Receding financial fragmentation and improved funding conditions in euro area financial markets from mid-2012 reduced the incentive for banks to keep high levels of liquidity. Thus, banks in 2013 used the option offered by the ECB of a voluntary early repayment of the VLTROs, leading to a return of base money closer to the levels implied by the extrapolation of the pre-crisis trend. The decline in base money combined with non-decreasing broad money, which was supported by some recovery in monetary assets, implied an increase in the money multiplier.</w:t>
      </w:r>
    </w:p>
    <w:p w:rsidR="00451026" w:rsidRPr="00B23556" w:rsidRDefault="00451026" w:rsidP="00451026">
      <w:pPr>
        <w:pStyle w:val="NormalWeb"/>
        <w:shd w:val="clear" w:color="auto" w:fill="FFFFFF"/>
        <w:spacing w:before="0" w:beforeAutospacing="0" w:after="0" w:afterAutospacing="0"/>
        <w:jc w:val="both"/>
        <w:textAlignment w:val="baseline"/>
        <w:rPr>
          <w:color w:val="191919"/>
          <w:lang w:val="en-US"/>
        </w:rPr>
      </w:pPr>
    </w:p>
    <w:p w:rsidR="00451026" w:rsidRDefault="00451026" w:rsidP="00451026">
      <w:pPr>
        <w:pStyle w:val="NormalWeb"/>
        <w:shd w:val="clear" w:color="auto" w:fill="FFFFFF"/>
        <w:spacing w:before="0" w:beforeAutospacing="0" w:after="0" w:afterAutospacing="0"/>
        <w:jc w:val="both"/>
        <w:textAlignment w:val="baseline"/>
        <w:rPr>
          <w:color w:val="191919"/>
          <w:lang w:val="en-US"/>
        </w:rPr>
      </w:pPr>
      <w:r w:rsidRPr="00B23556">
        <w:rPr>
          <w:rStyle w:val="Textoennegrita"/>
          <w:color w:val="191919"/>
          <w:bdr w:val="none" w:sz="0" w:space="0" w:color="auto" w:frame="1"/>
          <w:lang w:val="en-US"/>
        </w:rPr>
        <w:t>The expanded APP marked the start of a new phase of supply-side-induced increases in the volume of base money.</w:t>
      </w:r>
      <w:r w:rsidRPr="00B23556">
        <w:rPr>
          <w:color w:val="191919"/>
          <w:lang w:val="en-US"/>
        </w:rPr>
        <w:t xml:space="preserve"> The announcement of the APP represented a change in regime that was in clear contrast to the previous practice consisting of banks expressing their demand for central bank liquidity, which was accommodated in an elastic way. Under the APP, the Eurosystem supplies central bank reserves when purchasing assets. Since banks are typically the only entities, apart from central government, that hold deposit accounts with the central bank, purchases are always settled through them, regardless of </w:t>
      </w:r>
      <w:r w:rsidR="00EF04BA" w:rsidRPr="00B23556">
        <w:rPr>
          <w:color w:val="191919"/>
          <w:lang w:val="en-US"/>
        </w:rPr>
        <w:t>whom</w:t>
      </w:r>
      <w:r w:rsidRPr="00B23556">
        <w:rPr>
          <w:color w:val="191919"/>
          <w:lang w:val="en-US"/>
        </w:rPr>
        <w:t xml:space="preserve"> the ultimate seller is. Therefore, purchases conducted under the APP resulted in a mechanic, direct increase in base money.</w:t>
      </w:r>
    </w:p>
    <w:p w:rsidR="00451026" w:rsidRPr="00B23556" w:rsidRDefault="00451026" w:rsidP="00451026">
      <w:pPr>
        <w:pStyle w:val="NormalWeb"/>
        <w:shd w:val="clear" w:color="auto" w:fill="FFFFFF"/>
        <w:spacing w:before="0" w:beforeAutospacing="0" w:after="0" w:afterAutospacing="0"/>
        <w:jc w:val="both"/>
        <w:textAlignment w:val="baseline"/>
        <w:rPr>
          <w:color w:val="191919"/>
          <w:lang w:val="en-US"/>
        </w:rPr>
      </w:pPr>
    </w:p>
    <w:p w:rsidR="00451026" w:rsidRPr="00B23556" w:rsidRDefault="00451026" w:rsidP="00451026">
      <w:pPr>
        <w:pStyle w:val="NormalWeb"/>
        <w:shd w:val="clear" w:color="auto" w:fill="FFFFFF"/>
        <w:spacing w:before="0" w:beforeAutospacing="0" w:after="0" w:afterAutospacing="0"/>
        <w:jc w:val="both"/>
        <w:textAlignment w:val="baseline"/>
        <w:rPr>
          <w:color w:val="191919"/>
          <w:lang w:val="en-US"/>
        </w:rPr>
      </w:pPr>
      <w:r w:rsidRPr="00B23556">
        <w:rPr>
          <w:rStyle w:val="Textoennegrita"/>
          <w:color w:val="191919"/>
          <w:bdr w:val="none" w:sz="0" w:space="0" w:color="auto" w:frame="1"/>
          <w:lang w:val="en-US"/>
        </w:rPr>
        <w:t>The APP has been an important driving force behind the robust developments in broad money recorded since 2015, with indirect effects playing a major role.</w:t>
      </w:r>
      <w:r w:rsidRPr="00B23556">
        <w:rPr>
          <w:color w:val="191919"/>
          <w:lang w:val="en-US"/>
        </w:rPr>
        <w:t xml:space="preserve"> Non-residents and </w:t>
      </w:r>
      <w:r w:rsidRPr="00B23556">
        <w:rPr>
          <w:color w:val="191919"/>
          <w:lang w:val="en-US"/>
        </w:rPr>
        <w:lastRenderedPageBreak/>
        <w:t>banks have so far been the main sellers of government bonds under the public sector purchase programme (the largest purchase programme under the APP), while sales by the domestic money-holding sector have been moderate, implying a contained direct impact of the APP on broad money. A large part of the effects of the APP on broad money have materialised via indirect effects. First, indirect effects arise from the portfolio rebalancing that the programme is intended to bring about. Moreover, banks have expanded loans to domestic firms and households, implying an increase in the deposits held by the euro area money-holding sector. Some banks have also used the increased liquidity at their disposal to pay down their more costly liabilities. Further indirect effects of the APP on broad money have materialised via a wide set of channels through which the APP has influenced financial markets and economic activity. The APP has indeed resulted in a broad easing of financing conditions and favourable wealth effects, crucially supporting the recovery in lending and economic growth. The money multiplier has been declining since the start of the APP, mechanically reflecting the proportionately larger positive impact of the programme on base money than on broad money. While the former displays a direct relationship with the purchases, the latter is mainly affected via complex indirect effects, as discussed above.</w:t>
      </w:r>
    </w:p>
    <w:p w:rsidR="00451026" w:rsidRDefault="00451026" w:rsidP="00451026">
      <w:pPr>
        <w:spacing w:before="450" w:after="480"/>
        <w:jc w:val="both"/>
        <w:rPr>
          <w:rFonts w:ascii="Times New Roman" w:hAnsi="Times New Roman" w:cs="Times New Roman"/>
          <w:b/>
          <w:sz w:val="24"/>
          <w:szCs w:val="24"/>
        </w:rPr>
      </w:pPr>
      <w:r w:rsidRPr="00AA6CBB">
        <w:rPr>
          <w:rFonts w:ascii="Times New Roman" w:hAnsi="Times New Roman" w:cs="Times New Roman"/>
          <w:b/>
          <w:sz w:val="24"/>
          <w:szCs w:val="24"/>
        </w:rPr>
        <w:t xml:space="preserve">Banco Central Europeo </w:t>
      </w:r>
      <w:r>
        <w:rPr>
          <w:rFonts w:ascii="Times New Roman" w:hAnsi="Times New Roman" w:cs="Times New Roman"/>
          <w:b/>
          <w:sz w:val="24"/>
          <w:szCs w:val="24"/>
        </w:rPr>
        <w:t xml:space="preserve"> -</w:t>
      </w:r>
      <w:r w:rsidRPr="00AA6CBB">
        <w:rPr>
          <w:rFonts w:ascii="Times New Roman" w:hAnsi="Times New Roman" w:cs="Times New Roman"/>
          <w:b/>
          <w:sz w:val="24"/>
          <w:szCs w:val="24"/>
        </w:rPr>
        <w:t xml:space="preserve"> Informe Anual 2017</w:t>
      </w:r>
    </w:p>
    <w:p w:rsidR="00451026" w:rsidRPr="00AA6CBB" w:rsidRDefault="00451026" w:rsidP="00451026">
      <w:pPr>
        <w:spacing w:before="450" w:after="480" w:line="240" w:lineRule="auto"/>
        <w:jc w:val="both"/>
        <w:rPr>
          <w:rFonts w:ascii="Times New Roman" w:hAnsi="Times New Roman" w:cs="Times New Roman"/>
          <w:b/>
          <w:sz w:val="24"/>
          <w:szCs w:val="24"/>
        </w:rPr>
      </w:pPr>
      <w:r w:rsidRPr="00886A72">
        <w:rPr>
          <w:rFonts w:ascii="Times New Roman" w:hAnsi="Times New Roman" w:cs="Times New Roman"/>
          <w:sz w:val="24"/>
          <w:szCs w:val="24"/>
          <w:u w:val="single"/>
        </w:rPr>
        <w:t>Orientación neutral de la política fiscal y reformas estructurales que promueven el crecimiento Las condiciones cíclicas propicias y los reducidos pagos por intereses se tradujeron en un nuevo descenso del déficit presupuestario nominal de las Administraciones Públicas en 2017 para el conjunto de la zona del euro</w:t>
      </w:r>
      <w:r w:rsidRPr="00AA6CBB">
        <w:rPr>
          <w:rFonts w:ascii="Times New Roman" w:hAnsi="Times New Roman" w:cs="Times New Roman"/>
          <w:sz w:val="24"/>
          <w:szCs w:val="24"/>
        </w:rPr>
        <w:t>. Según las proyecciones macroeconómicas de los expertos del Eurosistema de diciembre de 2017, el déficit público descendió desde el 1,5 % del PIB en 2016 hasta el 1,1 % del PIB en 2017 (véase gráfico 12). En promedio, la contribución de las medidas de consolidación estructural fue limitada.</w:t>
      </w:r>
    </w:p>
    <w:p w:rsidR="00451026" w:rsidRDefault="00451026" w:rsidP="00451026">
      <w:pPr>
        <w:spacing w:before="450" w:after="480"/>
        <w:jc w:val="both"/>
        <w:rPr>
          <w:rFonts w:ascii="Times New Roman" w:hAnsi="Times New Roman" w:cs="Times New Roman"/>
          <w:b/>
          <w:sz w:val="24"/>
          <w:szCs w:val="24"/>
        </w:rPr>
      </w:pPr>
      <w:r w:rsidRPr="00AA6CBB">
        <w:rPr>
          <w:rFonts w:ascii="Times New Roman" w:hAnsi="Times New Roman" w:cs="Times New Roman"/>
          <w:b/>
          <w:noProof/>
          <w:sz w:val="24"/>
          <w:szCs w:val="24"/>
          <w:lang w:eastAsia="es-ES"/>
        </w:rPr>
        <w:drawing>
          <wp:inline distT="0" distB="0" distL="0" distR="0" wp14:anchorId="4B86C273" wp14:editId="0BDE9E75">
            <wp:extent cx="5734050" cy="3670300"/>
            <wp:effectExtent l="0" t="0" r="0" b="635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5731510" cy="3668674"/>
                    </a:xfrm>
                    <a:prstGeom prst="rect">
                      <a:avLst/>
                    </a:prstGeom>
                  </pic:spPr>
                </pic:pic>
              </a:graphicData>
            </a:graphic>
          </wp:inline>
        </w:drawing>
      </w:r>
    </w:p>
    <w:p w:rsidR="00451026" w:rsidRPr="000C6AEC" w:rsidRDefault="00451026" w:rsidP="00451026">
      <w:pPr>
        <w:spacing w:before="450" w:after="480" w:line="240" w:lineRule="auto"/>
        <w:jc w:val="both"/>
        <w:rPr>
          <w:rFonts w:ascii="Times New Roman" w:hAnsi="Times New Roman" w:cs="Times New Roman"/>
          <w:sz w:val="24"/>
          <w:szCs w:val="24"/>
          <w:u w:val="single"/>
        </w:rPr>
      </w:pPr>
      <w:r w:rsidRPr="00AA6CBB">
        <w:rPr>
          <w:rFonts w:ascii="Times New Roman" w:hAnsi="Times New Roman" w:cs="Times New Roman"/>
          <w:sz w:val="24"/>
          <w:szCs w:val="24"/>
        </w:rPr>
        <w:lastRenderedPageBreak/>
        <w:t>Las proyecciones macroeconómicas elaboradas por los expertos del Eurosistema sugieren que la orientación de la política fiscal de la zona del euro, medida por la variación del saldo primario ajustado de ciclo, fue prácticamente neut</w:t>
      </w:r>
      <w:r>
        <w:rPr>
          <w:rFonts w:ascii="Times New Roman" w:hAnsi="Times New Roman" w:cs="Times New Roman"/>
          <w:sz w:val="24"/>
          <w:szCs w:val="24"/>
        </w:rPr>
        <w:t>ral en 2017 (véase gráfico 12)</w:t>
      </w:r>
      <w:r w:rsidRPr="00AA6CBB">
        <w:rPr>
          <w:rFonts w:ascii="Times New Roman" w:hAnsi="Times New Roman" w:cs="Times New Roman"/>
          <w:sz w:val="24"/>
          <w:szCs w:val="24"/>
        </w:rPr>
        <w:t xml:space="preserve">. </w:t>
      </w:r>
      <w:r w:rsidRPr="000C6AEC">
        <w:rPr>
          <w:rFonts w:ascii="Times New Roman" w:hAnsi="Times New Roman" w:cs="Times New Roman"/>
          <w:sz w:val="24"/>
          <w:szCs w:val="24"/>
          <w:u w:val="single"/>
        </w:rPr>
        <w:t>Para el conjunto de la zona del euro, una orientación neutral de la política fiscal puede considerarse adecuada para equilibrar las necesidades de estabilización económica y de sostenibilidad de las finanzas públicas. Sin embargo, desde la perspectiva de los respectivos países, la composición de la orientación general de la política fiscal de la zona del euro distó de ser óptima. Algunos países de la zona del euro que necesitaban endurecer la política fiscal, concretamente aquellos cuya ratio de deuda pública en relación con el PIB seguía siendo elevada, no aplicaron los ajustes fiscales estructurales necesarios para contener los riesgos para la sostenibilidad de la deuda pública. Al mismo tiempo, otros países con una posición fiscal sostenible no utilizaron el margen de maniobra fiscal disponible.</w:t>
      </w:r>
    </w:p>
    <w:p w:rsidR="00451026" w:rsidRDefault="00451026" w:rsidP="00451026">
      <w:pPr>
        <w:spacing w:before="450" w:after="480" w:line="240" w:lineRule="auto"/>
        <w:jc w:val="both"/>
        <w:rPr>
          <w:rFonts w:ascii="Times New Roman" w:hAnsi="Times New Roman" w:cs="Times New Roman"/>
          <w:sz w:val="24"/>
          <w:szCs w:val="24"/>
        </w:rPr>
      </w:pPr>
      <w:r w:rsidRPr="00AA6CBB">
        <w:rPr>
          <w:rFonts w:ascii="Times New Roman" w:hAnsi="Times New Roman" w:cs="Times New Roman"/>
          <w:sz w:val="24"/>
          <w:szCs w:val="24"/>
        </w:rPr>
        <w:t>Según las proyecciones de los expertos del Eurosistema, la mejora del saldo presupuestario primario, el crecimiento económico favorable y los bajos tipos de interés se condujeron a una nueva reducción de la ratio de deuda de las Administraciones Públicas de la zona del euro en relación con el PIB, del 88,9 % en 2016 al 87 % en 2017 (véase gráfico 13). No obstante, los niveles de deuda pública siguieron siendo elevados en varios países de la zona, lo que les hizo vulnerables ante una reversión repentina de los tipos de interés o a nuevos episodios de inestabilidad en los mercados financieros.</w:t>
      </w:r>
    </w:p>
    <w:p w:rsidR="00451026" w:rsidRDefault="00451026" w:rsidP="00451026">
      <w:pPr>
        <w:spacing w:before="450" w:after="480" w:line="240" w:lineRule="auto"/>
        <w:jc w:val="both"/>
        <w:rPr>
          <w:rFonts w:ascii="Times New Roman" w:hAnsi="Times New Roman" w:cs="Times New Roman"/>
          <w:b/>
          <w:sz w:val="24"/>
          <w:szCs w:val="24"/>
        </w:rPr>
      </w:pPr>
      <w:r w:rsidRPr="00AA6CBB">
        <w:rPr>
          <w:rFonts w:ascii="Times New Roman" w:hAnsi="Times New Roman" w:cs="Times New Roman"/>
          <w:b/>
          <w:noProof/>
          <w:sz w:val="24"/>
          <w:szCs w:val="24"/>
          <w:lang w:eastAsia="es-ES"/>
        </w:rPr>
        <w:drawing>
          <wp:inline distT="0" distB="0" distL="0" distR="0" wp14:anchorId="0FF993B3" wp14:editId="74A3FB83">
            <wp:extent cx="5734049" cy="3714750"/>
            <wp:effectExtent l="0" t="0" r="635" b="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5731510" cy="3713105"/>
                    </a:xfrm>
                    <a:prstGeom prst="rect">
                      <a:avLst/>
                    </a:prstGeom>
                  </pic:spPr>
                </pic:pic>
              </a:graphicData>
            </a:graphic>
          </wp:inline>
        </w:drawing>
      </w:r>
    </w:p>
    <w:p w:rsidR="00451026" w:rsidRPr="00AA6CBB" w:rsidRDefault="00451026" w:rsidP="00451026">
      <w:pPr>
        <w:spacing w:before="450" w:after="480" w:line="240" w:lineRule="auto"/>
        <w:jc w:val="both"/>
        <w:rPr>
          <w:rFonts w:ascii="Times New Roman" w:hAnsi="Times New Roman" w:cs="Times New Roman"/>
          <w:sz w:val="24"/>
          <w:szCs w:val="24"/>
        </w:rPr>
      </w:pPr>
      <w:r w:rsidRPr="000C6AEC">
        <w:rPr>
          <w:rFonts w:ascii="Times New Roman" w:hAnsi="Times New Roman" w:cs="Times New Roman"/>
          <w:sz w:val="24"/>
          <w:szCs w:val="24"/>
          <w:u w:val="single"/>
        </w:rPr>
        <w:t>El cumplimiento de las exigencias del Pacto de Estabilidad y Crecimiento (PEC) por parte de los Estados miembros continuó siendo dispar</w:t>
      </w:r>
      <w:r w:rsidRPr="00AA6CBB">
        <w:rPr>
          <w:rFonts w:ascii="Times New Roman" w:hAnsi="Times New Roman" w:cs="Times New Roman"/>
          <w:sz w:val="24"/>
          <w:szCs w:val="24"/>
        </w:rPr>
        <w:t xml:space="preserve">. Entre los aspectos positivos cabe señalar que el cumplimiento del criterio de déficit nominal siguió mejorando. Después de poner fin al procedimiento de déficit excesivo (PDE) de Grecia y Portugal en 2017, y con la expectativa de que Francia haya corregido su excesivo déficit presupuestario en 2017, España será el </w:t>
      </w:r>
      <w:r w:rsidRPr="00AA6CBB">
        <w:rPr>
          <w:rFonts w:ascii="Times New Roman" w:hAnsi="Times New Roman" w:cs="Times New Roman"/>
          <w:sz w:val="24"/>
          <w:szCs w:val="24"/>
        </w:rPr>
        <w:lastRenderedPageBreak/>
        <w:t xml:space="preserve">único país de la zona del euro que siga sujeto a un PDE en 2018. Sin embargo, un aspecto negativo fue que el cumplimiento de las exigencias de ajuste estructural y presupuestario del componente preventivo del PEC fue relativamente deficiente, en general, como también se confirmó en las previsiones económicas de otoño de 2017 de la Comisión Europea. </w:t>
      </w:r>
    </w:p>
    <w:p w:rsidR="00451026" w:rsidRPr="000C6AEC" w:rsidRDefault="00451026" w:rsidP="00451026">
      <w:pPr>
        <w:spacing w:before="450" w:after="480" w:line="240" w:lineRule="auto"/>
        <w:jc w:val="both"/>
        <w:rPr>
          <w:rFonts w:ascii="Times New Roman" w:hAnsi="Times New Roman" w:cs="Times New Roman"/>
          <w:sz w:val="24"/>
          <w:szCs w:val="24"/>
          <w:u w:val="single"/>
        </w:rPr>
      </w:pPr>
      <w:r w:rsidRPr="000C6AEC">
        <w:rPr>
          <w:rFonts w:ascii="Times New Roman" w:hAnsi="Times New Roman" w:cs="Times New Roman"/>
          <w:sz w:val="24"/>
          <w:szCs w:val="24"/>
          <w:u w:val="single"/>
        </w:rPr>
        <w:t>En general, la experiencia de las crisis ha demostrado que las economías más flexibles son más resistentes a las perturbaciones y tienden a recuperarse con más rapidez y a crecer más en el largo plazo. Además, los países de la zona del euro que aplicaron reformas en sus mercados de productos y/o trabajo han obtenido buenos resultados desde entonces; aún se están materializando todos los efectos, gracias también al apoyo de las políticas financieras y macroeconómicas.</w:t>
      </w:r>
    </w:p>
    <w:p w:rsidR="00451026" w:rsidRPr="00AA6CBB" w:rsidRDefault="00451026" w:rsidP="00451026">
      <w:pPr>
        <w:spacing w:before="450" w:after="480" w:line="240" w:lineRule="auto"/>
        <w:jc w:val="both"/>
        <w:rPr>
          <w:rFonts w:ascii="Times New Roman" w:hAnsi="Times New Roman" w:cs="Times New Roman"/>
          <w:sz w:val="24"/>
          <w:szCs w:val="24"/>
        </w:rPr>
      </w:pPr>
      <w:r w:rsidRPr="00AA6CBB">
        <w:rPr>
          <w:rFonts w:ascii="Times New Roman" w:hAnsi="Times New Roman" w:cs="Times New Roman"/>
          <w:sz w:val="24"/>
          <w:szCs w:val="24"/>
        </w:rPr>
        <w:t xml:space="preserve">Aunque la recuperación económica ha continuado y se ha ido generalizando, se podría hacer más para superar los principales obstáculos que impiden un crecimiento más sostenido e inclusivo en la zona del euro, por ejemplo, emprender reformas estructurales que impulsen el crecimiento de la productividad del trabajo -un factor clave para mejorar el nivel de vida- o aplicar medidas que faciliten el saneamiento de los balances y aumenten la eficacia de los procedimientos judiciales y extrajudiciales . </w:t>
      </w:r>
    </w:p>
    <w:p w:rsidR="00451026" w:rsidRPr="000C6AEC" w:rsidRDefault="00451026" w:rsidP="00451026">
      <w:pPr>
        <w:spacing w:before="450" w:after="480"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AA6CBB">
        <w:rPr>
          <w:rFonts w:ascii="Times New Roman" w:hAnsi="Times New Roman" w:cs="Times New Roman"/>
          <w:sz w:val="24"/>
          <w:szCs w:val="24"/>
        </w:rPr>
        <w:t xml:space="preserve"> </w:t>
      </w:r>
      <w:r w:rsidRPr="000C6AEC">
        <w:rPr>
          <w:rFonts w:ascii="Times New Roman" w:hAnsi="Times New Roman" w:cs="Times New Roman"/>
          <w:sz w:val="24"/>
          <w:szCs w:val="24"/>
          <w:u w:val="single"/>
        </w:rPr>
        <w:t xml:space="preserve">la evidencia sugiere que la orientación acomodaticia de la política monetaria no impide la aplicación de reformas, pero es menos probable que se emprendan grandes reformas en un entorno macroeconómico más favorable con menos presiones externas. Al mismo tiempo, las barreras que dificultan la aplicación de reformas, principalmente las restricciones políticas y los grupos de presión, siguen considerándose importantes. </w:t>
      </w:r>
    </w:p>
    <w:p w:rsidR="00451026" w:rsidRDefault="00451026" w:rsidP="00451026">
      <w:pPr>
        <w:spacing w:before="450" w:after="480" w:line="240" w:lineRule="auto"/>
        <w:jc w:val="both"/>
        <w:rPr>
          <w:rFonts w:ascii="Times New Roman" w:hAnsi="Times New Roman" w:cs="Times New Roman"/>
          <w:sz w:val="24"/>
          <w:szCs w:val="24"/>
        </w:rPr>
      </w:pPr>
      <w:r w:rsidRPr="00AA6CBB">
        <w:rPr>
          <w:rFonts w:ascii="Times New Roman" w:hAnsi="Times New Roman" w:cs="Times New Roman"/>
          <w:sz w:val="24"/>
          <w:szCs w:val="24"/>
        </w:rPr>
        <w:t xml:space="preserve">En la evaluación de las reformas aplicadas a partir de las recomendaciones específicas por país de 2017, la Comisión Europea concluyó que en muy pocos casos las recomendaciones habían sido “aplicadas plenamente” o se habían efectuado “avances importantes” en su aplicación, y en la gran mayoría se observaron “algunos avances”, “avances limitados” o </w:t>
      </w:r>
      <w:r>
        <w:rPr>
          <w:rFonts w:ascii="Times New Roman" w:hAnsi="Times New Roman" w:cs="Times New Roman"/>
          <w:sz w:val="24"/>
          <w:szCs w:val="24"/>
        </w:rPr>
        <w:t>“</w:t>
      </w:r>
      <w:r w:rsidRPr="00AA6CBB">
        <w:rPr>
          <w:rFonts w:ascii="Times New Roman" w:hAnsi="Times New Roman" w:cs="Times New Roman"/>
          <w:sz w:val="24"/>
          <w:szCs w:val="24"/>
        </w:rPr>
        <w:t>ningún avance”, lo que sugiere que hay un margen considerable para seguir progresando en la implementación de reformas.</w:t>
      </w:r>
    </w:p>
    <w:p w:rsidR="00451026" w:rsidRPr="00A364F1" w:rsidRDefault="00451026" w:rsidP="00451026">
      <w:pPr>
        <w:spacing w:before="450" w:after="480" w:line="240" w:lineRule="auto"/>
        <w:jc w:val="both"/>
        <w:rPr>
          <w:rFonts w:ascii="Times New Roman" w:hAnsi="Times New Roman" w:cs="Times New Roman"/>
          <w:b/>
          <w:sz w:val="24"/>
          <w:szCs w:val="24"/>
        </w:rPr>
      </w:pPr>
      <w:r w:rsidRPr="00A364F1">
        <w:rPr>
          <w:rFonts w:ascii="Times New Roman" w:hAnsi="Times New Roman" w:cs="Times New Roman"/>
          <w:b/>
          <w:sz w:val="24"/>
          <w:szCs w:val="24"/>
        </w:rPr>
        <w:t xml:space="preserve">Evolución financiera y monetaria </w:t>
      </w:r>
    </w:p>
    <w:p w:rsidR="00451026" w:rsidRPr="000C6AEC" w:rsidRDefault="00451026" w:rsidP="00451026">
      <w:pPr>
        <w:spacing w:before="450" w:after="480" w:line="240" w:lineRule="auto"/>
        <w:jc w:val="both"/>
        <w:rPr>
          <w:rFonts w:ascii="Times New Roman" w:hAnsi="Times New Roman" w:cs="Times New Roman"/>
          <w:sz w:val="24"/>
          <w:szCs w:val="24"/>
          <w:u w:val="single"/>
        </w:rPr>
      </w:pPr>
      <w:r w:rsidRPr="000C6AEC">
        <w:rPr>
          <w:rFonts w:ascii="Times New Roman" w:hAnsi="Times New Roman" w:cs="Times New Roman"/>
          <w:sz w:val="24"/>
          <w:szCs w:val="24"/>
          <w:u w:val="single"/>
        </w:rPr>
        <w:t>En 2017, los mercados financieros de la zona del euro se vieron impulsados principalmente por las perspectivas macroeconómicas positivas, así como por la política monetaria acomodaticia que siguió aplicando el BCE</w:t>
      </w:r>
      <w:r w:rsidRPr="00A364F1">
        <w:rPr>
          <w:rFonts w:ascii="Times New Roman" w:hAnsi="Times New Roman" w:cs="Times New Roman"/>
          <w:sz w:val="24"/>
          <w:szCs w:val="24"/>
        </w:rPr>
        <w:t xml:space="preserve">. </w:t>
      </w:r>
      <w:r w:rsidRPr="000C6AEC">
        <w:rPr>
          <w:rFonts w:ascii="Times New Roman" w:hAnsi="Times New Roman" w:cs="Times New Roman"/>
          <w:sz w:val="24"/>
          <w:szCs w:val="24"/>
          <w:u w:val="single"/>
        </w:rPr>
        <w:t>Como resultado, los tipos de interés del mercado monetario y los rendimientos de los bonos a largo plazo se mantuvieron en niveles muy bajos. Asimismo, las cotizaciones del sector bancario y de las sociedades no financieras (SNF) aumentaron notablemente a medida que la mejora de las perspectivas macroeconómicas se tradujo en mayores expectativas de beneficios y más apetito de riesgo. El crecimiento monetario fue robusto, mientras que el del crédito continuó recuperándose gradualmente…</w:t>
      </w:r>
    </w:p>
    <w:p w:rsidR="00451026" w:rsidRPr="00C304C7" w:rsidRDefault="00451026" w:rsidP="00451026">
      <w:pPr>
        <w:spacing w:before="450" w:after="480" w:line="240" w:lineRule="auto"/>
        <w:jc w:val="both"/>
        <w:rPr>
          <w:rFonts w:ascii="Times New Roman" w:hAnsi="Times New Roman" w:cs="Times New Roman"/>
          <w:sz w:val="24"/>
          <w:szCs w:val="24"/>
          <w:u w:val="single"/>
        </w:rPr>
      </w:pPr>
      <w:r w:rsidRPr="00C304C7">
        <w:rPr>
          <w:rFonts w:ascii="Times New Roman" w:hAnsi="Times New Roman" w:cs="Times New Roman"/>
          <w:sz w:val="24"/>
          <w:szCs w:val="24"/>
          <w:u w:val="single"/>
        </w:rPr>
        <w:lastRenderedPageBreak/>
        <w:t xml:space="preserve">Los flujos de financiación externa de las sociedades no financieras y de los hogares aumentaron </w:t>
      </w:r>
    </w:p>
    <w:p w:rsidR="00451026" w:rsidRPr="00A364F1" w:rsidRDefault="00451026" w:rsidP="00451026">
      <w:pPr>
        <w:spacing w:before="450" w:after="480" w:line="240" w:lineRule="auto"/>
        <w:jc w:val="both"/>
        <w:rPr>
          <w:rFonts w:ascii="Times New Roman" w:hAnsi="Times New Roman" w:cs="Times New Roman"/>
          <w:sz w:val="24"/>
          <w:szCs w:val="24"/>
        </w:rPr>
      </w:pPr>
      <w:r w:rsidRPr="00A364F1">
        <w:rPr>
          <w:rFonts w:ascii="Times New Roman" w:hAnsi="Times New Roman" w:cs="Times New Roman"/>
          <w:sz w:val="24"/>
          <w:szCs w:val="24"/>
        </w:rPr>
        <w:t>En general, las condiciones de financiación siguieron favoreciendo la inversión empresarial. En 2017, los flujos de financiación externa de las sociedades no financieras aumentaron y superaron el nivel medio registrado en 2016 (véase gráfico 17)</w:t>
      </w:r>
      <w:r>
        <w:rPr>
          <w:rFonts w:ascii="Times New Roman" w:hAnsi="Times New Roman" w:cs="Times New Roman"/>
          <w:sz w:val="24"/>
          <w:szCs w:val="24"/>
        </w:rPr>
        <w:t>…</w:t>
      </w:r>
    </w:p>
    <w:p w:rsidR="00451026" w:rsidRDefault="00451026" w:rsidP="00451026">
      <w:pPr>
        <w:spacing w:before="450" w:after="480" w:line="240" w:lineRule="auto"/>
        <w:jc w:val="both"/>
        <w:rPr>
          <w:rFonts w:ascii="Times New Roman" w:hAnsi="Times New Roman" w:cs="Times New Roman"/>
          <w:b/>
          <w:sz w:val="24"/>
          <w:szCs w:val="24"/>
        </w:rPr>
      </w:pPr>
      <w:r w:rsidRPr="00A364F1">
        <w:rPr>
          <w:rFonts w:ascii="Times New Roman" w:hAnsi="Times New Roman" w:cs="Times New Roman"/>
          <w:b/>
          <w:noProof/>
          <w:sz w:val="24"/>
          <w:szCs w:val="24"/>
          <w:lang w:eastAsia="es-ES"/>
        </w:rPr>
        <w:drawing>
          <wp:inline distT="0" distB="0" distL="0" distR="0" wp14:anchorId="4A5B9CCD" wp14:editId="379B4BBA">
            <wp:extent cx="5727700" cy="4152900"/>
            <wp:effectExtent l="0" t="0" r="635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731510" cy="4155662"/>
                    </a:xfrm>
                    <a:prstGeom prst="rect">
                      <a:avLst/>
                    </a:prstGeom>
                  </pic:spPr>
                </pic:pic>
              </a:graphicData>
            </a:graphic>
          </wp:inline>
        </w:drawing>
      </w:r>
    </w:p>
    <w:p w:rsidR="00451026" w:rsidRDefault="00451026" w:rsidP="00451026">
      <w:pPr>
        <w:spacing w:before="450" w:after="480" w:line="240" w:lineRule="auto"/>
        <w:jc w:val="both"/>
        <w:rPr>
          <w:rFonts w:ascii="Times New Roman" w:hAnsi="Times New Roman" w:cs="Times New Roman"/>
          <w:sz w:val="24"/>
          <w:szCs w:val="24"/>
        </w:rPr>
      </w:pPr>
      <w:r w:rsidRPr="00A364F1">
        <w:rPr>
          <w:rFonts w:ascii="Times New Roman" w:hAnsi="Times New Roman" w:cs="Times New Roman"/>
          <w:sz w:val="24"/>
          <w:szCs w:val="24"/>
        </w:rPr>
        <w:t xml:space="preserve">La importancia de las fuentes de financiación no bancaria ha aumentado de forma significativa desde el inicio de la crisis. Aunque el flujo neto de préstamos de las instituciones financieras monetarias (IFM) tendió a contraerse y se situó en niveles negativos algunos años durante la crisis y posteriormente, el flujo de financiación de otras fuentes (por ejemplo, la emisión de acciones cotizadas y no cotizadas y de valores representativos de deuda) siguió siendo positivo. El creciente peso de la financiación no bancaria en la financiación total de las SNF de la zona del euro refleja factores tanto cíclicos como </w:t>
      </w:r>
      <w:r>
        <w:rPr>
          <w:rFonts w:ascii="Times New Roman" w:hAnsi="Times New Roman" w:cs="Times New Roman"/>
          <w:sz w:val="24"/>
          <w:szCs w:val="24"/>
        </w:rPr>
        <w:t>estructurales</w:t>
      </w:r>
      <w:r w:rsidRPr="00A364F1">
        <w:rPr>
          <w:rFonts w:ascii="Times New Roman" w:hAnsi="Times New Roman" w:cs="Times New Roman"/>
          <w:sz w:val="24"/>
          <w:szCs w:val="24"/>
        </w:rPr>
        <w:t>. Con todo, el flujo neto de los préstamos concedidos por las IFM a las SNF ha vuelto a ser positivo desde 2014</w:t>
      </w:r>
      <w:r>
        <w:rPr>
          <w:rFonts w:ascii="Times New Roman" w:hAnsi="Times New Roman" w:cs="Times New Roman"/>
          <w:sz w:val="24"/>
          <w:szCs w:val="24"/>
        </w:rPr>
        <w:t>…</w:t>
      </w:r>
    </w:p>
    <w:p w:rsidR="00451026" w:rsidRPr="00C304C7" w:rsidRDefault="00451026" w:rsidP="00451026">
      <w:pPr>
        <w:spacing w:before="450" w:after="480" w:line="240" w:lineRule="auto"/>
        <w:jc w:val="both"/>
        <w:rPr>
          <w:rFonts w:ascii="Times New Roman" w:hAnsi="Times New Roman" w:cs="Times New Roman"/>
          <w:sz w:val="24"/>
          <w:szCs w:val="24"/>
          <w:u w:val="single"/>
        </w:rPr>
      </w:pPr>
      <w:r w:rsidRPr="00C304C7">
        <w:rPr>
          <w:rFonts w:ascii="Times New Roman" w:hAnsi="Times New Roman" w:cs="Times New Roman"/>
          <w:sz w:val="24"/>
          <w:szCs w:val="24"/>
          <w:u w:val="single"/>
        </w:rPr>
        <w:t xml:space="preserve">El crecimiento monetario se mantuvo prácticamente estable </w:t>
      </w:r>
    </w:p>
    <w:p w:rsidR="00451026" w:rsidRPr="000C6AEC" w:rsidRDefault="00451026" w:rsidP="00451026">
      <w:pPr>
        <w:spacing w:before="450" w:after="480" w:line="240" w:lineRule="auto"/>
        <w:jc w:val="both"/>
        <w:rPr>
          <w:rFonts w:ascii="Times New Roman" w:hAnsi="Times New Roman" w:cs="Times New Roman"/>
          <w:sz w:val="24"/>
          <w:szCs w:val="24"/>
          <w:u w:val="single"/>
        </w:rPr>
      </w:pPr>
      <w:r w:rsidRPr="000C6AEC">
        <w:rPr>
          <w:rFonts w:ascii="Times New Roman" w:hAnsi="Times New Roman" w:cs="Times New Roman"/>
          <w:sz w:val="24"/>
          <w:szCs w:val="24"/>
          <w:u w:val="single"/>
        </w:rPr>
        <w:t>En 2017, el crecimiento del agregado monetario amplio continuó siendo vigoroso</w:t>
      </w:r>
      <w:r w:rsidRPr="00C304C7">
        <w:rPr>
          <w:rFonts w:ascii="Times New Roman" w:hAnsi="Times New Roman" w:cs="Times New Roman"/>
          <w:sz w:val="24"/>
          <w:szCs w:val="24"/>
        </w:rPr>
        <w:t xml:space="preserve"> (véase gráfico 18), y en diciembre se situó en el 4,6 %, frente al 5 % de finales de 2016. </w:t>
      </w:r>
      <w:r w:rsidRPr="000C6AEC">
        <w:rPr>
          <w:rFonts w:ascii="Times New Roman" w:hAnsi="Times New Roman" w:cs="Times New Roman"/>
          <w:sz w:val="24"/>
          <w:szCs w:val="24"/>
          <w:u w:val="single"/>
        </w:rPr>
        <w:t xml:space="preserve">El avance registrado en 2017 en este agregado fue acorde con el ritmo sostenido de expansión </w:t>
      </w:r>
      <w:r w:rsidRPr="000C6AEC">
        <w:rPr>
          <w:rFonts w:ascii="Times New Roman" w:hAnsi="Times New Roman" w:cs="Times New Roman"/>
          <w:sz w:val="24"/>
          <w:szCs w:val="24"/>
          <w:u w:val="single"/>
        </w:rPr>
        <w:lastRenderedPageBreak/>
        <w:t>monetaria observado desde mediados de 2015. El crecimiento de M3 siguió impulsado por los componentes más líquidos, dado el bajo coste de oportunidad de mantener depósitos líquidos en un entorno caracterizado por unos tipos de interés muy reducidos y un perfil plano de la curva de rendimientos. La actual expansión de la actividad económica y las medidas no convencionales del BCE, especialmente su programa de compra de activos (APP, en sus siglas en inglés), fueron otros importantes factores que determinaron la evolución monetaria de la zona del euro. El avance de M1, que se vio favorecido por el elevado crecimiento de los depósitos a la vista de los hogares y de las sociedades no financieras, se mantuvo prácticamente sin cambios en el 8,6 % en diciembre de 2017, frente al 8,8 % de diciembre de 2016.</w:t>
      </w:r>
    </w:p>
    <w:p w:rsidR="00451026" w:rsidRPr="00C304C7" w:rsidRDefault="00451026" w:rsidP="00451026">
      <w:pPr>
        <w:spacing w:before="450" w:after="480" w:line="240" w:lineRule="auto"/>
        <w:jc w:val="both"/>
        <w:rPr>
          <w:rFonts w:ascii="Times New Roman" w:hAnsi="Times New Roman" w:cs="Times New Roman"/>
          <w:sz w:val="24"/>
          <w:szCs w:val="24"/>
        </w:rPr>
      </w:pPr>
      <w:r w:rsidRPr="00C304C7">
        <w:rPr>
          <w:rFonts w:ascii="Times New Roman" w:hAnsi="Times New Roman" w:cs="Times New Roman"/>
          <w:noProof/>
          <w:sz w:val="24"/>
          <w:szCs w:val="24"/>
          <w:lang w:eastAsia="es-ES"/>
        </w:rPr>
        <w:drawing>
          <wp:inline distT="0" distB="0" distL="0" distR="0" wp14:anchorId="23B82D52" wp14:editId="6BAF79B4">
            <wp:extent cx="5730843" cy="3244850"/>
            <wp:effectExtent l="0" t="0" r="3810"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31510" cy="3245228"/>
                    </a:xfrm>
                    <a:prstGeom prst="rect">
                      <a:avLst/>
                    </a:prstGeom>
                  </pic:spPr>
                </pic:pic>
              </a:graphicData>
            </a:graphic>
          </wp:inline>
        </w:drawing>
      </w:r>
    </w:p>
    <w:p w:rsidR="00451026" w:rsidRPr="000C6AEC" w:rsidRDefault="00451026" w:rsidP="00451026">
      <w:pPr>
        <w:spacing w:before="450" w:after="480" w:line="240" w:lineRule="auto"/>
        <w:jc w:val="both"/>
        <w:rPr>
          <w:rFonts w:ascii="Times New Roman" w:hAnsi="Times New Roman" w:cs="Times New Roman"/>
          <w:sz w:val="24"/>
          <w:szCs w:val="24"/>
          <w:u w:val="single"/>
        </w:rPr>
      </w:pPr>
      <w:r w:rsidRPr="000C6AEC">
        <w:rPr>
          <w:rFonts w:ascii="Times New Roman" w:hAnsi="Times New Roman" w:cs="Times New Roman"/>
          <w:sz w:val="24"/>
          <w:szCs w:val="24"/>
          <w:u w:val="single"/>
        </w:rPr>
        <w:t xml:space="preserve">Las contrapartidas internas volvieron a ser el principal factor impulsor del avance del agregado monetario amplio </w:t>
      </w:r>
    </w:p>
    <w:p w:rsidR="00451026" w:rsidRDefault="00451026" w:rsidP="00451026">
      <w:pPr>
        <w:spacing w:before="450" w:after="480" w:line="240" w:lineRule="auto"/>
        <w:jc w:val="both"/>
        <w:rPr>
          <w:rFonts w:ascii="Times New Roman" w:hAnsi="Times New Roman" w:cs="Times New Roman"/>
          <w:sz w:val="24"/>
          <w:szCs w:val="24"/>
        </w:rPr>
      </w:pPr>
      <w:r w:rsidRPr="000C6AEC">
        <w:rPr>
          <w:rFonts w:ascii="Times New Roman" w:hAnsi="Times New Roman" w:cs="Times New Roman"/>
          <w:sz w:val="24"/>
          <w:szCs w:val="24"/>
          <w:u w:val="single"/>
        </w:rPr>
        <w:t>Las adquisiciones de deuda pública por parte del Eurosistema (véanse las barras rojas del gráfico 19), realizadas principalmente en el contexto del programa de compras de valores públicos (PSPP, en sus siglas en inglés) contribuyeron positivamente al crecimiento de M3.</w:t>
      </w:r>
      <w:r w:rsidRPr="00AA0566">
        <w:rPr>
          <w:rFonts w:ascii="Times New Roman" w:hAnsi="Times New Roman" w:cs="Times New Roman"/>
          <w:sz w:val="24"/>
          <w:szCs w:val="24"/>
        </w:rPr>
        <w:t xml:space="preserve"> En abril de 2017, el promedio de las compras mensuales efectuadas en el marco del APP se redujo en 20 mm de euros, lo que se tradujo en una disminución del impacto de estas compras sobre el crecimiento de M3. Asimismo, las contrapartidas internas distintas del crédito a las Administraciones Públicas (AAPP) tuvieron un efecto positivo en el avance de M3 en 2017 (véanse las barras azules del gráfico 19). Dos factores contribuyeron a esta evolución. En primer lugar, la actual recuperación del crédito al sector privado (véase gráfico 18) influyó positivamente en el crecimiento de M3. En esta partida se incluyen los préstamos otorgados por las IFM al sector privado y las tenencias de las IFM de valores emitidos por el sector privado, excluidas las IFM de la zona del euro. Estas tenencias también comprenden las adquisiciones de valores representativos de deuda del sector privado, excluidas las IFM, realizadas por el Eurosistema en el marco del CSPP. En segundo lugar, la reducción </w:t>
      </w:r>
      <w:r w:rsidRPr="00AA0566">
        <w:rPr>
          <w:rFonts w:ascii="Times New Roman" w:hAnsi="Times New Roman" w:cs="Times New Roman"/>
          <w:sz w:val="24"/>
          <w:szCs w:val="24"/>
        </w:rPr>
        <w:lastRenderedPageBreak/>
        <w:t>continuada de los pasivos financieros a más largo plazo (excluidos capital y reservas) de las IFM, que se incluyen en las contrapartidas internas distintas del crédito a las AAPP, favoreció el crecimiento de M3. La tasa de variación interanual de estos pasivos lleva siendo negativa desde el segundo trimestre de 2012 como consecuencia, en parte, del impacto de las operaciones de financiación a plazo más largo con objetivo específico del BCE, que posiblemente hayan sustituido a la financiación de mercado a más largo plazo. Esta evolución también tuvo su origen en el perfil relativamente plano de la curva de rendimientos, asociado a las medidas de política monetaria del BCE, que hizo que a los inversores les resultase menos favorable mantener depósitos a largo plazo y bonos bancarios. En cambio, las ventas de deuda pública por parte de las IFM de la zona del euro, excluido el Eurosistema, contribuyeron a la tasa de variación interanual negativa del crédito concedido a las Administraciones Públicas por estas instituciones, excluido el Eurosistema, frenando, por tanto, la expansión de M3 (véanse las barras verdes del gráfico 19). Además, los activos exteriores netos de las IFM siguieron lastrando el crecimiento interanual de M3 (véanse las barras amarillas del gráfico 19)</w:t>
      </w:r>
      <w:r>
        <w:rPr>
          <w:rFonts w:ascii="Times New Roman" w:hAnsi="Times New Roman" w:cs="Times New Roman"/>
          <w:sz w:val="24"/>
          <w:szCs w:val="24"/>
        </w:rPr>
        <w:t>…</w:t>
      </w:r>
    </w:p>
    <w:p w:rsidR="00451026" w:rsidRPr="00F51976" w:rsidRDefault="00451026" w:rsidP="00451026">
      <w:pPr>
        <w:spacing w:before="450" w:after="480" w:line="240" w:lineRule="auto"/>
        <w:jc w:val="both"/>
        <w:rPr>
          <w:rFonts w:ascii="Times New Roman" w:hAnsi="Times New Roman" w:cs="Times New Roman"/>
          <w:b/>
          <w:sz w:val="24"/>
          <w:szCs w:val="24"/>
        </w:rPr>
      </w:pPr>
      <w:r w:rsidRPr="00AA0566">
        <w:rPr>
          <w:rFonts w:ascii="Times New Roman" w:hAnsi="Times New Roman" w:cs="Times New Roman"/>
          <w:b/>
          <w:noProof/>
          <w:sz w:val="24"/>
          <w:szCs w:val="24"/>
          <w:lang w:eastAsia="es-ES"/>
        </w:rPr>
        <w:drawing>
          <wp:inline distT="0" distB="0" distL="0" distR="0" wp14:anchorId="0E236FA4" wp14:editId="007EB0E9">
            <wp:extent cx="5710795" cy="3803650"/>
            <wp:effectExtent l="0" t="0" r="4445" b="635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715798" cy="3806982"/>
                    </a:xfrm>
                    <a:prstGeom prst="rect">
                      <a:avLst/>
                    </a:prstGeom>
                  </pic:spPr>
                </pic:pic>
              </a:graphicData>
            </a:graphic>
          </wp:inline>
        </w:drawing>
      </w:r>
    </w:p>
    <w:p w:rsidR="00451026" w:rsidRPr="003F3D60" w:rsidRDefault="00451026" w:rsidP="00451026">
      <w:pPr>
        <w:spacing w:before="450" w:after="480" w:line="240" w:lineRule="auto"/>
        <w:jc w:val="both"/>
        <w:rPr>
          <w:rFonts w:ascii="Times New Roman" w:hAnsi="Times New Roman" w:cs="Times New Roman"/>
          <w:sz w:val="24"/>
          <w:szCs w:val="24"/>
        </w:rPr>
      </w:pPr>
      <w:r>
        <w:rPr>
          <w:rFonts w:ascii="Times New Roman" w:hAnsi="Times New Roman" w:cs="Times New Roman"/>
          <w:sz w:val="24"/>
          <w:szCs w:val="24"/>
        </w:rPr>
        <w:t>Nota</w:t>
      </w:r>
      <w:r w:rsidRPr="003F3D60">
        <w:rPr>
          <w:rFonts w:ascii="Times New Roman" w:hAnsi="Times New Roman" w:cs="Times New Roman"/>
          <w:sz w:val="24"/>
          <w:szCs w:val="24"/>
        </w:rPr>
        <w:t>: Instituciones Financieras Monetarias (IFM). Otras In</w:t>
      </w:r>
      <w:r>
        <w:rPr>
          <w:rFonts w:ascii="Times New Roman" w:hAnsi="Times New Roman" w:cs="Times New Roman"/>
          <w:sz w:val="24"/>
          <w:szCs w:val="24"/>
        </w:rPr>
        <w:t>stituciones Financieras (OIF).</w:t>
      </w:r>
      <w:r w:rsidRPr="003F3D60">
        <w:rPr>
          <w:rFonts w:ascii="Times New Roman" w:hAnsi="Times New Roman" w:cs="Times New Roman"/>
          <w:sz w:val="24"/>
          <w:szCs w:val="24"/>
        </w:rPr>
        <w:t xml:space="preserve"> Empresas de Seguros y Fondos de Pensiones (ESFP). “Otros” se refiere a la diferencia entre el total y los instrumentos incluidos en el cuadro.</w:t>
      </w:r>
    </w:p>
    <w:p w:rsidR="00451026" w:rsidRDefault="00451026" w:rsidP="00451026">
      <w:pPr>
        <w:spacing w:before="450" w:after="480" w:line="240" w:lineRule="auto"/>
        <w:jc w:val="both"/>
        <w:rPr>
          <w:rFonts w:ascii="Times New Roman" w:hAnsi="Times New Roman" w:cs="Times New Roman"/>
          <w:b/>
          <w:sz w:val="24"/>
          <w:szCs w:val="24"/>
        </w:rPr>
      </w:pPr>
      <w:r w:rsidRPr="00AA0566">
        <w:rPr>
          <w:rFonts w:ascii="Times New Roman" w:hAnsi="Times New Roman" w:cs="Times New Roman"/>
          <w:b/>
          <w:noProof/>
          <w:sz w:val="24"/>
          <w:szCs w:val="24"/>
          <w:lang w:eastAsia="es-ES"/>
        </w:rPr>
        <w:lastRenderedPageBreak/>
        <w:drawing>
          <wp:inline distT="0" distB="0" distL="0" distR="0" wp14:anchorId="5076C738" wp14:editId="77C589DB">
            <wp:extent cx="5731510" cy="3590154"/>
            <wp:effectExtent l="0" t="0" r="2540" b="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731510" cy="3590154"/>
                    </a:xfrm>
                    <a:prstGeom prst="rect">
                      <a:avLst/>
                    </a:prstGeom>
                  </pic:spPr>
                </pic:pic>
              </a:graphicData>
            </a:graphic>
          </wp:inline>
        </w:drawing>
      </w:r>
    </w:p>
    <w:p w:rsidR="00451026" w:rsidRPr="00AA0566" w:rsidRDefault="00451026" w:rsidP="00451026">
      <w:pPr>
        <w:spacing w:before="450" w:after="480" w:line="240" w:lineRule="auto"/>
        <w:jc w:val="both"/>
        <w:rPr>
          <w:rFonts w:ascii="Times New Roman" w:hAnsi="Times New Roman" w:cs="Times New Roman"/>
          <w:b/>
          <w:sz w:val="24"/>
          <w:szCs w:val="24"/>
        </w:rPr>
      </w:pPr>
      <w:r w:rsidRPr="00AA0566">
        <w:rPr>
          <w:rFonts w:ascii="Times New Roman" w:hAnsi="Times New Roman" w:cs="Times New Roman"/>
          <w:b/>
          <w:noProof/>
          <w:sz w:val="24"/>
          <w:szCs w:val="24"/>
          <w:lang w:eastAsia="es-ES"/>
        </w:rPr>
        <w:drawing>
          <wp:inline distT="0" distB="0" distL="0" distR="0" wp14:anchorId="5BBFAEDE" wp14:editId="63A45349">
            <wp:extent cx="5731510" cy="4246584"/>
            <wp:effectExtent l="0" t="0" r="2540" b="1905"/>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731510" cy="4246584"/>
                    </a:xfrm>
                    <a:prstGeom prst="rect">
                      <a:avLst/>
                    </a:prstGeom>
                  </pic:spPr>
                </pic:pic>
              </a:graphicData>
            </a:graphic>
          </wp:inline>
        </w:drawing>
      </w:r>
    </w:p>
    <w:p w:rsidR="00451026" w:rsidRDefault="00451026" w:rsidP="00451026">
      <w:pPr>
        <w:spacing w:before="450" w:after="480"/>
        <w:rPr>
          <w:rFonts w:ascii="Times New Roman" w:hAnsi="Times New Roman"/>
        </w:rPr>
      </w:pPr>
    </w:p>
    <w:p w:rsidR="00451026" w:rsidRPr="00AA6CBB" w:rsidRDefault="00451026" w:rsidP="00451026">
      <w:pPr>
        <w:pStyle w:val="NormalWeb"/>
        <w:shd w:val="clear" w:color="auto" w:fill="FFFFFF"/>
        <w:spacing w:before="0" w:beforeAutospacing="0" w:after="0" w:afterAutospacing="0"/>
        <w:jc w:val="both"/>
        <w:textAlignment w:val="baseline"/>
      </w:pPr>
      <w:r w:rsidRPr="003F3D60">
        <w:rPr>
          <w:noProof/>
        </w:rPr>
        <w:lastRenderedPageBreak/>
        <w:drawing>
          <wp:inline distT="0" distB="0" distL="0" distR="0" wp14:anchorId="74A686CB" wp14:editId="338E1DD9">
            <wp:extent cx="5731711" cy="3251200"/>
            <wp:effectExtent l="0" t="0" r="2540" b="635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31510" cy="3251086"/>
                    </a:xfrm>
                    <a:prstGeom prst="rect">
                      <a:avLst/>
                    </a:prstGeom>
                  </pic:spPr>
                </pic:pic>
              </a:graphicData>
            </a:graphic>
          </wp:inline>
        </w:drawing>
      </w:r>
    </w:p>
    <w:p w:rsidR="00451026" w:rsidRDefault="00451026" w:rsidP="00451026">
      <w:pPr>
        <w:pStyle w:val="NormalWeb"/>
        <w:shd w:val="clear" w:color="auto" w:fill="FFFFFF"/>
        <w:spacing w:before="0" w:beforeAutospacing="0" w:after="0" w:afterAutospacing="0"/>
        <w:jc w:val="both"/>
        <w:textAlignment w:val="baseline"/>
      </w:pPr>
    </w:p>
    <w:p w:rsidR="00451026" w:rsidRPr="00263C12" w:rsidRDefault="00451026" w:rsidP="00451026">
      <w:pPr>
        <w:pStyle w:val="NormalWeb"/>
        <w:shd w:val="clear" w:color="auto" w:fill="FFFFFF"/>
        <w:spacing w:before="0" w:beforeAutospacing="0" w:after="0" w:afterAutospacing="0"/>
        <w:jc w:val="both"/>
        <w:textAlignment w:val="baseline"/>
        <w:rPr>
          <w:u w:val="single"/>
        </w:rPr>
      </w:pPr>
      <w:r w:rsidRPr="00263C12">
        <w:rPr>
          <w:u w:val="single"/>
        </w:rPr>
        <w:t xml:space="preserve">Política monetaria: paciencia, perseverancia y prudencia </w:t>
      </w:r>
    </w:p>
    <w:p w:rsidR="00451026" w:rsidRDefault="00451026" w:rsidP="00451026">
      <w:pPr>
        <w:pStyle w:val="NormalWeb"/>
        <w:shd w:val="clear" w:color="auto" w:fill="FFFFFF"/>
        <w:spacing w:before="0" w:beforeAutospacing="0" w:after="0" w:afterAutospacing="0"/>
        <w:jc w:val="both"/>
        <w:textAlignment w:val="baseline"/>
      </w:pPr>
    </w:p>
    <w:p w:rsidR="00451026" w:rsidRDefault="00451026" w:rsidP="00451026">
      <w:pPr>
        <w:pStyle w:val="NormalWeb"/>
        <w:shd w:val="clear" w:color="auto" w:fill="FFFFFF"/>
        <w:spacing w:before="0" w:beforeAutospacing="0" w:after="0" w:afterAutospacing="0"/>
        <w:jc w:val="both"/>
        <w:textAlignment w:val="baseline"/>
      </w:pPr>
      <w:r w:rsidRPr="000C6AEC">
        <w:rPr>
          <w:u w:val="single"/>
        </w:rPr>
        <w:t>Las medidas de política monetaria adoptadas por el BCE en los últimos años han tenido por objeto apoyar la recuperación económica de la zona del euro y situar de nuevo la inflación en un nivel inferior, aunque próximo, al 2 %, a medio plazo, compatible con la estabilidad de precios</w:t>
      </w:r>
      <w:r>
        <w:t>. Estas medidas se han transmitido de manera efectiva a las condiciones de financiación de los hogares y las empresas. Durante 2017 continuó la expansión del balance del Eurosistema, principalmente como consecuencia del programa de compra de activos (APP, en sus siglas en inglés) en curso y de las operaciones de financiación a plazo más largo con objetivo específico…</w:t>
      </w:r>
    </w:p>
    <w:p w:rsidR="00451026" w:rsidRDefault="00451026" w:rsidP="00451026">
      <w:pPr>
        <w:pStyle w:val="NormalWeb"/>
        <w:shd w:val="clear" w:color="auto" w:fill="FFFFFF"/>
        <w:spacing w:before="0" w:beforeAutospacing="0" w:after="0" w:afterAutospacing="0"/>
        <w:jc w:val="both"/>
        <w:textAlignment w:val="baseline"/>
      </w:pPr>
    </w:p>
    <w:p w:rsidR="00451026" w:rsidRPr="00AA6CBB" w:rsidRDefault="00451026" w:rsidP="00451026">
      <w:pPr>
        <w:pStyle w:val="NormalWeb"/>
        <w:shd w:val="clear" w:color="auto" w:fill="FFFFFF"/>
        <w:spacing w:before="0" w:beforeAutospacing="0" w:after="0" w:afterAutospacing="0"/>
        <w:jc w:val="both"/>
        <w:textAlignment w:val="baseline"/>
        <w:rPr>
          <w:color w:val="191919"/>
        </w:rPr>
      </w:pPr>
      <w:r w:rsidRPr="00263C12">
        <w:rPr>
          <w:noProof/>
          <w:color w:val="191919"/>
        </w:rPr>
        <w:drawing>
          <wp:inline distT="0" distB="0" distL="0" distR="0" wp14:anchorId="1A9FDA3C" wp14:editId="0183FE7A">
            <wp:extent cx="5727700" cy="3473450"/>
            <wp:effectExtent l="0" t="0" r="635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731510" cy="3475760"/>
                    </a:xfrm>
                    <a:prstGeom prst="rect">
                      <a:avLst/>
                    </a:prstGeom>
                  </pic:spPr>
                </pic:pic>
              </a:graphicData>
            </a:graphic>
          </wp:inline>
        </w:drawing>
      </w:r>
    </w:p>
    <w:p w:rsidR="00451026" w:rsidRPr="00263C12" w:rsidRDefault="00451026" w:rsidP="00451026">
      <w:pPr>
        <w:spacing w:line="240" w:lineRule="auto"/>
        <w:jc w:val="both"/>
        <w:rPr>
          <w:rFonts w:ascii="Times New Roman" w:hAnsi="Times New Roman" w:cs="Times New Roman"/>
          <w:sz w:val="24"/>
          <w:szCs w:val="24"/>
          <w:u w:val="single"/>
        </w:rPr>
      </w:pPr>
      <w:r w:rsidRPr="00263C12">
        <w:rPr>
          <w:rFonts w:ascii="Times New Roman" w:hAnsi="Times New Roman" w:cs="Times New Roman"/>
          <w:sz w:val="24"/>
          <w:szCs w:val="24"/>
          <w:u w:val="single"/>
        </w:rPr>
        <w:lastRenderedPageBreak/>
        <w:t>La política de forward guidance evolucionó en respuesta a la mejora en la evaluación de los riesgos y a la menor probabilidad de contingencias desfavorables</w:t>
      </w:r>
    </w:p>
    <w:p w:rsidR="00451026" w:rsidRDefault="00451026" w:rsidP="00451026">
      <w:pPr>
        <w:spacing w:line="240" w:lineRule="auto"/>
        <w:jc w:val="both"/>
        <w:rPr>
          <w:rFonts w:ascii="Times New Roman" w:hAnsi="Times New Roman" w:cs="Times New Roman"/>
          <w:sz w:val="24"/>
          <w:szCs w:val="24"/>
        </w:rPr>
      </w:pPr>
      <w:r w:rsidRPr="00263C12">
        <w:rPr>
          <w:rFonts w:ascii="Times New Roman" w:hAnsi="Times New Roman" w:cs="Times New Roman"/>
          <w:sz w:val="24"/>
          <w:szCs w:val="24"/>
        </w:rPr>
        <w:t>La política de forward guidance sobre el nivel de los tipos de interés y sobre el ritmo de compra de activos refleja, en general, la importancia de la interacción de los distintos instrumentos que influyen en la orientación de la política monetaria. Ciertamente, los diferentes elementos del amplio paquete de medidas de política monetaria se complementan y se refuerzan mutuamente para mantener las condiciones de financiación muy favorables que son necesarias para respaldar un retorno sostenido de las tasas de inflación a niveles inferiores, aunque próximos, al 2 % a medio plazo. A este respecto, la política de forward guidance establecida por el Consejo de Gobierno en 2017 estuvo relacionada no solo con las condiciones en las que se retirarían las medidas de estímulo, sino también con la secuenciación de los cambios en las medidas de política monetaria</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sz w:val="24"/>
          <w:szCs w:val="24"/>
        </w:rPr>
      </w:pPr>
      <w:r w:rsidRPr="00F509A8">
        <w:rPr>
          <w:rFonts w:ascii="Times New Roman" w:hAnsi="Times New Roman" w:cs="Times New Roman"/>
          <w:noProof/>
          <w:sz w:val="24"/>
          <w:szCs w:val="24"/>
          <w:lang w:eastAsia="es-ES"/>
        </w:rPr>
        <w:drawing>
          <wp:inline distT="0" distB="0" distL="0" distR="0" wp14:anchorId="70FB3401" wp14:editId="7006ED1E">
            <wp:extent cx="5733109" cy="3295650"/>
            <wp:effectExtent l="0" t="0" r="1270"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5731510" cy="3294731"/>
                    </a:xfrm>
                    <a:prstGeom prst="rect">
                      <a:avLst/>
                    </a:prstGeom>
                  </pic:spPr>
                </pic:pic>
              </a:graphicData>
            </a:graphic>
          </wp:inline>
        </w:drawing>
      </w:r>
    </w:p>
    <w:p w:rsidR="00451026" w:rsidRPr="00F509A8" w:rsidRDefault="00451026" w:rsidP="00451026">
      <w:pPr>
        <w:spacing w:line="240" w:lineRule="auto"/>
        <w:jc w:val="both"/>
        <w:rPr>
          <w:rFonts w:ascii="Times New Roman" w:hAnsi="Times New Roman" w:cs="Times New Roman"/>
          <w:b/>
          <w:sz w:val="24"/>
          <w:szCs w:val="24"/>
        </w:rPr>
      </w:pPr>
      <w:r w:rsidRPr="00F509A8">
        <w:rPr>
          <w:rFonts w:ascii="Times New Roman" w:hAnsi="Times New Roman" w:cs="Times New Roman"/>
          <w:b/>
          <w:sz w:val="24"/>
          <w:szCs w:val="24"/>
        </w:rPr>
        <w:t xml:space="preserve">Evolución del balance del Eurosistema </w:t>
      </w:r>
    </w:p>
    <w:p w:rsidR="00451026" w:rsidRPr="00F509A8" w:rsidRDefault="00451026" w:rsidP="00451026">
      <w:pPr>
        <w:spacing w:line="240" w:lineRule="auto"/>
        <w:jc w:val="both"/>
        <w:rPr>
          <w:rFonts w:ascii="Times New Roman" w:hAnsi="Times New Roman" w:cs="Times New Roman"/>
          <w:b/>
          <w:sz w:val="24"/>
          <w:szCs w:val="24"/>
        </w:rPr>
      </w:pPr>
      <w:r w:rsidRPr="00F509A8">
        <w:rPr>
          <w:rFonts w:ascii="Times New Roman" w:hAnsi="Times New Roman" w:cs="Times New Roman"/>
          <w:b/>
          <w:sz w:val="24"/>
          <w:szCs w:val="24"/>
        </w:rPr>
        <w:t xml:space="preserve">Tamaño y composición del balance del Eurosistema </w:t>
      </w:r>
    </w:p>
    <w:p w:rsidR="00451026" w:rsidRPr="00F509A8" w:rsidRDefault="00451026" w:rsidP="00451026">
      <w:pPr>
        <w:spacing w:line="240" w:lineRule="auto"/>
        <w:jc w:val="both"/>
        <w:rPr>
          <w:rFonts w:ascii="Times New Roman" w:hAnsi="Times New Roman" w:cs="Times New Roman"/>
          <w:b/>
          <w:color w:val="FF0000"/>
          <w:sz w:val="24"/>
          <w:szCs w:val="24"/>
        </w:rPr>
      </w:pPr>
      <w:r w:rsidRPr="00F509A8">
        <w:rPr>
          <w:rFonts w:ascii="Times New Roman" w:hAnsi="Times New Roman" w:cs="Times New Roman"/>
          <w:sz w:val="24"/>
          <w:szCs w:val="24"/>
        </w:rPr>
        <w:t xml:space="preserve">Desde que se inició la crisis financiera en 2007-2008, el Eurosistema ha adoptado una serie de medidas de política monetaria convencionales y no convencionales que con el tiempo han tenido un impacto directo en el tamaño y la composición del balance del Eurosistema. Estas medidas han incluido operaciones garantizadas para proporcionar financiación a las entidades de contrapartida con plazo de vencimiento inicial de hasta cuatro años y compras de activos en distintos segmentos del mercado destinadas a mejorar la transmisión de la política monetaria y a relajar las condiciones de financiación en la zona del euro. </w:t>
      </w:r>
      <w:r w:rsidRPr="00F509A8">
        <w:rPr>
          <w:rFonts w:ascii="Times New Roman" w:hAnsi="Times New Roman" w:cs="Times New Roman"/>
          <w:b/>
          <w:color w:val="FF0000"/>
          <w:sz w:val="24"/>
          <w:szCs w:val="24"/>
        </w:rPr>
        <w:t xml:space="preserve">Al final de 2017, el tamaño del balance del Eurosistema había alcanzado un máximo histórico de 4,5 billones de euros, 0,8 billones de euros más que al final de 2016. </w:t>
      </w:r>
    </w:p>
    <w:p w:rsidR="00451026" w:rsidRDefault="00451026" w:rsidP="00451026">
      <w:pPr>
        <w:spacing w:line="240" w:lineRule="auto"/>
        <w:jc w:val="both"/>
        <w:rPr>
          <w:rFonts w:ascii="Times New Roman" w:hAnsi="Times New Roman" w:cs="Times New Roman"/>
          <w:sz w:val="24"/>
          <w:szCs w:val="24"/>
        </w:rPr>
      </w:pPr>
      <w:r w:rsidRPr="00F509A8">
        <w:rPr>
          <w:rFonts w:ascii="Times New Roman" w:hAnsi="Times New Roman" w:cs="Times New Roman"/>
          <w:sz w:val="24"/>
          <w:szCs w:val="24"/>
        </w:rPr>
        <w:t xml:space="preserve">El programa ampliado de compra de activos y la adjudicación de la última operación de financiación a plazo más largo con objetivo específico en marzo de 2017 condujeron a la expansión del balance y a un cambio en su composición. </w:t>
      </w:r>
      <w:r w:rsidRPr="00F509A8">
        <w:rPr>
          <w:rFonts w:ascii="Times New Roman" w:hAnsi="Times New Roman" w:cs="Times New Roman"/>
          <w:b/>
          <w:color w:val="FF0000"/>
          <w:sz w:val="24"/>
          <w:szCs w:val="24"/>
        </w:rPr>
        <w:t xml:space="preserve">Al final de 2017, las partidas del activo relacionadas con la política monetaria ascendían a 3,2 billones de euros, lo que </w:t>
      </w:r>
      <w:r w:rsidRPr="00F509A8">
        <w:rPr>
          <w:rFonts w:ascii="Times New Roman" w:hAnsi="Times New Roman" w:cs="Times New Roman"/>
          <w:b/>
          <w:color w:val="FF0000"/>
          <w:sz w:val="24"/>
          <w:szCs w:val="24"/>
        </w:rPr>
        <w:lastRenderedPageBreak/>
        <w:t>representa el 70 % de los activos totales del balance del Eurosistema, frente al 61 % al final de 2016. Estas partidas incluían préstamos concedidos a entidades de crédito de la zona del euro, que constituían el 17 % de los activos totales (el 16 % al final de 2016), y valores adquiridos con fines de política monetaria, que representaban alrededor del 53 % de los activos totales (frente al 45 % al final de 2016)</w:t>
      </w:r>
      <w:r w:rsidRPr="00F509A8">
        <w:rPr>
          <w:rFonts w:ascii="Times New Roman" w:hAnsi="Times New Roman" w:cs="Times New Roman"/>
          <w:sz w:val="24"/>
          <w:szCs w:val="24"/>
        </w:rPr>
        <w:t>, como se muestra en el gráfico 26. El resto de activos financieros eran principalmente: i) activos en moneda extranjera y oro en poder del Eurosistema; ii) carteras denominadas en euros no relacionadas con operaciones de política monetaria, y iii) la provisión de liquidez de emergencia por parte de algunos bancos centrales nacionales (BCN) del Eurosistema a entidades solventes con problemas transitorios de liquidez. Estos otros activos financieros están sujetos a requisitos internos del Eurosistema en términos de presentación de información y a restricciones derivadas, en particular, de la prohibición de financiación monetaria y de la exigencia de no interferir en la política monetaria, establecid</w:t>
      </w:r>
      <w:r>
        <w:rPr>
          <w:rFonts w:ascii="Times New Roman" w:hAnsi="Times New Roman" w:cs="Times New Roman"/>
          <w:sz w:val="24"/>
          <w:szCs w:val="24"/>
        </w:rPr>
        <w:t>os en distintos textos legales</w:t>
      </w:r>
      <w:r w:rsidRPr="00F509A8">
        <w:rPr>
          <w:rFonts w:ascii="Times New Roman" w:hAnsi="Times New Roman" w:cs="Times New Roman"/>
          <w:sz w:val="24"/>
          <w:szCs w:val="24"/>
        </w:rPr>
        <w:t>.</w:t>
      </w:r>
    </w:p>
    <w:p w:rsidR="00451026" w:rsidRPr="00F509A8" w:rsidRDefault="00451026" w:rsidP="00451026">
      <w:pPr>
        <w:spacing w:line="240" w:lineRule="auto"/>
        <w:jc w:val="both"/>
        <w:rPr>
          <w:rFonts w:ascii="Times New Roman" w:hAnsi="Times New Roman" w:cs="Times New Roman"/>
          <w:sz w:val="24"/>
          <w:szCs w:val="24"/>
        </w:rPr>
      </w:pPr>
      <w:r w:rsidRPr="00F509A8">
        <w:rPr>
          <w:rFonts w:ascii="Times New Roman" w:hAnsi="Times New Roman" w:cs="Times New Roman"/>
          <w:sz w:val="24"/>
          <w:szCs w:val="24"/>
        </w:rPr>
        <w:t>En cuanto al pasivo, el principal impacto se observó en las reservas de las entidades de contrapartida, que como consecuencia del mantenimiento de la política monetaria acomodaticia en 2017 registraron un aumento de 0,6 billones de euros hasta situarse en 1,9 billones de euros y constituían el 42 % del pasivo al final de 2017, frente al 36 % al final de 2016. Los billetes en circulación disminuyeron en términos relativos hasta representar el 26 % (en comparación con el 31 % del pasivo al final de 2016), aunque en términos absolutos se incrementaron en línea con la tendencia histórica de crecimiento. Otros pasivos, incluidos el capital y las cuentas de revalorización, suponían el 32 %, frente al 33 % al final de 2016, aunque en términos absolutos se incrementaron en 0,2 billones de euros (véase gráfico 26).</w:t>
      </w:r>
    </w:p>
    <w:p w:rsidR="00451026" w:rsidRDefault="00451026" w:rsidP="00451026">
      <w:pPr>
        <w:spacing w:line="240" w:lineRule="auto"/>
        <w:jc w:val="both"/>
        <w:rPr>
          <w:rFonts w:ascii="Times New Roman" w:hAnsi="Times New Roman" w:cs="Times New Roman"/>
          <w:sz w:val="24"/>
          <w:szCs w:val="24"/>
        </w:rPr>
      </w:pPr>
      <w:r w:rsidRPr="00F509A8">
        <w:rPr>
          <w:rFonts w:ascii="Times New Roman" w:hAnsi="Times New Roman" w:cs="Times New Roman"/>
          <w:noProof/>
          <w:sz w:val="24"/>
          <w:szCs w:val="24"/>
          <w:lang w:eastAsia="es-ES"/>
        </w:rPr>
        <w:drawing>
          <wp:inline distT="0" distB="0" distL="0" distR="0" wp14:anchorId="425EB724" wp14:editId="46A4C3CF">
            <wp:extent cx="5708650" cy="4584700"/>
            <wp:effectExtent l="0" t="0" r="6350" b="635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06271" cy="458278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sidRPr="00F509A8">
        <w:rPr>
          <w:rFonts w:ascii="Times New Roman" w:hAnsi="Times New Roman" w:cs="Times New Roman"/>
          <w:noProof/>
          <w:sz w:val="24"/>
          <w:szCs w:val="24"/>
          <w:lang w:eastAsia="es-ES"/>
        </w:rPr>
        <w:lastRenderedPageBreak/>
        <w:drawing>
          <wp:inline distT="0" distB="0" distL="0" distR="0" wp14:anchorId="14109EF5" wp14:editId="5CAECFF4">
            <wp:extent cx="5732748" cy="3727450"/>
            <wp:effectExtent l="0" t="0" r="1905" b="635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731510" cy="3726645"/>
                    </a:xfrm>
                    <a:prstGeom prst="rect">
                      <a:avLst/>
                    </a:prstGeom>
                  </pic:spPr>
                </pic:pic>
              </a:graphicData>
            </a:graphic>
          </wp:inline>
        </w:drawing>
      </w:r>
    </w:p>
    <w:p w:rsidR="00451026" w:rsidRPr="009C0F6C" w:rsidRDefault="00451026" w:rsidP="00451026">
      <w:pPr>
        <w:spacing w:line="240" w:lineRule="auto"/>
        <w:jc w:val="both"/>
        <w:rPr>
          <w:rFonts w:ascii="Times New Roman" w:hAnsi="Times New Roman" w:cs="Times New Roman"/>
          <w:b/>
          <w:sz w:val="24"/>
          <w:szCs w:val="24"/>
        </w:rPr>
      </w:pPr>
      <w:r w:rsidRPr="009C0F6C">
        <w:rPr>
          <w:rFonts w:ascii="Times New Roman" w:hAnsi="Times New Roman" w:cs="Times New Roman"/>
          <w:b/>
          <w:sz w:val="24"/>
          <w:szCs w:val="24"/>
        </w:rPr>
        <w:t xml:space="preserve">La función macroprudencial del BCE </w:t>
      </w:r>
    </w:p>
    <w:p w:rsidR="00451026" w:rsidRDefault="00451026" w:rsidP="00451026">
      <w:pPr>
        <w:spacing w:line="240" w:lineRule="auto"/>
        <w:jc w:val="both"/>
        <w:rPr>
          <w:rFonts w:ascii="Times New Roman" w:hAnsi="Times New Roman" w:cs="Times New Roman"/>
          <w:sz w:val="24"/>
          <w:szCs w:val="24"/>
        </w:rPr>
      </w:pPr>
      <w:r w:rsidRPr="009C0F6C">
        <w:rPr>
          <w:rFonts w:ascii="Times New Roman" w:hAnsi="Times New Roman" w:cs="Times New Roman"/>
          <w:sz w:val="24"/>
          <w:szCs w:val="24"/>
        </w:rPr>
        <w:t>Las autoridades nacionales (la autoridad nacional competente o la autoridad nacional designada) y el BCE comparten la responsabilidad de las decisiones sobre medidas macroprudenciales en la zona del euro. Las autoridades nacionales de la zona del euro tienen la facultad de activar y aplicar medidas macroprudenciales. El BCE evalúa regularmente la idoneidad de estas medidas, que las autoridades nacionales han de notificarle debidamente. El BCE puede plantear objeciones a las medidas adoptadas por las autoridades nacionales y tiene competencia para reforzarlas o aplicar requerimientos más estrictos en relación con los instrumentos macroprudenciales que le han sido asignados por la legislación de la UE. La asimetría de las facultades refleja el papel que ha de desempeñar el BCE para resolver cualquier posible falta de medidas a nivel nacional…</w:t>
      </w:r>
    </w:p>
    <w:p w:rsidR="00451026" w:rsidRPr="009C0F6C" w:rsidRDefault="00451026" w:rsidP="00451026">
      <w:pPr>
        <w:spacing w:line="240" w:lineRule="auto"/>
        <w:jc w:val="both"/>
        <w:rPr>
          <w:rFonts w:ascii="Times New Roman" w:hAnsi="Times New Roman" w:cs="Times New Roman"/>
          <w:sz w:val="24"/>
          <w:szCs w:val="24"/>
          <w:u w:val="single"/>
        </w:rPr>
      </w:pPr>
      <w:r w:rsidRPr="009C0F6C">
        <w:rPr>
          <w:rFonts w:ascii="Times New Roman" w:hAnsi="Times New Roman" w:cs="Times New Roman"/>
          <w:sz w:val="24"/>
          <w:szCs w:val="24"/>
          <w:u w:val="single"/>
        </w:rPr>
        <w:t xml:space="preserve">Política macroprudencial en 2017 </w:t>
      </w:r>
    </w:p>
    <w:p w:rsidR="00451026" w:rsidRPr="009C0F6C" w:rsidRDefault="00451026" w:rsidP="00451026">
      <w:pPr>
        <w:spacing w:line="240" w:lineRule="auto"/>
        <w:jc w:val="both"/>
        <w:rPr>
          <w:rFonts w:ascii="Times New Roman" w:hAnsi="Times New Roman" w:cs="Times New Roman"/>
          <w:sz w:val="24"/>
          <w:szCs w:val="24"/>
        </w:rPr>
      </w:pPr>
      <w:r w:rsidRPr="009C0F6C">
        <w:rPr>
          <w:rFonts w:ascii="Times New Roman" w:hAnsi="Times New Roman" w:cs="Times New Roman"/>
          <w:sz w:val="24"/>
          <w:szCs w:val="24"/>
        </w:rPr>
        <w:t>En 2017, el BCE continuó con sus actividades para reforzar su función de coordinación de la política macroprudencial y su comunicación pública sobre cuestiones macroprudenciales, con el fin de mejorar la transparencia y de destacar el importante papel que desempeña la política macroprudencial…</w:t>
      </w:r>
    </w:p>
    <w:p w:rsidR="00451026" w:rsidRPr="009C0F6C" w:rsidRDefault="00451026" w:rsidP="00451026">
      <w:pPr>
        <w:spacing w:line="240" w:lineRule="auto"/>
        <w:jc w:val="both"/>
        <w:rPr>
          <w:rFonts w:ascii="Times New Roman" w:hAnsi="Times New Roman" w:cs="Times New Roman"/>
          <w:sz w:val="24"/>
          <w:szCs w:val="24"/>
        </w:rPr>
      </w:pPr>
      <w:r w:rsidRPr="009C0F6C">
        <w:rPr>
          <w:rFonts w:ascii="Times New Roman" w:hAnsi="Times New Roman" w:cs="Times New Roman"/>
          <w:sz w:val="24"/>
          <w:szCs w:val="24"/>
        </w:rPr>
        <w:t>Cada trimestre, los diecinueve países de la zona del euro evalúan los riesgos sistémicos cíclicos y fijan el nivel del colchón de capital anticíclico. Los riesgos sistémicos cíclicos permanecieron contenidos en la mayoría de los países de la zona del euro y el Consejo de Gobierno del BCE mostró su conformidad con todas las decisiones relativas al colchón de capital anticíclico adoptadas por las autoridades nacionales durante el año…</w:t>
      </w:r>
    </w:p>
    <w:p w:rsidR="00451026" w:rsidRPr="009C0F6C" w:rsidRDefault="00451026" w:rsidP="00451026">
      <w:pPr>
        <w:spacing w:line="240" w:lineRule="auto"/>
        <w:jc w:val="both"/>
        <w:rPr>
          <w:rFonts w:ascii="Times New Roman" w:hAnsi="Times New Roman" w:cs="Times New Roman"/>
          <w:sz w:val="24"/>
          <w:szCs w:val="24"/>
        </w:rPr>
      </w:pPr>
      <w:r w:rsidRPr="009C0F6C">
        <w:rPr>
          <w:rFonts w:ascii="Times New Roman" w:hAnsi="Times New Roman" w:cs="Times New Roman"/>
          <w:sz w:val="24"/>
          <w:szCs w:val="24"/>
        </w:rPr>
        <w:t xml:space="preserve">En 2017, el BCE, las autoridades nacionales y el Consejo de Estabilidad Financiera (FSB), en consulta con el Comité de Supervisión Bancaria de Basilea (BCBS), actualizaron la evaluación anual de las entidades de importancia sistémica mundial (EISM) de los países de </w:t>
      </w:r>
      <w:r w:rsidRPr="009C0F6C">
        <w:rPr>
          <w:rFonts w:ascii="Times New Roman" w:hAnsi="Times New Roman" w:cs="Times New Roman"/>
          <w:sz w:val="24"/>
          <w:szCs w:val="24"/>
        </w:rPr>
        <w:lastRenderedPageBreak/>
        <w:t xml:space="preserve">la zona del euro. Como resultado, siete entidades de crédito de Alemania, España, Francia, Italia y Países Bajos se incluyeron en las categorías 1, 2 y 3 de las EISM acordadas internacionalmente, con unos porcentajes de colchón de capital del 1 %, del 1,5 % y del 2 %, respectivamente64. Estos porcentajes son aplicables desde el 1 de enero de 2019 y, hasta entonces, están sujetos a una implantación gradual. </w:t>
      </w:r>
    </w:p>
    <w:p w:rsidR="00451026" w:rsidRPr="009C0F6C" w:rsidRDefault="00451026" w:rsidP="00451026">
      <w:pPr>
        <w:spacing w:line="240" w:lineRule="auto"/>
        <w:jc w:val="both"/>
        <w:rPr>
          <w:rFonts w:ascii="Times New Roman" w:hAnsi="Times New Roman" w:cs="Times New Roman"/>
          <w:sz w:val="24"/>
          <w:szCs w:val="24"/>
        </w:rPr>
      </w:pPr>
      <w:r w:rsidRPr="009C0F6C">
        <w:rPr>
          <w:rFonts w:ascii="Times New Roman" w:hAnsi="Times New Roman" w:cs="Times New Roman"/>
          <w:sz w:val="24"/>
          <w:szCs w:val="24"/>
        </w:rPr>
        <w:t xml:space="preserve">El BCE también evaluó las decisiones de las autoridades nacionales en relación con los colchones de capital de las 109 otras entidades de importancia sistémica (OEIS). El Consejo de Gobierno mostró su conformidad con las decisiones de las autoridades nacionales. </w:t>
      </w:r>
    </w:p>
    <w:p w:rsidR="00451026" w:rsidRPr="009C0F6C" w:rsidRDefault="00451026" w:rsidP="00451026">
      <w:pPr>
        <w:spacing w:line="240" w:lineRule="auto"/>
        <w:jc w:val="both"/>
        <w:rPr>
          <w:rFonts w:ascii="Times New Roman" w:hAnsi="Times New Roman" w:cs="Times New Roman"/>
          <w:sz w:val="24"/>
          <w:szCs w:val="24"/>
        </w:rPr>
      </w:pPr>
      <w:r w:rsidRPr="009C0F6C">
        <w:rPr>
          <w:rFonts w:ascii="Times New Roman" w:hAnsi="Times New Roman" w:cs="Times New Roman"/>
          <w:sz w:val="24"/>
          <w:szCs w:val="24"/>
        </w:rPr>
        <w:t>Con el fin de reforzar la transparencia de sus actividades en materia de política macroprudencial, el BCE siguió publicando su Boletín Macroprudencial semestral. En el tercer número se describían las herramientas macroprudenciales del BCE y sus planteamientos en cuestiones macroprudenciales, poniendo el foco en: i) la metodología del BCE para fijar los colchones de capital mínimos de OEIS identificadas; ii) el control de calidad de las pruebas de resistencia agregadas (topdown), y iii) la exposición de un futuro sistema europeo de garantía de depósitos frente a quiebras bancarias y las ventajas de las aportaciones en función del riesgo. En el cuarto número se analizaron: i) el impacto a corto plazo del requerimiento mínimo de fondos propios y pasivos admisibles (MREL, en sus siglas en inglés) sobre los mercados financieros y las entidades de crédito desde la perspectiva de la estabilidad financiera; ii) un modelo elaborado para evaluar el impacto de los cambios en la capitalización de las entidades de crédito, condicionado a si es aplicable un mecanismo de recapitalización interna (bail-in) o de rescate (bail-out), y iii) los aspectos de política macroprudencial de los dictámenes del BCE publicados recientemente sobre las propuestas de la Comisión Europea para modificar la normativa bancaria de la UE…</w:t>
      </w:r>
    </w:p>
    <w:p w:rsidR="00451026" w:rsidRDefault="00451026" w:rsidP="00451026">
      <w:pPr>
        <w:spacing w:line="240" w:lineRule="auto"/>
        <w:jc w:val="both"/>
        <w:rPr>
          <w:rFonts w:ascii="Times New Roman" w:hAnsi="Times New Roman" w:cs="Times New Roman"/>
          <w:sz w:val="24"/>
          <w:szCs w:val="24"/>
        </w:rPr>
      </w:pPr>
      <w:r w:rsidRPr="009C0F6C">
        <w:rPr>
          <w:rFonts w:ascii="Times New Roman" w:hAnsi="Times New Roman" w:cs="Times New Roman"/>
          <w:noProof/>
          <w:sz w:val="24"/>
          <w:szCs w:val="24"/>
          <w:lang w:eastAsia="es-ES"/>
        </w:rPr>
        <w:drawing>
          <wp:inline distT="0" distB="0" distL="0" distR="0" wp14:anchorId="28AB8A54" wp14:editId="57E673C8">
            <wp:extent cx="5733006" cy="3251200"/>
            <wp:effectExtent l="0" t="0" r="1270" b="635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5731510" cy="325035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p>
    <w:p w:rsidR="00451026" w:rsidRDefault="00451026" w:rsidP="00451026">
      <w:pPr>
        <w:spacing w:line="240" w:lineRule="auto"/>
        <w:jc w:val="both"/>
        <w:rPr>
          <w:rFonts w:ascii="Times New Roman" w:hAnsi="Times New Roman" w:cs="Times New Roman"/>
          <w:sz w:val="24"/>
          <w:szCs w:val="24"/>
        </w:rPr>
      </w:pPr>
    </w:p>
    <w:p w:rsidR="00451026" w:rsidRDefault="00451026" w:rsidP="00451026">
      <w:pPr>
        <w:spacing w:line="240" w:lineRule="auto"/>
        <w:jc w:val="both"/>
        <w:rPr>
          <w:rFonts w:ascii="Times New Roman" w:hAnsi="Times New Roman" w:cs="Times New Roman"/>
          <w:sz w:val="24"/>
          <w:szCs w:val="24"/>
        </w:rPr>
      </w:pPr>
    </w:p>
    <w:p w:rsidR="00451026" w:rsidRDefault="00451026" w:rsidP="00451026">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Del </w:t>
      </w:r>
      <w:r w:rsidRPr="00893771">
        <w:rPr>
          <w:rFonts w:ascii="Times New Roman" w:hAnsi="Times New Roman" w:cs="Times New Roman"/>
          <w:b/>
          <w:sz w:val="24"/>
          <w:szCs w:val="24"/>
        </w:rPr>
        <w:t xml:space="preserve">Informe anual del BCE </w:t>
      </w:r>
      <w:r>
        <w:rPr>
          <w:rFonts w:ascii="Times New Roman" w:hAnsi="Times New Roman" w:cs="Times New Roman"/>
          <w:b/>
          <w:sz w:val="24"/>
          <w:szCs w:val="24"/>
        </w:rPr>
        <w:t xml:space="preserve">- </w:t>
      </w:r>
      <w:r w:rsidRPr="00893771">
        <w:rPr>
          <w:rFonts w:ascii="Times New Roman" w:hAnsi="Times New Roman" w:cs="Times New Roman"/>
          <w:b/>
          <w:sz w:val="24"/>
          <w:szCs w:val="24"/>
        </w:rPr>
        <w:t xml:space="preserve">2013 </w:t>
      </w:r>
      <w:r w:rsidRPr="00893771">
        <w:rPr>
          <w:rFonts w:ascii="Times New Roman" w:hAnsi="Times New Roman" w:cs="Times New Roman"/>
          <w:sz w:val="24"/>
          <w:szCs w:val="24"/>
        </w:rPr>
        <w:t>(a los efectos de ampliar la serie histórica)</w:t>
      </w:r>
    </w:p>
    <w:p w:rsidR="0015310F" w:rsidRDefault="0015310F" w:rsidP="00451026">
      <w:pPr>
        <w:spacing w:line="240" w:lineRule="auto"/>
        <w:jc w:val="both"/>
        <w:rPr>
          <w:rFonts w:ascii="Times New Roman" w:hAnsi="Times New Roman" w:cs="Times New Roman"/>
          <w:sz w:val="24"/>
          <w:szCs w:val="24"/>
        </w:rPr>
      </w:pPr>
    </w:p>
    <w:p w:rsidR="00451026" w:rsidRDefault="00451026" w:rsidP="00451026">
      <w:pPr>
        <w:spacing w:line="240" w:lineRule="auto"/>
        <w:jc w:val="both"/>
        <w:rPr>
          <w:rFonts w:ascii="Times New Roman" w:hAnsi="Times New Roman" w:cs="Times New Roman"/>
          <w:sz w:val="24"/>
          <w:szCs w:val="24"/>
        </w:rPr>
      </w:pPr>
      <w:r w:rsidRPr="00893771">
        <w:rPr>
          <w:rFonts w:ascii="Times New Roman" w:hAnsi="Times New Roman" w:cs="Times New Roman"/>
          <w:noProof/>
          <w:sz w:val="24"/>
          <w:szCs w:val="24"/>
          <w:lang w:eastAsia="es-ES"/>
        </w:rPr>
        <w:drawing>
          <wp:inline distT="0" distB="0" distL="0" distR="0" wp14:anchorId="7C76041C" wp14:editId="5688AB3E">
            <wp:extent cx="2946400" cy="2952750"/>
            <wp:effectExtent l="0" t="0" r="6350" b="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946400" cy="2952750"/>
                    </a:xfrm>
                    <a:prstGeom prst="rect">
                      <a:avLst/>
                    </a:prstGeom>
                  </pic:spPr>
                </pic:pic>
              </a:graphicData>
            </a:graphic>
          </wp:inline>
        </w:drawing>
      </w:r>
      <w:r w:rsidRPr="00893771">
        <w:rPr>
          <w:rFonts w:ascii="Times New Roman" w:hAnsi="Times New Roman" w:cs="Times New Roman"/>
          <w:noProof/>
          <w:sz w:val="24"/>
          <w:szCs w:val="24"/>
          <w:lang w:eastAsia="es-ES"/>
        </w:rPr>
        <w:drawing>
          <wp:inline distT="0" distB="0" distL="0" distR="0" wp14:anchorId="541E5A24" wp14:editId="2B74F125">
            <wp:extent cx="2667000" cy="2914650"/>
            <wp:effectExtent l="0" t="0" r="0" b="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667000" cy="2914650"/>
                    </a:xfrm>
                    <a:prstGeom prst="rect">
                      <a:avLst/>
                    </a:prstGeom>
                  </pic:spPr>
                </pic:pic>
              </a:graphicData>
            </a:graphic>
          </wp:inline>
        </w:drawing>
      </w:r>
    </w:p>
    <w:p w:rsidR="0015310F" w:rsidRDefault="0015310F" w:rsidP="00451026">
      <w:pPr>
        <w:spacing w:line="240" w:lineRule="auto"/>
        <w:jc w:val="both"/>
        <w:rPr>
          <w:rFonts w:ascii="Times New Roman" w:hAnsi="Times New Roman" w:cs="Times New Roman"/>
          <w:sz w:val="24"/>
          <w:szCs w:val="24"/>
        </w:rPr>
      </w:pPr>
    </w:p>
    <w:p w:rsidR="00451026" w:rsidRDefault="00451026" w:rsidP="00451026">
      <w:pPr>
        <w:spacing w:line="240" w:lineRule="auto"/>
        <w:jc w:val="both"/>
        <w:rPr>
          <w:rFonts w:ascii="Times New Roman" w:hAnsi="Times New Roman" w:cs="Times New Roman"/>
          <w:sz w:val="24"/>
          <w:szCs w:val="24"/>
        </w:rPr>
      </w:pPr>
      <w:r w:rsidRPr="00893771">
        <w:rPr>
          <w:rFonts w:ascii="Times New Roman" w:hAnsi="Times New Roman" w:cs="Times New Roman"/>
          <w:noProof/>
          <w:sz w:val="24"/>
          <w:szCs w:val="24"/>
          <w:lang w:eastAsia="es-ES"/>
        </w:rPr>
        <w:drawing>
          <wp:inline distT="0" distB="0" distL="0" distR="0" wp14:anchorId="6BAB720E" wp14:editId="2B4378CD">
            <wp:extent cx="2844800" cy="3282950"/>
            <wp:effectExtent l="0" t="0" r="0"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845198" cy="3283409"/>
                    </a:xfrm>
                    <a:prstGeom prst="rect">
                      <a:avLst/>
                    </a:prstGeom>
                  </pic:spPr>
                </pic:pic>
              </a:graphicData>
            </a:graphic>
          </wp:inline>
        </w:drawing>
      </w:r>
      <w:r w:rsidRPr="00893771">
        <w:rPr>
          <w:rFonts w:ascii="Times New Roman" w:hAnsi="Times New Roman" w:cs="Times New Roman"/>
          <w:noProof/>
          <w:sz w:val="24"/>
          <w:szCs w:val="24"/>
          <w:lang w:eastAsia="es-ES"/>
        </w:rPr>
        <w:drawing>
          <wp:inline distT="0" distB="0" distL="0" distR="0" wp14:anchorId="567E11BC" wp14:editId="3D7B3B27">
            <wp:extent cx="2857500" cy="3282950"/>
            <wp:effectExtent l="0" t="0" r="0" b="0"/>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857899" cy="328340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p>
    <w:p w:rsidR="00451026" w:rsidRDefault="00451026" w:rsidP="00451026">
      <w:pPr>
        <w:spacing w:line="240" w:lineRule="auto"/>
        <w:jc w:val="both"/>
        <w:rPr>
          <w:rFonts w:ascii="Times New Roman" w:hAnsi="Times New Roman" w:cs="Times New Roman"/>
          <w:sz w:val="24"/>
          <w:szCs w:val="24"/>
        </w:rPr>
      </w:pPr>
    </w:p>
    <w:p w:rsidR="00451026" w:rsidRDefault="00451026" w:rsidP="00451026">
      <w:pPr>
        <w:spacing w:line="240" w:lineRule="auto"/>
        <w:jc w:val="both"/>
        <w:rPr>
          <w:rFonts w:ascii="Times New Roman" w:hAnsi="Times New Roman" w:cs="Times New Roman"/>
          <w:sz w:val="24"/>
          <w:szCs w:val="24"/>
        </w:rPr>
      </w:pPr>
      <w:r w:rsidRPr="00320846">
        <w:rPr>
          <w:rFonts w:ascii="Times New Roman" w:hAnsi="Times New Roman" w:cs="Times New Roman"/>
          <w:noProof/>
          <w:sz w:val="24"/>
          <w:szCs w:val="24"/>
          <w:lang w:eastAsia="es-ES"/>
        </w:rPr>
        <w:lastRenderedPageBreak/>
        <w:drawing>
          <wp:inline distT="0" distB="0" distL="0" distR="0" wp14:anchorId="669627D4" wp14:editId="2982D758">
            <wp:extent cx="5731510" cy="3849787"/>
            <wp:effectExtent l="0" t="0" r="2540" b="0"/>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84978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sidRPr="00320846">
        <w:rPr>
          <w:rFonts w:ascii="Times New Roman" w:hAnsi="Times New Roman" w:cs="Times New Roman"/>
          <w:noProof/>
          <w:sz w:val="24"/>
          <w:szCs w:val="24"/>
          <w:lang w:eastAsia="es-ES"/>
        </w:rPr>
        <w:drawing>
          <wp:inline distT="0" distB="0" distL="0" distR="0" wp14:anchorId="67732D24" wp14:editId="4897A960">
            <wp:extent cx="5731510" cy="3866932"/>
            <wp:effectExtent l="0" t="0" r="2540" b="635"/>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86693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sidRPr="00320846">
        <w:rPr>
          <w:rFonts w:ascii="Times New Roman" w:hAnsi="Times New Roman" w:cs="Times New Roman"/>
          <w:noProof/>
          <w:sz w:val="24"/>
          <w:szCs w:val="24"/>
          <w:lang w:eastAsia="es-ES"/>
        </w:rPr>
        <w:lastRenderedPageBreak/>
        <w:drawing>
          <wp:inline distT="0" distB="0" distL="0" distR="0" wp14:anchorId="0D6EB3EA" wp14:editId="6AF8CA95">
            <wp:extent cx="5731510" cy="3666697"/>
            <wp:effectExtent l="0" t="0" r="2540" b="0"/>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666697"/>
                    </a:xfrm>
                    <a:prstGeom prst="rect">
                      <a:avLst/>
                    </a:prstGeom>
                  </pic:spPr>
                </pic:pic>
              </a:graphicData>
            </a:graphic>
          </wp:inline>
        </w:drawing>
      </w:r>
    </w:p>
    <w:p w:rsidR="00451026" w:rsidRPr="00B839B9" w:rsidRDefault="00451026" w:rsidP="00451026">
      <w:pPr>
        <w:spacing w:line="240" w:lineRule="auto"/>
        <w:jc w:val="both"/>
        <w:rPr>
          <w:rFonts w:ascii="Times New Roman" w:hAnsi="Times New Roman" w:cs="Times New Roman"/>
          <w:b/>
          <w:sz w:val="24"/>
          <w:szCs w:val="24"/>
        </w:rPr>
      </w:pPr>
      <w:r w:rsidRPr="00B839B9">
        <w:rPr>
          <w:rFonts w:ascii="Times New Roman" w:hAnsi="Times New Roman" w:cs="Times New Roman"/>
          <w:b/>
          <w:sz w:val="24"/>
          <w:szCs w:val="24"/>
        </w:rPr>
        <w:t>Balance</w:t>
      </w:r>
      <w:r>
        <w:rPr>
          <w:rFonts w:ascii="Times New Roman" w:hAnsi="Times New Roman" w:cs="Times New Roman"/>
          <w:b/>
          <w:sz w:val="24"/>
          <w:szCs w:val="24"/>
        </w:rPr>
        <w:t xml:space="preserve"> del BCE - 2017</w:t>
      </w:r>
      <w:r w:rsidRPr="00B839B9">
        <w:rPr>
          <w:rFonts w:ascii="Times New Roman" w:hAnsi="Times New Roman" w:cs="Times New Roman"/>
          <w:b/>
          <w:sz w:val="24"/>
          <w:szCs w:val="24"/>
        </w:rPr>
        <w:t xml:space="preserve"> </w:t>
      </w:r>
    </w:p>
    <w:p w:rsidR="00451026" w:rsidRPr="00DC47E9" w:rsidRDefault="00451026" w:rsidP="00451026">
      <w:pPr>
        <w:spacing w:line="240" w:lineRule="auto"/>
        <w:jc w:val="both"/>
        <w:rPr>
          <w:rFonts w:ascii="Times New Roman" w:hAnsi="Times New Roman" w:cs="Times New Roman"/>
          <w:sz w:val="24"/>
          <w:szCs w:val="24"/>
          <w:u w:val="single"/>
        </w:rPr>
      </w:pPr>
      <w:r w:rsidRPr="00B839B9">
        <w:rPr>
          <w:rFonts w:ascii="Times New Roman" w:hAnsi="Times New Roman" w:cs="Times New Roman"/>
          <w:sz w:val="24"/>
          <w:szCs w:val="24"/>
        </w:rPr>
        <w:t xml:space="preserve">El gráfico 1 presenta los principales componentes del balance del BCE en el período 2013-2017. </w:t>
      </w:r>
      <w:r w:rsidRPr="00DC47E9">
        <w:rPr>
          <w:rFonts w:ascii="Times New Roman" w:hAnsi="Times New Roman" w:cs="Times New Roman"/>
          <w:sz w:val="24"/>
          <w:szCs w:val="24"/>
          <w:u w:val="single"/>
        </w:rPr>
        <w:t xml:space="preserve">La expansión del balance comenzó en el cuarto trimestre de 2014 con la compra de valores en el marco del tercer programa de adquisiciones de bonos garantizados (CBPP3) y el programa de compras de bonos de titulización de activos (ABSPP). La expansión continuó en los años siguientes debido fundamentalmente a la adquisición de valores en el contexto del programa de compras de valores públicos (PSPP). </w:t>
      </w:r>
    </w:p>
    <w:p w:rsidR="00451026" w:rsidRDefault="00451026" w:rsidP="00451026">
      <w:pPr>
        <w:spacing w:line="240" w:lineRule="auto"/>
        <w:jc w:val="both"/>
        <w:rPr>
          <w:rFonts w:ascii="Times New Roman" w:hAnsi="Times New Roman" w:cs="Times New Roman"/>
          <w:sz w:val="24"/>
          <w:szCs w:val="24"/>
        </w:rPr>
      </w:pPr>
      <w:r w:rsidRPr="00DC47E9">
        <w:rPr>
          <w:rFonts w:ascii="Times New Roman" w:hAnsi="Times New Roman" w:cs="Times New Roman"/>
          <w:sz w:val="24"/>
          <w:szCs w:val="24"/>
          <w:u w:val="single"/>
        </w:rPr>
        <w:t>En 2017, los activos totales del BCE aumentaron en 65,2 mm de euros, situándose en 414,2 mm de euros, debido principalmente a la participación del BCE en el programa de compras de activos (APP)</w:t>
      </w:r>
      <w:r w:rsidRPr="00B839B9">
        <w:rPr>
          <w:rFonts w:ascii="Times New Roman" w:hAnsi="Times New Roman" w:cs="Times New Roman"/>
          <w:sz w:val="24"/>
          <w:szCs w:val="24"/>
        </w:rPr>
        <w:t>. Estas compras dieron lugar</w:t>
      </w:r>
      <w:r>
        <w:rPr>
          <w:rFonts w:ascii="Times New Roman" w:hAnsi="Times New Roman" w:cs="Times New Roman"/>
          <w:sz w:val="24"/>
          <w:szCs w:val="24"/>
        </w:rPr>
        <w:t xml:space="preserve"> a un incremento en la partida “</w:t>
      </w:r>
      <w:r w:rsidRPr="00B839B9">
        <w:rPr>
          <w:rFonts w:ascii="Times New Roman" w:hAnsi="Times New Roman" w:cs="Times New Roman"/>
          <w:sz w:val="24"/>
          <w:szCs w:val="24"/>
        </w:rPr>
        <w:t xml:space="preserve">Valores mantenidos </w:t>
      </w:r>
      <w:r>
        <w:rPr>
          <w:rFonts w:ascii="Times New Roman" w:hAnsi="Times New Roman" w:cs="Times New Roman"/>
          <w:sz w:val="24"/>
          <w:szCs w:val="24"/>
        </w:rPr>
        <w:t>con fines de política monetaria”</w:t>
      </w:r>
      <w:r w:rsidRPr="00B839B9">
        <w:rPr>
          <w:rFonts w:ascii="Times New Roman" w:hAnsi="Times New Roman" w:cs="Times New Roman"/>
          <w:sz w:val="24"/>
          <w:szCs w:val="24"/>
        </w:rPr>
        <w:t>, mientras que la liquidación del efectivo de estas operaciones en cuentas TARGET2 se tradujo en el corresp</w:t>
      </w:r>
      <w:r>
        <w:rPr>
          <w:rFonts w:ascii="Times New Roman" w:hAnsi="Times New Roman" w:cs="Times New Roman"/>
          <w:sz w:val="24"/>
          <w:szCs w:val="24"/>
        </w:rPr>
        <w:t>ondiente aumento en la partida “Cuentas intra-Eurosistema”</w:t>
      </w:r>
      <w:r w:rsidRPr="00B839B9">
        <w:rPr>
          <w:rFonts w:ascii="Times New Roman" w:hAnsi="Times New Roman" w:cs="Times New Roman"/>
          <w:sz w:val="24"/>
          <w:szCs w:val="24"/>
        </w:rPr>
        <w:t xml:space="preserve"> del pasivo.</w:t>
      </w:r>
    </w:p>
    <w:p w:rsidR="00451026" w:rsidRPr="00B839B9" w:rsidRDefault="00451026" w:rsidP="00451026">
      <w:pPr>
        <w:spacing w:line="240" w:lineRule="auto"/>
        <w:jc w:val="both"/>
        <w:rPr>
          <w:rFonts w:ascii="Times New Roman" w:hAnsi="Times New Roman" w:cs="Times New Roman"/>
          <w:sz w:val="24"/>
          <w:szCs w:val="24"/>
        </w:rPr>
      </w:pPr>
      <w:r w:rsidRPr="00B839B9">
        <w:rPr>
          <w:rFonts w:ascii="Times New Roman" w:hAnsi="Times New Roman" w:cs="Times New Roman"/>
          <w:sz w:val="24"/>
          <w:szCs w:val="24"/>
        </w:rPr>
        <w:t>Los valores denominados en euros mantenidos con fines de política monetaria representaban el 55 % de los activos totales del BCE al cierre de 2017. En esta partida del balance el BCE mantiene los activos adquiridos en el marco del programa para los mercados de valores (SMP), los tres programas de adquisiciones de bonos garantizados (CBPP1, CBPP2 y CBPP3), el ABSPP y el PSPP. En 2017 continuaron las compras de valores en el contexto del CBPP3, el ABSPP y el PSPP, conforme a las decisiones del Consejo de Gobierno sobre el importe mensual de las compras del Eurosistema y a criterios de admisibilidad predeterminados</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lastRenderedPageBreak/>
        <w:drawing>
          <wp:inline distT="0" distB="0" distL="0" distR="0" wp14:anchorId="1328543E" wp14:editId="0D348D51">
            <wp:extent cx="5732858" cy="5245100"/>
            <wp:effectExtent l="0" t="0" r="127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524386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0191145E" wp14:editId="35C71438">
            <wp:extent cx="5682128" cy="2508250"/>
            <wp:effectExtent l="0" t="0" r="0" b="6350"/>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687219" cy="251049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lastRenderedPageBreak/>
        <w:drawing>
          <wp:inline distT="0" distB="0" distL="0" distR="0" wp14:anchorId="36C1D158" wp14:editId="4488DDC8">
            <wp:extent cx="5725906" cy="3282950"/>
            <wp:effectExtent l="0" t="0" r="8255" b="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28616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color w:val="FF0000"/>
          <w:sz w:val="24"/>
          <w:szCs w:val="24"/>
        </w:rPr>
      </w:pPr>
      <w:r w:rsidRPr="00DB378F">
        <w:rPr>
          <w:rFonts w:ascii="Times New Roman" w:hAnsi="Times New Roman" w:cs="Times New Roman"/>
          <w:b/>
          <w:noProof/>
          <w:color w:val="FF0000"/>
          <w:sz w:val="24"/>
          <w:szCs w:val="24"/>
          <w:lang w:eastAsia="es-ES"/>
        </w:rPr>
        <w:drawing>
          <wp:inline distT="0" distB="0" distL="0" distR="0" wp14:anchorId="132800EC" wp14:editId="00B821EC">
            <wp:extent cx="5726493" cy="2794000"/>
            <wp:effectExtent l="0" t="0" r="7620" b="635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79644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p>
    <w:p w:rsidR="00451026" w:rsidRPr="005D125B" w:rsidRDefault="00451026" w:rsidP="00451026">
      <w:pPr>
        <w:shd w:val="clear" w:color="auto" w:fill="FFFFFF"/>
        <w:spacing w:after="195" w:line="240" w:lineRule="auto"/>
        <w:jc w:val="both"/>
        <w:textAlignment w:val="baseline"/>
        <w:outlineLvl w:val="2"/>
        <w:rPr>
          <w:rFonts w:ascii="Times New Roman" w:eastAsia="Times New Roman" w:hAnsi="Times New Roman" w:cs="Times New Roman"/>
          <w:b/>
          <w:bCs/>
          <w:sz w:val="24"/>
          <w:szCs w:val="24"/>
          <w:lang w:val="en-US" w:eastAsia="es-ES"/>
        </w:rPr>
      </w:pPr>
      <w:r w:rsidRPr="005D125B">
        <w:rPr>
          <w:rFonts w:ascii="Times New Roman" w:eastAsia="Times New Roman" w:hAnsi="Times New Roman" w:cs="Times New Roman"/>
          <w:b/>
          <w:bCs/>
          <w:sz w:val="24"/>
          <w:szCs w:val="24"/>
          <w:lang w:val="en-US" w:eastAsia="es-ES"/>
        </w:rPr>
        <w:t>Monetary aggregates background</w:t>
      </w:r>
    </w:p>
    <w:p w:rsidR="00451026" w:rsidRPr="005D125B" w:rsidRDefault="00451026" w:rsidP="00451026">
      <w:pPr>
        <w:shd w:val="clear" w:color="auto" w:fill="FFFFFF"/>
        <w:spacing w:after="0" w:line="240" w:lineRule="auto"/>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color w:val="191919"/>
          <w:sz w:val="24"/>
          <w:szCs w:val="24"/>
          <w:lang w:val="en-US" w:eastAsia="es-ES"/>
        </w:rPr>
        <w:t>Monetary aggregates comprise monetary liabilities of MFIs and central government (post office, treasury, etc.) vis-à-vis non-MFI euro area residents excluding central government.</w:t>
      </w:r>
    </w:p>
    <w:p w:rsidR="00451026" w:rsidRPr="005D125B" w:rsidRDefault="00451026" w:rsidP="00451026">
      <w:pPr>
        <w:numPr>
          <w:ilvl w:val="0"/>
          <w:numId w:val="7"/>
        </w:num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b/>
          <w:bCs/>
          <w:color w:val="191919"/>
          <w:sz w:val="24"/>
          <w:szCs w:val="24"/>
          <w:bdr w:val="none" w:sz="0" w:space="0" w:color="auto" w:frame="1"/>
          <w:lang w:val="en-US" w:eastAsia="es-ES"/>
        </w:rPr>
        <w:t>M1</w:t>
      </w:r>
      <w:r w:rsidRPr="005D125B">
        <w:rPr>
          <w:rFonts w:ascii="Times New Roman" w:eastAsia="Times New Roman" w:hAnsi="Times New Roman" w:cs="Times New Roman"/>
          <w:color w:val="191919"/>
          <w:sz w:val="24"/>
          <w:szCs w:val="24"/>
          <w:lang w:val="en-US" w:eastAsia="es-ES"/>
        </w:rPr>
        <w:t> is the sum of currency in circulation and overnight deposits;</w:t>
      </w:r>
    </w:p>
    <w:p w:rsidR="00451026" w:rsidRPr="005D125B" w:rsidRDefault="00451026" w:rsidP="00451026">
      <w:pPr>
        <w:numPr>
          <w:ilvl w:val="0"/>
          <w:numId w:val="7"/>
        </w:num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b/>
          <w:bCs/>
          <w:color w:val="191919"/>
          <w:sz w:val="24"/>
          <w:szCs w:val="24"/>
          <w:bdr w:val="none" w:sz="0" w:space="0" w:color="auto" w:frame="1"/>
          <w:lang w:val="en-US" w:eastAsia="es-ES"/>
        </w:rPr>
        <w:t>M2</w:t>
      </w:r>
      <w:r w:rsidRPr="005D125B">
        <w:rPr>
          <w:rFonts w:ascii="Times New Roman" w:eastAsia="Times New Roman" w:hAnsi="Times New Roman" w:cs="Times New Roman"/>
          <w:color w:val="191919"/>
          <w:sz w:val="24"/>
          <w:szCs w:val="24"/>
          <w:lang w:val="en-US" w:eastAsia="es-ES"/>
        </w:rPr>
        <w:t> is the sum of M1, deposits with an agreed maturity of up to two years and deposits redeemable at notice of up to three months; and</w:t>
      </w:r>
    </w:p>
    <w:p w:rsidR="00451026" w:rsidRPr="005D125B" w:rsidRDefault="00451026" w:rsidP="00451026">
      <w:pPr>
        <w:numPr>
          <w:ilvl w:val="0"/>
          <w:numId w:val="7"/>
        </w:numPr>
        <w:shd w:val="clear" w:color="auto" w:fill="FFFFFF"/>
        <w:spacing w:after="0" w:line="240" w:lineRule="auto"/>
        <w:ind w:left="420"/>
        <w:jc w:val="both"/>
        <w:textAlignment w:val="baseline"/>
        <w:rPr>
          <w:rFonts w:ascii="Times New Roman" w:eastAsia="Times New Roman" w:hAnsi="Times New Roman" w:cs="Times New Roman"/>
          <w:color w:val="191919"/>
          <w:sz w:val="24"/>
          <w:szCs w:val="24"/>
          <w:lang w:val="en-US" w:eastAsia="es-ES"/>
        </w:rPr>
      </w:pPr>
      <w:r w:rsidRPr="005D125B">
        <w:rPr>
          <w:rFonts w:ascii="Times New Roman" w:eastAsia="Times New Roman" w:hAnsi="Times New Roman" w:cs="Times New Roman"/>
          <w:b/>
          <w:bCs/>
          <w:color w:val="191919"/>
          <w:sz w:val="24"/>
          <w:szCs w:val="24"/>
          <w:bdr w:val="none" w:sz="0" w:space="0" w:color="auto" w:frame="1"/>
          <w:lang w:val="en-US" w:eastAsia="es-ES"/>
        </w:rPr>
        <w:t>M3</w:t>
      </w:r>
      <w:r w:rsidRPr="005D125B">
        <w:rPr>
          <w:rFonts w:ascii="Times New Roman" w:eastAsia="Times New Roman" w:hAnsi="Times New Roman" w:cs="Times New Roman"/>
          <w:color w:val="191919"/>
          <w:sz w:val="24"/>
          <w:szCs w:val="24"/>
          <w:lang w:val="en-US" w:eastAsia="es-ES"/>
        </w:rPr>
        <w:t> is the sum of M2, repurchase agreements, money market fund shares/units and debt securities with a maturity of up to two years.</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2006 - 28 July 2006</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57F35162" wp14:editId="2C86013B">
            <wp:extent cx="5096586" cy="5772956"/>
            <wp:effectExtent l="0" t="0" r="8890" b="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096586" cy="577295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2008 - 25 July 2008</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6F7CB311" wp14:editId="1DEE825F">
            <wp:extent cx="5353797" cy="5982535"/>
            <wp:effectExtent l="0" t="0" r="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353797" cy="598253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2010 - 27 July 2010</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65AD4838" wp14:editId="43B87BE9">
            <wp:extent cx="5325218" cy="5953956"/>
            <wp:effectExtent l="0" t="0" r="8890" b="889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25218" cy="595395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June 2012 - 26 July 2012</w:t>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Pr="000B2BA4"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5A4A0CE9" wp14:editId="65DE3A8E">
            <wp:extent cx="5731510" cy="5863776"/>
            <wp:effectExtent l="0" t="0" r="2540" b="381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586377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Pr>
          <w:rFonts w:ascii="Times New Roman" w:hAnsi="Times New Roman" w:cs="Times New Roman"/>
          <w:sz w:val="24"/>
          <w:szCs w:val="24"/>
          <w:lang w:val="en-US"/>
        </w:rPr>
        <w:t xml:space="preserve">: June 2014 - </w:t>
      </w:r>
      <w:r w:rsidRPr="000B2BA4">
        <w:rPr>
          <w:rFonts w:ascii="Times New Roman" w:hAnsi="Times New Roman" w:cs="Times New Roman"/>
          <w:sz w:val="24"/>
          <w:szCs w:val="24"/>
          <w:lang w:val="en-US"/>
        </w:rPr>
        <w:t>25 July 2014</w:t>
      </w:r>
    </w:p>
    <w:p w:rsidR="00451026" w:rsidRDefault="00451026" w:rsidP="00451026">
      <w:pPr>
        <w:spacing w:line="240" w:lineRule="auto"/>
        <w:jc w:val="both"/>
        <w:rPr>
          <w:rFonts w:ascii="Times New Roman" w:hAnsi="Times New Roman" w:cs="Times New Roman"/>
          <w:sz w:val="24"/>
          <w:szCs w:val="24"/>
          <w:lang w:val="en-US"/>
        </w:rPr>
      </w:pPr>
    </w:p>
    <w:p w:rsidR="00451026" w:rsidRPr="000B2BA4"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72BE06F7" wp14:editId="7F1E2B8F">
            <wp:extent cx="5731510" cy="2803296"/>
            <wp:effectExtent l="0" t="0" r="2540" b="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80329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3E5CCBA3" wp14:editId="08FCFFB0">
            <wp:extent cx="5731510" cy="3391756"/>
            <wp:effectExtent l="0" t="0" r="2540" b="0"/>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39175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lastRenderedPageBreak/>
        <w:t>PRESS RELEASE</w:t>
      </w:r>
      <w:r>
        <w:rPr>
          <w:rFonts w:ascii="Times New Roman" w:hAnsi="Times New Roman" w:cs="Times New Roman"/>
          <w:sz w:val="24"/>
          <w:szCs w:val="24"/>
          <w:lang w:val="en-US"/>
        </w:rPr>
        <w:t xml:space="preserve"> - </w:t>
      </w:r>
      <w:r w:rsidRPr="000B2BA4">
        <w:rPr>
          <w:rFonts w:ascii="Times New Roman" w:hAnsi="Times New Roman" w:cs="Times New Roman"/>
          <w:b/>
          <w:sz w:val="24"/>
          <w:szCs w:val="24"/>
          <w:lang w:val="en-US"/>
        </w:rPr>
        <w:t>Monetary developments in the euro area</w:t>
      </w:r>
      <w:r w:rsidRPr="000B2BA4">
        <w:rPr>
          <w:rFonts w:ascii="Times New Roman" w:hAnsi="Times New Roman" w:cs="Times New Roman"/>
          <w:sz w:val="24"/>
          <w:szCs w:val="24"/>
          <w:lang w:val="en-US"/>
        </w:rPr>
        <w:t>: June 2016</w:t>
      </w:r>
      <w:r>
        <w:rPr>
          <w:rFonts w:ascii="Times New Roman" w:hAnsi="Times New Roman" w:cs="Times New Roman"/>
          <w:sz w:val="24"/>
          <w:szCs w:val="24"/>
          <w:lang w:val="en-US"/>
        </w:rPr>
        <w:t xml:space="preserve"> - </w:t>
      </w:r>
      <w:r w:rsidRPr="000B2BA4">
        <w:rPr>
          <w:rFonts w:ascii="Times New Roman" w:hAnsi="Times New Roman" w:cs="Times New Roman"/>
          <w:sz w:val="24"/>
          <w:szCs w:val="24"/>
          <w:lang w:val="en-US"/>
        </w:rPr>
        <w:t>27 July 2016</w:t>
      </w:r>
    </w:p>
    <w:p w:rsidR="00451026" w:rsidRDefault="00451026" w:rsidP="00451026">
      <w:pPr>
        <w:spacing w:line="240" w:lineRule="auto"/>
        <w:jc w:val="both"/>
        <w:rPr>
          <w:rFonts w:ascii="Times New Roman" w:hAnsi="Times New Roman" w:cs="Times New Roman"/>
          <w:sz w:val="24"/>
          <w:szCs w:val="24"/>
          <w:lang w:val="en-US"/>
        </w:rPr>
      </w:pPr>
      <w:r w:rsidRPr="00453F56">
        <w:rPr>
          <w:rFonts w:ascii="Times New Roman" w:hAnsi="Times New Roman" w:cs="Times New Roman"/>
          <w:noProof/>
          <w:sz w:val="24"/>
          <w:szCs w:val="24"/>
          <w:lang w:eastAsia="es-ES"/>
        </w:rPr>
        <w:drawing>
          <wp:inline distT="0" distB="0" distL="0" distR="0" wp14:anchorId="219CA0EC" wp14:editId="10D6327D">
            <wp:extent cx="5731510" cy="3338482"/>
            <wp:effectExtent l="0" t="0" r="2540" b="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33848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484D166A" wp14:editId="5061B51A">
            <wp:extent cx="5731510" cy="2458548"/>
            <wp:effectExtent l="0" t="0" r="2540" b="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2458548"/>
                    </a:xfrm>
                    <a:prstGeom prst="rect">
                      <a:avLst/>
                    </a:prstGeom>
                  </pic:spPr>
                </pic:pic>
              </a:graphicData>
            </a:graphic>
          </wp:inline>
        </w:drawing>
      </w:r>
    </w:p>
    <w:p w:rsidR="00451026" w:rsidRPr="000B2BA4"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37499D68" wp14:editId="1E287926">
            <wp:extent cx="5731510" cy="2374045"/>
            <wp:effectExtent l="0" t="0" r="2540" b="762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37404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sz w:val="24"/>
          <w:szCs w:val="24"/>
          <w:lang w:val="en-US"/>
        </w:rPr>
        <w:lastRenderedPageBreak/>
        <w:t xml:space="preserve">PRESS RELEASE - </w:t>
      </w:r>
      <w:r w:rsidRPr="000B2BA4">
        <w:rPr>
          <w:rFonts w:ascii="Times New Roman" w:hAnsi="Times New Roman" w:cs="Times New Roman"/>
          <w:b/>
          <w:sz w:val="24"/>
          <w:szCs w:val="24"/>
          <w:lang w:val="en-US"/>
        </w:rPr>
        <w:t>Monetary developments in the euro area</w:t>
      </w:r>
      <w:r w:rsidRPr="000B2BA4">
        <w:rPr>
          <w:rFonts w:ascii="Times New Roman" w:hAnsi="Times New Roman" w:cs="Times New Roman"/>
          <w:sz w:val="24"/>
          <w:szCs w:val="24"/>
          <w:lang w:val="en-US"/>
        </w:rPr>
        <w:t>: June 2018</w:t>
      </w:r>
      <w:r>
        <w:rPr>
          <w:rFonts w:ascii="Times New Roman" w:hAnsi="Times New Roman" w:cs="Times New Roman"/>
          <w:sz w:val="24"/>
          <w:szCs w:val="24"/>
          <w:lang w:val="en-US"/>
        </w:rPr>
        <w:t xml:space="preserve"> - </w:t>
      </w:r>
      <w:r w:rsidRPr="000B2BA4">
        <w:rPr>
          <w:rFonts w:ascii="Times New Roman" w:hAnsi="Times New Roman" w:cs="Times New Roman"/>
          <w:sz w:val="24"/>
          <w:szCs w:val="24"/>
          <w:lang w:val="en-US"/>
        </w:rPr>
        <w:t>25 July 2018</w:t>
      </w:r>
    </w:p>
    <w:p w:rsidR="00451026" w:rsidRDefault="00451026" w:rsidP="00451026">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01570021" wp14:editId="01ACA519">
            <wp:extent cx="5125165" cy="2867425"/>
            <wp:effectExtent l="0" t="0" r="0" b="9525"/>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125165" cy="286742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5D125B">
        <w:rPr>
          <w:rFonts w:ascii="Times New Roman" w:hAnsi="Times New Roman" w:cs="Times New Roman"/>
          <w:noProof/>
          <w:sz w:val="24"/>
          <w:szCs w:val="24"/>
          <w:lang w:eastAsia="es-ES"/>
        </w:rPr>
        <w:drawing>
          <wp:inline distT="0" distB="0" distL="0" distR="0" wp14:anchorId="3F667FAA" wp14:editId="5A3C7C97">
            <wp:extent cx="5058481" cy="3200847"/>
            <wp:effectExtent l="0" t="0" r="8890" b="0"/>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058481" cy="320084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drawing>
          <wp:inline distT="0" distB="0" distL="0" distR="0" wp14:anchorId="4204B742" wp14:editId="49F724CF">
            <wp:extent cx="5733143" cy="2133600"/>
            <wp:effectExtent l="0" t="0" r="1270" b="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132992"/>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0B2BA4">
        <w:rPr>
          <w:rFonts w:ascii="Times New Roman" w:hAnsi="Times New Roman" w:cs="Times New Roman"/>
          <w:noProof/>
          <w:sz w:val="24"/>
          <w:szCs w:val="24"/>
          <w:lang w:eastAsia="es-ES"/>
        </w:rPr>
        <w:lastRenderedPageBreak/>
        <w:drawing>
          <wp:inline distT="0" distB="0" distL="0" distR="0" wp14:anchorId="6361052A" wp14:editId="1C0FF98C">
            <wp:extent cx="5731510" cy="2397314"/>
            <wp:effectExtent l="0" t="0" r="2540" b="3175"/>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397314"/>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453F56">
        <w:rPr>
          <w:rFonts w:ascii="Times New Roman" w:hAnsi="Times New Roman" w:cs="Times New Roman"/>
          <w:noProof/>
          <w:sz w:val="24"/>
          <w:szCs w:val="24"/>
          <w:lang w:eastAsia="es-ES"/>
        </w:rPr>
        <w:drawing>
          <wp:inline distT="0" distB="0" distL="0" distR="0" wp14:anchorId="115B427A" wp14:editId="7511FB6A">
            <wp:extent cx="5268060" cy="5115639"/>
            <wp:effectExtent l="0" t="0" r="8890" b="889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268060" cy="511563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Default="00451026" w:rsidP="00451026">
      <w:pPr>
        <w:spacing w:line="240" w:lineRule="auto"/>
        <w:jc w:val="both"/>
        <w:rPr>
          <w:rFonts w:ascii="Times New Roman" w:hAnsi="Times New Roman" w:cs="Times New Roman"/>
          <w:b/>
          <w:sz w:val="24"/>
          <w:szCs w:val="24"/>
          <w:lang w:val="en-US"/>
        </w:rPr>
      </w:pPr>
    </w:p>
    <w:p w:rsidR="00451026" w:rsidRPr="0035500A" w:rsidRDefault="00451026" w:rsidP="00451026">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lastRenderedPageBreak/>
        <w:t>ECB Economic Bulletin, Issue 6 / 2017</w:t>
      </w:r>
      <w:r>
        <w:rPr>
          <w:rFonts w:ascii="Times New Roman" w:hAnsi="Times New Roman" w:cs="Times New Roman"/>
          <w:b/>
          <w:sz w:val="24"/>
          <w:szCs w:val="24"/>
          <w:lang w:val="en-US"/>
        </w:rPr>
        <w:t xml:space="preserve"> - </w:t>
      </w:r>
      <w:r w:rsidRPr="0035500A">
        <w:rPr>
          <w:rFonts w:ascii="Times New Roman" w:hAnsi="Times New Roman" w:cs="Times New Roman"/>
          <w:b/>
          <w:sz w:val="24"/>
          <w:szCs w:val="24"/>
          <w:lang w:val="en-US"/>
        </w:rPr>
        <w:t>Eco</w:t>
      </w:r>
      <w:r>
        <w:rPr>
          <w:rFonts w:ascii="Times New Roman" w:hAnsi="Times New Roman" w:cs="Times New Roman"/>
          <w:b/>
          <w:sz w:val="24"/>
          <w:szCs w:val="24"/>
          <w:lang w:val="en-US"/>
        </w:rPr>
        <w:t>nomic and monetary developments</w:t>
      </w:r>
    </w:p>
    <w:p w:rsidR="00451026" w:rsidRPr="0035500A" w:rsidRDefault="00451026" w:rsidP="00451026">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t>Liquidity provided through open market operations</w:t>
      </w:r>
    </w:p>
    <w:p w:rsidR="00451026" w:rsidRDefault="00451026" w:rsidP="00451026">
      <w:pPr>
        <w:spacing w:line="240" w:lineRule="auto"/>
        <w:jc w:val="both"/>
        <w:rPr>
          <w:rFonts w:ascii="Times New Roman" w:hAnsi="Times New Roman" w:cs="Times New Roman"/>
          <w:sz w:val="24"/>
          <w:szCs w:val="24"/>
          <w:lang w:val="en-US"/>
        </w:rPr>
      </w:pPr>
      <w:r w:rsidRPr="00A8083C">
        <w:rPr>
          <w:rFonts w:ascii="Times New Roman" w:hAnsi="Times New Roman" w:cs="Times New Roman"/>
          <w:sz w:val="24"/>
          <w:szCs w:val="24"/>
          <w:lang w:val="en-US"/>
        </w:rPr>
        <w:t>The average amount of liquidity provided t</w:t>
      </w:r>
      <w:r>
        <w:rPr>
          <w:rFonts w:ascii="Times New Roman" w:hAnsi="Times New Roman" w:cs="Times New Roman"/>
          <w:sz w:val="24"/>
          <w:szCs w:val="24"/>
          <w:lang w:val="en-US"/>
        </w:rPr>
        <w:t>hrough open market operations -</w:t>
      </w:r>
      <w:r w:rsidRPr="00A8083C">
        <w:rPr>
          <w:rFonts w:ascii="Times New Roman" w:hAnsi="Times New Roman" w:cs="Times New Roman"/>
          <w:sz w:val="24"/>
          <w:szCs w:val="24"/>
          <w:lang w:val="en-US"/>
        </w:rPr>
        <w:t xml:space="preserve">both tender operations </w:t>
      </w:r>
      <w:r>
        <w:rPr>
          <w:rFonts w:ascii="Times New Roman" w:hAnsi="Times New Roman" w:cs="Times New Roman"/>
          <w:sz w:val="24"/>
          <w:szCs w:val="24"/>
          <w:lang w:val="en-US"/>
        </w:rPr>
        <w:t>and the outright APP purchases-</w:t>
      </w:r>
      <w:r w:rsidRPr="00A8083C">
        <w:rPr>
          <w:rFonts w:ascii="Times New Roman" w:hAnsi="Times New Roman" w:cs="Times New Roman"/>
          <w:sz w:val="24"/>
          <w:szCs w:val="24"/>
          <w:lang w:val="en-US"/>
        </w:rPr>
        <w:t xml:space="preserve"> increased by €</w:t>
      </w:r>
      <w:r>
        <w:rPr>
          <w:rFonts w:ascii="Times New Roman" w:hAnsi="Times New Roman" w:cs="Times New Roman"/>
          <w:sz w:val="24"/>
          <w:szCs w:val="24"/>
          <w:lang w:val="en-US"/>
        </w:rPr>
        <w:t xml:space="preserve"> 313,</w:t>
      </w:r>
      <w:r w:rsidRPr="00A8083C">
        <w:rPr>
          <w:rFonts w:ascii="Times New Roman" w:hAnsi="Times New Roman" w:cs="Times New Roman"/>
          <w:sz w:val="24"/>
          <w:szCs w:val="24"/>
          <w:lang w:val="en-US"/>
        </w:rPr>
        <w:t>5 billion to stand at €</w:t>
      </w:r>
      <w:r>
        <w:rPr>
          <w:rFonts w:ascii="Times New Roman" w:hAnsi="Times New Roman" w:cs="Times New Roman"/>
          <w:sz w:val="24"/>
          <w:szCs w:val="24"/>
          <w:lang w:val="en-US"/>
        </w:rPr>
        <w:t xml:space="preserve"> 2.814,</w:t>
      </w:r>
      <w:r w:rsidRPr="00A8083C">
        <w:rPr>
          <w:rFonts w:ascii="Times New Roman" w:hAnsi="Times New Roman" w:cs="Times New Roman"/>
          <w:sz w:val="24"/>
          <w:szCs w:val="24"/>
          <w:lang w:val="en-US"/>
        </w:rPr>
        <w:t>5 billion (see chart A). This increase was primarily due to the ECB’s APP and the fourth targeted longer-term refinancing operation in the second series of TLTROs (TLTRO-II), which was settled for an amount of €</w:t>
      </w:r>
      <w:r>
        <w:rPr>
          <w:rFonts w:ascii="Times New Roman" w:hAnsi="Times New Roman" w:cs="Times New Roman"/>
          <w:sz w:val="24"/>
          <w:szCs w:val="24"/>
          <w:lang w:val="en-US"/>
        </w:rPr>
        <w:t xml:space="preserve"> 233,</w:t>
      </w:r>
      <w:r w:rsidRPr="00A8083C">
        <w:rPr>
          <w:rFonts w:ascii="Times New Roman" w:hAnsi="Times New Roman" w:cs="Times New Roman"/>
          <w:sz w:val="24"/>
          <w:szCs w:val="24"/>
          <w:lang w:val="en-US"/>
        </w:rPr>
        <w:t>4 billion on 29 March 2017.</w:t>
      </w:r>
    </w:p>
    <w:p w:rsidR="00451026"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noProof/>
          <w:sz w:val="24"/>
          <w:szCs w:val="24"/>
          <w:lang w:eastAsia="es-ES"/>
        </w:rPr>
        <w:drawing>
          <wp:inline distT="0" distB="0" distL="0" distR="0" wp14:anchorId="230D0DDE" wp14:editId="46D9B8EB">
            <wp:extent cx="5734049" cy="3371850"/>
            <wp:effectExtent l="0" t="0" r="635" b="0"/>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37035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The average amount of liquidity provided through tender operations increased by €</w:t>
      </w:r>
      <w:r>
        <w:rPr>
          <w:rFonts w:ascii="Times New Roman" w:hAnsi="Times New Roman" w:cs="Times New Roman"/>
          <w:sz w:val="24"/>
          <w:szCs w:val="24"/>
          <w:lang w:val="en-US"/>
        </w:rPr>
        <w:t xml:space="preserve"> 124,</w:t>
      </w:r>
      <w:r w:rsidRPr="0035500A">
        <w:rPr>
          <w:rFonts w:ascii="Times New Roman" w:hAnsi="Times New Roman" w:cs="Times New Roman"/>
          <w:sz w:val="24"/>
          <w:szCs w:val="24"/>
          <w:lang w:val="en-US"/>
        </w:rPr>
        <w:t>4 billion to stand at €</w:t>
      </w:r>
      <w:r>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779 billion. This increase largely reflects the liquidity provided through the fourth TLTRO-II, which, unlike in the previous review period, is fully reflected in the average liquidity conditions of the current review period. The average outstanding amount of TLTROs increased by €</w:t>
      </w:r>
      <w:r>
        <w:rPr>
          <w:rFonts w:ascii="Times New Roman" w:hAnsi="Times New Roman" w:cs="Times New Roman"/>
          <w:sz w:val="24"/>
          <w:szCs w:val="24"/>
          <w:lang w:val="en-US"/>
        </w:rPr>
        <w:t xml:space="preserve"> 138,</w:t>
      </w:r>
      <w:r w:rsidRPr="0035500A">
        <w:rPr>
          <w:rFonts w:ascii="Times New Roman" w:hAnsi="Times New Roman" w:cs="Times New Roman"/>
          <w:sz w:val="24"/>
          <w:szCs w:val="24"/>
          <w:lang w:val="en-US"/>
        </w:rPr>
        <w:t>7 billion as a net effect of the settlement of the fourth TLTRO-II operation and voluntary early repayments for funds borrowed via TLTRO-I operations. Average liquidity provided via MROs and three-month LTROs decreased by €</w:t>
      </w:r>
      <w:r>
        <w:rPr>
          <w:rFonts w:ascii="Times New Roman" w:hAnsi="Times New Roman" w:cs="Times New Roman"/>
          <w:sz w:val="24"/>
          <w:szCs w:val="24"/>
          <w:lang w:val="en-US"/>
        </w:rPr>
        <w:t xml:space="preserve"> 12,</w:t>
      </w:r>
      <w:r w:rsidRPr="0035500A">
        <w:rPr>
          <w:rFonts w:ascii="Times New Roman" w:hAnsi="Times New Roman" w:cs="Times New Roman"/>
          <w:sz w:val="24"/>
          <w:szCs w:val="24"/>
          <w:lang w:val="en-US"/>
        </w:rPr>
        <w:t>2 billion and €</w:t>
      </w:r>
      <w:r>
        <w:rPr>
          <w:rFonts w:ascii="Times New Roman" w:hAnsi="Times New Roman" w:cs="Times New Roman"/>
          <w:sz w:val="24"/>
          <w:szCs w:val="24"/>
          <w:lang w:val="en-US"/>
        </w:rPr>
        <w:t xml:space="preserve"> 2,</w:t>
      </w:r>
      <w:r w:rsidRPr="0035500A">
        <w:rPr>
          <w:rFonts w:ascii="Times New Roman" w:hAnsi="Times New Roman" w:cs="Times New Roman"/>
          <w:sz w:val="24"/>
          <w:szCs w:val="24"/>
          <w:lang w:val="en-US"/>
        </w:rPr>
        <w:t>1 billion respectively.</w:t>
      </w:r>
    </w:p>
    <w:p w:rsidR="00451026" w:rsidRPr="0035500A"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Liquidity provided through the Eurosystem’s outright monetary policy portfolios increased by €</w:t>
      </w:r>
      <w:r>
        <w:rPr>
          <w:rFonts w:ascii="Times New Roman" w:hAnsi="Times New Roman" w:cs="Times New Roman"/>
          <w:sz w:val="24"/>
          <w:szCs w:val="24"/>
          <w:lang w:val="en-US"/>
        </w:rPr>
        <w:t xml:space="preserve"> 189,</w:t>
      </w:r>
      <w:r w:rsidRPr="0035500A">
        <w:rPr>
          <w:rFonts w:ascii="Times New Roman" w:hAnsi="Times New Roman" w:cs="Times New Roman"/>
          <w:sz w:val="24"/>
          <w:szCs w:val="24"/>
          <w:lang w:val="en-US"/>
        </w:rPr>
        <w:t>1 billion to stand at €</w:t>
      </w:r>
      <w:r>
        <w:rPr>
          <w:rFonts w:ascii="Times New Roman" w:hAnsi="Times New Roman" w:cs="Times New Roman"/>
          <w:sz w:val="24"/>
          <w:szCs w:val="24"/>
          <w:lang w:val="en-US"/>
        </w:rPr>
        <w:t xml:space="preserve"> 2.035,</w:t>
      </w:r>
      <w:r w:rsidRPr="0035500A">
        <w:rPr>
          <w:rFonts w:ascii="Times New Roman" w:hAnsi="Times New Roman" w:cs="Times New Roman"/>
          <w:sz w:val="24"/>
          <w:szCs w:val="24"/>
          <w:lang w:val="en-US"/>
        </w:rPr>
        <w:t>5 billion on average, as APP purchases continued. Average liquidity provided by the public sector purchase programme (PSPP), the third covered bond purchase programme, the asset-backed securities purchase programme and the corporate sector purchase programme rose, on average, by €</w:t>
      </w:r>
      <w:r>
        <w:rPr>
          <w:rFonts w:ascii="Times New Roman" w:hAnsi="Times New Roman" w:cs="Times New Roman"/>
          <w:sz w:val="24"/>
          <w:szCs w:val="24"/>
          <w:lang w:val="en-US"/>
        </w:rPr>
        <w:t xml:space="preserve"> 163,</w:t>
      </w:r>
      <w:r w:rsidRPr="0035500A">
        <w:rPr>
          <w:rFonts w:ascii="Times New Roman" w:hAnsi="Times New Roman" w:cs="Times New Roman"/>
          <w:sz w:val="24"/>
          <w:szCs w:val="24"/>
          <w:lang w:val="en-US"/>
        </w:rPr>
        <w:t>6 billion, €</w:t>
      </w:r>
      <w:r>
        <w:rPr>
          <w:rFonts w:ascii="Times New Roman" w:hAnsi="Times New Roman" w:cs="Times New Roman"/>
          <w:sz w:val="24"/>
          <w:szCs w:val="24"/>
          <w:lang w:val="en-US"/>
        </w:rPr>
        <w:t xml:space="preserve"> 8,</w:t>
      </w:r>
      <w:r w:rsidRPr="0035500A">
        <w:rPr>
          <w:rFonts w:ascii="Times New Roman" w:hAnsi="Times New Roman" w:cs="Times New Roman"/>
          <w:sz w:val="24"/>
          <w:szCs w:val="24"/>
          <w:lang w:val="en-US"/>
        </w:rPr>
        <w:t>1 billion, €</w:t>
      </w:r>
      <w:r>
        <w:rPr>
          <w:rFonts w:ascii="Times New Roman" w:hAnsi="Times New Roman" w:cs="Times New Roman"/>
          <w:sz w:val="24"/>
          <w:szCs w:val="24"/>
          <w:lang w:val="en-US"/>
        </w:rPr>
        <w:t xml:space="preserve"> 0,</w:t>
      </w:r>
      <w:r w:rsidRPr="0035500A">
        <w:rPr>
          <w:rFonts w:ascii="Times New Roman" w:hAnsi="Times New Roman" w:cs="Times New Roman"/>
          <w:sz w:val="24"/>
          <w:szCs w:val="24"/>
          <w:lang w:val="en-US"/>
        </w:rPr>
        <w:t>2 billion and €</w:t>
      </w:r>
      <w:r>
        <w:rPr>
          <w:rFonts w:ascii="Times New Roman" w:hAnsi="Times New Roman" w:cs="Times New Roman"/>
          <w:sz w:val="24"/>
          <w:szCs w:val="24"/>
          <w:lang w:val="en-US"/>
        </w:rPr>
        <w:t xml:space="preserve"> 21,</w:t>
      </w:r>
      <w:r w:rsidRPr="0035500A">
        <w:rPr>
          <w:rFonts w:ascii="Times New Roman" w:hAnsi="Times New Roman" w:cs="Times New Roman"/>
          <w:sz w:val="24"/>
          <w:szCs w:val="24"/>
          <w:lang w:val="en-US"/>
        </w:rPr>
        <w:t>7 billion, respectively. The redemption of bonds held under the Securities Markets Programme and the previous two covered bond purchase pr</w:t>
      </w:r>
      <w:r>
        <w:rPr>
          <w:rFonts w:ascii="Times New Roman" w:hAnsi="Times New Roman" w:cs="Times New Roman"/>
          <w:sz w:val="24"/>
          <w:szCs w:val="24"/>
          <w:lang w:val="en-US"/>
        </w:rPr>
        <w:t xml:space="preserve">ogrammes </w:t>
      </w:r>
      <w:r w:rsidR="00EF04BA">
        <w:rPr>
          <w:rFonts w:ascii="Times New Roman" w:hAnsi="Times New Roman" w:cs="Times New Roman"/>
          <w:sz w:val="24"/>
          <w:szCs w:val="24"/>
          <w:lang w:val="en-US"/>
        </w:rPr>
        <w:t>totaled</w:t>
      </w:r>
      <w:r>
        <w:rPr>
          <w:rFonts w:ascii="Times New Roman" w:hAnsi="Times New Roman" w:cs="Times New Roman"/>
          <w:sz w:val="24"/>
          <w:szCs w:val="24"/>
          <w:lang w:val="en-US"/>
        </w:rPr>
        <w:t xml:space="preserve"> € 4,4 billion.</w:t>
      </w:r>
    </w:p>
    <w:p w:rsidR="00451026" w:rsidRPr="0035500A" w:rsidRDefault="00451026" w:rsidP="00451026">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t>Excess liquidity</w:t>
      </w:r>
    </w:p>
    <w:p w:rsidR="00451026"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As a consequence of the developments detailed above, average excess liquidity in the period under review rose by €</w:t>
      </w:r>
      <w:r>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231 billion compared with the previous period, to stand at €</w:t>
      </w:r>
      <w:r>
        <w:rPr>
          <w:rFonts w:ascii="Times New Roman" w:hAnsi="Times New Roman" w:cs="Times New Roman"/>
          <w:sz w:val="24"/>
          <w:szCs w:val="24"/>
          <w:lang w:val="en-US"/>
        </w:rPr>
        <w:t xml:space="preserve"> 1.645,</w:t>
      </w:r>
      <w:r w:rsidRPr="0035500A">
        <w:rPr>
          <w:rFonts w:ascii="Times New Roman" w:hAnsi="Times New Roman" w:cs="Times New Roman"/>
          <w:sz w:val="24"/>
          <w:szCs w:val="24"/>
          <w:lang w:val="en-US"/>
        </w:rPr>
        <w:t xml:space="preserve">8 </w:t>
      </w:r>
      <w:r w:rsidRPr="0035500A">
        <w:rPr>
          <w:rFonts w:ascii="Times New Roman" w:hAnsi="Times New Roman" w:cs="Times New Roman"/>
          <w:sz w:val="24"/>
          <w:szCs w:val="24"/>
          <w:lang w:val="en-US"/>
        </w:rPr>
        <w:lastRenderedPageBreak/>
        <w:t>billion (see the chart). As mentioned above, this increase largely reflects the liquidity provided through the APP at a pace of €</w:t>
      </w:r>
      <w:r>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60 billion per month, as well as the allotment of €</w:t>
      </w:r>
      <w:r>
        <w:rPr>
          <w:rFonts w:ascii="Times New Roman" w:hAnsi="Times New Roman" w:cs="Times New Roman"/>
          <w:sz w:val="24"/>
          <w:szCs w:val="24"/>
          <w:lang w:val="en-US"/>
        </w:rPr>
        <w:t xml:space="preserve"> 233,</w:t>
      </w:r>
      <w:r w:rsidRPr="0035500A">
        <w:rPr>
          <w:rFonts w:ascii="Times New Roman" w:hAnsi="Times New Roman" w:cs="Times New Roman"/>
          <w:sz w:val="24"/>
          <w:szCs w:val="24"/>
          <w:lang w:val="en-US"/>
        </w:rPr>
        <w:t>4 billion from the fourth TLTRO-II, somewhat offset by an increase in liquidity needs resulting from autonomous factors. Focusing only on the period under review, a more detailed analysis shows that excess liquidity increased in the third maintenance period, growing by €</w:t>
      </w:r>
      <w:r>
        <w:rPr>
          <w:rFonts w:ascii="Times New Roman" w:hAnsi="Times New Roman" w:cs="Times New Roman"/>
          <w:sz w:val="24"/>
          <w:szCs w:val="24"/>
          <w:lang w:val="en-US"/>
        </w:rPr>
        <w:t xml:space="preserve"> 139,</w:t>
      </w:r>
      <w:r w:rsidRPr="0035500A">
        <w:rPr>
          <w:rFonts w:ascii="Times New Roman" w:hAnsi="Times New Roman" w:cs="Times New Roman"/>
          <w:sz w:val="24"/>
          <w:szCs w:val="24"/>
          <w:lang w:val="en-US"/>
        </w:rPr>
        <w:t>8 billion on account of liquidity provided by the fourth TLTRO-II operation and the APP purchases. The fourth maintenance period, however, saw a small decline in excess liquidity of €</w:t>
      </w:r>
      <w:r>
        <w:rPr>
          <w:rFonts w:ascii="Times New Roman" w:hAnsi="Times New Roman" w:cs="Times New Roman"/>
          <w:sz w:val="24"/>
          <w:szCs w:val="24"/>
          <w:lang w:val="en-US"/>
        </w:rPr>
        <w:t xml:space="preserve"> 8,</w:t>
      </w:r>
      <w:r w:rsidRPr="0035500A">
        <w:rPr>
          <w:rFonts w:ascii="Times New Roman" w:hAnsi="Times New Roman" w:cs="Times New Roman"/>
          <w:sz w:val="24"/>
          <w:szCs w:val="24"/>
          <w:lang w:val="en-US"/>
        </w:rPr>
        <w:t>3 billion, as the liquidity injected via the APP purchases was more than offset by the increase in the liquidity-absorbing effect of autonomous factors and a decrease in the take-up of MROs and three-month LTROs, as mentioned earlier.</w:t>
      </w:r>
    </w:p>
    <w:p w:rsidR="00451026" w:rsidRPr="0035500A"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The increase in excess liquidity corresponded to higher average current account holdings, which rose by €</w:t>
      </w:r>
      <w:r>
        <w:rPr>
          <w:rFonts w:ascii="Times New Roman" w:hAnsi="Times New Roman" w:cs="Times New Roman"/>
          <w:sz w:val="24"/>
          <w:szCs w:val="24"/>
          <w:lang w:val="en-US"/>
        </w:rPr>
        <w:t xml:space="preserve"> 153 billion to stand at € 1.</w:t>
      </w:r>
      <w:r w:rsidRPr="0035500A">
        <w:rPr>
          <w:rFonts w:ascii="Times New Roman" w:hAnsi="Times New Roman" w:cs="Times New Roman"/>
          <w:sz w:val="24"/>
          <w:szCs w:val="24"/>
          <w:lang w:val="en-US"/>
        </w:rPr>
        <w:t xml:space="preserve">174 billion in the period under review, while the average recourse to the deposit facility increased by </w:t>
      </w:r>
      <w:r>
        <w:rPr>
          <w:rFonts w:ascii="Times New Roman" w:hAnsi="Times New Roman" w:cs="Times New Roman"/>
          <w:sz w:val="24"/>
          <w:szCs w:val="24"/>
          <w:lang w:val="en-US"/>
        </w:rPr>
        <w:t xml:space="preserve"> </w:t>
      </w:r>
      <w:r w:rsidRPr="0035500A">
        <w:rPr>
          <w:rFonts w:ascii="Times New Roman" w:hAnsi="Times New Roman" w:cs="Times New Roman"/>
          <w:sz w:val="24"/>
          <w:szCs w:val="24"/>
          <w:lang w:val="en-US"/>
        </w:rPr>
        <w:t>€</w:t>
      </w:r>
      <w:r>
        <w:rPr>
          <w:rFonts w:ascii="Times New Roman" w:hAnsi="Times New Roman" w:cs="Times New Roman"/>
          <w:sz w:val="24"/>
          <w:szCs w:val="24"/>
          <w:lang w:val="en-US"/>
        </w:rPr>
        <w:t xml:space="preserve"> 79,</w:t>
      </w:r>
      <w:r w:rsidRPr="0035500A">
        <w:rPr>
          <w:rFonts w:ascii="Times New Roman" w:hAnsi="Times New Roman" w:cs="Times New Roman"/>
          <w:sz w:val="24"/>
          <w:szCs w:val="24"/>
          <w:lang w:val="en-US"/>
        </w:rPr>
        <w:t>9 billion to stand at €</w:t>
      </w:r>
      <w:r>
        <w:rPr>
          <w:rFonts w:ascii="Times New Roman" w:hAnsi="Times New Roman" w:cs="Times New Roman"/>
          <w:sz w:val="24"/>
          <w:szCs w:val="24"/>
          <w:lang w:val="en-US"/>
        </w:rPr>
        <w:t xml:space="preserve"> 594,</w:t>
      </w:r>
      <w:r w:rsidRPr="0035500A">
        <w:rPr>
          <w:rFonts w:ascii="Times New Roman" w:hAnsi="Times New Roman" w:cs="Times New Roman"/>
          <w:sz w:val="24"/>
          <w:szCs w:val="24"/>
          <w:lang w:val="en-US"/>
        </w:rPr>
        <w:t>5 billion.</w:t>
      </w:r>
    </w:p>
    <w:p w:rsidR="00451026" w:rsidRPr="0035500A" w:rsidRDefault="00451026" w:rsidP="00451026">
      <w:pPr>
        <w:spacing w:line="240" w:lineRule="auto"/>
        <w:jc w:val="both"/>
        <w:rPr>
          <w:rFonts w:ascii="Times New Roman" w:hAnsi="Times New Roman" w:cs="Times New Roman"/>
          <w:b/>
          <w:sz w:val="24"/>
          <w:szCs w:val="24"/>
          <w:lang w:val="en-US"/>
        </w:rPr>
      </w:pPr>
      <w:r w:rsidRPr="0035500A">
        <w:rPr>
          <w:rFonts w:ascii="Times New Roman" w:hAnsi="Times New Roman" w:cs="Times New Roman"/>
          <w:b/>
          <w:sz w:val="24"/>
          <w:szCs w:val="24"/>
          <w:lang w:val="en-US"/>
        </w:rPr>
        <w:t>Base money, broad money and the APP</w:t>
      </w:r>
    </w:p>
    <w:p w:rsidR="00451026" w:rsidRPr="0035500A"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The significant expansion in base money induced by the asset purchase programme (APP) has attracted growing public attention. This box provides an overview of recen</w:t>
      </w:r>
      <w:r>
        <w:rPr>
          <w:rFonts w:ascii="Times New Roman" w:hAnsi="Times New Roman" w:cs="Times New Roman"/>
          <w:sz w:val="24"/>
          <w:szCs w:val="24"/>
          <w:lang w:val="en-US"/>
        </w:rPr>
        <w:t>t developments in base money</w:t>
      </w:r>
      <w:r w:rsidRPr="0035500A">
        <w:rPr>
          <w:rFonts w:ascii="Times New Roman" w:hAnsi="Times New Roman" w:cs="Times New Roman"/>
          <w:sz w:val="24"/>
          <w:szCs w:val="24"/>
          <w:lang w:val="en-US"/>
        </w:rPr>
        <w:t xml:space="preserve"> and discusses to what extent they have had im</w:t>
      </w:r>
      <w:r>
        <w:rPr>
          <w:rFonts w:ascii="Times New Roman" w:hAnsi="Times New Roman" w:cs="Times New Roman"/>
          <w:sz w:val="24"/>
          <w:szCs w:val="24"/>
          <w:lang w:val="en-US"/>
        </w:rPr>
        <w:t>plications for broad money.</w:t>
      </w:r>
    </w:p>
    <w:p w:rsidR="00451026"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t>In the pre-crisis period, base money developments largely reflected changes in currency in circulation and required central bank reserves (see Chart A). In periods when interbank markets are functioning normally, the Eurosystem provides the central bank reserves in euro needed by the banking system on aggregate, which are then traded among banks and thereby redistributed within the banking system as necessary. The aggregate demand for central bank reserves is thus effectively accommodated by the Eurosystem with very limited levels of excess reserves. In the pre-crisis period, base money developments in the euro area were therefore largely a reflection of changes in currency in circulation and required central bank reserves.</w:t>
      </w:r>
    </w:p>
    <w:p w:rsidR="00451026"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noProof/>
          <w:sz w:val="24"/>
          <w:szCs w:val="24"/>
          <w:lang w:eastAsia="es-ES"/>
        </w:rPr>
        <w:drawing>
          <wp:inline distT="0" distB="0" distL="0" distR="0" wp14:anchorId="70B8FC1E" wp14:editId="03ACFC32">
            <wp:extent cx="5733268" cy="3625850"/>
            <wp:effectExtent l="0" t="0" r="1270" b="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62473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35500A">
        <w:rPr>
          <w:rFonts w:ascii="Times New Roman" w:hAnsi="Times New Roman" w:cs="Times New Roman"/>
          <w:sz w:val="24"/>
          <w:szCs w:val="24"/>
          <w:lang w:val="en-US"/>
        </w:rPr>
        <w:lastRenderedPageBreak/>
        <w:t>Prior to the financial crisis, base money and broad money developments were unfolding along similar trends (see Chart B). The growth in base money in the euro area mirrored that of broad money, since the injection of central bank reserves in that period was demand-driven, i.e. determined by currency in circulation and the evolution of banks’ reserve requirements, which in turn depended on the evolution of banks’ short-term liabilities (deposits and debt securities with a residual maturity of up to two years). As a result, the money multiplier (the ratio of broad money to base money) was rather stable.</w:t>
      </w:r>
    </w:p>
    <w:p w:rsidR="00451026" w:rsidRDefault="00451026" w:rsidP="00451026">
      <w:pPr>
        <w:spacing w:line="240" w:lineRule="auto"/>
        <w:jc w:val="both"/>
        <w:rPr>
          <w:rFonts w:ascii="Times New Roman" w:hAnsi="Times New Roman" w:cs="Times New Roman"/>
          <w:sz w:val="24"/>
          <w:szCs w:val="24"/>
          <w:lang w:val="en-US"/>
        </w:rPr>
      </w:pPr>
      <w:r w:rsidRPr="00535666">
        <w:rPr>
          <w:rFonts w:ascii="Times New Roman" w:hAnsi="Times New Roman" w:cs="Times New Roman"/>
          <w:noProof/>
          <w:sz w:val="24"/>
          <w:szCs w:val="24"/>
          <w:lang w:eastAsia="es-ES"/>
        </w:rPr>
        <w:drawing>
          <wp:inline distT="0" distB="0" distL="0" distR="0" wp14:anchorId="67566AC1" wp14:editId="794A6A7E">
            <wp:extent cx="5731653" cy="3829050"/>
            <wp:effectExtent l="0" t="0" r="2540" b="0"/>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828955"/>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Since the financial crisis, base money has been increasingly driven by Eurosystem monetary policy operations. In line with the responses of all major central banks to the financial crisis, the volume of monetary policy operations undertaken by the Eurosystem increased substantially from 2007 onwards and in particular after September 2008. In a situation of malfunctioning money markets and liquidity stress on banks’ balance sheets, the Eurosystem supplied central bank reserves to each counterparty elastically at a level well above the banking system aggregate demand, through fixed rate tenders with full allotment. Moreover, in 2009 the first programme of outright purchases of covered bonds (CBPP1) was launched. The resulting increase in excess central bank liquidity was mirrored by a significant expansion of base money (see Chart A). The volume of monetary policy operations increased again sharply in the second half of 2011, mainly as a consequence of the two longer-term refinancing operations (VLTROs) with a three-year maturity conducted in December 2011 and February 2012, and, to a lesser extent, outright purchases of securities under the CBPP2. As a result of these operations, excess reserves and, therefore, base money displayed a further sizeable increase.</w:t>
      </w:r>
    </w:p>
    <w:p w:rsidR="00451026" w:rsidRDefault="00451026" w:rsidP="00451026">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 xml:space="preserve">Since the introduction of non-standard measures, broad money has stopped closely mirroring developments in base money. Since 2008, the trends in base money and broad money have decoupled, as the expansion in base money due to non-standard measures has not supported a similar uptrend in monetary holdings outside the banking sector. In the context of </w:t>
      </w:r>
      <w:r w:rsidRPr="00535666">
        <w:rPr>
          <w:rFonts w:ascii="Times New Roman" w:hAnsi="Times New Roman" w:cs="Times New Roman"/>
          <w:sz w:val="24"/>
          <w:szCs w:val="24"/>
          <w:lang w:val="en-US"/>
        </w:rPr>
        <w:lastRenderedPageBreak/>
        <w:t>considerable financial fragmentation, economic uncertainty and weak credit demand, it was not surprising that the increase in banks’ holdings of central bank reserves, often as liquidity insurance, did not result mechanically in an increase in the supply of credit to the non-financial private sector, and hence in broad money, the level</w:t>
      </w:r>
      <w:r>
        <w:rPr>
          <w:rFonts w:ascii="Times New Roman" w:hAnsi="Times New Roman" w:cs="Times New Roman"/>
          <w:sz w:val="24"/>
          <w:szCs w:val="24"/>
          <w:lang w:val="en-US"/>
        </w:rPr>
        <w:t>s of which remained subdued.</w:t>
      </w:r>
      <w:r w:rsidRPr="00535666">
        <w:rPr>
          <w:rFonts w:ascii="Times New Roman" w:hAnsi="Times New Roman" w:cs="Times New Roman"/>
          <w:sz w:val="24"/>
          <w:szCs w:val="24"/>
          <w:lang w:val="en-US"/>
        </w:rPr>
        <w:t xml:space="preserve"> At the same time, the expansion in base money was instrumental in avoiding fire sales and a curtailment of credit with potentially severe consequences for the real economy. Given this weak link between base money and broad money, the money multiplier was on a declining path from the onset of the financial crisis until the end of 2012.</w:t>
      </w:r>
    </w:p>
    <w:p w:rsidR="00451026" w:rsidRDefault="00451026" w:rsidP="00451026">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In 2013 banks’ preference for central bank liquidity waned and base money returned to the levels implied by the pre-crisis trend. Receding financial fragmentation and improved funding conditions in euro area financial markets from mid-2012 reduced the incentive for banks to keep high levels of liquidity. Thus, banks in 2013 used the option offered by the ECB of a voluntary early repayment of the VLTROs, leading to a return of base money closer to the levels implied by the extrapolation of the pre-crisis trend. The decline in base money combined with non-decreasing broad money, which was supported by some recovery in monetary assets, implied an increase in the money multiplier.</w:t>
      </w:r>
    </w:p>
    <w:p w:rsidR="00451026" w:rsidRDefault="00451026" w:rsidP="00451026">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 xml:space="preserve">The expanded APP marked the start of a new phase of supply-side-induced increases in the volume of base money. The announcement of the APP represented a change in regime that was in clear contrast to the previous practice consisting of banks expressing their demand for central bank liquidity, which was accommodated in an elastic way. Under the APP, the Eurosystem supplies central bank reserves when purchasing assets. Since banks are typically the only entities, apart from central government, that hold deposit accounts with the central bank, purchases are always settled through them, regardless of </w:t>
      </w:r>
      <w:r w:rsidR="00EF04BA" w:rsidRPr="00535666">
        <w:rPr>
          <w:rFonts w:ascii="Times New Roman" w:hAnsi="Times New Roman" w:cs="Times New Roman"/>
          <w:sz w:val="24"/>
          <w:szCs w:val="24"/>
          <w:lang w:val="en-US"/>
        </w:rPr>
        <w:t>whom</w:t>
      </w:r>
      <w:r w:rsidRPr="00535666">
        <w:rPr>
          <w:rFonts w:ascii="Times New Roman" w:hAnsi="Times New Roman" w:cs="Times New Roman"/>
          <w:sz w:val="24"/>
          <w:szCs w:val="24"/>
          <w:lang w:val="en-US"/>
        </w:rPr>
        <w:t xml:space="preserve"> the ultimate seller is. Therefore, purchases conducted under the APP resulted in a mechanic, direct increase in base money.</w:t>
      </w:r>
    </w:p>
    <w:p w:rsidR="00451026" w:rsidRPr="00535666" w:rsidRDefault="00451026" w:rsidP="00451026">
      <w:pPr>
        <w:spacing w:line="240" w:lineRule="auto"/>
        <w:jc w:val="both"/>
        <w:rPr>
          <w:rFonts w:ascii="Times New Roman" w:hAnsi="Times New Roman" w:cs="Times New Roman"/>
          <w:sz w:val="24"/>
          <w:szCs w:val="24"/>
          <w:lang w:val="en-US"/>
        </w:rPr>
      </w:pPr>
      <w:r w:rsidRPr="00535666">
        <w:rPr>
          <w:rFonts w:ascii="Times New Roman" w:hAnsi="Times New Roman" w:cs="Times New Roman"/>
          <w:sz w:val="24"/>
          <w:szCs w:val="24"/>
          <w:lang w:val="en-US"/>
        </w:rPr>
        <w:t>The APP has been an important driving force behind the robust developments in broad money recorded since 2015, with indirect ef</w:t>
      </w:r>
      <w:r>
        <w:rPr>
          <w:rFonts w:ascii="Times New Roman" w:hAnsi="Times New Roman" w:cs="Times New Roman"/>
          <w:sz w:val="24"/>
          <w:szCs w:val="24"/>
          <w:lang w:val="en-US"/>
        </w:rPr>
        <w:t>fects playing a major role.</w:t>
      </w:r>
      <w:r w:rsidRPr="00535666">
        <w:rPr>
          <w:rFonts w:ascii="Times New Roman" w:hAnsi="Times New Roman" w:cs="Times New Roman"/>
          <w:sz w:val="24"/>
          <w:szCs w:val="24"/>
          <w:lang w:val="en-US"/>
        </w:rPr>
        <w:t xml:space="preserve"> Non-residents and banks have so far been the main sellers of government bonds under the public sector purchase programme (the largest purchase programme under the APP), while sales by the domestic money-holding sector have been moderate, implying a contained direct impac</w:t>
      </w:r>
      <w:r>
        <w:rPr>
          <w:rFonts w:ascii="Times New Roman" w:hAnsi="Times New Roman" w:cs="Times New Roman"/>
          <w:sz w:val="24"/>
          <w:szCs w:val="24"/>
          <w:lang w:val="en-US"/>
        </w:rPr>
        <w:t>t of the APP on broad money.</w:t>
      </w:r>
      <w:r w:rsidRPr="00535666">
        <w:rPr>
          <w:rFonts w:ascii="Times New Roman" w:hAnsi="Times New Roman" w:cs="Times New Roman"/>
          <w:sz w:val="24"/>
          <w:szCs w:val="24"/>
          <w:lang w:val="en-US"/>
        </w:rPr>
        <w:t xml:space="preserve"> A large part of the effects of the APP on broad money have materialised via indirect effects. First, indirect effects arise from the portfolio rebalancing that the programme is intended to bring about. Moreover, banks have expanded loans to domestic firms and households, implying an increase in the deposits held by the euro area money-holding sector. Some banks have also used the increased liquidity at their disposal to pay down their more costly liabilities. Further indirect effects of the APP on broad money have materialised via a wide set of channels through which the APP has influenced financial markets and economic activity. The APP has indeed resulted in a broad easing of financing conditions and favourable wealth effects, crucially supporting the recovery in lending and economic growth. The money multiplier has been declining since the start of the APP, mechanically reflecting the proportionately larger positive impact of the programme on base money than on broad money. While the former displays a direct relationship with the purchases, the latter is mainly affected via complex indirect effects, as discussed above.</w:t>
      </w:r>
    </w:p>
    <w:p w:rsidR="0015310F" w:rsidRDefault="0015310F" w:rsidP="00451026">
      <w:pPr>
        <w:spacing w:line="240" w:lineRule="auto"/>
        <w:jc w:val="both"/>
        <w:rPr>
          <w:rFonts w:ascii="Times New Roman" w:hAnsi="Times New Roman" w:cs="Times New Roman"/>
          <w:sz w:val="24"/>
          <w:szCs w:val="24"/>
          <w:lang w:val="en-US"/>
        </w:rPr>
      </w:pPr>
    </w:p>
    <w:p w:rsidR="0015310F" w:rsidRDefault="0015310F" w:rsidP="00451026">
      <w:pPr>
        <w:spacing w:line="240" w:lineRule="auto"/>
        <w:jc w:val="both"/>
        <w:rPr>
          <w:rFonts w:ascii="Times New Roman" w:hAnsi="Times New Roman" w:cs="Times New Roman"/>
          <w:sz w:val="24"/>
          <w:szCs w:val="24"/>
          <w:lang w:val="en-US"/>
        </w:rPr>
      </w:pPr>
    </w:p>
    <w:p w:rsidR="00451026" w:rsidRPr="0088514F" w:rsidRDefault="00451026" w:rsidP="00451026">
      <w:pPr>
        <w:spacing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Pr="0088514F">
        <w:rPr>
          <w:rFonts w:ascii="Times New Roman" w:hAnsi="Times New Roman" w:cs="Times New Roman"/>
          <w:b/>
          <w:sz w:val="24"/>
          <w:szCs w:val="24"/>
        </w:rPr>
        <w:t>Los desafíos para la política monetaria en las economías avanzadas tras la gran recesión - Banco de España - Documento Ocasional Nº 1404 - 2014</w:t>
      </w:r>
    </w:p>
    <w:p w:rsidR="00451026" w:rsidRPr="00993DD4" w:rsidRDefault="00451026" w:rsidP="00451026">
      <w:pPr>
        <w:spacing w:line="240" w:lineRule="auto"/>
        <w:jc w:val="both"/>
        <w:rPr>
          <w:rFonts w:ascii="Times New Roman" w:hAnsi="Times New Roman" w:cs="Times New Roman"/>
          <w:sz w:val="24"/>
          <w:szCs w:val="24"/>
        </w:rPr>
      </w:pPr>
      <w:r w:rsidRPr="00993DD4">
        <w:rPr>
          <w:rFonts w:ascii="Times New Roman" w:hAnsi="Times New Roman" w:cs="Times New Roman"/>
          <w:sz w:val="24"/>
          <w:szCs w:val="24"/>
        </w:rPr>
        <w:t>En el cuadro 1 se pueden encontrar las medidas de provisión de liquidez adoptadas por los principales bancos centrales</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sz w:val="24"/>
          <w:szCs w:val="24"/>
        </w:rPr>
      </w:pPr>
      <w:r w:rsidRPr="00327940">
        <w:rPr>
          <w:rFonts w:ascii="Times New Roman" w:hAnsi="Times New Roman" w:cs="Times New Roman"/>
          <w:noProof/>
          <w:sz w:val="24"/>
          <w:szCs w:val="24"/>
          <w:lang w:eastAsia="es-ES"/>
        </w:rPr>
        <w:drawing>
          <wp:inline distT="0" distB="0" distL="0" distR="0" wp14:anchorId="6C180A68" wp14:editId="715420C1">
            <wp:extent cx="5727700" cy="3829050"/>
            <wp:effectExtent l="0" t="0" r="6350" b="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731510" cy="383159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sidRPr="00993DD4">
        <w:rPr>
          <w:rFonts w:ascii="Times New Roman" w:hAnsi="Times New Roman" w:cs="Times New Roman"/>
          <w:sz w:val="24"/>
          <w:szCs w:val="24"/>
        </w:rPr>
        <w:t>Como puede comprobarse en el gráfico 3 son los b</w:t>
      </w:r>
      <w:r>
        <w:rPr>
          <w:rFonts w:ascii="Times New Roman" w:hAnsi="Times New Roman" w:cs="Times New Roman"/>
          <w:sz w:val="24"/>
          <w:szCs w:val="24"/>
        </w:rPr>
        <w:t xml:space="preserve">alances de la Reserva Federal y </w:t>
      </w:r>
      <w:r w:rsidRPr="00993DD4">
        <w:rPr>
          <w:rFonts w:ascii="Times New Roman" w:hAnsi="Times New Roman" w:cs="Times New Roman"/>
          <w:sz w:val="24"/>
          <w:szCs w:val="24"/>
        </w:rPr>
        <w:t>del Banco de Inglaterra los que más aumentan durante e</w:t>
      </w:r>
      <w:r>
        <w:rPr>
          <w:rFonts w:ascii="Times New Roman" w:hAnsi="Times New Roman" w:cs="Times New Roman"/>
          <w:sz w:val="24"/>
          <w:szCs w:val="24"/>
        </w:rPr>
        <w:t xml:space="preserve">ste período, multiplicándose el </w:t>
      </w:r>
      <w:r w:rsidRPr="00993DD4">
        <w:rPr>
          <w:rFonts w:ascii="Times New Roman" w:hAnsi="Times New Roman" w:cs="Times New Roman"/>
          <w:sz w:val="24"/>
          <w:szCs w:val="24"/>
        </w:rPr>
        <w:t>tamaño del balance en ambos casos casi por cinco desde agosto de 2007</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sz w:val="24"/>
          <w:szCs w:val="24"/>
        </w:rPr>
      </w:pPr>
      <w:r w:rsidRPr="00993DD4">
        <w:rPr>
          <w:rFonts w:ascii="Times New Roman" w:hAnsi="Times New Roman" w:cs="Times New Roman"/>
          <w:noProof/>
          <w:sz w:val="24"/>
          <w:szCs w:val="24"/>
          <w:lang w:eastAsia="es-ES"/>
        </w:rPr>
        <w:drawing>
          <wp:inline distT="0" distB="0" distL="0" distR="0" wp14:anchorId="3D235E6D" wp14:editId="10EA5524">
            <wp:extent cx="5733415" cy="3060700"/>
            <wp:effectExtent l="0" t="0" r="635" b="6350"/>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5731510" cy="3059683"/>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93DD4">
        <w:rPr>
          <w:rFonts w:ascii="Times New Roman" w:hAnsi="Times New Roman" w:cs="Times New Roman"/>
          <w:noProof/>
          <w:sz w:val="24"/>
          <w:szCs w:val="24"/>
          <w:lang w:eastAsia="es-ES"/>
        </w:rPr>
        <w:drawing>
          <wp:inline distT="0" distB="0" distL="0" distR="0" wp14:anchorId="545BAA3F" wp14:editId="5B9F25FA">
            <wp:extent cx="5816600" cy="3689350"/>
            <wp:effectExtent l="0" t="0" r="0" b="635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817164" cy="3689708"/>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sidRPr="00993DD4">
        <w:rPr>
          <w:rFonts w:ascii="Times New Roman" w:hAnsi="Times New Roman" w:cs="Times New Roman"/>
          <w:sz w:val="24"/>
          <w:szCs w:val="24"/>
        </w:rPr>
        <w:t>Por otro lado, en los programas de compras de activos que llevan asociada una expansión del balance del banco central, se produce un aumento de las reservas no obligatorias de las instituciones financieras en el banco central y, por tanto, un incremento de la base monetaria. Sin embargo, desde el inicio de la crisis se ha reducido notablemente el multiplicador monetario y, por ello, este aumento de la base monetaria no se ha trasladado más que en una pequeña cuantía a los agregados monetarios (gráfico 4)</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sz w:val="24"/>
          <w:szCs w:val="24"/>
        </w:rPr>
      </w:pPr>
      <w:r w:rsidRPr="00993DD4">
        <w:rPr>
          <w:rFonts w:ascii="Times New Roman" w:hAnsi="Times New Roman" w:cs="Times New Roman"/>
          <w:noProof/>
          <w:sz w:val="24"/>
          <w:szCs w:val="24"/>
          <w:lang w:eastAsia="es-ES"/>
        </w:rPr>
        <w:drawing>
          <wp:inline distT="0" distB="0" distL="0" distR="0" wp14:anchorId="6EFD5F90" wp14:editId="09480BFB">
            <wp:extent cx="5727700" cy="3549650"/>
            <wp:effectExtent l="0" t="0" r="6350" b="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5731510" cy="3552011"/>
                    </a:xfrm>
                    <a:prstGeom prst="rect">
                      <a:avLst/>
                    </a:prstGeom>
                  </pic:spPr>
                </pic:pic>
              </a:graphicData>
            </a:graphic>
          </wp:inline>
        </w:drawing>
      </w:r>
    </w:p>
    <w:p w:rsidR="00451026" w:rsidRPr="008D587C"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sz w:val="24"/>
          <w:szCs w:val="24"/>
        </w:rPr>
        <w:lastRenderedPageBreak/>
        <w:t>M</w:t>
      </w:r>
      <w:r>
        <w:rPr>
          <w:rFonts w:ascii="Times New Roman" w:hAnsi="Times New Roman" w:cs="Times New Roman"/>
          <w:sz w:val="24"/>
          <w:szCs w:val="24"/>
        </w:rPr>
        <w:t>onetización del déficit público</w:t>
      </w:r>
      <w:r w:rsidRPr="008D587C">
        <w:rPr>
          <w:rFonts w:ascii="Times New Roman" w:hAnsi="Times New Roman" w:cs="Times New Roman"/>
          <w:sz w:val="24"/>
          <w:szCs w:val="24"/>
        </w:rPr>
        <w:t xml:space="preserve"> </w:t>
      </w:r>
    </w:p>
    <w:p w:rsidR="00451026" w:rsidRPr="008D587C"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sz w:val="24"/>
          <w:szCs w:val="24"/>
        </w:rPr>
        <w:t>Ante las limitaciones en la efectividad de l</w:t>
      </w:r>
      <w:r>
        <w:rPr>
          <w:rFonts w:ascii="Times New Roman" w:hAnsi="Times New Roman" w:cs="Times New Roman"/>
          <w:sz w:val="24"/>
          <w:szCs w:val="24"/>
        </w:rPr>
        <w:t>as políticas no convencionales -</w:t>
      </w:r>
      <w:r w:rsidRPr="008D587C">
        <w:rPr>
          <w:rFonts w:ascii="Times New Roman" w:hAnsi="Times New Roman" w:cs="Times New Roman"/>
          <w:sz w:val="24"/>
          <w:szCs w:val="24"/>
        </w:rPr>
        <w:t xml:space="preserve">en particular de las compras </w:t>
      </w:r>
      <w:r>
        <w:rPr>
          <w:rFonts w:ascii="Times New Roman" w:hAnsi="Times New Roman" w:cs="Times New Roman"/>
          <w:sz w:val="24"/>
          <w:szCs w:val="24"/>
        </w:rPr>
        <w:t>de activos-</w:t>
      </w:r>
      <w:r w:rsidRPr="008D587C">
        <w:rPr>
          <w:rFonts w:ascii="Times New Roman" w:hAnsi="Times New Roman" w:cs="Times New Roman"/>
          <w:sz w:val="24"/>
          <w:szCs w:val="24"/>
        </w:rPr>
        <w:t xml:space="preserve">, por la situación de persistente debilidad de la demanda, algunos académicos y analistas han planteado la posibilidad de introducir instrumentos adicionales. Además, hay que tener en cuenta que los impulsos fiscales están limitados por los ya elevados niveles de deuda pública en la mayoría de los países avanzados. </w:t>
      </w:r>
    </w:p>
    <w:p w:rsidR="00451026" w:rsidRPr="008D587C"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sz w:val="24"/>
          <w:szCs w:val="24"/>
        </w:rPr>
        <w:t>Así, Turner (2013) plantea un estímulo fiscal financiado con aumentos permanentes de la cantidad de dinero (“overt money finance” o “helicopter money”). Este impulso a la demanda, aumentando el gasto público o reduciendo impuestos, no genera un aumento de deuda pública. Se trata de un canal más directo y efectivo que las acciones anteriores de política monetaria al no actuar vía las decisiones del sector privado que están ahora tan restringidas por los problemas de sobreendeudamiento. Se trata de una propuesta similar a la defendida por Bernanke (2003) para estimular el gasto nominal en Japón en los noventa. Según sus defensores, el aumento del déficit público es monetizado; no hay efecto ricardiano en las decisiones de consumo e inversión ya que no subirán los impuestos futuros; y se reducirá la ratio de deuda pública al aumentar el gasto nominal.</w:t>
      </w:r>
    </w:p>
    <w:p w:rsidR="00451026" w:rsidRPr="008D587C"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sz w:val="24"/>
          <w:szCs w:val="24"/>
        </w:rPr>
        <w:t xml:space="preserve">Sin duda, el gran riesgo de esta propuesta es que los agentes crean que se pueda repetir en el futuro el helicopter drop generando expectativas de mayor inflación y, por tanto, eliminado su posible efecto positivo sobre la demanda agregada. Hay que recordar que, como mostraron Sargent y Wallace (1981), la política monetaria determina en el largo plazo el nivel general de precios siempre que la política fiscal garantice la sostenibilidad de las cuentas públicas. Es decir, si los impuestos futuros no garantizan la cobertura de gastos públicos previstos, la restricción presupuestaria intertemporal del gobierno se tendrá que cumplir con el ajuste de la senda de precios. Por tanto, la monetización de la deuda se acaba traduciendo en una situación de dominancia fiscal. Aunque el banco central mantenga una política monetaria de estabilidad de precios, la indisciplina fiscal determinará en el futuro procesos inflacionistas. </w:t>
      </w:r>
    </w:p>
    <w:p w:rsidR="00451026"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sz w:val="24"/>
          <w:szCs w:val="24"/>
        </w:rPr>
        <w:t>Por eso, los autores que han defendido la monetización del déficit, siendo conscientes de la importancia de tener una autoridad monetaria independiente que garantiza la estabilidad de precios, proponen la necesidad de coordinar, en circunstancias excepcionales como las actuales, la acción del banco central y de la autoridad fiscal determinando aquella el aumento de la cantidad de dinero consistente con su objetivo de política monetaria</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sz w:val="24"/>
          <w:szCs w:val="24"/>
        </w:rPr>
        <w:t>Indicaciones sobre la orientación futura de</w:t>
      </w:r>
      <w:r>
        <w:rPr>
          <w:rFonts w:ascii="Times New Roman" w:hAnsi="Times New Roman" w:cs="Times New Roman"/>
          <w:sz w:val="24"/>
          <w:szCs w:val="24"/>
        </w:rPr>
        <w:t xml:space="preserve"> la política monetaria (forward guidance)</w:t>
      </w:r>
    </w:p>
    <w:p w:rsidR="00451026"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noProof/>
          <w:sz w:val="24"/>
          <w:szCs w:val="24"/>
          <w:lang w:eastAsia="es-ES"/>
        </w:rPr>
        <w:drawing>
          <wp:inline distT="0" distB="0" distL="0" distR="0" wp14:anchorId="644A5E7F" wp14:editId="141814B7">
            <wp:extent cx="5727700" cy="2343150"/>
            <wp:effectExtent l="0" t="0" r="6350" b="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5731510" cy="2344709"/>
                    </a:xfrm>
                    <a:prstGeom prst="rect">
                      <a:avLst/>
                    </a:prstGeom>
                  </pic:spPr>
                </pic:pic>
              </a:graphicData>
            </a:graphic>
          </wp:inline>
        </w:drawing>
      </w:r>
    </w:p>
    <w:p w:rsidR="00451026" w:rsidRPr="008D587C" w:rsidRDefault="00451026" w:rsidP="00451026">
      <w:pPr>
        <w:spacing w:line="240" w:lineRule="auto"/>
        <w:jc w:val="both"/>
        <w:rPr>
          <w:rFonts w:ascii="Times New Roman" w:hAnsi="Times New Roman" w:cs="Times New Roman"/>
          <w:sz w:val="24"/>
          <w:szCs w:val="24"/>
        </w:rPr>
      </w:pPr>
      <w:r w:rsidRPr="008D587C">
        <w:rPr>
          <w:rFonts w:ascii="Times New Roman" w:hAnsi="Times New Roman" w:cs="Times New Roman"/>
          <w:noProof/>
          <w:sz w:val="24"/>
          <w:szCs w:val="24"/>
          <w:lang w:eastAsia="es-ES"/>
        </w:rPr>
        <w:lastRenderedPageBreak/>
        <w:drawing>
          <wp:inline distT="0" distB="0" distL="0" distR="0" wp14:anchorId="6ADEB393" wp14:editId="7C9BF606">
            <wp:extent cx="5727700" cy="4489450"/>
            <wp:effectExtent l="0" t="0" r="6350" b="6350"/>
            <wp:docPr id="363" name="Imagen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5731510" cy="4492436"/>
                    </a:xfrm>
                    <a:prstGeom prst="rect">
                      <a:avLst/>
                    </a:prstGeom>
                  </pic:spPr>
                </pic:pic>
              </a:graphicData>
            </a:graphic>
          </wp:inline>
        </w:drawing>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 xml:space="preserve">Riesgos asociados a las medidas no convencionales de expansión monetaria </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E</w:t>
      </w:r>
      <w:r>
        <w:rPr>
          <w:rFonts w:ascii="Times New Roman" w:hAnsi="Times New Roman" w:cs="Times New Roman"/>
          <w:sz w:val="24"/>
          <w:szCs w:val="24"/>
        </w:rPr>
        <w:t>stabilidad financiera</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A raíz de la crisis los bancos centrales ejercieron su función de prestamistas de última instancia para primero garantizar la estabilidad del sistema financiero y después apoyar la recuperación. Como se ha explicado en la sección 3, la evidencia disponible sobre los diversos programas de compra de activos, aunque diferentes en su estructura y volumen, sugiere que estos han favorecido el restablecimiento del normal funcionamiento de los mercados financieros, en especial los monetarios. Así, han reducido significativamente las primas de riesgo, afectando a la rentabilidad y al precio de los activos donde han operado, aunque estos efectos hayan podido disminuir a lo largo del tiempo. Por su parte, las formulaciones de forward guidance al señalizar el compromiso de mantener tipos de interés extraordinariamente bajos durante un período amplio han contribuido a reducir la prima por plazo. Pero como consecuencia de estas políticas, algunos agentes en determinados mercados podrían estar tomando un riesgo excesivo, favoreciendo la formación de nuevas burbujas, sin que se traslade de momento esta reducción en los costes de financiación a una mejora de la inversión real. El gráfico 9 muestra el aumento en las emisiones de deuda corporativa de alto riesgo en economías avanzadas, sobre todo en Estados Unidos, y la disminución en su rentabilidad. Igualmente el prolongado período de tipos bajos está haciendo que intermediarios como aseguradoras y fondos de pensiones asuman inversiones más arriesgadas que las históricas en pos de un nivel mínimo de rentabilidad.</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 xml:space="preserve">Además, la liquidez otorgada por el banco central en ciertos países le ha convertido en un actor relevante del mercado interbancario, lo cual podría hacer que algunos bancos </w:t>
      </w:r>
      <w:r w:rsidRPr="0088514F">
        <w:rPr>
          <w:rFonts w:ascii="Times New Roman" w:hAnsi="Times New Roman" w:cs="Times New Roman"/>
          <w:sz w:val="24"/>
          <w:szCs w:val="24"/>
        </w:rPr>
        <w:lastRenderedPageBreak/>
        <w:t xml:space="preserve">pospongan su necesario desapalancamiento y recapitalización. En ese caso, una vez se han eliminado los riesgos de carácter sistémico, las medidas de liquidez en lugar de apoyar la recuperación de dichas instituciones financieras podría estar enmascarando algún problema de solvencia. Por tanto, las acciones de los bancos centrales pueden estar generando algunas distorsiones en la asignación de recursos del sector financiero y la continuidad de estas actuaciones para evitar una posible perturbación financiera pueden, sin embargo, poner en riesgo el objetivo de estabilidad financiera.  </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D</w:t>
      </w:r>
      <w:r>
        <w:rPr>
          <w:rFonts w:ascii="Times New Roman" w:hAnsi="Times New Roman" w:cs="Times New Roman"/>
          <w:sz w:val="24"/>
          <w:szCs w:val="24"/>
        </w:rPr>
        <w:t>ominancia fiscal</w:t>
      </w:r>
      <w:r w:rsidRPr="0088514F">
        <w:rPr>
          <w:rFonts w:ascii="Times New Roman" w:hAnsi="Times New Roman" w:cs="Times New Roman"/>
          <w:sz w:val="24"/>
          <w:szCs w:val="24"/>
        </w:rPr>
        <w:t xml:space="preserve"> </w:t>
      </w:r>
    </w:p>
    <w:p w:rsidR="00451026"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Tras la crisis financiera el promedio de la deuda pública de las economías desarrolladas ha alcanzado el 100% del PIB y a pesar de los esfuerzos de consolidación fiscal iniciados en 2010, las cuentas públicas no están todavía en una senda sostenible. En este contexto, la continuidad de las actuales políticas monetarias no convencionales o la puesta en práctica de medidas adicionales puede retrasar la búsqueda de la sostenibilidad fiscal. Técnicamente con tipos de interés cero no hay distinción entre el dinero en circulación y los bonos del gobierno a corto plazo. Esa situación reduce el coste de financiación de la deuda del gobierno y el aumento de los balances de los bancos centrales con la compra de deuda pública facilita la labor de los Tesoros nacionales. Existe por tanto un riesgo de monetizar la deuda afectando a la senda del nive</w:t>
      </w:r>
      <w:r>
        <w:rPr>
          <w:rFonts w:ascii="Times New Roman" w:hAnsi="Times New Roman" w:cs="Times New Roman"/>
          <w:sz w:val="24"/>
          <w:szCs w:val="24"/>
        </w:rPr>
        <w:t xml:space="preserve">l de precios y, por tanto, </w:t>
      </w:r>
      <w:r w:rsidRPr="0088514F">
        <w:rPr>
          <w:rFonts w:ascii="Times New Roman" w:hAnsi="Times New Roman" w:cs="Times New Roman"/>
          <w:sz w:val="24"/>
          <w:szCs w:val="24"/>
        </w:rPr>
        <w:t>derivar a una situación de dominancia fiscal. Igualmente, los anuncios de forward guidance suponen no responder a futuros repuntes de la inflación. Todo ello por tanto puede afectar a la credibilidad del banco central para garantizar la estabilidad de precios. Por tanto, las condiciones monetarias laxas podrían estar retrasando las imprescindibles políticas para reestructurar los balances bancarios y restaurar las sostenibili</w:t>
      </w:r>
      <w:r>
        <w:rPr>
          <w:rFonts w:ascii="Times New Roman" w:hAnsi="Times New Roman" w:cs="Times New Roman"/>
          <w:sz w:val="24"/>
          <w:szCs w:val="24"/>
        </w:rPr>
        <w:t xml:space="preserve">dad de las finanzas públicas.  </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E</w:t>
      </w:r>
      <w:r>
        <w:rPr>
          <w:rFonts w:ascii="Times New Roman" w:hAnsi="Times New Roman" w:cs="Times New Roman"/>
          <w:sz w:val="24"/>
          <w:szCs w:val="24"/>
        </w:rPr>
        <w:t>fectos distributivos</w:t>
      </w:r>
      <w:r w:rsidRPr="0088514F">
        <w:rPr>
          <w:rFonts w:ascii="Times New Roman" w:hAnsi="Times New Roman" w:cs="Times New Roman"/>
          <w:sz w:val="24"/>
          <w:szCs w:val="24"/>
        </w:rPr>
        <w:t xml:space="preserve"> </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 xml:space="preserve">La política monetaria tiene efectos diferenciados entre agentes y sectores económicos. Dada la existencia de fricciones financieras, las decisiones de los bancos centrales alteran el precio de los activos financieros, que están distribuidos de forma no uniforme entre los agentes. Pero adicionalmente, las actuaciones no convencionales pueden generar efectos distributivos todavía más relevantes. </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 xml:space="preserve">Las políticas de forward guidance, al conseguir mantener los tipos de interés en niveles reducidos contribuyen a mitigar los efectos riqueza negativos derivados de la crisis, pero para los ahorradores supone una pérdida de renta relevante. De igual forma, la compra de activos por parte del banco central puede favorecer a los tenedores del tipo de instrumentos adquiridos por el banco central (ver Brunnermeier y Sannikov, 2012). Así ocurre, por ejemplo, con la compra de titulizaciones hipotecarias o de deuda pública. Estos efectos, por tanto, tienen que incorporarse a la evaluación global sobre el mantenimiento de las actuales políticas. Estos serán posiblemente más acusados tras una crisis financiera como la actual y en presencia de un elevado endeudamiento. </w:t>
      </w:r>
    </w:p>
    <w:p w:rsidR="00451026" w:rsidRPr="0088514F"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E</w:t>
      </w:r>
      <w:r>
        <w:rPr>
          <w:rFonts w:ascii="Times New Roman" w:hAnsi="Times New Roman" w:cs="Times New Roman"/>
          <w:sz w:val="24"/>
          <w:szCs w:val="24"/>
        </w:rPr>
        <w:t>fectos globales</w:t>
      </w:r>
      <w:r w:rsidRPr="0088514F">
        <w:rPr>
          <w:rFonts w:ascii="Times New Roman" w:hAnsi="Times New Roman" w:cs="Times New Roman"/>
          <w:sz w:val="24"/>
          <w:szCs w:val="24"/>
        </w:rPr>
        <w:t xml:space="preserve"> </w:t>
      </w:r>
    </w:p>
    <w:p w:rsidR="00451026" w:rsidRDefault="00451026" w:rsidP="00451026">
      <w:pPr>
        <w:spacing w:line="240" w:lineRule="auto"/>
        <w:jc w:val="both"/>
        <w:rPr>
          <w:rFonts w:ascii="Times New Roman" w:hAnsi="Times New Roman" w:cs="Times New Roman"/>
          <w:sz w:val="24"/>
          <w:szCs w:val="24"/>
        </w:rPr>
      </w:pPr>
      <w:r w:rsidRPr="0088514F">
        <w:rPr>
          <w:rFonts w:ascii="Times New Roman" w:hAnsi="Times New Roman" w:cs="Times New Roman"/>
          <w:sz w:val="24"/>
          <w:szCs w:val="24"/>
        </w:rPr>
        <w:t xml:space="preserve">Las consecuencias de las políticas monetarias expansivas han superado las fronteras de los países que las han llevado a cabo (ver Gallego y L’Hotellerie-Fallois, 2014). El apetito por un mayor riesgo no se circunscribe a inversiones en los países desarrollados sino que es un fenómeno global. Así, coincidiendo con los tres programas de compra de activos por parte de la Reserva Federal se han producido crecimientos por encima de lo esperado de los flujos financieros a las economías emergentes y de las emisiones de deuda de las empresas no </w:t>
      </w:r>
      <w:r w:rsidRPr="0088514F">
        <w:rPr>
          <w:rFonts w:ascii="Times New Roman" w:hAnsi="Times New Roman" w:cs="Times New Roman"/>
          <w:sz w:val="24"/>
          <w:szCs w:val="24"/>
        </w:rPr>
        <w:lastRenderedPageBreak/>
        <w:t>financieras de estos países (véase Lo Duca et al., 2014) y apreciaciones de sus tipos de cambio. Estos flujos apoyaron un crecimiento entre 2009 y 2011 que, en algunos casos, estaba por encima del que justificarían sus fundamentales y generó vulnerabilidades financieras al reducirse las primas de riesgo, aumentar el precio de los activos y la oferta de crédito</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b/>
          <w:sz w:val="24"/>
          <w:szCs w:val="24"/>
        </w:rPr>
      </w:pPr>
      <w:r w:rsidRPr="007F1018">
        <w:rPr>
          <w:rFonts w:ascii="Times New Roman" w:hAnsi="Times New Roman" w:cs="Times New Roman"/>
          <w:b/>
          <w:sz w:val="24"/>
          <w:szCs w:val="24"/>
        </w:rPr>
        <w:t>- Informe Económico Anual 2018 del BPI</w:t>
      </w:r>
    </w:p>
    <w:p w:rsidR="00451026" w:rsidRPr="007F1018" w:rsidRDefault="00451026" w:rsidP="00451026">
      <w:pPr>
        <w:spacing w:line="240" w:lineRule="auto"/>
        <w:jc w:val="both"/>
        <w:rPr>
          <w:rFonts w:ascii="Times New Roman" w:hAnsi="Times New Roman" w:cs="Times New Roman"/>
          <w:sz w:val="24"/>
          <w:szCs w:val="24"/>
        </w:rPr>
      </w:pPr>
      <w:r w:rsidRPr="007F1018">
        <w:rPr>
          <w:rFonts w:ascii="Times New Roman" w:hAnsi="Times New Roman" w:cs="Times New Roman"/>
          <w:sz w:val="24"/>
          <w:szCs w:val="24"/>
        </w:rPr>
        <w:t xml:space="preserve">Normalización de la política monetaria: ¿dónde estamos? </w:t>
      </w:r>
    </w:p>
    <w:p w:rsidR="00451026" w:rsidRDefault="00451026" w:rsidP="00451026">
      <w:pPr>
        <w:spacing w:line="240" w:lineRule="auto"/>
        <w:jc w:val="both"/>
        <w:rPr>
          <w:rFonts w:ascii="Times New Roman" w:hAnsi="Times New Roman" w:cs="Times New Roman"/>
          <w:sz w:val="24"/>
          <w:szCs w:val="24"/>
        </w:rPr>
      </w:pPr>
      <w:r w:rsidRPr="007F1018">
        <w:rPr>
          <w:rFonts w:ascii="Times New Roman" w:hAnsi="Times New Roman" w:cs="Times New Roman"/>
          <w:sz w:val="24"/>
          <w:szCs w:val="24"/>
        </w:rPr>
        <w:t xml:space="preserve">La normalización de la política monetaria en las principales economías avanzadas progresó de forma desigual en el periodo analizado, como reflejo de las diferentes fases de recuperación tras la GCF. En Estados Unidos, la normalización de la tasa de interés de referencia cobró impulso con tres subidas adicionales del rango objetivo de los fondos federales, que se han traducido en un incremento de la tasa efectiva de aproximadamente 80 puntos básicos entre junio de 2017 y mayo de 2018, hasta el 1,7% (Gráfico II.1, panel izquierdo). No obstante, en abril de 2018 la tasa continuaba siendo negativa en términos reales, es decir, ajustada por la inflación (panel central). En el momento de redactar este Informe, el Comité para las Operaciones de Mercado Abierto (FOMC) de la Reserva Federal consideraba que la situación económica justificaría nuevas subidas graduales, por lo que la tasa se mantendría por debajo de su nivel esperado a largo plazo durante un tiempo. El ritmo esperado de normalización de la tasa de referencia se aceleró en el segundo semestre de 2017 en un contexto de mejora de las condiciones en el mercado laboral, pero continuó siendo muy gradual. A últimos de mayo de 2018, la tasa de interés de los fondos federales implícita en las curvas a plazo se situaba en el 2,6% para finales de 2020, mientras que la previsión de los participantes en la reunión de marzo del FOMC apuntaba a una tasa algo más alta, del 3,4% (mediana de las proyecciones). Por consiguiente, se esperaba que la tasa de interés real de los fondos federales subiera gradualmente hasta solo el 0,5%-1,3% para 2020. En octubre de 2017, la Reserva Federal comenzó también a reducir sus activos en balance estableciendo un límite para las reinversiones. Como consecuencia, su balance se contrajo también en términos absolutos, tras el descenso en porcentaje del PIB que venía registrando desde 2014. </w:t>
      </w:r>
    </w:p>
    <w:p w:rsidR="00451026" w:rsidRDefault="00451026" w:rsidP="00451026">
      <w:pPr>
        <w:spacing w:line="240" w:lineRule="auto"/>
        <w:jc w:val="both"/>
        <w:rPr>
          <w:rFonts w:ascii="Times New Roman" w:hAnsi="Times New Roman" w:cs="Times New Roman"/>
          <w:sz w:val="24"/>
          <w:szCs w:val="24"/>
        </w:rPr>
      </w:pPr>
      <w:r w:rsidRPr="00AF5A8A">
        <w:rPr>
          <w:rFonts w:ascii="Times New Roman" w:hAnsi="Times New Roman" w:cs="Times New Roman"/>
          <w:noProof/>
          <w:sz w:val="24"/>
          <w:szCs w:val="24"/>
          <w:lang w:eastAsia="es-ES"/>
        </w:rPr>
        <w:drawing>
          <wp:inline distT="0" distB="0" distL="0" distR="0" wp14:anchorId="2FA18A16" wp14:editId="633B2A28">
            <wp:extent cx="5732767" cy="2838450"/>
            <wp:effectExtent l="0" t="0" r="1905" b="0"/>
            <wp:docPr id="364" name="Imagen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5732767" cy="2838450"/>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sidRPr="007F1018">
        <w:rPr>
          <w:rFonts w:ascii="Times New Roman" w:hAnsi="Times New Roman" w:cs="Times New Roman"/>
          <w:sz w:val="24"/>
          <w:szCs w:val="24"/>
        </w:rPr>
        <w:t xml:space="preserve">En cambio, los bancos centrales de la zona del euro y de Japón mantuvieron sus compras de activos a gran escala y sus políticas de tasas negativas. El BCE dio otro paso hacia la </w:t>
      </w:r>
      <w:r w:rsidRPr="007F1018">
        <w:rPr>
          <w:rFonts w:ascii="Times New Roman" w:hAnsi="Times New Roman" w:cs="Times New Roman"/>
          <w:sz w:val="24"/>
          <w:szCs w:val="24"/>
        </w:rPr>
        <w:lastRenderedPageBreak/>
        <w:t>norma</w:t>
      </w:r>
      <w:r>
        <w:rPr>
          <w:rFonts w:ascii="Times New Roman" w:hAnsi="Times New Roman" w:cs="Times New Roman"/>
          <w:sz w:val="24"/>
          <w:szCs w:val="24"/>
        </w:rPr>
        <w:t>lización al reducir a la mitad -30.000 millones de euros-</w:t>
      </w:r>
      <w:r w:rsidRPr="007F1018">
        <w:rPr>
          <w:rFonts w:ascii="Times New Roman" w:hAnsi="Times New Roman" w:cs="Times New Roman"/>
          <w:sz w:val="24"/>
          <w:szCs w:val="24"/>
        </w:rPr>
        <w:t xml:space="preserve"> sus compras netas mensuales de activos a partir de enero, pero reiteró su compromiso de mantener las tasas de interés en los niveles actuales hasta bastante después de que terminen esas compras, que continuarán como mínimo hasta finales de septiembre de este año. El Banco de Japón siguió aplicando su programa de expansión cuantitativa y cualitativa con control de la curva de rendimientos. Este programa se ha articulado en torno a dos componentes principales: por una parte, el control de la curva de rendimientos, manteniendo una tasa de interés oficial a corto plazo negativa y un objetivo de en torno al 0% para los rendimientos de la deuda pública japonesa a 10 años, y, por otra parte, un compromiso de superar el objetivo de inflación del 2%. En abril de este año, el Banco de Japón aclaró que la política monetaria no va a estar sujeta a un plazo concreto para el cumplimiento del objetivo de inflación. </w:t>
      </w:r>
    </w:p>
    <w:p w:rsidR="00451026" w:rsidRDefault="00451026" w:rsidP="00451026">
      <w:pPr>
        <w:spacing w:line="240" w:lineRule="auto"/>
        <w:jc w:val="both"/>
        <w:rPr>
          <w:rFonts w:ascii="Times New Roman" w:hAnsi="Times New Roman" w:cs="Times New Roman"/>
          <w:sz w:val="24"/>
          <w:szCs w:val="24"/>
        </w:rPr>
      </w:pPr>
      <w:r w:rsidRPr="007F1018">
        <w:rPr>
          <w:rFonts w:ascii="Times New Roman" w:hAnsi="Times New Roman" w:cs="Times New Roman"/>
          <w:sz w:val="24"/>
          <w:szCs w:val="24"/>
        </w:rPr>
        <w:t>A finales de mayo de 2018, las previsiones eran que las tasas de interés a corto plazo de la zona del euro y de Japón avanzarían como mucho de forma gradual en los próximos años. En la zona del euro, las tasas de interés a corto plazo implícitas de mercado se situaban por encima de cero solo a partir de 2020; en el caso de Japón, nada indicaba que fuera a producirse una subida significativa en el corto plazo (Gráfico II.1, panel izquierdo). Por lo tanto, en términos reales, las tasas del mercado monetario fueron negativas en ambas economías durante el pasado ejercicio y, en la fecha de redacción del presente Informe, no se esperaba que se adentraran en territorio positivo en el futuro previsible (panel central). Al mismo tiempo, los balances del BCE y del Banco de Japón continuaron creciendo, aunque a un ritmo más lento. En abril de 2018, los activos del primero superaban el 40% del PIB y los del segundo se acercaban al 100% (panel derecho). Como consecuencia de la combinación de políticas de tasas de interés negativas y de compras de activos a gran escala, alrededor del 40% y más del 50% de la deuda pública de la zona del euro y de Japón, respectivamente, se negociaba con rendimientos negativos a finales de mayo de 2018</w:t>
      </w:r>
      <w:r>
        <w:rPr>
          <w:rFonts w:ascii="Times New Roman" w:hAnsi="Times New Roman" w:cs="Times New Roman"/>
          <w:sz w:val="24"/>
          <w:szCs w:val="24"/>
        </w:rPr>
        <w:t>…</w:t>
      </w:r>
    </w:p>
    <w:p w:rsidR="00451026" w:rsidRPr="001523DA"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 xml:space="preserve">Desafíos de la política monetaria </w:t>
      </w:r>
    </w:p>
    <w:p w:rsidR="00451026" w:rsidRPr="001523DA"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El escaso efecto del endurecimiento de la política monetaria sobre las condiciones financieras es tan solo un ejemplo de los muchos retos a los que se enfrentan los bancos centrales en el proceso de normalización. Dadas las condiciones de partida sin precedentes y la gran variedad de instrumentos en uso, existe una incertidumbre considerable sobre el mecanismo de transmisión y los parámetros de referencia de la política monetaria…</w:t>
      </w:r>
    </w:p>
    <w:p w:rsidR="00451026" w:rsidRPr="001523DA"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 xml:space="preserve">En este contexto, los bancos centrales deben lograr un delicado equilibrio al fijar el calendario y el ritmo de la normalización. </w:t>
      </w:r>
    </w:p>
    <w:p w:rsidR="00451026"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Por un lado, existe el riesgo de moverse demasiado pronto y con excesiva rapidez. La reactivación puede resultar frágil, dada la incertidumbre acerca de cómo podrían responder los mercados financieros y la economía tras el largo periodo de tasas extraordinariamente bajas. Una subida demasiado rápida de las tasas de interés podría desencadenar un brusco ajuste de precios en los mercados financieros si provocara una revisión desproporcionada del nivel esperado de las tasas de interés libres de riesgo o una descompresión de las primas de rie</w:t>
      </w:r>
      <w:r>
        <w:rPr>
          <w:rFonts w:ascii="Times New Roman" w:hAnsi="Times New Roman" w:cs="Times New Roman"/>
          <w:sz w:val="24"/>
          <w:szCs w:val="24"/>
        </w:rPr>
        <w:t>sgo. Esta corrección brusca, o “snapback”</w:t>
      </w:r>
      <w:r w:rsidRPr="001523DA">
        <w:rPr>
          <w:rFonts w:ascii="Times New Roman" w:hAnsi="Times New Roman" w:cs="Times New Roman"/>
          <w:sz w:val="24"/>
          <w:szCs w:val="24"/>
        </w:rPr>
        <w:t xml:space="preserve">, podría verse amplificada por la dinámica de los mercados y tener consecuencias macroeconómicas adversas. Así, podría poner en peligro la recuperación económica o tener efectos de contagio trasfronterizos en el caso de las monedas de financiación internacional, con repercusiones más amplias. Un aspecto que preocupa especialmente es que el impacto macroeconómico de una política monetaria más restrictiva podría ser mayor que en el pasado, dado que el nivel de endeudamiento ha seguido creciendo a escala mundial al tiempo que las tasas de interés han ido cayendo (Gráfico II.8, panel </w:t>
      </w:r>
      <w:r w:rsidRPr="001523DA">
        <w:rPr>
          <w:rFonts w:ascii="Times New Roman" w:hAnsi="Times New Roman" w:cs="Times New Roman"/>
          <w:sz w:val="24"/>
          <w:szCs w:val="24"/>
        </w:rPr>
        <w:lastRenderedPageBreak/>
        <w:t>izquierdo). Existe evidencia de que los efectos de la política monetaria sobre la economía son significativamente mayores cuando el nivel de endeudamiento es elevado, en parte como consecuencia de un impacto sobre el coeficiente de servicio de la deuda muy superior a corto plazo (Gráfico II.8, panel derecho)</w:t>
      </w:r>
      <w:r>
        <w:rPr>
          <w:rFonts w:ascii="Times New Roman" w:hAnsi="Times New Roman" w:cs="Times New Roman"/>
          <w:sz w:val="24"/>
          <w:szCs w:val="24"/>
        </w:rPr>
        <w:t>.</w:t>
      </w:r>
    </w:p>
    <w:p w:rsidR="00451026" w:rsidRPr="007F1018"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Otras consideraciones justificarían también la adopción de una estrategia de mucha serenidad. Comprobando hasta dónde puede llegar la expansión, los bancos centrales pueden neutralizar parcialmente la pérdida de producción p</w:t>
      </w:r>
      <w:r>
        <w:rPr>
          <w:rFonts w:ascii="Times New Roman" w:hAnsi="Times New Roman" w:cs="Times New Roman"/>
          <w:sz w:val="24"/>
          <w:szCs w:val="24"/>
        </w:rPr>
        <w:t>otencial causada por la crisis</w:t>
      </w:r>
      <w:r w:rsidRPr="001523DA">
        <w:rPr>
          <w:rFonts w:ascii="Times New Roman" w:hAnsi="Times New Roman" w:cs="Times New Roman"/>
          <w:sz w:val="24"/>
          <w:szCs w:val="24"/>
        </w:rPr>
        <w:t>. Esto podría motivar a los trabajadores desanimados a reincorporarse a la fuerza laboral, e impulsar la inversión y la productividad. Esta estrategia también permitiría a los bancos centrales comprobar la verdadera dimensión de la capacidad económica ociosa, dando por válida la tesis de que la inflación indica de forma fiable el exceso de capacidad. De hecho, es una práctica habitual ajustar las medidas de pleno empleo y del producto potencial en función del comportamiento de la inflación, elevándolas si la inflación no crece. Además, mientras la inflación no sea muy sensible a la demanda y las expectat</w:t>
      </w:r>
      <w:r>
        <w:rPr>
          <w:rFonts w:ascii="Times New Roman" w:hAnsi="Times New Roman" w:cs="Times New Roman"/>
          <w:sz w:val="24"/>
          <w:szCs w:val="24"/>
        </w:rPr>
        <w:t>ivas permanezcan bien ancladas -</w:t>
      </w:r>
      <w:r w:rsidRPr="001523DA">
        <w:rPr>
          <w:rFonts w:ascii="Times New Roman" w:hAnsi="Times New Roman" w:cs="Times New Roman"/>
          <w:sz w:val="24"/>
          <w:szCs w:val="24"/>
        </w:rPr>
        <w:t>aplan</w:t>
      </w:r>
      <w:r>
        <w:rPr>
          <w:rFonts w:ascii="Times New Roman" w:hAnsi="Times New Roman" w:cs="Times New Roman"/>
          <w:sz w:val="24"/>
          <w:szCs w:val="24"/>
        </w:rPr>
        <w:t>amiento de la curva de Phillips-</w:t>
      </w:r>
      <w:r w:rsidRPr="001523DA">
        <w:rPr>
          <w:rFonts w:ascii="Times New Roman" w:hAnsi="Times New Roman" w:cs="Times New Roman"/>
          <w:sz w:val="24"/>
          <w:szCs w:val="24"/>
        </w:rPr>
        <w:t>, el riesgo de una sobrerreacción sería bajo, lo que permitiría al banco central ser paciente. Sin duda, la preocupación por el desanclaje de las expectativas y la pérdida de credibilidad asociada ha sido la principal motivación de los bancos centrales para intentar llevar la inflación hacia el objetivo y evitar la deflación</w:t>
      </w:r>
      <w:r>
        <w:rPr>
          <w:rFonts w:ascii="Times New Roman" w:hAnsi="Times New Roman" w:cs="Times New Roman"/>
          <w:sz w:val="24"/>
          <w:szCs w:val="24"/>
        </w:rPr>
        <w:t>.</w:t>
      </w:r>
    </w:p>
    <w:p w:rsidR="00451026" w:rsidRDefault="00451026" w:rsidP="00451026">
      <w:pPr>
        <w:spacing w:line="240" w:lineRule="auto"/>
        <w:rPr>
          <w:rFonts w:ascii="Times New Roman" w:hAnsi="Times New Roman" w:cs="Times New Roman"/>
          <w:b/>
          <w:sz w:val="24"/>
          <w:szCs w:val="24"/>
        </w:rPr>
      </w:pPr>
      <w:r w:rsidRPr="001523DA">
        <w:rPr>
          <w:rFonts w:ascii="Times New Roman" w:hAnsi="Times New Roman" w:cs="Times New Roman"/>
          <w:b/>
          <w:noProof/>
          <w:sz w:val="24"/>
          <w:szCs w:val="24"/>
          <w:lang w:eastAsia="es-ES"/>
        </w:rPr>
        <w:drawing>
          <wp:inline distT="0" distB="0" distL="0" distR="0" wp14:anchorId="3AB25393" wp14:editId="663CEEB0">
            <wp:extent cx="5731958" cy="2717800"/>
            <wp:effectExtent l="0" t="0" r="2540" b="6350"/>
            <wp:docPr id="365" name="Imagen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5731510" cy="2717587"/>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Pr>
          <w:rFonts w:ascii="Times New Roman" w:hAnsi="Times New Roman" w:cs="Times New Roman"/>
          <w:sz w:val="24"/>
          <w:szCs w:val="24"/>
        </w:rPr>
        <w:t>No obstante, aplicar una “economía de alta presión”</w:t>
      </w:r>
      <w:r w:rsidRPr="001523DA">
        <w:rPr>
          <w:rFonts w:ascii="Times New Roman" w:hAnsi="Times New Roman" w:cs="Times New Roman"/>
          <w:sz w:val="24"/>
          <w:szCs w:val="24"/>
        </w:rPr>
        <w:t xml:space="preserve"> también tiene sus riesgos. No puede descartarse la posibilidad de que se produzca una subida de la inflación sup</w:t>
      </w:r>
      <w:r>
        <w:rPr>
          <w:rFonts w:ascii="Times New Roman" w:hAnsi="Times New Roman" w:cs="Times New Roman"/>
          <w:sz w:val="24"/>
          <w:szCs w:val="24"/>
        </w:rPr>
        <w:t>erior a la prevista</w:t>
      </w:r>
      <w:r w:rsidRPr="001523DA">
        <w:rPr>
          <w:rFonts w:ascii="Times New Roman" w:hAnsi="Times New Roman" w:cs="Times New Roman"/>
          <w:sz w:val="24"/>
          <w:szCs w:val="24"/>
        </w:rPr>
        <w:t>. Y dada la hipersensibilidad de unos mercados financieros sobrevalorados, cualquier reacción desproporcionada podría dañar la economía. La brusca corrección que se produjo en los mercados bursátiles en respuesta a un incremento de los salarios ligeramente superior a lo esperado en Estados Unidos pone de relieve este riesgo. De hecho, posponer o ralentizar la normalización podría alentar aún más la toma de riesgos, aumentando, paradójicamente, la probabilidad de una respuesta del mercado en este sentido. Además, se podría pensar que un banco central corre un mayor riesgo de pérdida de credibilidad si se excede el objetivo de inflación que si no se alcanza. Al fin y al cabo, el objetivo se fijó para combatir la alta inflación, y las presiones político-económicas generalmen</w:t>
      </w:r>
      <w:r>
        <w:rPr>
          <w:rFonts w:ascii="Times New Roman" w:hAnsi="Times New Roman" w:cs="Times New Roman"/>
          <w:sz w:val="24"/>
          <w:szCs w:val="24"/>
        </w:rPr>
        <w:t xml:space="preserve">te tienden a favorecer un sesgo </w:t>
      </w:r>
      <w:r w:rsidRPr="001523DA">
        <w:rPr>
          <w:rFonts w:ascii="Times New Roman" w:hAnsi="Times New Roman" w:cs="Times New Roman"/>
          <w:sz w:val="24"/>
          <w:szCs w:val="24"/>
        </w:rPr>
        <w:t>expansivo</w:t>
      </w:r>
      <w:r>
        <w:rPr>
          <w:rFonts w:ascii="Times New Roman" w:hAnsi="Times New Roman" w:cs="Times New Roman"/>
          <w:sz w:val="24"/>
          <w:szCs w:val="24"/>
        </w:rPr>
        <w:t>.</w:t>
      </w:r>
    </w:p>
    <w:p w:rsidR="00451026" w:rsidRPr="001523DA"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 xml:space="preserve">Aunque la inflación no sea un peligro inminente, el riesgo no desaparecería. Desde mediados de la década de 1980, las expansiones económicas insostenibles parecen haberse manifestado </w:t>
      </w:r>
      <w:r w:rsidRPr="001523DA">
        <w:rPr>
          <w:rFonts w:ascii="Times New Roman" w:hAnsi="Times New Roman" w:cs="Times New Roman"/>
          <w:sz w:val="24"/>
          <w:szCs w:val="24"/>
        </w:rPr>
        <w:lastRenderedPageBreak/>
        <w:t>principalmente en forma de aumentos insostenibles de la deuda y del pre</w:t>
      </w:r>
      <w:r>
        <w:rPr>
          <w:rFonts w:ascii="Times New Roman" w:hAnsi="Times New Roman" w:cs="Times New Roman"/>
          <w:sz w:val="24"/>
          <w:szCs w:val="24"/>
        </w:rPr>
        <w:t>cio de los activos</w:t>
      </w:r>
      <w:r w:rsidRPr="001523DA">
        <w:rPr>
          <w:rFonts w:ascii="Times New Roman" w:hAnsi="Times New Roman" w:cs="Times New Roman"/>
          <w:sz w:val="24"/>
          <w:szCs w:val="24"/>
        </w:rPr>
        <w:t xml:space="preserve">. Por tanto, incluso en ausencia de alteraciones en los mercados a corto plazo, mantener las tasas de interés en niveles excesivamente bajos durante demasiado tiempo podría elevar los riesgos macroeconómicos y financieros más adelante. En concreto, hay motivos para creer que la tendencia a la baja de las tasas de interés reales y la tendencia al alza del nivel de endeudamiento en las dos últimas décadas están interrelacionadas e incluso se refuerzan mutuamente. Sin duda, la cota más baja de las tasas de interés de equilibrio puede haber elevado el nivel de deuda sostenible. Pero, al reducir el coste del crédito, también favorece activamente la acumulación de deuda. A su vez, los altos niveles de endeudamiento hacen más difícil subir las tasas de interés, ya que los mercados de activos y la economía se vuelven más sensibles a dichas tasas -una especie de “trampa de la deuda”- (véase Gráfico II.8, panel derecho). </w:t>
      </w:r>
    </w:p>
    <w:p w:rsidR="00451026" w:rsidRPr="001523DA"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Otra de las dificultades para calibrar la normalización está relacionada con la necesidad de crear espacio para que la política económica pueda afrontar la próxima recesión. Sin duda, el margen de maniobra de la política monetaria es mucho más reducido que antes de la crisis, ya que las tasas de interés oficiales son significativamente inferiores y los balances mucho más abultados. Aunque algunos bancos centrales han demostrado que se pueden fijar tasas de interés por debajo de cero, es probable que solo pueda hacerse hasta un límite determinado. Y pese a que tras la crisis los bancos centrales han probado sobre el terreno herramientas no convencionales, sus efectos secundarios también limitan el uso de este tipo de medidas. Por lo tanto, a igualdad de otros factores, si el margen de maniobra se considera deseable, tendría sentido ajustar la trayectoria de normalización para ampliarlo. Hasta qué punto esto es así depende de la probabilidad percibida de que se produzca una recesión antes de que termine el proceso de normalización, del impacto percibido de las tasas de interés bajas sobre la acumulación de deuda y de los costes estimados de elevar las tasas de interés.</w:t>
      </w:r>
    </w:p>
    <w:p w:rsidR="00451026" w:rsidRDefault="00451026" w:rsidP="00451026">
      <w:pPr>
        <w:spacing w:line="240" w:lineRule="auto"/>
        <w:jc w:val="both"/>
        <w:rPr>
          <w:rFonts w:ascii="Times New Roman" w:hAnsi="Times New Roman" w:cs="Times New Roman"/>
          <w:sz w:val="24"/>
          <w:szCs w:val="24"/>
        </w:rPr>
      </w:pPr>
      <w:r w:rsidRPr="001523DA">
        <w:rPr>
          <w:rFonts w:ascii="Times New Roman" w:hAnsi="Times New Roman" w:cs="Times New Roman"/>
          <w:sz w:val="24"/>
          <w:szCs w:val="24"/>
        </w:rPr>
        <w:t>La normalización de la política monetaria de los principales bancos centrales afectará también a las EME y a otras economías avanzadas debido a los efectos de propagación internacional (spillovers). Concretamente, como consecuencia del arbitraje de los inversores internacionales, existe un fuerte vínculo positivo entre los rendimientos de la deuda pública de las principales economías avanzadas y los de las EME y otras economías avanzadas (Gráfico II.9, panel izquierdo). Una subida del VIX, que mide el apetito por el riesgo de los inversores, precede a un incremento significativo de los rendimientos de EME y a un ligero descenso de los rendimientos de otras economías avanzadas, probablemente como consecuencia de los flujos de capital hacia países refugio (panel central). Y, lo que es más importante, la apreciación del dólar estadounidense, que se deja sentir a través de la deuda en moneda extranjera y los balances de los inversores internacionales, coincide con salidas de inversión de cartera de EME, con la consiguiente subida de los rendimientos de la deuda de estos países. Junto con la caída de los rendimientos de los bonos en las otras economías avanzadas, es probable que esto también refleje una búsqueda de activos seguros.</w:t>
      </w:r>
    </w:p>
    <w:p w:rsidR="00451026" w:rsidRPr="009E3AE7" w:rsidRDefault="00451026" w:rsidP="00451026">
      <w:pPr>
        <w:spacing w:line="240" w:lineRule="auto"/>
        <w:jc w:val="both"/>
        <w:rPr>
          <w:rFonts w:ascii="Times New Roman" w:hAnsi="Times New Roman" w:cs="Times New Roman"/>
          <w:sz w:val="24"/>
          <w:szCs w:val="24"/>
        </w:rPr>
      </w:pPr>
      <w:r w:rsidRPr="009E3AE7">
        <w:rPr>
          <w:rFonts w:ascii="Times New Roman" w:hAnsi="Times New Roman" w:cs="Times New Roman"/>
          <w:sz w:val="24"/>
          <w:szCs w:val="24"/>
        </w:rPr>
        <w:t xml:space="preserve">Todo esto amplifica los cambios en las condiciones financieras globales. Durante las fases en las que las tasas de interés se mantienen bajas en las principales monedas de financiación internacional, especialmente el dólar estadounidense, las EME en particular tienden a beneficiarse de las relajadas condiciones financieras. Luego, cuando las tasas de interés suben, el efecto es el contrario. Una reversión podría producirse, por ejemplo, si los rendimientos de la deuda se corrigieran de forma brusca en las principales economías avanzadas, especialmente si al mismo tiempo aumentara la volatilidad bursátil y se apreciara el dólar, ya que los prestatarios de EME buscarían cubrir sus posiciones y en lugar de entradas de capital en EME se producirían salidas. Un buen ejemplo es el cambio de las </w:t>
      </w:r>
      <w:r w:rsidRPr="009E3AE7">
        <w:rPr>
          <w:rFonts w:ascii="Times New Roman" w:hAnsi="Times New Roman" w:cs="Times New Roman"/>
          <w:sz w:val="24"/>
          <w:szCs w:val="24"/>
        </w:rPr>
        <w:lastRenderedPageBreak/>
        <w:t>condiciones financieras que las EME experimentan desde que el dólar comenzó a apreciarse en el primer trimestre de 2018</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b/>
          <w:sz w:val="24"/>
          <w:szCs w:val="24"/>
        </w:rPr>
      </w:pPr>
      <w:r w:rsidRPr="009E3AE7">
        <w:rPr>
          <w:rFonts w:ascii="Times New Roman" w:hAnsi="Times New Roman" w:cs="Times New Roman"/>
          <w:b/>
          <w:noProof/>
          <w:sz w:val="24"/>
          <w:szCs w:val="24"/>
          <w:lang w:eastAsia="es-ES"/>
        </w:rPr>
        <w:drawing>
          <wp:inline distT="0" distB="0" distL="0" distR="0" wp14:anchorId="239BA5B7" wp14:editId="25312A6F">
            <wp:extent cx="5727700" cy="2546350"/>
            <wp:effectExtent l="0" t="0" r="6350" b="6350"/>
            <wp:docPr id="366"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5731510" cy="2548044"/>
                    </a:xfrm>
                    <a:prstGeom prst="rect">
                      <a:avLst/>
                    </a:prstGeom>
                  </pic:spPr>
                </pic:pic>
              </a:graphicData>
            </a:graphic>
          </wp:inline>
        </w:drawing>
      </w:r>
    </w:p>
    <w:p w:rsidR="00451026" w:rsidRPr="009E3AE7" w:rsidRDefault="00451026" w:rsidP="00451026">
      <w:pPr>
        <w:spacing w:line="240" w:lineRule="auto"/>
        <w:jc w:val="both"/>
        <w:rPr>
          <w:rFonts w:ascii="Times New Roman" w:hAnsi="Times New Roman" w:cs="Times New Roman"/>
          <w:sz w:val="24"/>
          <w:szCs w:val="24"/>
        </w:rPr>
      </w:pPr>
      <w:r w:rsidRPr="009E3AE7">
        <w:rPr>
          <w:rFonts w:ascii="Times New Roman" w:hAnsi="Times New Roman" w:cs="Times New Roman"/>
          <w:sz w:val="24"/>
          <w:szCs w:val="24"/>
        </w:rPr>
        <w:t>Los efectos de contagio internacional también pueden tener consecuencias para los países en los que se originan. El tamaño conjunto de los países expuestos a estos efectos sugiere que lo que ocurra en ellos también podría tener un impacto financiero y macroeconómico significativo en las economías de las que proceden dichos efectos. Como mínimo, esa retroalimentació</w:t>
      </w:r>
      <w:r>
        <w:rPr>
          <w:rFonts w:ascii="Times New Roman" w:hAnsi="Times New Roman" w:cs="Times New Roman"/>
          <w:sz w:val="24"/>
          <w:szCs w:val="24"/>
        </w:rPr>
        <w:t>n (spillbacks) justificaría el “interés propio ilustrado”</w:t>
      </w:r>
      <w:r w:rsidRPr="009E3AE7">
        <w:rPr>
          <w:rFonts w:ascii="Times New Roman" w:hAnsi="Times New Roman" w:cs="Times New Roman"/>
          <w:sz w:val="24"/>
          <w:szCs w:val="24"/>
        </w:rPr>
        <w:t xml:space="preserve"> de las economías principales, siempre que sea compatible con los mandatos nacionales. Esta es una dimensión adicional de la política monetaria que complica el calibrado de la normalización y que merece especial atención. </w:t>
      </w:r>
    </w:p>
    <w:p w:rsidR="0015310F" w:rsidRDefault="00451026" w:rsidP="00451026">
      <w:pPr>
        <w:spacing w:line="240" w:lineRule="auto"/>
        <w:jc w:val="both"/>
        <w:rPr>
          <w:rFonts w:ascii="Times New Roman" w:hAnsi="Times New Roman" w:cs="Times New Roman"/>
          <w:sz w:val="24"/>
          <w:szCs w:val="24"/>
        </w:rPr>
      </w:pPr>
      <w:r w:rsidRPr="009E3AE7">
        <w:rPr>
          <w:rFonts w:ascii="Times New Roman" w:hAnsi="Times New Roman" w:cs="Times New Roman"/>
          <w:sz w:val="24"/>
          <w:szCs w:val="24"/>
        </w:rPr>
        <w:t>Para concluir, la senda de normalización es estrecha. Para recorrerla se precisarán grandes dosis de discernimiento, para evaluar las disyuntivas, y de pragmatismo, para adaptarse a las condiciones cambiantes. Hará falta también cierta flexibilidad en la persecución de los objetivos de inflación. En particular, dado que las expansiones insostenibles pueden manifestarse en forma de crecientes desequilibrios financieros más que en un ascenso de la inflación, y puesto que la deuda acumulada puede limitar notablemente el margen de maniobra futuro, la dinámica de la deuda y de los precios de los activos debe vigilarse estrechamente y tenerse en cuenta en las decisiones de política. Lo mismo cabe decir de la necesidad de recuperar margen de maniobra para las políticas económicas, que se ha reducido significativamente desde la crisis. Con estas condiciones de partida, no va a ser un camino de rosas. Sin duda se producirán altibajos en los mercados financieros, que sufrirán una especie de síndrome de abstinencia. Pero mientras las perturbaciones de los mercados financieros sigan contenidas, no hay ningún motivo para que los bancos centrales ajusten el ritmo de la normalización. En sí misma, la volatilidad no es un problema. De hecho, en la medida en que impida una toma de riesgos excesiva, resulta saludable y es parte de la solución. El reto es normalizar con templanza, evitando reaccionar de forma desproporcionada ante episodios transitorios de volatilidad</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b/>
          <w:sz w:val="24"/>
          <w:szCs w:val="24"/>
        </w:rPr>
      </w:pPr>
      <w:r w:rsidRPr="008545F7">
        <w:rPr>
          <w:rFonts w:ascii="Times New Roman" w:hAnsi="Times New Roman" w:cs="Times New Roman"/>
          <w:b/>
          <w:sz w:val="24"/>
          <w:szCs w:val="24"/>
        </w:rPr>
        <w:t>Informe Económico Anual</w:t>
      </w:r>
      <w:r>
        <w:rPr>
          <w:rFonts w:ascii="Times New Roman" w:hAnsi="Times New Roman" w:cs="Times New Roman"/>
          <w:b/>
          <w:sz w:val="24"/>
          <w:szCs w:val="24"/>
        </w:rPr>
        <w:t xml:space="preserve"> BP</w:t>
      </w:r>
      <w:r w:rsidRPr="008545F7">
        <w:rPr>
          <w:rFonts w:ascii="Times New Roman" w:hAnsi="Times New Roman" w:cs="Times New Roman"/>
          <w:b/>
          <w:sz w:val="24"/>
          <w:szCs w:val="24"/>
        </w:rPr>
        <w:t>I -  2018: Editorial</w:t>
      </w:r>
    </w:p>
    <w:p w:rsidR="00451026" w:rsidRPr="008545F7"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 xml:space="preserve">Ya han transcurrido 10 años desde que el mundo se sumiera en la Gran Crisis Financiera (GCF). En aquel momento, tras una inusitada acumulación de apalancamiento por parte de hogares e instituciones financieras, el sistema financiero mundial se encontraba al borde del abismo. Gracias al esfuerzo concertado de los bancos centrales y a la orientación </w:t>
      </w:r>
      <w:r w:rsidRPr="008545F7">
        <w:rPr>
          <w:rFonts w:ascii="Times New Roman" w:hAnsi="Times New Roman" w:cs="Times New Roman"/>
          <w:sz w:val="24"/>
          <w:szCs w:val="24"/>
        </w:rPr>
        <w:lastRenderedPageBreak/>
        <w:t>acomodaticia de sus políticas monetarias, se logró evitar una nueva Gran Depresión. Desde entonces, las tasas de interés históricamente bajas, incluso negativas, y los balances de los bancos centrales insólitamente abultados han prestado un importante apoyo a la economía mundial y han contribuido a la convergencia gradual de la inflación hacia sus objetivos. Aun así, los bancos centrales se vieron obligados a cargar casi en solitario con el peso de la recuperación, sin que les diera el relevo otras políticas, en particular políticas estructurales del lado de la oferta. La actuación de los bancos centrales ayudó a sentar las bases para la reanudación del crecimiento económico del que ahora somos testigos. Sin embargo, también es uno de los factores que explican el legado de balances desmesurados en el sector público y privado y de mayor endeudamiento que marca el camino que tenemos por delante. Ahora que la economía mundial ha alcanzado o incluso superado su potencial, es el momento de aprovechar las condiciones favorables para articular un conjunto de políticas económicas más equilibrado que fomente un crecimiento sostenible. No obstante, el camino que tenemos ante nosotros es estrecho…</w:t>
      </w:r>
    </w:p>
    <w:p w:rsidR="00451026"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En el presente Informe Económico Anual, profundizamos también en los riesgos de cara al futuro. Nuestra conclusión es que los riesgos a medio plazo son sustanciales, aunque existen diferencias entre países. En algunos aspectos, los riesgos reflejan la desequilibrada recuperación poscrisis y su excesiva dependencia de la política monetaria. En los países con vulnerabilidades financieras, estas han ido acumulándose, como es habitual de forma gradual y persistente. En términos más generales, los mercados financieros parecen sobrevalorados, como ya se ha indicado, y se ha producido un continuo aumento del volumen mundial de deuda, privada y pública, en relación con el PIB (Gráfico E.2). Esto ha prolongado una tendencia que se remonta a mucho antes de la crisis y que ha coincidido con un descenso prolongado de las tasas de interés…</w:t>
      </w:r>
    </w:p>
    <w:p w:rsidR="00451026" w:rsidRPr="0015310F"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b/>
          <w:noProof/>
          <w:sz w:val="24"/>
          <w:szCs w:val="24"/>
          <w:lang w:eastAsia="es-ES"/>
        </w:rPr>
        <w:drawing>
          <wp:inline distT="0" distB="0" distL="0" distR="0" wp14:anchorId="7383D65B" wp14:editId="23C359C5">
            <wp:extent cx="5726055" cy="2127250"/>
            <wp:effectExtent l="0" t="0" r="8255" b="6350"/>
            <wp:docPr id="367" name="Imagen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5726055" cy="2127250"/>
                    </a:xfrm>
                    <a:prstGeom prst="rect">
                      <a:avLst/>
                    </a:prstGeom>
                  </pic:spPr>
                </pic:pic>
              </a:graphicData>
            </a:graphic>
          </wp:inline>
        </w:drawing>
      </w:r>
    </w:p>
    <w:p w:rsidR="00451026" w:rsidRPr="008545F7" w:rsidRDefault="00451026" w:rsidP="00451026">
      <w:pPr>
        <w:spacing w:line="240" w:lineRule="auto"/>
        <w:jc w:val="both"/>
        <w:rPr>
          <w:rFonts w:ascii="Times New Roman" w:hAnsi="Times New Roman" w:cs="Times New Roman"/>
          <w:b/>
          <w:sz w:val="24"/>
          <w:szCs w:val="24"/>
        </w:rPr>
        <w:sectPr w:rsidR="00451026" w:rsidRPr="008545F7" w:rsidSect="0023557F">
          <w:pgSz w:w="11906" w:h="16838"/>
          <w:pgMar w:top="1440" w:right="1440" w:bottom="1440" w:left="1440" w:header="709" w:footer="709" w:gutter="0"/>
          <w:cols w:space="708"/>
          <w:docGrid w:linePitch="360"/>
        </w:sectPr>
      </w:pPr>
      <w:r w:rsidRPr="008545F7">
        <w:rPr>
          <w:rFonts w:ascii="Times New Roman" w:hAnsi="Times New Roman" w:cs="Times New Roman"/>
          <w:b/>
          <w:noProof/>
          <w:sz w:val="24"/>
          <w:szCs w:val="24"/>
          <w:lang w:eastAsia="es-ES"/>
        </w:rPr>
        <w:drawing>
          <wp:inline distT="0" distB="0" distL="0" distR="0" wp14:anchorId="1FAA8F86" wp14:editId="6D50DAC6">
            <wp:extent cx="5726057" cy="1854200"/>
            <wp:effectExtent l="0" t="0" r="8255"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5731510" cy="1855966"/>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lastRenderedPageBreak/>
        <w:t xml:space="preserve">¿Qué pueden hacer las autoridades económicas para que la actual expansión sea más sostenible y equilibrada? </w:t>
      </w:r>
    </w:p>
    <w:p w:rsidR="00451026" w:rsidRPr="008545F7"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Esta pregunta es especialmente acuciante, puesto que el margen de maniobra se ha estrechado considerablemente en comparación con el periodo previo a la crisis (Gráfico E.3). La deuda del sector público en porcentaje del PIB ha vuelto a aumentar, lo que restringe el margen de la política fiscal (panel izquierdo). Al mismo tiempo, las tasas de interés son considerablemente más bajas, lo que reduce la capacidad de actuación de la política monetaria -un fenómeno que en las economías avanzadas (EA) se ve agravado por los balances mucho más abultados de los bancos centrales (panel central)-. Ampliar estos márgenes es prioritario.</w:t>
      </w:r>
    </w:p>
    <w:p w:rsidR="00451026" w:rsidRPr="008545F7"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 xml:space="preserve">Existen varias líneas de actuación posibles que, combinadas, se complementarían (Capítulo I). Todas ellas tienen en común que se centran claramente en horizontes más largos, ya que tanto las expansiones monetarias como las fiscales se basan en gran medida en adelantar demanda futura. Cuando el futuro deviene presente, inevitablemente hay pagar un precio por ello. Por eso es aún más importante aprovechar las actuales condiciones extraordinariamente favorables para restablecer el equilibrio. Estos ajustes de política serían coherentes con la articulación de un marco más amplio de estabilidad macrofinanciera, en el que las distintas políticas trabajarían al unísono para lograr la estabilidad macroeconómica y financiera, elevando al mismo tiempo el crecimiento sostenible a largo plazo. </w:t>
      </w:r>
    </w:p>
    <w:p w:rsidR="00451026" w:rsidRPr="008545F7"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 xml:space="preserve">La primera de esas líneas de actuación consiste en redoblar los esfuerzos para poner en práctica políticas estructurales, pues es la única manera de impulsar el crecimiento sostenible sin generar presiones inflacionistas. Esto resulta esencial, puesto que las economías ya han alcanzado, o incluso superado, las estimaciones estándar de pleno empleo y producto potencial, pese a que el crecimiento poscrisis ha sido en general bastante decepcionante, lo que apunta a limitaciones de oferta. En particular, las políticas estructurales pueden aliviar los dilemas a los que se enfrenta actualmente la política monetaria y que están reduciendo su margen de maniobra. El principal objetivo de las reformas es flexibilizar los mercados de productos y de trabajo para que puedan asignar los recursos de forma más eficiente y asimilar más fácilmente las innovaciones tecnológicas. Otro elemento importante es la necesidad de proteger el orden comercial multilateral abierto que tanto bien ha hecho a la economía mundial durante las últimas décadas. Por desgracia, el historial de reformas estructurales poscrisis ha dejado mucho que desear; de hecho, el ritmo de reforma se ha frenado desde 2011 (Gráfico E.3, panel derecho). Además, el reciente discurso proteccionista y las medidas tomadas en esa dirección no auguran nada bueno. </w:t>
      </w:r>
    </w:p>
    <w:p w:rsidR="00451026" w:rsidRPr="008545F7"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 xml:space="preserve">La segunda línea de actuación consiste en seguir reforzando la resiliencia del sistema financiero. Para ello es preciso completar y aplicar de forma uniforme las reformas de la regulación financiera aprobadas tras la crisis. Lo ideal sería acompañar esta labor, cuando proceda, de medidas encaminadas a eliminar trabas estructurales a los esfuerzos de los bancos por alcanzar una rentabilidad sostenible, que es vital para absorber pérdidas de forma segura y rápida en caso de producirse. Entre otras, estas medidas pueden incluir la eliminación de obstáculos a la necesaria consolidación y reducción del gasto. La rentabilidad sostenible reviste especial importancia en la actual coyuntura: los bancos han tenido que afrontar el doble reto de unas tasas de interés persistente e inusualmente bajas que reducen sus márgenes de intermediación y una creciente competencia por parte de nuevos actores tecnológicos -grandes empresas tecnológicas (big tech) y entidades de tecnofinanzas (fintech)-. Para reforzar la resiliencia también se requiere la implantación activa de medidas macroprudenciales en aquellas economías que han acumulado desequilibrios financieros y la </w:t>
      </w:r>
      <w:r w:rsidRPr="008545F7">
        <w:rPr>
          <w:rFonts w:ascii="Times New Roman" w:hAnsi="Times New Roman" w:cs="Times New Roman"/>
          <w:sz w:val="24"/>
          <w:szCs w:val="24"/>
        </w:rPr>
        <w:lastRenderedPageBreak/>
        <w:t>mejora de los marcos macroprudenciales en general. En ambos casos, se ha de prestar especial atención al sector no bancario, en particular las gestoras de activos y los inversores institucionales, con el fin de completar la labor inacabada en este ámbito.</w:t>
      </w:r>
    </w:p>
    <w:p w:rsidR="00451026" w:rsidRPr="008545F7"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 xml:space="preserve">La tercera línea de actuación pasa por garantizar la sostenibilidad de las finanzas públicas y evitar expansiones fiscales procíclicas. Esta cuestión es de vital importancia. La deuda pública ha alcanzado nuevos máximos en tiempo de paz tanto en las economías avanzadas como en las emergentes. Como demuestra la historia, el espacio fiscal suele sobreestimarse en países donde se han acumulado desequilibrios financieros. Respetando las circunstancias particulares de cada país, la consolidación fiscal es una prioridad. </w:t>
      </w:r>
    </w:p>
    <w:p w:rsidR="00451026" w:rsidRDefault="00451026" w:rsidP="00451026">
      <w:pPr>
        <w:spacing w:line="240" w:lineRule="auto"/>
        <w:jc w:val="both"/>
        <w:rPr>
          <w:rFonts w:ascii="Times New Roman" w:hAnsi="Times New Roman" w:cs="Times New Roman"/>
          <w:sz w:val="24"/>
          <w:szCs w:val="24"/>
        </w:rPr>
      </w:pPr>
      <w:r w:rsidRPr="008545F7">
        <w:rPr>
          <w:rFonts w:ascii="Times New Roman" w:hAnsi="Times New Roman" w:cs="Times New Roman"/>
          <w:sz w:val="24"/>
          <w:szCs w:val="24"/>
        </w:rPr>
        <w:t>La última línea de actuación está relacionada con la política monetaria. Su normalización es esencial para la reconstrucción del espacio de las políticas. Puede crear margen para la política anticíclica, ayudar a mitigar el riesgo de que surjan vulnerabilidades financieras y contribuir a reducir la acumulación de deuda. Ahora bien, como analizamos con detalle en el Capítulo II, teniendo en cuenta el punto de partida sin precedentes, las incertidumbres existentes y los niveles de inflación persistentemente bajos en numerosas jurisdicciones, el camino por delante es bastante estrecho y está flanqueado de obstáculos. Para recorrerlo es necesario lograr y mantener un delicado equilibrio entre consideraciones antagónicas, como son alcanzar los objetivos de inflación en el corto plazo y eludir el riesgo de alentar una mayor acumulación de vulnerabilidades financieras en el largo plazo</w:t>
      </w:r>
      <w:r>
        <w:rPr>
          <w:rFonts w:ascii="Times New Roman" w:hAnsi="Times New Roman" w:cs="Times New Roman"/>
          <w:sz w:val="24"/>
          <w:szCs w:val="24"/>
        </w:rPr>
        <w:t>…</w:t>
      </w:r>
    </w:p>
    <w:p w:rsidR="00451026" w:rsidRDefault="00451026" w:rsidP="00451026">
      <w:pPr>
        <w:spacing w:line="240" w:lineRule="auto"/>
        <w:jc w:val="both"/>
        <w:rPr>
          <w:rFonts w:ascii="Times New Roman" w:hAnsi="Times New Roman" w:cs="Times New Roman"/>
          <w:sz w:val="24"/>
          <w:szCs w:val="24"/>
        </w:rPr>
      </w:pPr>
      <w:r w:rsidRPr="004D00CB">
        <w:rPr>
          <w:rFonts w:ascii="Times New Roman" w:hAnsi="Times New Roman" w:cs="Times New Roman"/>
          <w:noProof/>
          <w:sz w:val="24"/>
          <w:szCs w:val="24"/>
          <w:lang w:eastAsia="es-ES"/>
        </w:rPr>
        <w:drawing>
          <wp:inline distT="0" distB="0" distL="0" distR="0" wp14:anchorId="1AB81C14" wp14:editId="2419E124">
            <wp:extent cx="5729396" cy="3981450"/>
            <wp:effectExtent l="0" t="0" r="5080" b="0"/>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731510" cy="3982919"/>
                    </a:xfrm>
                    <a:prstGeom prst="rect">
                      <a:avLst/>
                    </a:prstGeom>
                  </pic:spPr>
                </pic:pic>
              </a:graphicData>
            </a:graphic>
          </wp:inline>
        </w:drawing>
      </w:r>
    </w:p>
    <w:p w:rsidR="00451026" w:rsidRDefault="00451026" w:rsidP="00451026">
      <w:pPr>
        <w:spacing w:line="240" w:lineRule="auto"/>
        <w:jc w:val="both"/>
        <w:rPr>
          <w:rFonts w:ascii="Times New Roman" w:hAnsi="Times New Roman" w:cs="Times New Roman"/>
          <w:b/>
          <w:sz w:val="24"/>
          <w:szCs w:val="24"/>
        </w:rPr>
      </w:pPr>
      <w:r w:rsidRPr="008545F7">
        <w:rPr>
          <w:rFonts w:ascii="Times New Roman" w:hAnsi="Times New Roman" w:cs="Times New Roman"/>
          <w:b/>
          <w:sz w:val="24"/>
          <w:szCs w:val="24"/>
        </w:rPr>
        <w:t>Informe Económico Anual</w:t>
      </w:r>
      <w:r>
        <w:rPr>
          <w:rFonts w:ascii="Times New Roman" w:hAnsi="Times New Roman" w:cs="Times New Roman"/>
          <w:b/>
          <w:sz w:val="24"/>
          <w:szCs w:val="24"/>
        </w:rPr>
        <w:t xml:space="preserve"> BP</w:t>
      </w:r>
      <w:r w:rsidRPr="008545F7">
        <w:rPr>
          <w:rFonts w:ascii="Times New Roman" w:hAnsi="Times New Roman" w:cs="Times New Roman"/>
          <w:b/>
          <w:sz w:val="24"/>
          <w:szCs w:val="24"/>
        </w:rPr>
        <w:t xml:space="preserve">I - </w:t>
      </w:r>
      <w:r>
        <w:rPr>
          <w:rFonts w:ascii="Times New Roman" w:hAnsi="Times New Roman" w:cs="Times New Roman"/>
          <w:b/>
          <w:sz w:val="24"/>
          <w:szCs w:val="24"/>
        </w:rPr>
        <w:t xml:space="preserve"> 2009/10</w:t>
      </w:r>
    </w:p>
    <w:p w:rsidR="00451026" w:rsidRDefault="00451026" w:rsidP="00451026">
      <w:pPr>
        <w:spacing w:line="240" w:lineRule="auto"/>
        <w:jc w:val="both"/>
        <w:rPr>
          <w:rFonts w:ascii="Times New Roman" w:hAnsi="Times New Roman" w:cs="Times New Roman"/>
          <w:b/>
          <w:sz w:val="24"/>
          <w:szCs w:val="24"/>
        </w:rPr>
      </w:pPr>
      <w:r w:rsidRPr="00F336BB">
        <w:rPr>
          <w:rFonts w:ascii="Times New Roman" w:hAnsi="Times New Roman" w:cs="Times New Roman"/>
          <w:b/>
          <w:sz w:val="24"/>
          <w:szCs w:val="24"/>
        </w:rPr>
        <w:t>Resumen de los capítulos económicos</w:t>
      </w:r>
    </w:p>
    <w:p w:rsidR="00451026" w:rsidRPr="00F336BB" w:rsidRDefault="00451026" w:rsidP="0045102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color w:val="372F32"/>
          <w:sz w:val="24"/>
          <w:szCs w:val="24"/>
          <w:lang w:eastAsia="es-ES"/>
        </w:rPr>
      </w:pPr>
      <w:r w:rsidRPr="00F336BB">
        <w:rPr>
          <w:rFonts w:ascii="Times New Roman" w:eastAsia="Times New Roman" w:hAnsi="Times New Roman" w:cs="Times New Roman"/>
          <w:color w:val="372F32"/>
          <w:sz w:val="24"/>
          <w:szCs w:val="24"/>
          <w:lang w:eastAsia="es-ES"/>
        </w:rPr>
        <w:t xml:space="preserve">La crisis financiera deja a las autoridades un legado abrumador, especialmente en los países industriales. Al instaurar nuevas políticas, deberán adoptar un enfoque a medio y largo plazo, </w:t>
      </w:r>
      <w:r w:rsidRPr="00F336BB">
        <w:rPr>
          <w:rFonts w:ascii="Times New Roman" w:eastAsia="Times New Roman" w:hAnsi="Times New Roman" w:cs="Times New Roman"/>
          <w:color w:val="372F32"/>
          <w:sz w:val="24"/>
          <w:szCs w:val="24"/>
          <w:lang w:eastAsia="es-ES"/>
        </w:rPr>
        <w:lastRenderedPageBreak/>
        <w:t>lidiando al mismo tiempo con una recuperación aún frágil y desigual. Los hogares apenas comienzan a reducir su endeudamiento, por lo que siguen moderando su consumo. Las extraordinarias medidas de apoyo contribuyeron a contener el contagio entre mercados, evitando así lo peor, pero algunas de ellas han retrasado los necesarios ajustes en la economía real y en el sector financiero, donde la reducción del apalancamiento y la recomposición de los balances distan de haberse completado. Todo ello continúa minando la confianza. Existe el riesgo de que las vulnerabilidades que aún persisten en el sector financiero, unidas a l</w:t>
      </w:r>
      <w:r>
        <w:rPr>
          <w:rFonts w:ascii="Times New Roman" w:eastAsia="Times New Roman" w:hAnsi="Times New Roman" w:cs="Times New Roman"/>
          <w:color w:val="372F32"/>
          <w:sz w:val="24"/>
          <w:szCs w:val="24"/>
          <w:lang w:eastAsia="es-ES"/>
        </w:rPr>
        <w:t>os efectos secundarios de unos “cuidados intensivos”</w:t>
      </w:r>
      <w:r w:rsidRPr="00F336BB">
        <w:rPr>
          <w:rFonts w:ascii="Times New Roman" w:eastAsia="Times New Roman" w:hAnsi="Times New Roman" w:cs="Times New Roman"/>
          <w:color w:val="372F32"/>
          <w:sz w:val="24"/>
          <w:szCs w:val="24"/>
          <w:lang w:eastAsia="es-ES"/>
        </w:rPr>
        <w:t xml:space="preserve"> prolongados, provoquen una recaída y arruinen los esfuerzos de reforma.</w:t>
      </w:r>
    </w:p>
    <w:p w:rsidR="00451026" w:rsidRPr="00F336BB" w:rsidRDefault="00451026" w:rsidP="0045102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color w:val="372F32"/>
          <w:sz w:val="24"/>
          <w:szCs w:val="24"/>
          <w:lang w:eastAsia="es-ES"/>
        </w:rPr>
      </w:pPr>
      <w:r w:rsidRPr="00F336BB">
        <w:rPr>
          <w:rFonts w:ascii="Times New Roman" w:eastAsia="Times New Roman" w:hAnsi="Times New Roman" w:cs="Times New Roman"/>
          <w:color w:val="372F32"/>
          <w:sz w:val="24"/>
          <w:szCs w:val="24"/>
          <w:lang w:eastAsia="es-ES"/>
        </w:rPr>
        <w:t>Las medidas de apoyo macroeconómico tienen sus límites. Las recientes reacciones del mercado revelan que en algunos países los estímulos fiscales han llegado a su límite. Diversas economías industriales requieren de inmediato una consolidación fiscal contundente, que deberá ir acompañada de reformas estructurales que faciliten el crecimiento y aseguren la sostenibilidad fiscal a largo plazo. En materia de política monetaria, pese a la frágil coyuntura macroeconómica y a la baja inflación subyacente en las principales economías avanzadas, conviene no olvidar que si las tasas de interés se mantienen próximas a cero demasiado tiempo en un entorno de abundante liquidez, se crean distorsiones que amenazan la estabilidad financiera y monetaria.</w:t>
      </w:r>
    </w:p>
    <w:p w:rsidR="00451026" w:rsidRPr="00F336BB" w:rsidRDefault="00451026" w:rsidP="0045102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color w:val="372F32"/>
          <w:sz w:val="24"/>
          <w:szCs w:val="24"/>
          <w:lang w:eastAsia="es-ES"/>
        </w:rPr>
      </w:pPr>
      <w:r w:rsidRPr="00F336BB">
        <w:rPr>
          <w:rFonts w:ascii="Times New Roman" w:eastAsia="Times New Roman" w:hAnsi="Times New Roman" w:cs="Times New Roman"/>
          <w:color w:val="372F32"/>
          <w:sz w:val="24"/>
          <w:szCs w:val="24"/>
          <w:lang w:eastAsia="es-ES"/>
        </w:rPr>
        <w:t>Es necesario acometer una reforma fundamental del sistema financiero para asentarlo sobre bases más estables que puedan garantizar altos niveles de crecimiento sostenible en el futuro. Sobre todo, la reforma deberá proporcionar políticas más eficaces de regulación y supervisión que se inserten dentro un marco integrado. Este nuevo marco global para la estabilidad financiera combinaría elementos de las políticas macroeconómica, reguladora y supervisora. Además, con el respaldo de firmes mecanismos de buen gobierno y de la cooperación internacional, dicho marco promoverá no sólo la estabilidad financiera sino también la macroeconómica…</w:t>
      </w:r>
    </w:p>
    <w:p w:rsidR="00451026" w:rsidRPr="00F336BB"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color w:val="372F32"/>
          <w:sz w:val="24"/>
          <w:szCs w:val="24"/>
          <w:shd w:val="clear" w:color="auto" w:fill="FFFFFF"/>
        </w:rPr>
      </w:pPr>
      <w:r w:rsidRPr="00F336BB">
        <w:rPr>
          <w:rFonts w:ascii="Times New Roman" w:hAnsi="Times New Roman" w:cs="Times New Roman"/>
          <w:color w:val="372F32"/>
          <w:sz w:val="24"/>
          <w:szCs w:val="24"/>
          <w:shd w:val="clear" w:color="auto" w:fill="FFFFFF"/>
        </w:rPr>
        <w:t>Los bancos centrales redujeron con determinación las tasas de interés oficiales durante la crisis con el propósito de estabilizar el sistema financiero y la economía real. Estos recortes esenciales, reforzados con medidas no convencionales orientadas a corregir disfunciones del mercado financiero, contribuyeron a evitar el colapso económico. Ahora bien, no cabe prolongar indefinidamente una política monetaria de carácter expansivo. Si las tasas de interés son bajas, pueden distorsionar las decisiones de inversión, y cuando son extremadamente reducidas durante mucho tiempo, pueden plantear riesgos para la estabilidad financiera que deben sopesarse cuidadosamente, ya que podrían incitar a los prestatarios a acortar los plazos de su deuda, facilitar el apalancamiento en posiciones de riesgo y retrasar la necesaria corrección de los balances financieros. Si bien las autoridades pueden y deben abordar estos riesgos con otras herramientas, es posible que tengan que endurecer la política monetaria antes de lo que sugerirían por sí solas las perspectivas macroeconómicas…</w:t>
      </w:r>
    </w:p>
    <w:p w:rsidR="00451026" w:rsidRPr="00F336BB" w:rsidRDefault="00451026" w:rsidP="0045102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color w:val="372F32"/>
          <w:sz w:val="24"/>
          <w:szCs w:val="24"/>
          <w:lang w:eastAsia="es-ES"/>
        </w:rPr>
      </w:pPr>
      <w:r w:rsidRPr="00F336BB">
        <w:rPr>
          <w:rFonts w:ascii="Times New Roman" w:eastAsia="Times New Roman" w:hAnsi="Times New Roman" w:cs="Times New Roman"/>
          <w:color w:val="372F32"/>
          <w:sz w:val="24"/>
          <w:szCs w:val="24"/>
          <w:lang w:eastAsia="es-ES"/>
        </w:rPr>
        <w:t xml:space="preserve">Los niveles de deuda pública que arrastran numerosos países industriales han tomado una senda insostenible. Los déficits presupuestarios actuales, en parte cíclicos pero también inflados por las políticas de respuesta a la crisis, son elevados en proporción al PIB. Al mismo tiempo, el aumento del gasto vinculado al envejecimiento de la población se prevé considerable en las próximas décadas. Lo ocurrido recientemente en Grecia y en otras naciones de Europa meridional ha mostrado lo rápido que pueden propagarse a otros países las dudas de los inversionistas sobre la solidez de las cuentas públicas de una economía. </w:t>
      </w:r>
      <w:r w:rsidRPr="00F336BB">
        <w:rPr>
          <w:rFonts w:ascii="Times New Roman" w:eastAsia="Times New Roman" w:hAnsi="Times New Roman" w:cs="Times New Roman"/>
          <w:color w:val="372F32"/>
          <w:sz w:val="24"/>
          <w:szCs w:val="24"/>
          <w:lang w:eastAsia="es-ES"/>
        </w:rPr>
        <w:lastRenderedPageBreak/>
        <w:t>Además, los altos niveles de deuda pública pueden lastrar el crecimiento económico a largo plazo y, en último término, constituir una amenaza para la estabilidad monetaria.</w:t>
      </w:r>
    </w:p>
    <w:p w:rsidR="00451026" w:rsidRPr="00F336BB" w:rsidRDefault="00451026" w:rsidP="0045102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color w:val="372F32"/>
          <w:sz w:val="24"/>
          <w:szCs w:val="24"/>
          <w:lang w:eastAsia="es-ES"/>
        </w:rPr>
      </w:pPr>
      <w:r w:rsidRPr="00F336BB">
        <w:rPr>
          <w:rFonts w:ascii="Times New Roman" w:eastAsia="Times New Roman" w:hAnsi="Times New Roman" w:cs="Times New Roman"/>
          <w:color w:val="372F32"/>
          <w:sz w:val="24"/>
          <w:szCs w:val="24"/>
          <w:lang w:eastAsia="es-ES"/>
        </w:rPr>
        <w:t>Estos riesgos subrayan la urgente necesidad de arbitrar medidas creíbles que reduzcan los déficits fiscales en numerosos países industriales. Abordar los desequilibrios fiscales a largo plazo exige reformas estructurales que fomenten el crecimiento del producto potencial y contengan el incremento futuro de los gastos asociados a la distribución por edades de la población. Dichas medidas pueden tener efectos adversos sobre el crecimiento económico a corto plazo, pero peor sería tener que afrontar la súbita pérdida de la confianza del mercado. Un programa de consolidación fiscal, que recortase los déficits en varios puntos porcentuales del PIB durante algunos años, aportaría importantes ventajas, como tasas de interés a largo plazo bajas y estables, un sistema financiero menos frágil y, en definitiva, mejores perspectivas para la inversión y un crecimiento sostenido a largo plazo.</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color w:val="372F32"/>
          <w:sz w:val="24"/>
          <w:szCs w:val="24"/>
          <w:shd w:val="clear" w:color="auto" w:fill="FFFFFF"/>
        </w:rPr>
      </w:pPr>
      <w:r w:rsidRPr="00F336BB">
        <w:rPr>
          <w:rFonts w:ascii="Times New Roman" w:hAnsi="Times New Roman" w:cs="Times New Roman"/>
          <w:color w:val="372F32"/>
          <w:sz w:val="24"/>
          <w:szCs w:val="24"/>
          <w:shd w:val="clear" w:color="auto" w:fill="FFFFFF"/>
        </w:rPr>
        <w:t>La crisis puso de manifiesto las deficiencias en algunos modelos de negocio del sector financiero. Durante mucho tiempo, las empresas financieras obtuvieron una rentabilidad económica comparativamente baja, pero recurrieron a un elevado apalancamiento para cumplir objetivos de rentabilidad sobre recursos propios. Además, supieron aprovechar al máximo la financiación a corto plazo barata. Esta estrategia elevó la volatilidad de sus beneficios, especialmente en periodos de tensión en los mercados. Desde la crisis, los inversionistas han sido más selectivos a la hora de elegir entidades financieras, favoreciendo a aquéllas con modelos de negocio más prudentes y mayor capacidad de reacción. En estos momentos, la prioridad de los responsables de las políticas es incorporar en el marco regulador esta mayor severidad que impone el mercado. Un capital de mejor calidad, un menor apalancamiento y una financiación más estable deberían reforzar la futura capacidad de reacción del sector. Esto no tiene por qué minar la rentabilidad a medio plazo, en especial si la reestructuración prosigue y se elimina progresivamente el exceso de capacidad. Además, unos modelos de negocio más robustos requerirían menores costes de financiación, contribuyendo de ese modo a que la rentabilidad del sector sea alta, estable y sostenida…</w:t>
      </w:r>
    </w:p>
    <w:p w:rsidR="00451026" w:rsidRDefault="00451026" w:rsidP="00451026">
      <w:pPr>
        <w:shd w:val="clear" w:color="auto" w:fill="FFFFFF"/>
        <w:spacing w:before="100" w:beforeAutospacing="1" w:after="100" w:afterAutospacing="1" w:line="240" w:lineRule="auto"/>
        <w:jc w:val="both"/>
        <w:textAlignment w:val="baseline"/>
        <w:rPr>
          <w:rFonts w:ascii="Times New Roman" w:eastAsia="Times New Roman" w:hAnsi="Times New Roman" w:cs="Times New Roman"/>
          <w:b/>
          <w:color w:val="372F32"/>
          <w:sz w:val="24"/>
          <w:szCs w:val="24"/>
          <w:lang w:eastAsia="es-ES"/>
        </w:rPr>
      </w:pPr>
      <w:r w:rsidRPr="00030D0E">
        <w:rPr>
          <w:rFonts w:ascii="Times New Roman" w:eastAsia="Times New Roman" w:hAnsi="Times New Roman" w:cs="Times New Roman"/>
          <w:b/>
          <w:color w:val="372F32"/>
          <w:sz w:val="24"/>
          <w:szCs w:val="24"/>
          <w:lang w:eastAsia="es-ES"/>
        </w:rPr>
        <w:t>Más allá del rescate: salir de cuidados intensivos y concluir las reformas (resumen del Informe Anual)</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xml:space="preserve">Tres años después del estallido de la crisis, las expectativas de recuperación y de reformas económicas son elevadas, pero la paciencia es limitada. Las autoridades se enfrentan a un legado abrumador: los efectos secundarios de las continuas medidas de apoyo macroeconómico y financiero, junto con las vulnerabilidades no resueltas del sector financiero, amenazan con obstaculizar la recuperación. Además falta por completar el paquete de reformas necesarias para mejorar la capacidad de resistencia del sistema financiero.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xml:space="preserve">Cuando estalló la crisis financiera transatlántica hace ya casi tres años, la respuesta de las autoridades consistió en aplicar un tratamiento de urgencia y administrar una potente medicación: elevadas dosis de ayuda directa al sistema financiero, bajas tasas de interés, amplia expansión de los balances de los bancos centrales e ingentes estímulos fiscales. Pero unas medidas tan contundentes comportan fuertes efectos secundarios y sus riesgos comienzan a hacerse visibles.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xml:space="preserve">A continuación se indican los mayores problemas que pueden surgir del uso continuado de estas medidas extraordinarias. Las ayudas directas tienden a retrasar ajustes posteriores de </w:t>
      </w:r>
      <w:r w:rsidRPr="00D662DA">
        <w:rPr>
          <w:rFonts w:ascii="Times New Roman" w:hAnsi="Times New Roman" w:cs="Times New Roman"/>
          <w:sz w:val="24"/>
          <w:szCs w:val="24"/>
        </w:rPr>
        <w:lastRenderedPageBreak/>
        <w:t xml:space="preserve">vital importancia, con el consiguiente riesgo de crear entidades «zombi», tanto financieras como no financieras. Las bajas tasas de interés que prevalecen en la economía mundial están desalentando la necesaria reducción del apalancamiento, sumándose así a las distorsiones del sistema financiero y causando problemas en otros ámbitos. La expansión sostenida de sus balances hace que los bancos centrales sigan dominando algunos segmentos de los mercados financieros, lo que puede distorsionar la valoración de algunos bonos y préstamos financieros importantes, desalentar la necesaria participación en el mercado de particulares e instituciones privadas y aumentar el riesgo moral al señalar que existe un comprador de último recurso para ciertos instrumentos. Además, los estímulos fiscales están acrecentando cada vez más la deuda pública, que en algunos países ha emprendido una senda claramente insostenible.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Ha llegado el momento de preguntarse cuándo y cómo empezar a prescindir de estas contundentes medidas. No podemos ignorar el hecho de que la acumulación de efectos secundarios entraña un riesgo que, como poco, recomendaría la retirada de estas medidas antes de lo que muchos preferirían. Ahora bien, la retirada de algunas de ellas se ve dificultada por el estado del sector financiero y por las perspectivas macroeconómicas, que son frágiles en muchos países industriales y hacen arriesgado el endurecimiento de las políticas actuales…</w:t>
      </w:r>
    </w:p>
    <w:p w:rsidR="00451026" w:rsidRPr="00FE6BA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b/>
          <w:sz w:val="24"/>
          <w:szCs w:val="24"/>
        </w:rPr>
      </w:pPr>
      <w:r w:rsidRPr="00FE6BAA">
        <w:rPr>
          <w:rFonts w:ascii="Times New Roman" w:hAnsi="Times New Roman" w:cs="Times New Roman"/>
          <w:b/>
          <w:sz w:val="24"/>
          <w:szCs w:val="24"/>
        </w:rPr>
        <w:t xml:space="preserve">Servicio de urgencias: respuesta inicial a la crisis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xml:space="preserve">Al acentuarse la crisis con la quiebra de Lehman Brothers, las autoridades aplicaron una serie de medidas de emergencia de intensidad creciente con el objetivo de sostener los sistemas financieros y la economía real. Se trataba en definitiva de medidas típicas de una unidad de urgencias, que obligaron a dejar para más tarde la consideración de cualquier efecto secundario.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xml:space="preserve">Las medidas aplicadas por las autoridades variaron en función de la estructura de sus economías y sistemas financieros: avales sobre activos y pasivos bancarios para evitar la retirada masiva de depósitos; préstamos directos concedidos por autoridades fiscales y bancos centrales, así como organismos financieros internacionales, para permitir refinanciar y evitar así los impagos; inyecciones de capital para evitar insolvencias; nacionalizaciones para que las instituciones en quiebra pudieran seguir dando servicio a sus clientes; eliminación de préstamos de baja calidad de los balances del sector privado y soporte al precio de activos cuyos mercados se habían tornado ilíquidos, con la consiguiente expansión de los balances de los bancos centrales; y certificación pública por los supervisores de la suficiencia del capital de grandes bancos. Si hubiera que enumerar todas las medidas adoptadas, se llenarían páginas con programas específicos en prácticamente todas las economías avanzadas y en numerosas economías de mercado emergentes.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Al amplio abanico de acciones directas para apuntalar el sistema financiero se unieron políticas macroeconómicas sin precedentes. Así, se adoptaron políticas monetarias y fiscales extremadamente acomodaticias para hacer frente a las consecuencias de la crisis. En Estados Unidos, Europa y Japón, el déficit público supera ya el 5% del PIB y las tasas de interés oficiales se sitúan en torno a cero. Al agotarse la vía convencional de relajación monetaria, los bancos centrales de importantes países desplazaron su foco de atención desde los precios hacia los volúmenes. En los últimos dos años, el volumen de activos de esos bancos centrales casi se ha duplicado y sigue siendo excesivo.</w:t>
      </w:r>
    </w:p>
    <w:p w:rsidR="00451026" w:rsidRPr="00FE6BA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b/>
          <w:sz w:val="24"/>
          <w:szCs w:val="24"/>
        </w:rPr>
      </w:pPr>
      <w:r w:rsidRPr="00FE6BAA">
        <w:rPr>
          <w:rFonts w:ascii="Times New Roman" w:hAnsi="Times New Roman" w:cs="Times New Roman"/>
          <w:b/>
          <w:sz w:val="24"/>
          <w:szCs w:val="24"/>
        </w:rPr>
        <w:lastRenderedPageBreak/>
        <w:t xml:space="preserve">Cuidados intensivos: el problema de los efectos secundarios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xml:space="preserve">Las políticas de emergencia fueron cruciales en su momento y por lo general lograron sus objetivos a corto plazo, pero en la actualidad, tres años después del estallido de la crisis, muchas de ellas siguen aplicándose. Dicho sin rodeos: la conjunción de las vulnerabilidades persistentes en el sistema financiero con los efectos secundarios de un periodo tan prolongado de cuidados intensivos podría inducir la recaída del paciente.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xml:space="preserve">La crisis ha dejado la coyuntura macroeconómica mundial en un estado más deteriorado que hace tres años. En Europa y Estados Unidos, el desempleo es alto y las perspectivas de la demanda débiles. Los programas de apoyo a mercados e instituciones han generado una dependencia de la que el sistema financiero podría tener dificultades para librarse a menos que continúe la actual política monetaria muy relajada. Además, algunos bancos y sistemas bancarios siguen manteniendo altos niveles de apalancamiento y aún parecen necesitar ayuda constante. </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La crisis de la deuda soberana griega ilustra precisamente las fragilidades que perduran en el sistema financiero. A mediados de mayo, las crecientes dificultades asociadas a la solvencia de Grecia desembocaron en problemas de financiación para una serie de bancos, especialmente en Europa, que empezaban a parecerse a los surgidos tras la quiebra de Lehman. Estas dificultades de financiación no sólo reflejaron el nuevo problema de la deuda soberana, sino también las persistentes dudas sobre la calidad de los balances de la banca comercial. Ante esta situación, el BCE se adentró en nuevo territorio anunciando la compra de deuda pública y, al igual que ocurrió en la etapa anterior de la crisis, los bancos centrales abrieron líneas swap de emergencia para resolver algunos problemas de financiación.</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El apalancamiento continúa elevado en los sectores no financieros de muchos de los países que sufrieron de lleno la crisis. Según se argumenta en el Capítulo II, los hogares de estas economías han comenzado a reducir su endeudamiento, pero su significativo aumento por parte del sector público ha incrementado sustancialmente los niveles de deuda del sector no financiero desde 2007, y para finales de 2010 se p</w:t>
      </w:r>
      <w:r>
        <w:rPr>
          <w:rFonts w:ascii="Times New Roman" w:hAnsi="Times New Roman" w:cs="Times New Roman"/>
          <w:sz w:val="24"/>
          <w:szCs w:val="24"/>
        </w:rPr>
        <w:t>revé que hayan crecido en un 20-</w:t>
      </w:r>
      <w:r w:rsidRPr="00D662DA">
        <w:rPr>
          <w:rFonts w:ascii="Times New Roman" w:hAnsi="Times New Roman" w:cs="Times New Roman"/>
          <w:sz w:val="24"/>
          <w:szCs w:val="24"/>
        </w:rPr>
        <w:t>40% del PIB en Alemania, España, Estados Unidos, Francia y el Reino Unido. El alto apalancamiento sostenido no sólo implica la fragilidad de los balances de los sectores público y privado, que llevará años solucionar, sino que también limita seriamente el margen de intervención de la política fiscal si se hiciera necesario otro rescate público o privado…</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 Un periodo prolongado de tasas de interés reales excepcionalmente bajas puede llegar a alterar las decisiones de inversión, posponer el reconocimiento de pérdidas, aumentar la asunción de riesgo con la consiguiente búsqueda de rentabilidad y fomentar elevados niveles de endeudamiento. La experiencia reciente, con exactamente esas consecuencias hace apenas cinco años, debiera llevar a extremar la cautela en esta ocasión. Es cierto que las circunstancias actuales son muy distintas a las de la primera mitad de la década pasada,</w:t>
      </w:r>
      <w:r>
        <w:rPr>
          <w:rFonts w:ascii="Times New Roman" w:hAnsi="Times New Roman" w:cs="Times New Roman"/>
          <w:sz w:val="24"/>
          <w:szCs w:val="24"/>
        </w:rPr>
        <w:t xml:space="preserve"> pero la crisis de 2007-</w:t>
      </w:r>
      <w:r w:rsidRPr="00D662DA">
        <w:rPr>
          <w:rFonts w:ascii="Times New Roman" w:hAnsi="Times New Roman" w:cs="Times New Roman"/>
          <w:sz w:val="24"/>
          <w:szCs w:val="24"/>
        </w:rPr>
        <w:t>09 sugiere que los excesos financieros propiciados por las tasas oficiales bajas (auges en el crédito y en el precio de los activos, infravaloración del riesgo, etc.) acaban acarreando efectos devastadores…</w:t>
      </w:r>
    </w:p>
    <w:p w:rsidR="00451026" w:rsidRPr="00D662D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t>Los grandes desembolsos fiscales destinados a respaldar la demanda agregada tras el</w:t>
      </w:r>
      <w:r>
        <w:rPr>
          <w:rFonts w:ascii="Times New Roman" w:hAnsi="Times New Roman" w:cs="Times New Roman"/>
          <w:sz w:val="24"/>
          <w:szCs w:val="24"/>
        </w:rPr>
        <w:t xml:space="preserve"> estallido de la crisis de 2007-</w:t>
      </w:r>
      <w:r w:rsidRPr="00D662DA">
        <w:rPr>
          <w:rFonts w:ascii="Times New Roman" w:hAnsi="Times New Roman" w:cs="Times New Roman"/>
          <w:sz w:val="24"/>
          <w:szCs w:val="24"/>
        </w:rPr>
        <w:t>09, junto con los compromisos anteriores por prestaciones de asistencia sanitaria, pensiones y seguridad social, han hecho que la deuda pública se dispare de forma insostenible en muchos países industriales…</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D662DA">
        <w:rPr>
          <w:rFonts w:ascii="Times New Roman" w:hAnsi="Times New Roman" w:cs="Times New Roman"/>
          <w:sz w:val="24"/>
          <w:szCs w:val="24"/>
        </w:rPr>
        <w:lastRenderedPageBreak/>
        <w:t>La consolidación fiscal es más urgente si cabe en aquellos países a los que la crisis sorprendió con altos niveles de deuda como resultado tanto del gasto excesivo como de un bajo potencial de crecimiento debido a su falta de competitividad internacional. Los ajustes fiscales son de aplicación directa, aunque suelen resultar dolorosos. Sin embargo, los países que conforman una unión monetaria con sus principales socios comerciales no tienen la opción de recurrir a la devaluación de su moneda, por lo que la mejora de su competitividad sólo puede proceder de una mayor productividad o de menores salarios nominales. Como revela la larga trayectoria de crisis de deuda soberana, cuando los inversionistas pierden la confianza en la capacidad de un país para afrontar el pago de su deuda y se muestran reticentes a seguir invirtiendo en ella, la única opción que queda son los paquetes de ayuda, los rescates e incluso la reestructuración de la deuda…</w:t>
      </w:r>
    </w:p>
    <w:p w:rsidR="00451026" w:rsidRPr="004420B9"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420B9">
        <w:rPr>
          <w:rFonts w:ascii="Times New Roman" w:hAnsi="Times New Roman" w:cs="Times New Roman"/>
          <w:sz w:val="24"/>
          <w:szCs w:val="24"/>
        </w:rPr>
        <w:t>La combinación de voluminosos programas de estímulo fiscal, paquetes de rescate financiero y caídas en la recaudación tributaria ha generado déficits históricos en los presupuestos estatales y niveles récord de deuda pública -efectiva y prevista- en la mayoría de los países industriales (véase el Gráfico II.3, panel izquierdo)…</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420B9">
        <w:rPr>
          <w:rFonts w:ascii="Times New Roman" w:hAnsi="Times New Roman" w:cs="Times New Roman"/>
          <w:noProof/>
          <w:sz w:val="24"/>
          <w:szCs w:val="24"/>
          <w:lang w:eastAsia="es-ES"/>
        </w:rPr>
        <w:drawing>
          <wp:inline distT="0" distB="0" distL="0" distR="0" wp14:anchorId="0186C977" wp14:editId="2AEB8C82">
            <wp:extent cx="5729163" cy="3022600"/>
            <wp:effectExtent l="0" t="0" r="5080" b="6350"/>
            <wp:docPr id="369" name="Imagen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5731510" cy="3023838"/>
                    </a:xfrm>
                    <a:prstGeom prst="rect">
                      <a:avLst/>
                    </a:prstGeom>
                  </pic:spPr>
                </pic:pic>
              </a:graphicData>
            </a:graphic>
          </wp:inline>
        </w:drawing>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420B9">
        <w:rPr>
          <w:rFonts w:ascii="Times New Roman" w:hAnsi="Times New Roman" w:cs="Times New Roman"/>
          <w:sz w:val="24"/>
          <w:szCs w:val="24"/>
        </w:rPr>
        <w:t>La política monetaria continúa siendo muy expansiva en casi todo el mundo, aunque los bancos centrales de algunos de los países con mayor crecimiento han comenzado a retirar los estímulos aplicados durante la crisis. Las tasas de interés oficiales en las principales economías avanzadas siguen en mínimos históricos y los balances de los bancos centrales apenas se han contraído desde los abultados niveles alcanzados entonces (véase el Gráfico II.4). Las tasas de interés a corto plazo cercanas a cero mantienen bajo el coste de la financiación e incrementan el valor actual neto de los pagos futuros. Además, las compras de activos por los bancos centrales han elevado sus precios, directa e indirectamente</w:t>
      </w:r>
      <w:r>
        <w:rPr>
          <w:rFonts w:ascii="Times New Roman" w:hAnsi="Times New Roman" w:cs="Times New Roman"/>
          <w:sz w:val="24"/>
          <w:szCs w:val="24"/>
        </w:rPr>
        <w:t>…</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420B9">
        <w:rPr>
          <w:rFonts w:ascii="Times New Roman" w:hAnsi="Times New Roman" w:cs="Times New Roman"/>
          <w:noProof/>
          <w:sz w:val="24"/>
          <w:szCs w:val="24"/>
          <w:lang w:eastAsia="es-ES"/>
        </w:rPr>
        <w:lastRenderedPageBreak/>
        <w:drawing>
          <wp:inline distT="0" distB="0" distL="0" distR="0" wp14:anchorId="489FA10A" wp14:editId="2EF1DABE">
            <wp:extent cx="5731510" cy="3361139"/>
            <wp:effectExtent l="0" t="0" r="2540" b="0"/>
            <wp:docPr id="370" name="Imagen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5731510" cy="3361139"/>
                    </a:xfrm>
                    <a:prstGeom prst="rect">
                      <a:avLst/>
                    </a:prstGeom>
                  </pic:spPr>
                </pic:pic>
              </a:graphicData>
            </a:graphic>
          </wp:inline>
        </w:drawing>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420B9">
        <w:rPr>
          <w:rFonts w:ascii="Times New Roman" w:hAnsi="Times New Roman" w:cs="Times New Roman"/>
          <w:noProof/>
          <w:sz w:val="24"/>
          <w:szCs w:val="24"/>
          <w:lang w:eastAsia="es-ES"/>
        </w:rPr>
        <w:drawing>
          <wp:inline distT="0" distB="0" distL="0" distR="0" wp14:anchorId="2C01DAA6" wp14:editId="5E2DCF85">
            <wp:extent cx="5731510" cy="3155392"/>
            <wp:effectExtent l="0" t="0" r="2540" b="6985"/>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5731510" cy="3155392"/>
                    </a:xfrm>
                    <a:prstGeom prst="rect">
                      <a:avLst/>
                    </a:prstGeom>
                  </pic:spPr>
                </pic:pic>
              </a:graphicData>
            </a:graphic>
          </wp:inline>
        </w:drawing>
      </w:r>
    </w:p>
    <w:p w:rsidR="00451026" w:rsidRPr="00FE6BA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b/>
          <w:sz w:val="24"/>
          <w:szCs w:val="24"/>
        </w:rPr>
      </w:pPr>
      <w:r w:rsidRPr="00FE6BAA">
        <w:rPr>
          <w:rFonts w:ascii="Times New Roman" w:hAnsi="Times New Roman" w:cs="Times New Roman"/>
          <w:b/>
          <w:sz w:val="24"/>
          <w:szCs w:val="24"/>
        </w:rPr>
        <w:t xml:space="preserve">Tasas de interés bajas: ¿más riesgos que ventajas? </w:t>
      </w:r>
    </w:p>
    <w:p w:rsidR="00451026" w:rsidRPr="00FE6BA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FE6BAA">
        <w:rPr>
          <w:rFonts w:ascii="Times New Roman" w:hAnsi="Times New Roman" w:cs="Times New Roman"/>
          <w:sz w:val="24"/>
          <w:szCs w:val="24"/>
        </w:rPr>
        <w:t xml:space="preserve">La primera reacción de los bancos centrales de todo el mundo ante la desaceleración económica provocada por las turbulencias financieras fue recortar de forma drástica las tasas de interés. Como consecuencia, las tasas oficiales en las principales economías avanzadas oscilan en la actualidad entre cero y 1%, por lo que no queda margen, o muy escaso, para realizar recortes adicionales si hubiera que afrontar nuevas perturbaciones negativas (véase el Gráfico III.1). En términos reales, las tasas están en niveles cercanos a cero en la zona del euro y son negativas en el Reino Unido y Estados Unidos. En Japón, la leve deflación ha vuelto a situar las tasas reales por encima de cero. Conforme la crisis empeoraba, los bancos centrales adoptaron medidas no convencionales para evitar lo que muchos temían podría </w:t>
      </w:r>
      <w:r w:rsidRPr="00FE6BAA">
        <w:rPr>
          <w:rFonts w:ascii="Times New Roman" w:hAnsi="Times New Roman" w:cs="Times New Roman"/>
          <w:sz w:val="24"/>
          <w:szCs w:val="24"/>
        </w:rPr>
        <w:lastRenderedPageBreak/>
        <w:t>convertirse en una segunda Gran Depresión. Entre otras medidas, facilitaron abundante liquidez en moneda local, emplearon swaps para proveer de moneda extranjera a instituciones locales e intervinieron en los mercados de renta fija. Dichas medidas inflaron de forma significativa los balances de los bancos centrales y modificaron su composición (Gráfico II.4). Los gobiernos complementaron la respuesta de la banca central apoyando a instituciones financieras concretas e introduciendo importantes estímulos fiscales</w:t>
      </w:r>
      <w:r>
        <w:rPr>
          <w:rFonts w:ascii="Times New Roman" w:hAnsi="Times New Roman" w:cs="Times New Roman"/>
          <w:sz w:val="24"/>
          <w:szCs w:val="24"/>
        </w:rPr>
        <w:t>…</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FE6BAA">
        <w:rPr>
          <w:rFonts w:ascii="Times New Roman" w:hAnsi="Times New Roman" w:cs="Times New Roman"/>
          <w:noProof/>
          <w:sz w:val="24"/>
          <w:szCs w:val="24"/>
          <w:lang w:eastAsia="es-ES"/>
        </w:rPr>
        <w:drawing>
          <wp:inline distT="0" distB="0" distL="0" distR="0" wp14:anchorId="28F39CF3" wp14:editId="24D8E900">
            <wp:extent cx="5708650" cy="6165850"/>
            <wp:effectExtent l="0" t="0" r="6350" b="6350"/>
            <wp:docPr id="372" name="Imagen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5706507" cy="6163535"/>
                    </a:xfrm>
                    <a:prstGeom prst="rect">
                      <a:avLst/>
                    </a:prstGeom>
                  </pic:spPr>
                </pic:pic>
              </a:graphicData>
            </a:graphic>
          </wp:inline>
        </w:drawing>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FE6BAA">
        <w:rPr>
          <w:rFonts w:ascii="Times New Roman" w:hAnsi="Times New Roman" w:cs="Times New Roman"/>
          <w:sz w:val="24"/>
          <w:szCs w:val="24"/>
        </w:rPr>
        <w:t xml:space="preserve">Las recientes turbulencias en los mercados ante la preocupación por la deuda soberana probablemente han pospuesto el necesario retorno a políticas monetarias más normales en diversas economías avanzadas. El momento exacto en que se endurezcan las condiciones monetarias dependerá de las perspectivas sobre la actividad macroeconómica y la inflación, y de la salud del sistema financiero. Ahora bien, mantener las tasas de interés en niveles muy bajos conlleva un precio, que además aumenta con el tiempo. La experiencia demuestra que el mantenimiento de tasas inusitadamente bajas durante períodos prolongados enturbia la </w:t>
      </w:r>
      <w:r w:rsidRPr="00FE6BAA">
        <w:rPr>
          <w:rFonts w:ascii="Times New Roman" w:hAnsi="Times New Roman" w:cs="Times New Roman"/>
          <w:sz w:val="24"/>
          <w:szCs w:val="24"/>
        </w:rPr>
        <w:lastRenderedPageBreak/>
        <w:t>valoración de los riesgos financieros, provoca la búsqueda de rentabilidad y retrasa el ajuste de los balances. Asimismo, los diferenciales de rendimiento resultantes alimentan flujos de capital insostenibles hacia países con tasas de interés altas. Dado que estos efectos secundarios ponen en peligro la estabilidad macroeconómica y financiera a largo plazo, es necesario tenerlos en cuenta a la hora de determinar el momento y el ritmo de normalización de las tasas de interés oficiales.</w:t>
      </w:r>
    </w:p>
    <w:p w:rsidR="00451026" w:rsidRPr="00FE6BA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b/>
          <w:sz w:val="24"/>
          <w:szCs w:val="24"/>
        </w:rPr>
      </w:pPr>
      <w:r w:rsidRPr="00FE6BAA">
        <w:rPr>
          <w:rFonts w:ascii="Times New Roman" w:hAnsi="Times New Roman" w:cs="Times New Roman"/>
          <w:b/>
          <w:sz w:val="24"/>
          <w:szCs w:val="24"/>
        </w:rPr>
        <w:t xml:space="preserve">Sostenibilidad fiscal en los países industriales: riesgos y desafíos </w:t>
      </w:r>
    </w:p>
    <w:p w:rsidR="00451026" w:rsidRPr="00FE6BAA"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FE6BAA">
        <w:rPr>
          <w:rFonts w:ascii="Times New Roman" w:hAnsi="Times New Roman" w:cs="Times New Roman"/>
          <w:sz w:val="24"/>
          <w:szCs w:val="24"/>
        </w:rPr>
        <w:t>Las notables caídas de los ingresos públicos, los cuantiosos programas de rescate financiero y las políticas fiscales expansivas tras la crisis financiera han deteriorado notablemente las posiciones fiscales de las economías industriales (véase el Gráfico V.1). Se prevé que la deuda pública agregada de las economías avanzadas en porcentaje del PIB crezca desde el 76% en 2007 hasta más del 100% en 2011, un nivel no alcanzado en las últimas décadas. Además, aún no se conoce el coste total de poner en orden los balances de las instituciones financieras, en particular teniendo en cuenta que siguen siendo muy vulnerables a acontecimientos adversos. Más allá de 2011, diversos países industriales se enfrentan al elevado y creciente gasto en pensiones y salud asociados al envejecimiento de su población. Si no se abordan a tiempo y con eficacia, estos costes podrían generar niveles de déficit y deuda cada vez mayores…</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FE6BAA">
        <w:rPr>
          <w:rFonts w:ascii="Times New Roman" w:hAnsi="Times New Roman" w:cs="Times New Roman"/>
          <w:noProof/>
          <w:sz w:val="24"/>
          <w:szCs w:val="24"/>
          <w:lang w:eastAsia="es-ES"/>
        </w:rPr>
        <w:drawing>
          <wp:inline distT="0" distB="0" distL="0" distR="0" wp14:anchorId="379AFB84" wp14:editId="4FAFBA8A">
            <wp:extent cx="5731510" cy="3857135"/>
            <wp:effectExtent l="0" t="0" r="2540" b="0"/>
            <wp:docPr id="373" name="Imagen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5731510" cy="3857135"/>
                    </a:xfrm>
                    <a:prstGeom prst="rect">
                      <a:avLst/>
                    </a:prstGeom>
                  </pic:spPr>
                </pic:pic>
              </a:graphicData>
            </a:graphic>
          </wp:inline>
        </w:drawing>
      </w:r>
    </w:p>
    <w:p w:rsidR="00451026" w:rsidRPr="00A91FD1"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b/>
          <w:sz w:val="24"/>
          <w:szCs w:val="24"/>
        </w:rPr>
      </w:pPr>
      <w:r w:rsidRPr="00A91FD1">
        <w:rPr>
          <w:rFonts w:ascii="Times New Roman" w:hAnsi="Times New Roman" w:cs="Times New Roman"/>
          <w:b/>
          <w:sz w:val="24"/>
          <w:szCs w:val="24"/>
        </w:rPr>
        <w:t xml:space="preserve">La evolución de la deuda pública y sus perspectivas a corto plazo </w:t>
      </w:r>
    </w:p>
    <w:p w:rsidR="00451026" w:rsidRPr="002D1731"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color w:val="FF0000"/>
          <w:sz w:val="24"/>
          <w:szCs w:val="24"/>
          <w:u w:val="single"/>
        </w:rPr>
      </w:pPr>
      <w:r w:rsidRPr="002D1731">
        <w:rPr>
          <w:rFonts w:ascii="Times New Roman" w:hAnsi="Times New Roman" w:cs="Times New Roman"/>
          <w:color w:val="FF0000"/>
          <w:sz w:val="24"/>
          <w:szCs w:val="24"/>
          <w:u w:val="single"/>
        </w:rPr>
        <w:t xml:space="preserve">Los países industriales ya han conocido altos niveles de deuda pública. Tras la Segunda Guerra Mundial, por ejemplo, se alcanzaron niveles cercanos al 120% del PIB en Estados Unidos y al 275% en el Reino Unido. En ambos países, cuya deuda pública en 2011 se prevé que supere el 90% del PIB, el reciente aumento de ésta sólo es comparable al observado </w:t>
      </w:r>
      <w:r w:rsidRPr="002D1731">
        <w:rPr>
          <w:rFonts w:ascii="Times New Roman" w:hAnsi="Times New Roman" w:cs="Times New Roman"/>
          <w:color w:val="FF0000"/>
          <w:sz w:val="24"/>
          <w:szCs w:val="24"/>
          <w:u w:val="single"/>
        </w:rPr>
        <w:lastRenderedPageBreak/>
        <w:t xml:space="preserve">durante las dos guerras mundiales (véase el Gráfico V.2, panel izquierdo). Aún peor, el incremento actual del endeudamiento asociado a la crisis ha coincidido en numerosos países con una prolongada erosión de su posición fiscal. De hecho, desde los años 70 hasta 2007, el promedio de deuda pública para el conjunto de los países industriales ha ido creciendo paulatinamente desde el 40% hasta el 76% del PIB (Gráfico V.2, panel derecho). El desequilibrio crónico entre los ingresos públicos y los gastos comprometidos (especialmente el gasto relacionado con la edad de la población) indica que, en diversos grados según el país, la posición fiscal ya había tomado una senda insostenible antes de que estallara la reciente crisis financiera. </w:t>
      </w:r>
    </w:p>
    <w:p w:rsidR="00451026" w:rsidRPr="002D1731"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color w:val="FF0000"/>
          <w:sz w:val="24"/>
          <w:szCs w:val="24"/>
          <w:u w:val="single"/>
        </w:rPr>
      </w:pPr>
      <w:r w:rsidRPr="002D1731">
        <w:rPr>
          <w:rFonts w:ascii="Times New Roman" w:hAnsi="Times New Roman" w:cs="Times New Roman"/>
          <w:color w:val="FF0000"/>
          <w:sz w:val="24"/>
          <w:szCs w:val="24"/>
          <w:u w:val="single"/>
        </w:rPr>
        <w:t xml:space="preserve">Para fines de 2011, se prevé que el cociente deuda pública/PIB de las economías industriales sea, en promedio, unos 30 puntos porcentuales superior al de 2007, lo que supone un incremento cercano a 2⁄5, que será aún mayor en los países más afectados por la crisis. Así, durante el periodo comprendido entre fines de 2007 y fines de 2011, se prevé que la deuda en proporción del PIB crezca más de la mitad en Estados Unidos y en 4 ⁄5 en España, que casi se duplique en el Reino Unido y se triplique en Irlanda (véase el Cuadro V.1). </w:t>
      </w:r>
    </w:p>
    <w:p w:rsidR="00451026" w:rsidRPr="0015310F"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color w:val="FF0000"/>
          <w:sz w:val="24"/>
          <w:szCs w:val="24"/>
          <w:u w:val="single"/>
        </w:rPr>
      </w:pPr>
      <w:r w:rsidRPr="002D1731">
        <w:rPr>
          <w:rFonts w:ascii="Times New Roman" w:hAnsi="Times New Roman" w:cs="Times New Roman"/>
          <w:color w:val="FF0000"/>
          <w:sz w:val="24"/>
          <w:szCs w:val="24"/>
          <w:u w:val="single"/>
        </w:rPr>
        <w:t>No es probable que el reciente repunte de la deuda pública vaya a cesar en el futuro cercano, por diversos motivos. El primero es que los déficits cíclicos provocados por la desaceleración económica (fuertes caídas de los ingresos tributarios acompañadas de un aumento de algunos gastos, principalmente de apoyo a las rentas bajas) probablemente no desaparezcan con rapidez, ya que se prevé que la re</w:t>
      </w:r>
      <w:r w:rsidR="0015310F">
        <w:rPr>
          <w:rFonts w:ascii="Times New Roman" w:hAnsi="Times New Roman" w:cs="Times New Roman"/>
          <w:color w:val="FF0000"/>
          <w:sz w:val="24"/>
          <w:szCs w:val="24"/>
          <w:u w:val="single"/>
        </w:rPr>
        <w:t>cuperación económica sea lenta…</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A91FD1">
        <w:rPr>
          <w:rFonts w:ascii="Times New Roman" w:hAnsi="Times New Roman" w:cs="Times New Roman"/>
          <w:noProof/>
          <w:sz w:val="24"/>
          <w:szCs w:val="24"/>
          <w:lang w:eastAsia="es-ES"/>
        </w:rPr>
        <w:drawing>
          <wp:inline distT="0" distB="0" distL="0" distR="0" wp14:anchorId="28C27025" wp14:editId="4654FEA7">
            <wp:extent cx="5731510" cy="3370324"/>
            <wp:effectExtent l="0" t="0" r="2540" b="1905"/>
            <wp:docPr id="374" name="Imagen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731510" cy="3370324"/>
                    </a:xfrm>
                    <a:prstGeom prst="rect">
                      <a:avLst/>
                    </a:prstGeom>
                  </pic:spPr>
                </pic:pic>
              </a:graphicData>
            </a:graphic>
          </wp:inline>
        </w:drawing>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A91FD1">
        <w:rPr>
          <w:rFonts w:ascii="Times New Roman" w:hAnsi="Times New Roman" w:cs="Times New Roman"/>
          <w:noProof/>
          <w:sz w:val="24"/>
          <w:szCs w:val="24"/>
          <w:lang w:eastAsia="es-ES"/>
        </w:rPr>
        <w:lastRenderedPageBreak/>
        <w:drawing>
          <wp:inline distT="0" distB="0" distL="0" distR="0" wp14:anchorId="10FF7F6E" wp14:editId="34C848C6">
            <wp:extent cx="5727700" cy="3790950"/>
            <wp:effectExtent l="0" t="0" r="6350" b="0"/>
            <wp:docPr id="375" name="Imagen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731510" cy="3793472"/>
                    </a:xfrm>
                    <a:prstGeom prst="rect">
                      <a:avLst/>
                    </a:prstGeom>
                  </pic:spPr>
                </pic:pic>
              </a:graphicData>
            </a:graphic>
          </wp:inline>
        </w:drawing>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A91FD1">
        <w:rPr>
          <w:rFonts w:ascii="Times New Roman" w:hAnsi="Times New Roman" w:cs="Times New Roman"/>
          <w:noProof/>
          <w:sz w:val="24"/>
          <w:szCs w:val="24"/>
          <w:lang w:eastAsia="es-ES"/>
        </w:rPr>
        <w:drawing>
          <wp:inline distT="0" distB="0" distL="0" distR="0" wp14:anchorId="4C0E9AEA" wp14:editId="6759EDA2">
            <wp:extent cx="5727699" cy="4819650"/>
            <wp:effectExtent l="0" t="0" r="6985" b="0"/>
            <wp:docPr id="376" name="Imagen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731510" cy="4822856"/>
                    </a:xfrm>
                    <a:prstGeom prst="rect">
                      <a:avLst/>
                    </a:prstGeom>
                  </pic:spPr>
                </pic:pic>
              </a:graphicData>
            </a:graphic>
          </wp:inline>
        </w:drawing>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A91FD1">
        <w:rPr>
          <w:rFonts w:ascii="Times New Roman" w:hAnsi="Times New Roman" w:cs="Times New Roman"/>
          <w:noProof/>
          <w:sz w:val="24"/>
          <w:szCs w:val="24"/>
          <w:lang w:eastAsia="es-ES"/>
        </w:rPr>
        <w:lastRenderedPageBreak/>
        <w:drawing>
          <wp:inline distT="0" distB="0" distL="0" distR="0" wp14:anchorId="5765480F" wp14:editId="638A3DB1">
            <wp:extent cx="5731510" cy="3088035"/>
            <wp:effectExtent l="0" t="0" r="2540" b="0"/>
            <wp:docPr id="377" name="Imagen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5731510" cy="3088035"/>
                    </a:xfrm>
                    <a:prstGeom prst="rect">
                      <a:avLst/>
                    </a:prstGeom>
                  </pic:spPr>
                </pic:pic>
              </a:graphicData>
            </a:graphic>
          </wp:inline>
        </w:drawing>
      </w:r>
    </w:p>
    <w:p w:rsidR="00451026" w:rsidRPr="004E470B"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b/>
          <w:sz w:val="24"/>
          <w:szCs w:val="24"/>
        </w:rPr>
      </w:pPr>
      <w:r w:rsidRPr="004E470B">
        <w:rPr>
          <w:rFonts w:ascii="Times New Roman" w:hAnsi="Times New Roman" w:cs="Times New Roman"/>
          <w:b/>
          <w:sz w:val="24"/>
          <w:szCs w:val="24"/>
        </w:rPr>
        <w:t xml:space="preserve">Retos para los bancos centrales </w:t>
      </w:r>
    </w:p>
    <w:p w:rsidR="00451026" w:rsidRPr="004E470B"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E470B">
        <w:rPr>
          <w:rFonts w:ascii="Times New Roman" w:hAnsi="Times New Roman" w:cs="Times New Roman"/>
          <w:sz w:val="24"/>
          <w:szCs w:val="24"/>
        </w:rPr>
        <w:t xml:space="preserve">El continuo deterioro de los saldos fiscales también podría complicar la tarea de los bancos centrales de mantener la inflación baja y estable, al menos por dos razones. Una es que la rápida acumulación de deuda pública aumenta la tentación de tolerar un brote inesperado de la inflación para reducir el valor real de la deuda. Así ocurre especialmente cuando gran parte de la deuda en moneda local es a largo plazo y una gran proporción está en manos de no residentes. Esa tentación también será mayor si el presupuesto público se basa principalmente en flujos nominales, ya que en ese caso el repunte inesperado de inflación aumenta el valor real de los ingresos tributarios y reduce el del gasto público. Por todo ello, podría aumentar la presión política ejercida sobre el banco central para permitir una mayor inflación. Con todo, cualquier beneficio derivado de una inflación inesperada resultaría transitorio, mientras que su coste sería sin duda más alto y duradero, por ejemplo tasas de interés reales permanentemente más altas en el futuro, una mala asignación de recursos y la pérdida de producto que probablemente se necesitaría para devolver la inflación a su nivel de partida. </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E470B">
        <w:rPr>
          <w:rFonts w:ascii="Times New Roman" w:hAnsi="Times New Roman" w:cs="Times New Roman"/>
          <w:sz w:val="24"/>
          <w:szCs w:val="24"/>
        </w:rPr>
        <w:t>Una segunda razón por la que un nivel de deuda elevado y creciente podría conllevar mayor inflación es que el público, ante el fracaso reiterado del gobierno para cerrar la brecha fiscal, podría negarse eventualmente a invertir en deuda pública. Para evitar un impago soberano en toda regla cuando la deuda en circulación no pueda seguir refinanciándose, el banco central se podría ver forzado a comprar bonos de gobierno y, de ese modo, dejaría que se ampliara la oferta monetaria. A diferencia del caso anterior, esto es más probable que ocurra cuando el vencimiento medio de la deuda es a corto plazo. Además, cuando una elevada proporción de la deuda tiene plazos de vencimiento cortos, los esfuerzos por reducir la inflación elevando las tasas de interés podrían ser en balde: el aumento de las tasas se traduciría rápidamente en mayores pagos por intereses y, por tanto, en un mayor volumen de deuda, adelantando así el momento probable de la monetización…</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E470B">
        <w:rPr>
          <w:rFonts w:ascii="Times New Roman" w:hAnsi="Times New Roman" w:cs="Times New Roman"/>
          <w:noProof/>
          <w:sz w:val="24"/>
          <w:szCs w:val="24"/>
          <w:lang w:eastAsia="es-ES"/>
        </w:rPr>
        <w:lastRenderedPageBreak/>
        <w:drawing>
          <wp:inline distT="0" distB="0" distL="0" distR="0" wp14:anchorId="236C3315" wp14:editId="08F060EF">
            <wp:extent cx="5731510" cy="3197031"/>
            <wp:effectExtent l="0" t="0" r="2540" b="3810"/>
            <wp:docPr id="378" name="Imagen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31510" cy="3197031"/>
                    </a:xfrm>
                    <a:prstGeom prst="rect">
                      <a:avLst/>
                    </a:prstGeom>
                  </pic:spPr>
                </pic:pic>
              </a:graphicData>
            </a:graphic>
          </wp:inline>
        </w:drawing>
      </w:r>
    </w:p>
    <w:p w:rsidR="00451026" w:rsidRPr="004E470B"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b/>
          <w:sz w:val="24"/>
          <w:szCs w:val="24"/>
        </w:rPr>
      </w:pPr>
      <w:r w:rsidRPr="004E470B">
        <w:rPr>
          <w:rFonts w:ascii="Times New Roman" w:hAnsi="Times New Roman" w:cs="Times New Roman"/>
          <w:b/>
          <w:sz w:val="24"/>
          <w:szCs w:val="24"/>
        </w:rPr>
        <w:t xml:space="preserve">Resumen </w:t>
      </w:r>
    </w:p>
    <w:p w:rsidR="00451026"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r w:rsidRPr="004E470B">
        <w:rPr>
          <w:rFonts w:ascii="Times New Roman" w:hAnsi="Times New Roman" w:cs="Times New Roman"/>
          <w:sz w:val="24"/>
          <w:szCs w:val="24"/>
        </w:rPr>
        <w:t>El deterioro de las finanzas públicas en los países industriales plantea riesgos macroeconómicos importantes para la economía mundial. La presencia de niveles de deuda pública elevados y crecientes no sólo puede amenazar las perspectivas de crecimiento a medio y largo plazo, sino también menoscabar la credibilidad de la política monetaria en su objetivo de mantener una inflación baja. Además, los enormes desequilibrios fiscales a largo plazo de los países industriales se esconden bajo cifras oficiales de deuda pública muy inferiores a las reales, un problema que indudablemente sugiere la necesidad de una mayor transparencia en la divulgación de datos. Igualmente importante es la necesidad de basar las proyecciones presupuestarias en supuestos prudentes. En este sentido, podría ser beneficiosa la creación de agencias independientes para inspeccionar las cuentas públicas y sus proyecciones. El ajuste que actualmente requieren las economías avanzadas es sin duda considerable, pero no inédito. Un compromiso creíble de los gobiernos para reducir o eliminar sus déficits actuales y futuros se verá recompensado a largo plazo. Cualquier posible coste inicial de la restricción fiscal en términos de menor crecimiento del producto a corto plazo se verá compensado con creces por los beneficios duraderos que aportan menores tasas de interés reales, mayor estabilidad del sistema financiero y mejores perspectivas de crecimiento económico</w:t>
      </w:r>
      <w:r>
        <w:rPr>
          <w:rFonts w:ascii="Times New Roman" w:hAnsi="Times New Roman" w:cs="Times New Roman"/>
          <w:sz w:val="24"/>
          <w:szCs w:val="24"/>
        </w:rPr>
        <w:t>.</w:t>
      </w:r>
    </w:p>
    <w:p w:rsidR="00451026" w:rsidRPr="004E470B"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p>
    <w:p w:rsidR="00451026" w:rsidRPr="004E470B" w:rsidRDefault="00451026" w:rsidP="00451026">
      <w:pPr>
        <w:shd w:val="clear" w:color="auto" w:fill="FFFFFF"/>
        <w:spacing w:before="100" w:beforeAutospacing="1" w:after="100" w:afterAutospacing="1" w:line="240" w:lineRule="auto"/>
        <w:jc w:val="both"/>
        <w:textAlignment w:val="baseline"/>
        <w:rPr>
          <w:rFonts w:ascii="Times New Roman" w:hAnsi="Times New Roman" w:cs="Times New Roman"/>
          <w:sz w:val="24"/>
          <w:szCs w:val="24"/>
        </w:rPr>
      </w:pPr>
    </w:p>
    <w:p w:rsidR="00451026" w:rsidRPr="00FE6BAA" w:rsidRDefault="00451026" w:rsidP="00451026">
      <w:pPr>
        <w:spacing w:line="240" w:lineRule="auto"/>
        <w:jc w:val="both"/>
        <w:rPr>
          <w:rFonts w:ascii="Times New Roman" w:hAnsi="Times New Roman" w:cs="Times New Roman"/>
          <w:b/>
          <w:sz w:val="24"/>
          <w:szCs w:val="24"/>
        </w:rPr>
      </w:pPr>
    </w:p>
    <w:p w:rsidR="00451026" w:rsidRPr="008545F7" w:rsidRDefault="00451026" w:rsidP="00451026">
      <w:pPr>
        <w:spacing w:line="240" w:lineRule="auto"/>
        <w:jc w:val="both"/>
        <w:rPr>
          <w:rFonts w:ascii="Times New Roman" w:hAnsi="Times New Roman" w:cs="Times New Roman"/>
          <w:sz w:val="24"/>
          <w:szCs w:val="24"/>
        </w:rPr>
      </w:pPr>
    </w:p>
    <w:p w:rsidR="00451026" w:rsidRDefault="00451026" w:rsidP="00451026"/>
    <w:p w:rsidR="00071F11" w:rsidRPr="005C0342" w:rsidRDefault="00071F11">
      <w:pPr>
        <w:rPr>
          <w:rFonts w:ascii="Times New Roman" w:hAnsi="Times New Roman" w:cs="Times New Roman"/>
          <w:sz w:val="24"/>
          <w:szCs w:val="24"/>
        </w:rPr>
      </w:pPr>
    </w:p>
    <w:sectPr w:rsidR="00071F11" w:rsidRPr="005C034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D46FB"/>
    <w:multiLevelType w:val="multilevel"/>
    <w:tmpl w:val="8D0ED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AE31E6"/>
    <w:multiLevelType w:val="multilevel"/>
    <w:tmpl w:val="17AA2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373846"/>
    <w:multiLevelType w:val="hybridMultilevel"/>
    <w:tmpl w:val="B5202302"/>
    <w:lvl w:ilvl="0" w:tplc="4866BD1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90D5029"/>
    <w:multiLevelType w:val="multilevel"/>
    <w:tmpl w:val="F68CF4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20CA0FCC"/>
    <w:multiLevelType w:val="multilevel"/>
    <w:tmpl w:val="6F0EF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17F54DC"/>
    <w:multiLevelType w:val="hybridMultilevel"/>
    <w:tmpl w:val="E99E0838"/>
    <w:lvl w:ilvl="0" w:tplc="26448A3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424E6D7C"/>
    <w:multiLevelType w:val="hybridMultilevel"/>
    <w:tmpl w:val="3EC8CFC0"/>
    <w:lvl w:ilvl="0" w:tplc="C2C81CC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296493E"/>
    <w:multiLevelType w:val="multilevel"/>
    <w:tmpl w:val="4B789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5050C33"/>
    <w:multiLevelType w:val="multilevel"/>
    <w:tmpl w:val="4A24A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7A02683"/>
    <w:multiLevelType w:val="multilevel"/>
    <w:tmpl w:val="6DA49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8113233"/>
    <w:multiLevelType w:val="multilevel"/>
    <w:tmpl w:val="29283F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6D686D35"/>
    <w:multiLevelType w:val="hybridMultilevel"/>
    <w:tmpl w:val="E3F02F5A"/>
    <w:lvl w:ilvl="0" w:tplc="5CB4C70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6F6C59DF"/>
    <w:multiLevelType w:val="hybridMultilevel"/>
    <w:tmpl w:val="B7E0C24C"/>
    <w:lvl w:ilvl="0" w:tplc="D21C2598">
      <w:numFmt w:val="bullet"/>
      <w:lvlText w:val="-"/>
      <w:lvlJc w:val="left"/>
      <w:pPr>
        <w:ind w:left="720" w:hanging="360"/>
      </w:pPr>
      <w:rPr>
        <w:rFonts w:ascii="Times New Roman" w:eastAsiaTheme="minorHAnsi" w:hAnsi="Times New Roman" w:cs="Times New Roman"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71FC1745"/>
    <w:multiLevelType w:val="multilevel"/>
    <w:tmpl w:val="DBC6B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4412DC7"/>
    <w:multiLevelType w:val="multilevel"/>
    <w:tmpl w:val="D4C65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0"/>
  </w:num>
  <w:num w:numId="3">
    <w:abstractNumId w:val="13"/>
  </w:num>
  <w:num w:numId="4">
    <w:abstractNumId w:val="7"/>
  </w:num>
  <w:num w:numId="5">
    <w:abstractNumId w:val="4"/>
  </w:num>
  <w:num w:numId="6">
    <w:abstractNumId w:val="12"/>
  </w:num>
  <w:num w:numId="7">
    <w:abstractNumId w:val="14"/>
  </w:num>
  <w:num w:numId="8">
    <w:abstractNumId w:val="2"/>
  </w:num>
  <w:num w:numId="9">
    <w:abstractNumId w:val="10"/>
  </w:num>
  <w:num w:numId="10">
    <w:abstractNumId w:val="3"/>
  </w:num>
  <w:num w:numId="11">
    <w:abstractNumId w:val="5"/>
  </w:num>
  <w:num w:numId="12">
    <w:abstractNumId w:val="6"/>
  </w:num>
  <w:num w:numId="13">
    <w:abstractNumId w:val="8"/>
  </w:num>
  <w:num w:numId="14">
    <w:abstractNumId w:val="9"/>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42"/>
    <w:rsid w:val="00010E54"/>
    <w:rsid w:val="00023575"/>
    <w:rsid w:val="000376F5"/>
    <w:rsid w:val="00071F11"/>
    <w:rsid w:val="00075B3B"/>
    <w:rsid w:val="000C0028"/>
    <w:rsid w:val="000C087C"/>
    <w:rsid w:val="000F3392"/>
    <w:rsid w:val="00150C27"/>
    <w:rsid w:val="0015310F"/>
    <w:rsid w:val="00173A11"/>
    <w:rsid w:val="0017473D"/>
    <w:rsid w:val="00205456"/>
    <w:rsid w:val="00206F22"/>
    <w:rsid w:val="0023557F"/>
    <w:rsid w:val="0024477F"/>
    <w:rsid w:val="002801B5"/>
    <w:rsid w:val="00283802"/>
    <w:rsid w:val="002A10EB"/>
    <w:rsid w:val="002A2D12"/>
    <w:rsid w:val="002A5FE7"/>
    <w:rsid w:val="002D2BB8"/>
    <w:rsid w:val="00312276"/>
    <w:rsid w:val="0033117C"/>
    <w:rsid w:val="00360244"/>
    <w:rsid w:val="003E14BC"/>
    <w:rsid w:val="003F5272"/>
    <w:rsid w:val="00405307"/>
    <w:rsid w:val="00451026"/>
    <w:rsid w:val="00455E86"/>
    <w:rsid w:val="00464566"/>
    <w:rsid w:val="004E1245"/>
    <w:rsid w:val="004E539D"/>
    <w:rsid w:val="00525F1B"/>
    <w:rsid w:val="00551599"/>
    <w:rsid w:val="005555DA"/>
    <w:rsid w:val="005B722D"/>
    <w:rsid w:val="005C0342"/>
    <w:rsid w:val="005E06F1"/>
    <w:rsid w:val="00684A51"/>
    <w:rsid w:val="006C44A4"/>
    <w:rsid w:val="006D78F8"/>
    <w:rsid w:val="006F0DE5"/>
    <w:rsid w:val="006F754E"/>
    <w:rsid w:val="00705868"/>
    <w:rsid w:val="00713697"/>
    <w:rsid w:val="00762DA7"/>
    <w:rsid w:val="007918DD"/>
    <w:rsid w:val="0079727F"/>
    <w:rsid w:val="0080438C"/>
    <w:rsid w:val="00821071"/>
    <w:rsid w:val="008258F5"/>
    <w:rsid w:val="00871209"/>
    <w:rsid w:val="008C0554"/>
    <w:rsid w:val="008E43D0"/>
    <w:rsid w:val="009227FF"/>
    <w:rsid w:val="00940FC6"/>
    <w:rsid w:val="00A135F2"/>
    <w:rsid w:val="00A53386"/>
    <w:rsid w:val="00A868F7"/>
    <w:rsid w:val="00A9604A"/>
    <w:rsid w:val="00AB4CC6"/>
    <w:rsid w:val="00AD55A7"/>
    <w:rsid w:val="00AE2A85"/>
    <w:rsid w:val="00B07F8D"/>
    <w:rsid w:val="00B109EA"/>
    <w:rsid w:val="00B21A68"/>
    <w:rsid w:val="00B40AFF"/>
    <w:rsid w:val="00B466F3"/>
    <w:rsid w:val="00BB4446"/>
    <w:rsid w:val="00BC3EFD"/>
    <w:rsid w:val="00BE0F7A"/>
    <w:rsid w:val="00C012D5"/>
    <w:rsid w:val="00C2743F"/>
    <w:rsid w:val="00C32427"/>
    <w:rsid w:val="00C51270"/>
    <w:rsid w:val="00C63D9F"/>
    <w:rsid w:val="00C70908"/>
    <w:rsid w:val="00C94378"/>
    <w:rsid w:val="00DA63E6"/>
    <w:rsid w:val="00DA6A38"/>
    <w:rsid w:val="00DE42D3"/>
    <w:rsid w:val="00DE4761"/>
    <w:rsid w:val="00E12BB3"/>
    <w:rsid w:val="00E2080B"/>
    <w:rsid w:val="00E20AE9"/>
    <w:rsid w:val="00E365A9"/>
    <w:rsid w:val="00E57751"/>
    <w:rsid w:val="00E9644E"/>
    <w:rsid w:val="00EC44A7"/>
    <w:rsid w:val="00ED5906"/>
    <w:rsid w:val="00ED5F96"/>
    <w:rsid w:val="00EF04BA"/>
    <w:rsid w:val="00EF59CA"/>
    <w:rsid w:val="00F35FE2"/>
    <w:rsid w:val="00F753F8"/>
    <w:rsid w:val="00FE763F"/>
    <w:rsid w:val="00FF707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8C055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5C03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8C0554"/>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C034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C0342"/>
    <w:rPr>
      <w:rFonts w:ascii="Tahoma" w:hAnsi="Tahoma" w:cs="Tahoma"/>
      <w:sz w:val="16"/>
      <w:szCs w:val="16"/>
    </w:rPr>
  </w:style>
  <w:style w:type="character" w:customStyle="1" w:styleId="Ttulo2Car">
    <w:name w:val="Título 2 Car"/>
    <w:basedOn w:val="Fuentedeprrafopredeter"/>
    <w:link w:val="Ttulo2"/>
    <w:uiPriority w:val="9"/>
    <w:semiHidden/>
    <w:rsid w:val="005C0342"/>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5C034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5C0342"/>
    <w:rPr>
      <w:color w:val="0000FF"/>
      <w:u w:val="single"/>
    </w:rPr>
  </w:style>
  <w:style w:type="character" w:customStyle="1" w:styleId="Ttulo1Car">
    <w:name w:val="Título 1 Car"/>
    <w:basedOn w:val="Fuentedeprrafopredeter"/>
    <w:link w:val="Ttulo1"/>
    <w:uiPriority w:val="9"/>
    <w:rsid w:val="008C0554"/>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rsid w:val="008C0554"/>
    <w:rPr>
      <w:rFonts w:asciiTheme="majorHAnsi" w:eastAsiaTheme="majorEastAsia" w:hAnsiTheme="majorHAnsi" w:cstheme="majorBidi"/>
      <w:b/>
      <w:bCs/>
      <w:color w:val="4F81BD" w:themeColor="accent1"/>
    </w:rPr>
  </w:style>
  <w:style w:type="character" w:styleId="Textoennegrita">
    <w:name w:val="Strong"/>
    <w:basedOn w:val="Fuentedeprrafopredeter"/>
    <w:uiPriority w:val="22"/>
    <w:qFormat/>
    <w:rsid w:val="008C0554"/>
    <w:rPr>
      <w:b/>
      <w:bCs/>
    </w:rPr>
  </w:style>
  <w:style w:type="paragraph" w:styleId="Prrafodelista">
    <w:name w:val="List Paragraph"/>
    <w:basedOn w:val="Normal"/>
    <w:uiPriority w:val="34"/>
    <w:qFormat/>
    <w:rsid w:val="00173A11"/>
    <w:pPr>
      <w:ind w:left="720"/>
      <w:contextualSpacing/>
    </w:pPr>
  </w:style>
  <w:style w:type="character" w:styleId="nfasis">
    <w:name w:val="Emphasis"/>
    <w:basedOn w:val="Fuentedeprrafopredeter"/>
    <w:uiPriority w:val="20"/>
    <w:qFormat/>
    <w:rsid w:val="00405307"/>
    <w:rPr>
      <w:i/>
      <w:iCs/>
    </w:rPr>
  </w:style>
  <w:style w:type="character" w:customStyle="1" w:styleId="apple-converted-space">
    <w:name w:val="apple-converted-space"/>
    <w:basedOn w:val="Fuentedeprrafopredeter"/>
    <w:rsid w:val="00405307"/>
  </w:style>
  <w:style w:type="character" w:customStyle="1" w:styleId="ecb-toggle">
    <w:name w:val="ecb-toggle"/>
    <w:basedOn w:val="Fuentedeprrafopredeter"/>
    <w:rsid w:val="004510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8C055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5C03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8C0554"/>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C034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C0342"/>
    <w:rPr>
      <w:rFonts w:ascii="Tahoma" w:hAnsi="Tahoma" w:cs="Tahoma"/>
      <w:sz w:val="16"/>
      <w:szCs w:val="16"/>
    </w:rPr>
  </w:style>
  <w:style w:type="character" w:customStyle="1" w:styleId="Ttulo2Car">
    <w:name w:val="Título 2 Car"/>
    <w:basedOn w:val="Fuentedeprrafopredeter"/>
    <w:link w:val="Ttulo2"/>
    <w:uiPriority w:val="9"/>
    <w:semiHidden/>
    <w:rsid w:val="005C0342"/>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5C034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5C0342"/>
    <w:rPr>
      <w:color w:val="0000FF"/>
      <w:u w:val="single"/>
    </w:rPr>
  </w:style>
  <w:style w:type="character" w:customStyle="1" w:styleId="Ttulo1Car">
    <w:name w:val="Título 1 Car"/>
    <w:basedOn w:val="Fuentedeprrafopredeter"/>
    <w:link w:val="Ttulo1"/>
    <w:uiPriority w:val="9"/>
    <w:rsid w:val="008C0554"/>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rsid w:val="008C0554"/>
    <w:rPr>
      <w:rFonts w:asciiTheme="majorHAnsi" w:eastAsiaTheme="majorEastAsia" w:hAnsiTheme="majorHAnsi" w:cstheme="majorBidi"/>
      <w:b/>
      <w:bCs/>
      <w:color w:val="4F81BD" w:themeColor="accent1"/>
    </w:rPr>
  </w:style>
  <w:style w:type="character" w:styleId="Textoennegrita">
    <w:name w:val="Strong"/>
    <w:basedOn w:val="Fuentedeprrafopredeter"/>
    <w:uiPriority w:val="22"/>
    <w:qFormat/>
    <w:rsid w:val="008C0554"/>
    <w:rPr>
      <w:b/>
      <w:bCs/>
    </w:rPr>
  </w:style>
  <w:style w:type="paragraph" w:styleId="Prrafodelista">
    <w:name w:val="List Paragraph"/>
    <w:basedOn w:val="Normal"/>
    <w:uiPriority w:val="34"/>
    <w:qFormat/>
    <w:rsid w:val="00173A11"/>
    <w:pPr>
      <w:ind w:left="720"/>
      <w:contextualSpacing/>
    </w:pPr>
  </w:style>
  <w:style w:type="character" w:styleId="nfasis">
    <w:name w:val="Emphasis"/>
    <w:basedOn w:val="Fuentedeprrafopredeter"/>
    <w:uiPriority w:val="20"/>
    <w:qFormat/>
    <w:rsid w:val="00405307"/>
    <w:rPr>
      <w:i/>
      <w:iCs/>
    </w:rPr>
  </w:style>
  <w:style w:type="character" w:customStyle="1" w:styleId="apple-converted-space">
    <w:name w:val="apple-converted-space"/>
    <w:basedOn w:val="Fuentedeprrafopredeter"/>
    <w:rsid w:val="00405307"/>
  </w:style>
  <w:style w:type="character" w:customStyle="1" w:styleId="ecb-toggle">
    <w:name w:val="ecb-toggle"/>
    <w:basedOn w:val="Fuentedeprrafopredeter"/>
    <w:rsid w:val="004510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confidencial.com/mercados/2018-06-13/fed-tipos-de-interes-subidas-2018-inflacion_1578563/" TargetMode="External"/><Relationship Id="rId299" Type="http://schemas.openxmlformats.org/officeDocument/2006/relationships/image" Target="media/image255.png"/><Relationship Id="rId303" Type="http://schemas.openxmlformats.org/officeDocument/2006/relationships/image" Target="media/image259.png"/><Relationship Id="rId21" Type="http://schemas.openxmlformats.org/officeDocument/2006/relationships/hyperlink" Target="https://www.ecb.europa.eu/ecb/tasks/reserves/html/index.es.html" TargetMode="External"/><Relationship Id="rId42" Type="http://schemas.openxmlformats.org/officeDocument/2006/relationships/image" Target="media/image15.png"/><Relationship Id="rId63" Type="http://schemas.openxmlformats.org/officeDocument/2006/relationships/image" Target="media/image36.png"/><Relationship Id="rId84" Type="http://schemas.openxmlformats.org/officeDocument/2006/relationships/image" Target="media/image57.png"/><Relationship Id="rId138" Type="http://schemas.openxmlformats.org/officeDocument/2006/relationships/image" Target="media/image102.png"/><Relationship Id="rId159" Type="http://schemas.openxmlformats.org/officeDocument/2006/relationships/image" Target="media/image123.png"/><Relationship Id="rId324" Type="http://schemas.openxmlformats.org/officeDocument/2006/relationships/image" Target="media/image280.png"/><Relationship Id="rId170" Type="http://schemas.openxmlformats.org/officeDocument/2006/relationships/image" Target="media/image134.png"/><Relationship Id="rId191" Type="http://schemas.openxmlformats.org/officeDocument/2006/relationships/image" Target="media/image155.png"/><Relationship Id="rId205" Type="http://schemas.openxmlformats.org/officeDocument/2006/relationships/image" Target="media/image169.png"/><Relationship Id="rId226" Type="http://schemas.openxmlformats.org/officeDocument/2006/relationships/image" Target="media/image189.png"/><Relationship Id="rId247" Type="http://schemas.openxmlformats.org/officeDocument/2006/relationships/image" Target="media/image210.png"/><Relationship Id="rId107" Type="http://schemas.openxmlformats.org/officeDocument/2006/relationships/hyperlink" Target="http://s.libertaddigital.com/2016/10/31/ratio_nuevas_empresas.jpg" TargetMode="External"/><Relationship Id="rId268" Type="http://schemas.openxmlformats.org/officeDocument/2006/relationships/image" Target="media/image231.png"/><Relationship Id="rId289" Type="http://schemas.openxmlformats.org/officeDocument/2006/relationships/image" Target="media/image252.png"/><Relationship Id="rId11" Type="http://schemas.openxmlformats.org/officeDocument/2006/relationships/hyperlink" Target="http://www.eleconomista.es/economia/noticias/9330091/08/18/Siete-cuestiones-clave-para-comprender-el-como-y-el-porque-de-la-crisis-de-Turquia.html" TargetMode="External"/><Relationship Id="rId32" Type="http://schemas.openxmlformats.org/officeDocument/2006/relationships/hyperlink" Target="https://www.ecb.europa.eu/paym/ccbm/html/index.en.html" TargetMode="External"/><Relationship Id="rId53" Type="http://schemas.openxmlformats.org/officeDocument/2006/relationships/image" Target="media/image26.png"/><Relationship Id="rId74" Type="http://schemas.openxmlformats.org/officeDocument/2006/relationships/image" Target="media/image47.png"/><Relationship Id="rId128" Type="http://schemas.openxmlformats.org/officeDocument/2006/relationships/image" Target="media/image92.png"/><Relationship Id="rId149" Type="http://schemas.openxmlformats.org/officeDocument/2006/relationships/image" Target="media/image113.png"/><Relationship Id="rId314" Type="http://schemas.openxmlformats.org/officeDocument/2006/relationships/image" Target="media/image270.png"/><Relationship Id="rId335" Type="http://schemas.openxmlformats.org/officeDocument/2006/relationships/image" Target="media/image291.png"/><Relationship Id="rId5" Type="http://schemas.openxmlformats.org/officeDocument/2006/relationships/settings" Target="settings.xml"/><Relationship Id="rId95" Type="http://schemas.openxmlformats.org/officeDocument/2006/relationships/image" Target="media/image68.png"/><Relationship Id="rId160" Type="http://schemas.openxmlformats.org/officeDocument/2006/relationships/image" Target="media/image124.png"/><Relationship Id="rId181" Type="http://schemas.openxmlformats.org/officeDocument/2006/relationships/image" Target="media/image145.png"/><Relationship Id="rId216" Type="http://schemas.openxmlformats.org/officeDocument/2006/relationships/image" Target="media/image179.png"/><Relationship Id="rId237" Type="http://schemas.openxmlformats.org/officeDocument/2006/relationships/image" Target="media/image200.png"/><Relationship Id="rId258" Type="http://schemas.openxmlformats.org/officeDocument/2006/relationships/image" Target="media/image221.png"/><Relationship Id="rId279" Type="http://schemas.openxmlformats.org/officeDocument/2006/relationships/image" Target="media/image242.png"/><Relationship Id="rId22" Type="http://schemas.openxmlformats.org/officeDocument/2006/relationships/hyperlink" Target="https://www.ecb.europa.eu/ecb/tasks/paym/html/index.es.html" TargetMode="External"/><Relationship Id="rId43" Type="http://schemas.openxmlformats.org/officeDocument/2006/relationships/image" Target="media/image16.png"/><Relationship Id="rId64" Type="http://schemas.openxmlformats.org/officeDocument/2006/relationships/image" Target="media/image37.png"/><Relationship Id="rId118" Type="http://schemas.openxmlformats.org/officeDocument/2006/relationships/hyperlink" Target="https://www.elconfidencial.com/mercados/2018-06-14/bce-tipos-draghi-guindos-compras-bonos-euro_1578898/" TargetMode="External"/><Relationship Id="rId139" Type="http://schemas.openxmlformats.org/officeDocument/2006/relationships/image" Target="media/image103.png"/><Relationship Id="rId290" Type="http://schemas.openxmlformats.org/officeDocument/2006/relationships/image" Target="media/image253.png"/><Relationship Id="rId304" Type="http://schemas.openxmlformats.org/officeDocument/2006/relationships/image" Target="media/image260.png"/><Relationship Id="rId325" Type="http://schemas.openxmlformats.org/officeDocument/2006/relationships/image" Target="media/image281.png"/><Relationship Id="rId85" Type="http://schemas.openxmlformats.org/officeDocument/2006/relationships/image" Target="media/image58.png"/><Relationship Id="rId150" Type="http://schemas.openxmlformats.org/officeDocument/2006/relationships/image" Target="media/image114.png"/><Relationship Id="rId171" Type="http://schemas.openxmlformats.org/officeDocument/2006/relationships/image" Target="media/image135.png"/><Relationship Id="rId192" Type="http://schemas.openxmlformats.org/officeDocument/2006/relationships/image" Target="media/image156.png"/><Relationship Id="rId206" Type="http://schemas.openxmlformats.org/officeDocument/2006/relationships/image" Target="media/image170.png"/><Relationship Id="rId227" Type="http://schemas.openxmlformats.org/officeDocument/2006/relationships/image" Target="media/image190.png"/><Relationship Id="rId248" Type="http://schemas.openxmlformats.org/officeDocument/2006/relationships/image" Target="media/image211.png"/><Relationship Id="rId269" Type="http://schemas.openxmlformats.org/officeDocument/2006/relationships/image" Target="media/image232.png"/><Relationship Id="rId12" Type="http://schemas.openxmlformats.org/officeDocument/2006/relationships/image" Target="media/image3.png"/><Relationship Id="rId33" Type="http://schemas.openxmlformats.org/officeDocument/2006/relationships/hyperlink" Target="https://www.ecb.europa.eu/paym/t2s/html/index.en.html" TargetMode="External"/><Relationship Id="rId108" Type="http://schemas.openxmlformats.org/officeDocument/2006/relationships/image" Target="media/image75.jpeg"/><Relationship Id="rId129" Type="http://schemas.openxmlformats.org/officeDocument/2006/relationships/image" Target="media/image93.png"/><Relationship Id="rId280" Type="http://schemas.openxmlformats.org/officeDocument/2006/relationships/image" Target="media/image243.png"/><Relationship Id="rId315" Type="http://schemas.openxmlformats.org/officeDocument/2006/relationships/image" Target="media/image271.png"/><Relationship Id="rId336" Type="http://schemas.openxmlformats.org/officeDocument/2006/relationships/image" Target="media/image292.png"/><Relationship Id="rId54" Type="http://schemas.openxmlformats.org/officeDocument/2006/relationships/image" Target="media/image27.png"/><Relationship Id="rId75" Type="http://schemas.openxmlformats.org/officeDocument/2006/relationships/image" Target="media/image48.png"/><Relationship Id="rId96" Type="http://schemas.openxmlformats.org/officeDocument/2006/relationships/image" Target="media/image69.png"/><Relationship Id="rId140" Type="http://schemas.openxmlformats.org/officeDocument/2006/relationships/image" Target="media/image104.png"/><Relationship Id="rId161" Type="http://schemas.openxmlformats.org/officeDocument/2006/relationships/image" Target="media/image125.png"/><Relationship Id="rId182" Type="http://schemas.openxmlformats.org/officeDocument/2006/relationships/image" Target="media/image146.png"/><Relationship Id="rId217" Type="http://schemas.openxmlformats.org/officeDocument/2006/relationships/image" Target="media/image180.png"/><Relationship Id="rId6" Type="http://schemas.openxmlformats.org/officeDocument/2006/relationships/webSettings" Target="webSettings.xml"/><Relationship Id="rId238" Type="http://schemas.openxmlformats.org/officeDocument/2006/relationships/image" Target="media/image201.png"/><Relationship Id="rId259" Type="http://schemas.openxmlformats.org/officeDocument/2006/relationships/image" Target="media/image222.png"/><Relationship Id="rId23" Type="http://schemas.openxmlformats.org/officeDocument/2006/relationships/hyperlink" Target="http://eur-lex.europa.eu/legal-content/EN/TXT/?uri=CELEX:12012E/TXT" TargetMode="External"/><Relationship Id="rId119" Type="http://schemas.openxmlformats.org/officeDocument/2006/relationships/image" Target="media/image83.png"/><Relationship Id="rId270" Type="http://schemas.openxmlformats.org/officeDocument/2006/relationships/image" Target="media/image233.png"/><Relationship Id="rId291" Type="http://schemas.openxmlformats.org/officeDocument/2006/relationships/hyperlink" Target="http://www.ecb.europa.eu/pub/mb/editorials/2010/html/mb100513.en.html" TargetMode="External"/><Relationship Id="rId305" Type="http://schemas.openxmlformats.org/officeDocument/2006/relationships/image" Target="media/image261.png"/><Relationship Id="rId326" Type="http://schemas.openxmlformats.org/officeDocument/2006/relationships/image" Target="media/image282.png"/><Relationship Id="rId44" Type="http://schemas.openxmlformats.org/officeDocument/2006/relationships/image" Target="media/image17.png"/><Relationship Id="rId65" Type="http://schemas.openxmlformats.org/officeDocument/2006/relationships/image" Target="media/image38.png"/><Relationship Id="rId86" Type="http://schemas.openxmlformats.org/officeDocument/2006/relationships/image" Target="media/image59.png"/><Relationship Id="rId130" Type="http://schemas.openxmlformats.org/officeDocument/2006/relationships/image" Target="media/image94.png"/><Relationship Id="rId151" Type="http://schemas.openxmlformats.org/officeDocument/2006/relationships/image" Target="media/image115.png"/><Relationship Id="rId172" Type="http://schemas.openxmlformats.org/officeDocument/2006/relationships/image" Target="media/image136.png"/><Relationship Id="rId193" Type="http://schemas.openxmlformats.org/officeDocument/2006/relationships/image" Target="media/image157.png"/><Relationship Id="rId207" Type="http://schemas.openxmlformats.org/officeDocument/2006/relationships/image" Target="media/image171.jpeg"/><Relationship Id="rId228" Type="http://schemas.openxmlformats.org/officeDocument/2006/relationships/image" Target="media/image191.png"/><Relationship Id="rId249" Type="http://schemas.openxmlformats.org/officeDocument/2006/relationships/image" Target="media/image212.png"/><Relationship Id="rId13" Type="http://schemas.openxmlformats.org/officeDocument/2006/relationships/image" Target="media/image4.jpeg"/><Relationship Id="rId109" Type="http://schemas.openxmlformats.org/officeDocument/2006/relationships/hyperlink" Target="http://www.elconfidencial.com/tags/economia/bancos-centrales-325/" TargetMode="External"/><Relationship Id="rId260" Type="http://schemas.openxmlformats.org/officeDocument/2006/relationships/image" Target="media/image223.png"/><Relationship Id="rId281" Type="http://schemas.openxmlformats.org/officeDocument/2006/relationships/image" Target="media/image244.png"/><Relationship Id="rId316" Type="http://schemas.openxmlformats.org/officeDocument/2006/relationships/image" Target="media/image272.png"/><Relationship Id="rId337" Type="http://schemas.openxmlformats.org/officeDocument/2006/relationships/image" Target="media/image293.png"/><Relationship Id="rId34" Type="http://schemas.openxmlformats.org/officeDocument/2006/relationships/hyperlink" Target="https://www.ecb.europa.eu/paym/pol/html/index.en.html" TargetMode="External"/><Relationship Id="rId55" Type="http://schemas.openxmlformats.org/officeDocument/2006/relationships/image" Target="media/image28.png"/><Relationship Id="rId76" Type="http://schemas.openxmlformats.org/officeDocument/2006/relationships/image" Target="media/image49.png"/><Relationship Id="rId97" Type="http://schemas.openxmlformats.org/officeDocument/2006/relationships/image" Target="media/image70.png"/><Relationship Id="rId120" Type="http://schemas.openxmlformats.org/officeDocument/2006/relationships/image" Target="media/image84.png"/><Relationship Id="rId141" Type="http://schemas.openxmlformats.org/officeDocument/2006/relationships/image" Target="media/image105.png"/><Relationship Id="rId7" Type="http://schemas.openxmlformats.org/officeDocument/2006/relationships/image" Target="media/image1.jpeg"/><Relationship Id="rId162" Type="http://schemas.openxmlformats.org/officeDocument/2006/relationships/image" Target="media/image126.png"/><Relationship Id="rId183" Type="http://schemas.openxmlformats.org/officeDocument/2006/relationships/image" Target="media/image147.png"/><Relationship Id="rId218" Type="http://schemas.openxmlformats.org/officeDocument/2006/relationships/image" Target="media/image181.png"/><Relationship Id="rId239" Type="http://schemas.openxmlformats.org/officeDocument/2006/relationships/image" Target="media/image202.png"/><Relationship Id="rId250" Type="http://schemas.openxmlformats.org/officeDocument/2006/relationships/image" Target="media/image213.png"/><Relationship Id="rId271" Type="http://schemas.openxmlformats.org/officeDocument/2006/relationships/image" Target="media/image234.png"/><Relationship Id="rId292" Type="http://schemas.openxmlformats.org/officeDocument/2006/relationships/hyperlink" Target="http://www.ecb.europa.eu/press/pr/date/2011/html/pr111208_1.en.html" TargetMode="External"/><Relationship Id="rId306" Type="http://schemas.openxmlformats.org/officeDocument/2006/relationships/image" Target="media/image262.png"/><Relationship Id="rId24" Type="http://schemas.openxmlformats.org/officeDocument/2006/relationships/hyperlink" Target="http://eur-lex.europa.eu/legal-content/EN/TXT/?&amp;uri=CELEX:32013R1024" TargetMode="External"/><Relationship Id="rId45" Type="http://schemas.openxmlformats.org/officeDocument/2006/relationships/image" Target="media/image18.png"/><Relationship Id="rId66" Type="http://schemas.openxmlformats.org/officeDocument/2006/relationships/image" Target="media/image39.png"/><Relationship Id="rId87" Type="http://schemas.openxmlformats.org/officeDocument/2006/relationships/image" Target="media/image60.png"/><Relationship Id="rId110" Type="http://schemas.openxmlformats.org/officeDocument/2006/relationships/image" Target="media/image76.jpeg"/><Relationship Id="rId131" Type="http://schemas.openxmlformats.org/officeDocument/2006/relationships/image" Target="media/image95.png"/><Relationship Id="rId327" Type="http://schemas.openxmlformats.org/officeDocument/2006/relationships/image" Target="media/image283.png"/><Relationship Id="rId152" Type="http://schemas.openxmlformats.org/officeDocument/2006/relationships/image" Target="media/image116.png"/><Relationship Id="rId173" Type="http://schemas.openxmlformats.org/officeDocument/2006/relationships/image" Target="media/image137.png"/><Relationship Id="rId194" Type="http://schemas.openxmlformats.org/officeDocument/2006/relationships/image" Target="media/image158.png"/><Relationship Id="rId208" Type="http://schemas.openxmlformats.org/officeDocument/2006/relationships/image" Target="media/image172.jpeg"/><Relationship Id="rId229" Type="http://schemas.openxmlformats.org/officeDocument/2006/relationships/image" Target="media/image192.png"/><Relationship Id="rId240" Type="http://schemas.openxmlformats.org/officeDocument/2006/relationships/image" Target="media/image203.png"/><Relationship Id="rId261" Type="http://schemas.openxmlformats.org/officeDocument/2006/relationships/image" Target="media/image224.png"/><Relationship Id="rId14" Type="http://schemas.openxmlformats.org/officeDocument/2006/relationships/image" Target="media/image5.png"/><Relationship Id="rId35" Type="http://schemas.openxmlformats.org/officeDocument/2006/relationships/hyperlink" Target="https://www.ecb.europa.eu/paym/sepa/html/index.en.html" TargetMode="External"/><Relationship Id="rId56" Type="http://schemas.openxmlformats.org/officeDocument/2006/relationships/image" Target="media/image29.png"/><Relationship Id="rId77" Type="http://schemas.openxmlformats.org/officeDocument/2006/relationships/image" Target="media/image50.png"/><Relationship Id="rId100" Type="http://schemas.openxmlformats.org/officeDocument/2006/relationships/hyperlink" Target="http://www.mckinsey.com/global-themes/employment-and-growth/debt-and-not-much-deleveraging" TargetMode="External"/><Relationship Id="rId282" Type="http://schemas.openxmlformats.org/officeDocument/2006/relationships/image" Target="media/image245.png"/><Relationship Id="rId317" Type="http://schemas.openxmlformats.org/officeDocument/2006/relationships/image" Target="media/image273.png"/><Relationship Id="rId338" Type="http://schemas.openxmlformats.org/officeDocument/2006/relationships/image" Target="media/image294.png"/><Relationship Id="rId8" Type="http://schemas.openxmlformats.org/officeDocument/2006/relationships/image" Target="media/image2.jpeg"/><Relationship Id="rId98" Type="http://schemas.openxmlformats.org/officeDocument/2006/relationships/image" Target="media/image71.jpe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image" Target="media/image127.png"/><Relationship Id="rId184" Type="http://schemas.openxmlformats.org/officeDocument/2006/relationships/image" Target="media/image148.png"/><Relationship Id="rId219" Type="http://schemas.openxmlformats.org/officeDocument/2006/relationships/image" Target="media/image182.png"/><Relationship Id="rId230" Type="http://schemas.openxmlformats.org/officeDocument/2006/relationships/image" Target="media/image193.png"/><Relationship Id="rId251" Type="http://schemas.openxmlformats.org/officeDocument/2006/relationships/image" Target="media/image214.png"/><Relationship Id="rId25" Type="http://schemas.openxmlformats.org/officeDocument/2006/relationships/hyperlink" Target="https://www.ecb.europa.eu/ecb/tasks/euro/html/index.es.html" TargetMode="External"/><Relationship Id="rId46" Type="http://schemas.openxmlformats.org/officeDocument/2006/relationships/image" Target="media/image19.png"/><Relationship Id="rId67" Type="http://schemas.openxmlformats.org/officeDocument/2006/relationships/image" Target="media/image40.png"/><Relationship Id="rId116" Type="http://schemas.openxmlformats.org/officeDocument/2006/relationships/image" Target="media/image82.jpeg"/><Relationship Id="rId137" Type="http://schemas.openxmlformats.org/officeDocument/2006/relationships/image" Target="media/image101.png"/><Relationship Id="rId158" Type="http://schemas.openxmlformats.org/officeDocument/2006/relationships/image" Target="media/image122.png"/><Relationship Id="rId272" Type="http://schemas.openxmlformats.org/officeDocument/2006/relationships/image" Target="media/image235.png"/><Relationship Id="rId293" Type="http://schemas.openxmlformats.org/officeDocument/2006/relationships/hyperlink" Target="http://www.ecb.europa.eu/pub/pdf/other/mb201209_focus01.en.pdf" TargetMode="External"/><Relationship Id="rId302" Type="http://schemas.openxmlformats.org/officeDocument/2006/relationships/image" Target="media/image258.png"/><Relationship Id="rId307" Type="http://schemas.openxmlformats.org/officeDocument/2006/relationships/image" Target="media/image263.png"/><Relationship Id="rId323" Type="http://schemas.openxmlformats.org/officeDocument/2006/relationships/image" Target="media/image279.png"/><Relationship Id="rId328" Type="http://schemas.openxmlformats.org/officeDocument/2006/relationships/image" Target="media/image284.png"/><Relationship Id="rId344" Type="http://schemas.openxmlformats.org/officeDocument/2006/relationships/theme" Target="theme/theme1.xml"/><Relationship Id="rId20" Type="http://schemas.openxmlformats.org/officeDocument/2006/relationships/hyperlink" Target="https://www.ecb.europa.eu/ecb/tasks/forex/html/index.es.html" TargetMode="External"/><Relationship Id="rId41" Type="http://schemas.openxmlformats.org/officeDocument/2006/relationships/image" Target="media/image14.jpeg"/><Relationship Id="rId62" Type="http://schemas.openxmlformats.org/officeDocument/2006/relationships/image" Target="media/image35.png"/><Relationship Id="rId83" Type="http://schemas.openxmlformats.org/officeDocument/2006/relationships/image" Target="media/image56.jpeg"/><Relationship Id="rId88" Type="http://schemas.openxmlformats.org/officeDocument/2006/relationships/image" Target="media/image61.png"/><Relationship Id="rId111" Type="http://schemas.openxmlformats.org/officeDocument/2006/relationships/image" Target="media/image77.jpeg"/><Relationship Id="rId132" Type="http://schemas.openxmlformats.org/officeDocument/2006/relationships/image" Target="media/image96.png"/><Relationship Id="rId153" Type="http://schemas.openxmlformats.org/officeDocument/2006/relationships/image" Target="media/image117.png"/><Relationship Id="rId174" Type="http://schemas.openxmlformats.org/officeDocument/2006/relationships/image" Target="media/image138.png"/><Relationship Id="rId179" Type="http://schemas.openxmlformats.org/officeDocument/2006/relationships/image" Target="media/image143.png"/><Relationship Id="rId195" Type="http://schemas.openxmlformats.org/officeDocument/2006/relationships/image" Target="media/image159.png"/><Relationship Id="rId209" Type="http://schemas.openxmlformats.org/officeDocument/2006/relationships/image" Target="media/image173.jpeg"/><Relationship Id="rId190" Type="http://schemas.openxmlformats.org/officeDocument/2006/relationships/image" Target="media/image154.png"/><Relationship Id="rId204" Type="http://schemas.openxmlformats.org/officeDocument/2006/relationships/image" Target="media/image168.png"/><Relationship Id="rId220" Type="http://schemas.openxmlformats.org/officeDocument/2006/relationships/image" Target="media/image183.png"/><Relationship Id="rId225" Type="http://schemas.openxmlformats.org/officeDocument/2006/relationships/image" Target="media/image188.png"/><Relationship Id="rId241" Type="http://schemas.openxmlformats.org/officeDocument/2006/relationships/image" Target="media/image204.png"/><Relationship Id="rId246" Type="http://schemas.openxmlformats.org/officeDocument/2006/relationships/image" Target="media/image209.png"/><Relationship Id="rId267" Type="http://schemas.openxmlformats.org/officeDocument/2006/relationships/image" Target="media/image230.png"/><Relationship Id="rId288" Type="http://schemas.openxmlformats.org/officeDocument/2006/relationships/image" Target="media/image251.png"/><Relationship Id="rId15" Type="http://schemas.openxmlformats.org/officeDocument/2006/relationships/image" Target="media/image6.png"/><Relationship Id="rId36" Type="http://schemas.openxmlformats.org/officeDocument/2006/relationships/image" Target="media/image9.png"/><Relationship Id="rId57" Type="http://schemas.openxmlformats.org/officeDocument/2006/relationships/image" Target="media/image30.png"/><Relationship Id="rId106" Type="http://schemas.openxmlformats.org/officeDocument/2006/relationships/image" Target="media/image74.jpeg"/><Relationship Id="rId127" Type="http://schemas.openxmlformats.org/officeDocument/2006/relationships/image" Target="media/image91.png"/><Relationship Id="rId262" Type="http://schemas.openxmlformats.org/officeDocument/2006/relationships/image" Target="media/image225.png"/><Relationship Id="rId283" Type="http://schemas.openxmlformats.org/officeDocument/2006/relationships/image" Target="media/image246.png"/><Relationship Id="rId313" Type="http://schemas.openxmlformats.org/officeDocument/2006/relationships/image" Target="media/image269.png"/><Relationship Id="rId318" Type="http://schemas.openxmlformats.org/officeDocument/2006/relationships/image" Target="media/image274.png"/><Relationship Id="rId339" Type="http://schemas.openxmlformats.org/officeDocument/2006/relationships/image" Target="media/image295.png"/><Relationship Id="rId10" Type="http://schemas.openxmlformats.org/officeDocument/2006/relationships/hyperlink" Target="http://www.eleconomista.es/divisas/noticias/9329164/08/18/No-todo-es-Turquia-y-la-lira-el-yuan-y-China-sufren-el-efecto-contagio.html" TargetMode="External"/><Relationship Id="rId31" Type="http://schemas.openxmlformats.org/officeDocument/2006/relationships/hyperlink" Target="https://www.ecb.europa.eu/paym/t2/html/index.en.html" TargetMode="External"/><Relationship Id="rId52" Type="http://schemas.openxmlformats.org/officeDocument/2006/relationships/image" Target="media/image25.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hyperlink" Target="https://www.imf.org/external/pubs/ft/fm/2016/02/fmindex.htm" TargetMode="External"/><Relationship Id="rId101" Type="http://schemas.openxmlformats.org/officeDocument/2006/relationships/hyperlink" Target="http://s.libertaddigital.com/2016/10/12/deuda_mckinsey.jpg" TargetMode="External"/><Relationship Id="rId122" Type="http://schemas.openxmlformats.org/officeDocument/2006/relationships/image" Target="media/image86.png"/><Relationship Id="rId143" Type="http://schemas.openxmlformats.org/officeDocument/2006/relationships/image" Target="media/image107.png"/><Relationship Id="rId148" Type="http://schemas.openxmlformats.org/officeDocument/2006/relationships/image" Target="media/image112.png"/><Relationship Id="rId164" Type="http://schemas.openxmlformats.org/officeDocument/2006/relationships/image" Target="media/image128.png"/><Relationship Id="rId169" Type="http://schemas.openxmlformats.org/officeDocument/2006/relationships/image" Target="media/image133.png"/><Relationship Id="rId185" Type="http://schemas.openxmlformats.org/officeDocument/2006/relationships/image" Target="media/image149.png"/><Relationship Id="rId334" Type="http://schemas.openxmlformats.org/officeDocument/2006/relationships/image" Target="media/image290.png"/><Relationship Id="rId4" Type="http://schemas.microsoft.com/office/2007/relationships/stylesWithEffects" Target="stylesWithEffects.xml"/><Relationship Id="rId9" Type="http://schemas.openxmlformats.org/officeDocument/2006/relationships/hyperlink" Target="http://www.eleconomista.es/economia/noticias/9084179/04/18/La-temida-inversion-de-la-curva-de-tipos-se-acerca-y-la-Fed-muestra-su-preocupacion.html" TargetMode="External"/><Relationship Id="rId180" Type="http://schemas.openxmlformats.org/officeDocument/2006/relationships/image" Target="media/image144.png"/><Relationship Id="rId210" Type="http://schemas.openxmlformats.org/officeDocument/2006/relationships/image" Target="media/image174.jpeg"/><Relationship Id="rId215" Type="http://schemas.openxmlformats.org/officeDocument/2006/relationships/image" Target="media/image178.png"/><Relationship Id="rId236" Type="http://schemas.openxmlformats.org/officeDocument/2006/relationships/image" Target="media/image199.png"/><Relationship Id="rId257" Type="http://schemas.openxmlformats.org/officeDocument/2006/relationships/image" Target="media/image220.png"/><Relationship Id="rId278" Type="http://schemas.openxmlformats.org/officeDocument/2006/relationships/image" Target="media/image241.png"/><Relationship Id="rId26" Type="http://schemas.openxmlformats.org/officeDocument/2006/relationships/hyperlink" Target="https://www.ecb.europa.eu/ecb/tasks/statistics/html/index.es.html" TargetMode="External"/><Relationship Id="rId231" Type="http://schemas.openxmlformats.org/officeDocument/2006/relationships/image" Target="media/image194.png"/><Relationship Id="rId252" Type="http://schemas.openxmlformats.org/officeDocument/2006/relationships/image" Target="media/image215.png"/><Relationship Id="rId273" Type="http://schemas.openxmlformats.org/officeDocument/2006/relationships/image" Target="media/image236.png"/><Relationship Id="rId294" Type="http://schemas.openxmlformats.org/officeDocument/2006/relationships/hyperlink" Target="http://www.ecb.europa.eu/explainers/tell-me-more/html/why-negative-interest-rate.en.html" TargetMode="External"/><Relationship Id="rId308" Type="http://schemas.openxmlformats.org/officeDocument/2006/relationships/image" Target="media/image264.png"/><Relationship Id="rId329" Type="http://schemas.openxmlformats.org/officeDocument/2006/relationships/image" Target="media/image285.png"/><Relationship Id="rId47" Type="http://schemas.openxmlformats.org/officeDocument/2006/relationships/image" Target="media/image20.png"/><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78.jpeg"/><Relationship Id="rId133" Type="http://schemas.openxmlformats.org/officeDocument/2006/relationships/image" Target="media/image97.png"/><Relationship Id="rId154" Type="http://schemas.openxmlformats.org/officeDocument/2006/relationships/image" Target="media/image118.png"/><Relationship Id="rId175" Type="http://schemas.openxmlformats.org/officeDocument/2006/relationships/image" Target="media/image139.png"/><Relationship Id="rId340" Type="http://schemas.openxmlformats.org/officeDocument/2006/relationships/image" Target="media/image296.png"/><Relationship Id="rId196" Type="http://schemas.openxmlformats.org/officeDocument/2006/relationships/image" Target="media/image160.png"/><Relationship Id="rId200" Type="http://schemas.openxmlformats.org/officeDocument/2006/relationships/image" Target="media/image164.png"/><Relationship Id="rId16" Type="http://schemas.openxmlformats.org/officeDocument/2006/relationships/image" Target="media/image7.gif"/><Relationship Id="rId221" Type="http://schemas.openxmlformats.org/officeDocument/2006/relationships/image" Target="media/image184.png"/><Relationship Id="rId242" Type="http://schemas.openxmlformats.org/officeDocument/2006/relationships/image" Target="media/image205.png"/><Relationship Id="rId263" Type="http://schemas.openxmlformats.org/officeDocument/2006/relationships/image" Target="media/image226.png"/><Relationship Id="rId284" Type="http://schemas.openxmlformats.org/officeDocument/2006/relationships/image" Target="media/image247.png"/><Relationship Id="rId319" Type="http://schemas.openxmlformats.org/officeDocument/2006/relationships/image" Target="media/image275.png"/><Relationship Id="rId37" Type="http://schemas.openxmlformats.org/officeDocument/2006/relationships/image" Target="media/image10.png"/><Relationship Id="rId58" Type="http://schemas.openxmlformats.org/officeDocument/2006/relationships/image" Target="media/image31.png"/><Relationship Id="rId79" Type="http://schemas.openxmlformats.org/officeDocument/2006/relationships/image" Target="media/image52.png"/><Relationship Id="rId102" Type="http://schemas.openxmlformats.org/officeDocument/2006/relationships/image" Target="media/image72.jpeg"/><Relationship Id="rId123" Type="http://schemas.openxmlformats.org/officeDocument/2006/relationships/image" Target="media/image87.png"/><Relationship Id="rId144" Type="http://schemas.openxmlformats.org/officeDocument/2006/relationships/image" Target="media/image108.png"/><Relationship Id="rId330" Type="http://schemas.openxmlformats.org/officeDocument/2006/relationships/image" Target="media/image286.png"/><Relationship Id="rId90" Type="http://schemas.openxmlformats.org/officeDocument/2006/relationships/image" Target="media/image63.png"/><Relationship Id="rId165" Type="http://schemas.openxmlformats.org/officeDocument/2006/relationships/image" Target="media/image129.png"/><Relationship Id="rId186" Type="http://schemas.openxmlformats.org/officeDocument/2006/relationships/image" Target="media/image150.png"/><Relationship Id="rId211" Type="http://schemas.openxmlformats.org/officeDocument/2006/relationships/image" Target="media/image175.jpeg"/><Relationship Id="rId232" Type="http://schemas.openxmlformats.org/officeDocument/2006/relationships/image" Target="media/image195.png"/><Relationship Id="rId253" Type="http://schemas.openxmlformats.org/officeDocument/2006/relationships/image" Target="media/image216.png"/><Relationship Id="rId274" Type="http://schemas.openxmlformats.org/officeDocument/2006/relationships/image" Target="media/image237.png"/><Relationship Id="rId295" Type="http://schemas.openxmlformats.org/officeDocument/2006/relationships/hyperlink" Target="http://www.ecb.europa.eu/mopo/implement/omo/tltro/html/index.en.html" TargetMode="External"/><Relationship Id="rId309" Type="http://schemas.openxmlformats.org/officeDocument/2006/relationships/image" Target="media/image265.png"/><Relationship Id="rId27" Type="http://schemas.openxmlformats.org/officeDocument/2006/relationships/hyperlink" Target="https://www.ecb.europa.eu/ecb/tasks/stability/html/index.es.html" TargetMode="External"/><Relationship Id="rId48" Type="http://schemas.openxmlformats.org/officeDocument/2006/relationships/image" Target="media/image21.png"/><Relationship Id="rId69" Type="http://schemas.openxmlformats.org/officeDocument/2006/relationships/image" Target="media/image42.png"/><Relationship Id="rId113" Type="http://schemas.openxmlformats.org/officeDocument/2006/relationships/image" Target="media/image79.jpeg"/><Relationship Id="rId134" Type="http://schemas.openxmlformats.org/officeDocument/2006/relationships/image" Target="media/image98.png"/><Relationship Id="rId320" Type="http://schemas.openxmlformats.org/officeDocument/2006/relationships/image" Target="media/image276.png"/><Relationship Id="rId80" Type="http://schemas.openxmlformats.org/officeDocument/2006/relationships/image" Target="media/image53.png"/><Relationship Id="rId155" Type="http://schemas.openxmlformats.org/officeDocument/2006/relationships/image" Target="media/image119.png"/><Relationship Id="rId176" Type="http://schemas.openxmlformats.org/officeDocument/2006/relationships/image" Target="media/image140.png"/><Relationship Id="rId197" Type="http://schemas.openxmlformats.org/officeDocument/2006/relationships/image" Target="media/image161.png"/><Relationship Id="rId341" Type="http://schemas.openxmlformats.org/officeDocument/2006/relationships/image" Target="media/image297.png"/><Relationship Id="rId201" Type="http://schemas.openxmlformats.org/officeDocument/2006/relationships/image" Target="media/image165.png"/><Relationship Id="rId222" Type="http://schemas.openxmlformats.org/officeDocument/2006/relationships/image" Target="media/image185.png"/><Relationship Id="rId243" Type="http://schemas.openxmlformats.org/officeDocument/2006/relationships/image" Target="media/image206.png"/><Relationship Id="rId264" Type="http://schemas.openxmlformats.org/officeDocument/2006/relationships/image" Target="media/image227.png"/><Relationship Id="rId285" Type="http://schemas.openxmlformats.org/officeDocument/2006/relationships/image" Target="media/image248.png"/><Relationship Id="rId17" Type="http://schemas.openxmlformats.org/officeDocument/2006/relationships/hyperlink" Target="http://www.eleconomista.es/economia/noticias/9205737/06/18/La-inversion-de-la-curva-y-la-tasa-de-paro-la-combinacion-que-anticipa-una-crisis-en-EEUU.html" TargetMode="External"/><Relationship Id="rId38" Type="http://schemas.openxmlformats.org/officeDocument/2006/relationships/image" Target="media/image11.png"/><Relationship Id="rId59" Type="http://schemas.openxmlformats.org/officeDocument/2006/relationships/image" Target="media/image32.png"/><Relationship Id="rId103" Type="http://schemas.openxmlformats.org/officeDocument/2006/relationships/hyperlink" Target="http://s.libertaddigital.com/2016/10/12/fmi_fiscal_monitor_2016_octubre.jpg" TargetMode="External"/><Relationship Id="rId124" Type="http://schemas.openxmlformats.org/officeDocument/2006/relationships/image" Target="media/image88.png"/><Relationship Id="rId310" Type="http://schemas.openxmlformats.org/officeDocument/2006/relationships/image" Target="media/image266.png"/><Relationship Id="rId70" Type="http://schemas.openxmlformats.org/officeDocument/2006/relationships/image" Target="media/image43.png"/><Relationship Id="rId91" Type="http://schemas.openxmlformats.org/officeDocument/2006/relationships/image" Target="media/image64.png"/><Relationship Id="rId145" Type="http://schemas.openxmlformats.org/officeDocument/2006/relationships/image" Target="media/image109.png"/><Relationship Id="rId166" Type="http://schemas.openxmlformats.org/officeDocument/2006/relationships/image" Target="media/image130.png"/><Relationship Id="rId187" Type="http://schemas.openxmlformats.org/officeDocument/2006/relationships/image" Target="media/image151.png"/><Relationship Id="rId331" Type="http://schemas.openxmlformats.org/officeDocument/2006/relationships/image" Target="media/image287.png"/><Relationship Id="rId1" Type="http://schemas.openxmlformats.org/officeDocument/2006/relationships/customXml" Target="../customXml/item1.xml"/><Relationship Id="rId212" Type="http://schemas.openxmlformats.org/officeDocument/2006/relationships/image" Target="media/image176.jpeg"/><Relationship Id="rId233" Type="http://schemas.openxmlformats.org/officeDocument/2006/relationships/image" Target="media/image196.png"/><Relationship Id="rId254" Type="http://schemas.openxmlformats.org/officeDocument/2006/relationships/image" Target="media/image217.png"/><Relationship Id="rId28" Type="http://schemas.openxmlformats.org/officeDocument/2006/relationships/hyperlink" Target="https://www.ecb.europa.eu/ecb/tasks/international/html/index.es.html" TargetMode="External"/><Relationship Id="rId49" Type="http://schemas.openxmlformats.org/officeDocument/2006/relationships/image" Target="media/image22.png"/><Relationship Id="rId114" Type="http://schemas.openxmlformats.org/officeDocument/2006/relationships/image" Target="media/image80.png"/><Relationship Id="rId275" Type="http://schemas.openxmlformats.org/officeDocument/2006/relationships/image" Target="media/image238.png"/><Relationship Id="rId296" Type="http://schemas.openxmlformats.org/officeDocument/2006/relationships/hyperlink" Target="http://www.ecb.europa.eu/mopo/implement/omt/html/index.en.html" TargetMode="External"/><Relationship Id="rId300" Type="http://schemas.openxmlformats.org/officeDocument/2006/relationships/image" Target="media/image256.png"/><Relationship Id="rId60" Type="http://schemas.openxmlformats.org/officeDocument/2006/relationships/image" Target="media/image33.png"/><Relationship Id="rId81" Type="http://schemas.openxmlformats.org/officeDocument/2006/relationships/image" Target="media/image54.png"/><Relationship Id="rId135" Type="http://schemas.openxmlformats.org/officeDocument/2006/relationships/image" Target="media/image99.png"/><Relationship Id="rId156" Type="http://schemas.openxmlformats.org/officeDocument/2006/relationships/image" Target="media/image120.png"/><Relationship Id="rId177" Type="http://schemas.openxmlformats.org/officeDocument/2006/relationships/image" Target="media/image141.png"/><Relationship Id="rId198" Type="http://schemas.openxmlformats.org/officeDocument/2006/relationships/image" Target="media/image162.png"/><Relationship Id="rId321" Type="http://schemas.openxmlformats.org/officeDocument/2006/relationships/image" Target="media/image277.png"/><Relationship Id="rId342" Type="http://schemas.openxmlformats.org/officeDocument/2006/relationships/image" Target="media/image298.png"/><Relationship Id="rId202" Type="http://schemas.openxmlformats.org/officeDocument/2006/relationships/image" Target="media/image166.png"/><Relationship Id="rId223" Type="http://schemas.openxmlformats.org/officeDocument/2006/relationships/image" Target="media/image186.png"/><Relationship Id="rId244" Type="http://schemas.openxmlformats.org/officeDocument/2006/relationships/image" Target="media/image207.png"/><Relationship Id="rId18" Type="http://schemas.openxmlformats.org/officeDocument/2006/relationships/image" Target="media/image8.jpeg"/><Relationship Id="rId39" Type="http://schemas.openxmlformats.org/officeDocument/2006/relationships/image" Target="media/image12.png"/><Relationship Id="rId265" Type="http://schemas.openxmlformats.org/officeDocument/2006/relationships/image" Target="media/image228.png"/><Relationship Id="rId286" Type="http://schemas.openxmlformats.org/officeDocument/2006/relationships/image" Target="media/image249.png"/><Relationship Id="rId50" Type="http://schemas.openxmlformats.org/officeDocument/2006/relationships/image" Target="media/image23.png"/><Relationship Id="rId104" Type="http://schemas.openxmlformats.org/officeDocument/2006/relationships/image" Target="media/image73.jpe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image" Target="media/image131.png"/><Relationship Id="rId188" Type="http://schemas.openxmlformats.org/officeDocument/2006/relationships/image" Target="media/image152.png"/><Relationship Id="rId311" Type="http://schemas.openxmlformats.org/officeDocument/2006/relationships/image" Target="media/image267.png"/><Relationship Id="rId332" Type="http://schemas.openxmlformats.org/officeDocument/2006/relationships/image" Target="media/image288.png"/><Relationship Id="rId71" Type="http://schemas.openxmlformats.org/officeDocument/2006/relationships/image" Target="media/image44.png"/><Relationship Id="rId92" Type="http://schemas.openxmlformats.org/officeDocument/2006/relationships/image" Target="media/image65.png"/><Relationship Id="rId213" Type="http://schemas.openxmlformats.org/officeDocument/2006/relationships/hyperlink" Target="http://www.eleconomista.es/economia/noticias/9084179/04/18/La-temida-inversion-de-la-curva-de-tipos-se-acerca-y-la-Fed-muestra-su-preocupacion.html" TargetMode="External"/><Relationship Id="rId234" Type="http://schemas.openxmlformats.org/officeDocument/2006/relationships/image" Target="media/image197.png"/><Relationship Id="rId2" Type="http://schemas.openxmlformats.org/officeDocument/2006/relationships/numbering" Target="numbering.xml"/><Relationship Id="rId29" Type="http://schemas.openxmlformats.org/officeDocument/2006/relationships/hyperlink" Target="https://www.ecb.europa.eu/ecb/tasks/europe/html/index.es.html" TargetMode="External"/><Relationship Id="rId255" Type="http://schemas.openxmlformats.org/officeDocument/2006/relationships/image" Target="media/image218.png"/><Relationship Id="rId276" Type="http://schemas.openxmlformats.org/officeDocument/2006/relationships/image" Target="media/image239.png"/><Relationship Id="rId297" Type="http://schemas.openxmlformats.org/officeDocument/2006/relationships/hyperlink" Target="http://www.ecb.europa.eu/explainers/tell-me/html/what-is-forward_guidance.en.html" TargetMode="External"/><Relationship Id="rId40" Type="http://schemas.openxmlformats.org/officeDocument/2006/relationships/image" Target="media/image13.png"/><Relationship Id="rId115" Type="http://schemas.openxmlformats.org/officeDocument/2006/relationships/image" Target="media/image81.png"/><Relationship Id="rId136" Type="http://schemas.openxmlformats.org/officeDocument/2006/relationships/image" Target="media/image100.png"/><Relationship Id="rId157" Type="http://schemas.openxmlformats.org/officeDocument/2006/relationships/image" Target="media/image121.png"/><Relationship Id="rId178" Type="http://schemas.openxmlformats.org/officeDocument/2006/relationships/image" Target="media/image142.png"/><Relationship Id="rId301" Type="http://schemas.openxmlformats.org/officeDocument/2006/relationships/image" Target="media/image257.png"/><Relationship Id="rId322" Type="http://schemas.openxmlformats.org/officeDocument/2006/relationships/image" Target="media/image278.png"/><Relationship Id="rId343" Type="http://schemas.openxmlformats.org/officeDocument/2006/relationships/fontTable" Target="fontTable.xml"/><Relationship Id="rId61" Type="http://schemas.openxmlformats.org/officeDocument/2006/relationships/image" Target="media/image34.png"/><Relationship Id="rId82" Type="http://schemas.openxmlformats.org/officeDocument/2006/relationships/image" Target="media/image55.png"/><Relationship Id="rId199" Type="http://schemas.openxmlformats.org/officeDocument/2006/relationships/image" Target="media/image163.png"/><Relationship Id="rId203" Type="http://schemas.openxmlformats.org/officeDocument/2006/relationships/image" Target="media/image167.png"/><Relationship Id="rId19" Type="http://schemas.openxmlformats.org/officeDocument/2006/relationships/hyperlink" Target="https://www.ecb.europa.eu/ecb/tasks/monpol/html/index.es.html" TargetMode="External"/><Relationship Id="rId224" Type="http://schemas.openxmlformats.org/officeDocument/2006/relationships/image" Target="media/image187.png"/><Relationship Id="rId245" Type="http://schemas.openxmlformats.org/officeDocument/2006/relationships/image" Target="media/image208.png"/><Relationship Id="rId266" Type="http://schemas.openxmlformats.org/officeDocument/2006/relationships/image" Target="media/image229.png"/><Relationship Id="rId287" Type="http://schemas.openxmlformats.org/officeDocument/2006/relationships/image" Target="media/image250.png"/><Relationship Id="rId30" Type="http://schemas.openxmlformats.org/officeDocument/2006/relationships/hyperlink" Target="https://www.ecb.europa.eu/ecb/tasks/forex/html/index.es.html" TargetMode="External"/><Relationship Id="rId105" Type="http://schemas.openxmlformats.org/officeDocument/2006/relationships/hyperlink" Target="http://s.libertaddigital.com/2016/10/12/deuda_mckinsey_tabla.jpg" TargetMode="External"/><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32.png"/><Relationship Id="rId312" Type="http://schemas.openxmlformats.org/officeDocument/2006/relationships/image" Target="media/image268.png"/><Relationship Id="rId333" Type="http://schemas.openxmlformats.org/officeDocument/2006/relationships/image" Target="media/image289.png"/><Relationship Id="rId51" Type="http://schemas.openxmlformats.org/officeDocument/2006/relationships/image" Target="media/image24.png"/><Relationship Id="rId72" Type="http://schemas.openxmlformats.org/officeDocument/2006/relationships/image" Target="media/image45.png"/><Relationship Id="rId93" Type="http://schemas.openxmlformats.org/officeDocument/2006/relationships/image" Target="media/image66.png"/><Relationship Id="rId189" Type="http://schemas.openxmlformats.org/officeDocument/2006/relationships/image" Target="media/image153.png"/><Relationship Id="rId3" Type="http://schemas.openxmlformats.org/officeDocument/2006/relationships/styles" Target="styles.xml"/><Relationship Id="rId214" Type="http://schemas.openxmlformats.org/officeDocument/2006/relationships/image" Target="media/image177.jpeg"/><Relationship Id="rId235" Type="http://schemas.openxmlformats.org/officeDocument/2006/relationships/image" Target="media/image198.png"/><Relationship Id="rId256" Type="http://schemas.openxmlformats.org/officeDocument/2006/relationships/image" Target="media/image219.png"/><Relationship Id="rId277" Type="http://schemas.openxmlformats.org/officeDocument/2006/relationships/image" Target="media/image240.png"/><Relationship Id="rId298" Type="http://schemas.openxmlformats.org/officeDocument/2006/relationships/image" Target="media/image25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C01323-A8FE-4608-A793-F97D67AC01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232</Pages>
  <Words>43624</Words>
  <Characters>239932</Characters>
  <Application>Microsoft Office Word</Application>
  <DocSecurity>0</DocSecurity>
  <Lines>1999</Lines>
  <Paragraphs>565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282991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2018-09-17T19:35:00Z</dcterms:created>
  <dcterms:modified xsi:type="dcterms:W3CDTF">2018-09-17T19:35:00Z</dcterms:modified>
</cp:coreProperties>
</file>