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6EFB" w:rsidRDefault="00805C12" w:rsidP="00805C12">
      <w:pPr>
        <w:spacing w:line="240" w:lineRule="auto"/>
        <w:jc w:val="both"/>
        <w:rPr>
          <w:rFonts w:ascii="Times New Roman" w:hAnsi="Times New Roman" w:cs="Times New Roman"/>
          <w:b/>
          <w:sz w:val="24"/>
          <w:szCs w:val="24"/>
        </w:rPr>
      </w:pPr>
      <w:r w:rsidRPr="00805C12">
        <w:rPr>
          <w:rFonts w:ascii="Times New Roman" w:hAnsi="Times New Roman" w:cs="Times New Roman"/>
          <w:b/>
          <w:sz w:val="24"/>
          <w:szCs w:val="24"/>
        </w:rPr>
        <w:t xml:space="preserve">Paper - La </w:t>
      </w:r>
      <w:r>
        <w:rPr>
          <w:rFonts w:ascii="Times New Roman" w:hAnsi="Times New Roman" w:cs="Times New Roman"/>
          <w:b/>
          <w:sz w:val="24"/>
          <w:szCs w:val="24"/>
        </w:rPr>
        <w:t>‘</w:t>
      </w:r>
      <w:r w:rsidRPr="00805C12">
        <w:rPr>
          <w:rFonts w:ascii="Times New Roman" w:hAnsi="Times New Roman" w:cs="Times New Roman"/>
          <w:b/>
          <w:sz w:val="24"/>
          <w:szCs w:val="24"/>
        </w:rPr>
        <w:t>deslocalización</w:t>
      </w:r>
      <w:r>
        <w:rPr>
          <w:rFonts w:ascii="Times New Roman" w:hAnsi="Times New Roman" w:cs="Times New Roman"/>
          <w:b/>
          <w:sz w:val="24"/>
          <w:szCs w:val="24"/>
        </w:rPr>
        <w:t>’</w:t>
      </w:r>
      <w:r w:rsidRPr="00805C12">
        <w:rPr>
          <w:rFonts w:ascii="Times New Roman" w:hAnsi="Times New Roman" w:cs="Times New Roman"/>
          <w:b/>
          <w:sz w:val="24"/>
          <w:szCs w:val="24"/>
        </w:rPr>
        <w:t xml:space="preserve"> de la clase media (un caso </w:t>
      </w:r>
      <w:r>
        <w:rPr>
          <w:rFonts w:ascii="Times New Roman" w:hAnsi="Times New Roman" w:cs="Times New Roman"/>
          <w:b/>
          <w:sz w:val="24"/>
          <w:szCs w:val="24"/>
        </w:rPr>
        <w:t>surrealista</w:t>
      </w:r>
      <w:r w:rsidRPr="00805C12">
        <w:rPr>
          <w:rFonts w:ascii="Times New Roman" w:hAnsi="Times New Roman" w:cs="Times New Roman"/>
          <w:b/>
          <w:sz w:val="24"/>
          <w:szCs w:val="24"/>
        </w:rPr>
        <w:t xml:space="preserve"> de desarrollo inverso</w:t>
      </w:r>
      <w:r>
        <w:rPr>
          <w:rFonts w:ascii="Times New Roman" w:hAnsi="Times New Roman" w:cs="Times New Roman"/>
          <w:b/>
          <w:sz w:val="24"/>
          <w:szCs w:val="24"/>
        </w:rPr>
        <w:t>)</w:t>
      </w:r>
    </w:p>
    <w:p w:rsidR="00805C12" w:rsidRDefault="00805C12" w:rsidP="00805C12">
      <w:pPr>
        <w:spacing w:line="240" w:lineRule="auto"/>
        <w:jc w:val="both"/>
        <w:rPr>
          <w:rFonts w:ascii="Times New Roman" w:hAnsi="Times New Roman" w:cs="Times New Roman"/>
          <w:b/>
          <w:sz w:val="24"/>
          <w:szCs w:val="24"/>
        </w:rPr>
      </w:pPr>
      <w:r>
        <w:rPr>
          <w:noProof/>
          <w:lang w:eastAsia="es-ES"/>
        </w:rPr>
        <w:drawing>
          <wp:inline distT="0" distB="0" distL="0" distR="0" wp14:anchorId="0BDDCB5E" wp14:editId="56CF8DF1">
            <wp:extent cx="5727700" cy="4203700"/>
            <wp:effectExtent l="0" t="0" r="6350" b="6350"/>
            <wp:docPr id="7" name="Imagen 7" descr="Image result for pobreza de la  clase media - Argent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result for pobreza de la  clase media - Argentin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27700" cy="4203700"/>
                    </a:xfrm>
                    <a:prstGeom prst="rect">
                      <a:avLst/>
                    </a:prstGeom>
                    <a:noFill/>
                    <a:ln>
                      <a:noFill/>
                    </a:ln>
                  </pic:spPr>
                </pic:pic>
              </a:graphicData>
            </a:graphic>
          </wp:inline>
        </w:drawing>
      </w:r>
    </w:p>
    <w:p w:rsidR="00805C12" w:rsidRDefault="00805C12" w:rsidP="00805C12">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Introducción </w:t>
      </w:r>
      <w:r w:rsidR="0048192E">
        <w:rPr>
          <w:rFonts w:ascii="Times New Roman" w:hAnsi="Times New Roman" w:cs="Times New Roman"/>
          <w:b/>
          <w:sz w:val="24"/>
          <w:szCs w:val="24"/>
        </w:rPr>
        <w:t>-</w:t>
      </w:r>
      <w:r>
        <w:rPr>
          <w:rFonts w:ascii="Times New Roman" w:hAnsi="Times New Roman" w:cs="Times New Roman"/>
          <w:b/>
          <w:sz w:val="24"/>
          <w:szCs w:val="24"/>
        </w:rPr>
        <w:t xml:space="preserve"> </w:t>
      </w:r>
      <w:r w:rsidR="0048192E">
        <w:rPr>
          <w:rFonts w:ascii="Times New Roman" w:hAnsi="Times New Roman" w:cs="Times New Roman"/>
          <w:b/>
          <w:sz w:val="24"/>
          <w:szCs w:val="24"/>
        </w:rPr>
        <w:t>La clase media de los países avanzados: “p</w:t>
      </w:r>
      <w:r>
        <w:rPr>
          <w:rFonts w:ascii="Times New Roman" w:hAnsi="Times New Roman" w:cs="Times New Roman"/>
          <w:b/>
          <w:sz w:val="24"/>
          <w:szCs w:val="24"/>
        </w:rPr>
        <w:t>rohibido asomarse al interior</w:t>
      </w:r>
      <w:r w:rsidR="0048192E">
        <w:rPr>
          <w:rFonts w:ascii="Times New Roman" w:hAnsi="Times New Roman" w:cs="Times New Roman"/>
          <w:b/>
          <w:sz w:val="24"/>
          <w:szCs w:val="24"/>
        </w:rPr>
        <w:t>”</w:t>
      </w:r>
    </w:p>
    <w:p w:rsidR="00805C12" w:rsidRDefault="00805C12" w:rsidP="00805C12">
      <w:pPr>
        <w:spacing w:line="240" w:lineRule="auto"/>
        <w:jc w:val="both"/>
        <w:rPr>
          <w:rFonts w:ascii="Times New Roman" w:hAnsi="Times New Roman" w:cs="Times New Roman"/>
          <w:b/>
          <w:sz w:val="24"/>
          <w:szCs w:val="24"/>
        </w:rPr>
      </w:pPr>
      <w:r>
        <w:rPr>
          <w:noProof/>
          <w:lang w:eastAsia="es-ES"/>
        </w:rPr>
        <w:drawing>
          <wp:inline distT="0" distB="0" distL="0" distR="0" wp14:anchorId="73854A9D" wp14:editId="5B8C50BC">
            <wp:extent cx="2984500" cy="1809750"/>
            <wp:effectExtent l="0" t="0" r="6350" b="0"/>
            <wp:docPr id="3" name="Imagen 3" descr="Image result for fotos del empobrecimiento de la clase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fotos del empobrecimiento de la clase medi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84500" cy="1809750"/>
                    </a:xfrm>
                    <a:prstGeom prst="rect">
                      <a:avLst/>
                    </a:prstGeom>
                    <a:noFill/>
                    <a:ln>
                      <a:noFill/>
                    </a:ln>
                  </pic:spPr>
                </pic:pic>
              </a:graphicData>
            </a:graphic>
          </wp:inline>
        </w:drawing>
      </w:r>
      <w:r>
        <w:rPr>
          <w:noProof/>
          <w:lang w:eastAsia="es-ES"/>
        </w:rPr>
        <w:drawing>
          <wp:inline distT="0" distB="0" distL="0" distR="0" wp14:anchorId="3102251F" wp14:editId="3A56F486">
            <wp:extent cx="2667000" cy="1809750"/>
            <wp:effectExtent l="0" t="0" r="0" b="0"/>
            <wp:docPr id="4" name="Imagen 4" descr="Image result for fotos del empobrecimiento de la clase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fotos del empobrecimiento de la clase med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7000" cy="1809750"/>
                    </a:xfrm>
                    <a:prstGeom prst="rect">
                      <a:avLst/>
                    </a:prstGeom>
                    <a:noFill/>
                    <a:ln>
                      <a:noFill/>
                    </a:ln>
                  </pic:spPr>
                </pic:pic>
              </a:graphicData>
            </a:graphic>
          </wp:inline>
        </w:drawing>
      </w:r>
    </w:p>
    <w:p w:rsidR="0039063F" w:rsidRDefault="0039063F" w:rsidP="0039063F">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La clase media es la gran fuerza política de nuestro tiempo, pero nadie la tiene en cuenta por sí misma. Todos se refieren a ella como si no existiera en realidad: la vuelven invisible.</w:t>
      </w:r>
    </w:p>
    <w:p w:rsidR="0039063F" w:rsidRDefault="0039063F" w:rsidP="0039063F">
      <w:pPr>
        <w:shd w:val="clear" w:color="auto" w:fill="FFFFFF"/>
        <w:spacing w:after="0" w:line="240" w:lineRule="auto"/>
        <w:jc w:val="both"/>
        <w:textAlignment w:val="baseline"/>
        <w:rPr>
          <w:rFonts w:ascii="Times New Roman" w:eastAsia="Times New Roman" w:hAnsi="Times New Roman" w:cs="Times New Roman"/>
          <w:color w:val="FF0000"/>
          <w:sz w:val="24"/>
          <w:szCs w:val="24"/>
        </w:rPr>
      </w:pPr>
    </w:p>
    <w:p w:rsidR="005A072A" w:rsidRPr="005A072A" w:rsidRDefault="005A072A" w:rsidP="005A072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A072A">
        <w:rPr>
          <w:rFonts w:ascii="Times New Roman" w:hAnsi="Times New Roman" w:cs="Times New Roman"/>
          <w:sz w:val="24"/>
          <w:szCs w:val="24"/>
        </w:rPr>
        <w:t>Reductio ad absurdum</w:t>
      </w:r>
      <w:r>
        <w:rPr>
          <w:rFonts w:ascii="Times New Roman" w:hAnsi="Times New Roman" w:cs="Times New Roman"/>
          <w:sz w:val="24"/>
          <w:szCs w:val="24"/>
        </w:rPr>
        <w:t>”</w:t>
      </w:r>
      <w:r w:rsidRPr="005A072A">
        <w:rPr>
          <w:rFonts w:ascii="Times New Roman" w:hAnsi="Times New Roman" w:cs="Times New Roman"/>
          <w:sz w:val="24"/>
          <w:szCs w:val="24"/>
        </w:rPr>
        <w:t>, expresión lat</w:t>
      </w:r>
      <w:r>
        <w:rPr>
          <w:rFonts w:ascii="Times New Roman" w:hAnsi="Times New Roman" w:cs="Times New Roman"/>
          <w:sz w:val="24"/>
          <w:szCs w:val="24"/>
        </w:rPr>
        <w:t>ina que significa literalmente “reducción al absurdo”</w:t>
      </w:r>
      <w:r w:rsidRPr="005A072A">
        <w:rPr>
          <w:rFonts w:ascii="Times New Roman" w:hAnsi="Times New Roman" w:cs="Times New Roman"/>
          <w:sz w:val="24"/>
          <w:szCs w:val="24"/>
        </w:rPr>
        <w:t>, es uno de los métodos lógicos de demostración más usados en matemáticas, usado para demostrar la validez (o invalidez</w:t>
      </w:r>
      <w:r>
        <w:rPr>
          <w:rFonts w:ascii="Times New Roman" w:hAnsi="Times New Roman" w:cs="Times New Roman"/>
          <w:sz w:val="24"/>
          <w:szCs w:val="24"/>
        </w:rPr>
        <w:t>) de proposiciones categóricas.</w:t>
      </w:r>
    </w:p>
    <w:p w:rsidR="005A072A" w:rsidRDefault="005A072A" w:rsidP="005A072A">
      <w:pPr>
        <w:spacing w:line="240" w:lineRule="auto"/>
        <w:jc w:val="both"/>
        <w:rPr>
          <w:rFonts w:ascii="Times New Roman" w:hAnsi="Times New Roman" w:cs="Times New Roman"/>
          <w:sz w:val="24"/>
          <w:szCs w:val="24"/>
        </w:rPr>
      </w:pPr>
      <w:r w:rsidRPr="005A072A">
        <w:rPr>
          <w:rFonts w:ascii="Times New Roman" w:hAnsi="Times New Roman" w:cs="Times New Roman"/>
          <w:sz w:val="24"/>
          <w:szCs w:val="24"/>
        </w:rPr>
        <w:t xml:space="preserve">Se parte por suponer como hipotética la negación o falsedad de la tesis de la proposición a demostrar, y mediante una concatenación de inferencias lógicas válidas se pretende llegar a una contradicción lógica, un absurdo, de llegar a una contradicción, se concluye que la </w:t>
      </w:r>
      <w:r w:rsidRPr="005A072A">
        <w:rPr>
          <w:rFonts w:ascii="Times New Roman" w:hAnsi="Times New Roman" w:cs="Times New Roman"/>
          <w:sz w:val="24"/>
          <w:szCs w:val="24"/>
        </w:rPr>
        <w:lastRenderedPageBreak/>
        <w:t>hipótesis de partida (que se había supuesto verdadera al principio) ha de ser falsa, y entonces la hipótesis original es verdadera y la proposición o argumento es válido.</w:t>
      </w:r>
    </w:p>
    <w:p w:rsidR="005A072A" w:rsidRDefault="005A072A" w:rsidP="005A072A">
      <w:pPr>
        <w:spacing w:line="240" w:lineRule="auto"/>
        <w:jc w:val="both"/>
        <w:rPr>
          <w:rFonts w:ascii="Times New Roman" w:hAnsi="Times New Roman" w:cs="Times New Roman"/>
          <w:sz w:val="24"/>
          <w:szCs w:val="24"/>
        </w:rPr>
      </w:pPr>
      <w:r>
        <w:rPr>
          <w:rFonts w:ascii="Times New Roman" w:hAnsi="Times New Roman" w:cs="Times New Roman"/>
          <w:sz w:val="24"/>
          <w:szCs w:val="24"/>
        </w:rPr>
        <w:t>La Reducción al Absurdo es uno de los métodos má</w:t>
      </w:r>
      <w:r w:rsidRPr="005A072A">
        <w:rPr>
          <w:rFonts w:ascii="Times New Roman" w:hAnsi="Times New Roman" w:cs="Times New Roman"/>
          <w:sz w:val="24"/>
          <w:szCs w:val="24"/>
        </w:rPr>
        <w:t>s usados p</w:t>
      </w:r>
      <w:r>
        <w:rPr>
          <w:rFonts w:ascii="Times New Roman" w:hAnsi="Times New Roman" w:cs="Times New Roman"/>
          <w:sz w:val="24"/>
          <w:szCs w:val="24"/>
        </w:rPr>
        <w:t>ara hacer demostraciones matemá</w:t>
      </w:r>
      <w:r w:rsidRPr="005A072A">
        <w:rPr>
          <w:rFonts w:ascii="Times New Roman" w:hAnsi="Times New Roman" w:cs="Times New Roman"/>
          <w:sz w:val="24"/>
          <w:szCs w:val="24"/>
        </w:rPr>
        <w:t>ticas. La id</w:t>
      </w:r>
      <w:r>
        <w:rPr>
          <w:rFonts w:ascii="Times New Roman" w:hAnsi="Times New Roman" w:cs="Times New Roman"/>
          <w:sz w:val="24"/>
          <w:szCs w:val="24"/>
        </w:rPr>
        <w:t xml:space="preserve">ea es suponer que la proposición que queremos demostrar </w:t>
      </w:r>
      <w:r w:rsidRPr="005A072A">
        <w:rPr>
          <w:rFonts w:ascii="Times New Roman" w:hAnsi="Times New Roman" w:cs="Times New Roman"/>
          <w:sz w:val="24"/>
          <w:szCs w:val="24"/>
        </w:rPr>
        <w:t>es fals</w:t>
      </w:r>
      <w:r>
        <w:rPr>
          <w:rFonts w:ascii="Times New Roman" w:hAnsi="Times New Roman" w:cs="Times New Roman"/>
          <w:sz w:val="24"/>
          <w:szCs w:val="24"/>
        </w:rPr>
        <w:t xml:space="preserve">a, y a partir de esta suposición, usando deducciones matemáticas, llegar a una </w:t>
      </w:r>
      <w:r w:rsidRPr="005A072A">
        <w:rPr>
          <w:rFonts w:ascii="Times New Roman" w:hAnsi="Times New Roman" w:cs="Times New Roman"/>
          <w:sz w:val="24"/>
          <w:szCs w:val="24"/>
        </w:rPr>
        <w:t>contra</w:t>
      </w:r>
      <w:r>
        <w:rPr>
          <w:rFonts w:ascii="Times New Roman" w:hAnsi="Times New Roman" w:cs="Times New Roman"/>
          <w:sz w:val="24"/>
          <w:szCs w:val="24"/>
        </w:rPr>
        <w:t>dicció</w:t>
      </w:r>
      <w:r w:rsidRPr="005A072A">
        <w:rPr>
          <w:rFonts w:ascii="Times New Roman" w:hAnsi="Times New Roman" w:cs="Times New Roman"/>
          <w:sz w:val="24"/>
          <w:szCs w:val="24"/>
        </w:rPr>
        <w:t>n o algo absurdo, lo cual</w:t>
      </w:r>
      <w:r>
        <w:rPr>
          <w:rFonts w:ascii="Times New Roman" w:hAnsi="Times New Roman" w:cs="Times New Roman"/>
          <w:sz w:val="24"/>
          <w:szCs w:val="24"/>
        </w:rPr>
        <w:t xml:space="preserve"> implica que nuestra proposición es necesariamente </w:t>
      </w:r>
      <w:r w:rsidRPr="005A072A">
        <w:rPr>
          <w:rFonts w:ascii="Times New Roman" w:hAnsi="Times New Roman" w:cs="Times New Roman"/>
          <w:sz w:val="24"/>
          <w:szCs w:val="24"/>
        </w:rPr>
        <w:t>cierta.</w:t>
      </w:r>
    </w:p>
    <w:p w:rsidR="00DA7907" w:rsidRDefault="005A072A" w:rsidP="005A072A">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caso</w:t>
      </w:r>
      <w:r w:rsidR="00DA7907">
        <w:rPr>
          <w:rFonts w:ascii="Times New Roman" w:hAnsi="Times New Roman" w:cs="Times New Roman"/>
          <w:sz w:val="24"/>
          <w:szCs w:val="24"/>
        </w:rPr>
        <w:t>,</w:t>
      </w:r>
      <w:r>
        <w:rPr>
          <w:rFonts w:ascii="Times New Roman" w:hAnsi="Times New Roman" w:cs="Times New Roman"/>
          <w:sz w:val="24"/>
          <w:szCs w:val="24"/>
        </w:rPr>
        <w:t xml:space="preserve"> lo que intentaré demostrar</w:t>
      </w:r>
      <w:r w:rsidR="00DA7907">
        <w:rPr>
          <w:rFonts w:ascii="Times New Roman" w:hAnsi="Times New Roman" w:cs="Times New Roman"/>
          <w:sz w:val="24"/>
          <w:szCs w:val="24"/>
        </w:rPr>
        <w:t xml:space="preserve"> </w:t>
      </w:r>
      <w:r>
        <w:rPr>
          <w:rFonts w:ascii="Times New Roman" w:hAnsi="Times New Roman" w:cs="Times New Roman"/>
          <w:sz w:val="24"/>
          <w:szCs w:val="24"/>
        </w:rPr>
        <w:t xml:space="preserve">es el </w:t>
      </w:r>
      <w:r w:rsidR="000E4B23">
        <w:rPr>
          <w:rFonts w:ascii="Times New Roman" w:hAnsi="Times New Roman" w:cs="Times New Roman"/>
          <w:sz w:val="24"/>
          <w:szCs w:val="24"/>
        </w:rPr>
        <w:t>“</w:t>
      </w:r>
      <w:r>
        <w:rPr>
          <w:rFonts w:ascii="Times New Roman" w:hAnsi="Times New Roman" w:cs="Times New Roman"/>
          <w:sz w:val="24"/>
          <w:szCs w:val="24"/>
        </w:rPr>
        <w:t>trasvasamiento</w:t>
      </w:r>
      <w:r w:rsidR="000E4B23">
        <w:rPr>
          <w:rFonts w:ascii="Times New Roman" w:hAnsi="Times New Roman" w:cs="Times New Roman"/>
          <w:sz w:val="24"/>
          <w:szCs w:val="24"/>
        </w:rPr>
        <w:t>”</w:t>
      </w:r>
      <w:r>
        <w:rPr>
          <w:rFonts w:ascii="Times New Roman" w:hAnsi="Times New Roman" w:cs="Times New Roman"/>
          <w:sz w:val="24"/>
          <w:szCs w:val="24"/>
        </w:rPr>
        <w:t xml:space="preserve"> de la clase m</w:t>
      </w:r>
      <w:r w:rsidR="00DA7907">
        <w:rPr>
          <w:rFonts w:ascii="Times New Roman" w:hAnsi="Times New Roman" w:cs="Times New Roman"/>
          <w:sz w:val="24"/>
          <w:szCs w:val="24"/>
        </w:rPr>
        <w:t>edia de Estados Unidos y la Unión Europea (antes, países</w:t>
      </w:r>
      <w:r>
        <w:rPr>
          <w:rFonts w:ascii="Times New Roman" w:hAnsi="Times New Roman" w:cs="Times New Roman"/>
          <w:sz w:val="24"/>
          <w:szCs w:val="24"/>
        </w:rPr>
        <w:t xml:space="preserve"> </w:t>
      </w:r>
      <w:r w:rsidR="00DA7907">
        <w:rPr>
          <w:rFonts w:ascii="Times New Roman" w:hAnsi="Times New Roman" w:cs="Times New Roman"/>
          <w:sz w:val="24"/>
          <w:szCs w:val="24"/>
        </w:rPr>
        <w:t xml:space="preserve">avanzados; </w:t>
      </w:r>
      <w:r>
        <w:rPr>
          <w:rFonts w:ascii="Times New Roman" w:hAnsi="Times New Roman" w:cs="Times New Roman"/>
          <w:sz w:val="24"/>
          <w:szCs w:val="24"/>
        </w:rPr>
        <w:t>ahora</w:t>
      </w:r>
      <w:r w:rsidR="00DA7907">
        <w:rPr>
          <w:rFonts w:ascii="Times New Roman" w:hAnsi="Times New Roman" w:cs="Times New Roman"/>
          <w:sz w:val="24"/>
          <w:szCs w:val="24"/>
        </w:rPr>
        <w:t>, países</w:t>
      </w:r>
      <w:r>
        <w:rPr>
          <w:rFonts w:ascii="Times New Roman" w:hAnsi="Times New Roman" w:cs="Times New Roman"/>
          <w:sz w:val="24"/>
          <w:szCs w:val="24"/>
        </w:rPr>
        <w:t xml:space="preserve"> en vías de subdesarrollo), ha</w:t>
      </w:r>
      <w:r w:rsidR="00DA7907">
        <w:rPr>
          <w:rFonts w:ascii="Times New Roman" w:hAnsi="Times New Roman" w:cs="Times New Roman"/>
          <w:sz w:val="24"/>
          <w:szCs w:val="24"/>
        </w:rPr>
        <w:t>cia China (antes, país subdesarrollado, luego, país en vías de desarrollo, después país emergente, y al final, país avanzado), mediante el proceso de globalización,  deslocalización, libre movimiento de capitales, bienes y servicios, que provocaron la disminución y empobrecimiento de la clase media de los países avanzados (EEUU y UE).</w:t>
      </w:r>
    </w:p>
    <w:p w:rsidR="0039063F" w:rsidRPr="0039063F" w:rsidRDefault="00DA7907" w:rsidP="0039063F">
      <w:pPr>
        <w:spacing w:line="240" w:lineRule="auto"/>
        <w:jc w:val="both"/>
        <w:rPr>
          <w:rFonts w:ascii="Times New Roman" w:hAnsi="Times New Roman" w:cs="Times New Roman"/>
          <w:sz w:val="24"/>
          <w:szCs w:val="24"/>
        </w:rPr>
      </w:pPr>
      <w:r>
        <w:rPr>
          <w:rFonts w:ascii="Times New Roman" w:hAnsi="Times New Roman" w:cs="Times New Roman"/>
          <w:sz w:val="24"/>
          <w:szCs w:val="24"/>
        </w:rPr>
        <w:t>Esa</w:t>
      </w:r>
      <w:r w:rsidR="007132F8">
        <w:rPr>
          <w:rFonts w:ascii="Times New Roman" w:hAnsi="Times New Roman" w:cs="Times New Roman"/>
          <w:sz w:val="24"/>
          <w:szCs w:val="24"/>
        </w:rPr>
        <w:t xml:space="preserve"> fórmula de</w:t>
      </w:r>
      <w:r>
        <w:rPr>
          <w:rFonts w:ascii="Times New Roman" w:hAnsi="Times New Roman" w:cs="Times New Roman"/>
          <w:sz w:val="24"/>
          <w:szCs w:val="24"/>
        </w:rPr>
        <w:t xml:space="preserve"> “deslocalización” de la mano de obra,</w:t>
      </w:r>
      <w:r w:rsidR="007132F8">
        <w:rPr>
          <w:rFonts w:ascii="Times New Roman" w:hAnsi="Times New Roman" w:cs="Times New Roman"/>
          <w:sz w:val="24"/>
          <w:szCs w:val="24"/>
        </w:rPr>
        <w:t xml:space="preserve"> ha provocado que haya; más ricos, más pobres y menos clase media, tanto en Estados Unidos como en Europa. Un caso “flagrante” de desarrollo inverso. </w:t>
      </w:r>
      <w:r w:rsidR="00D1622B">
        <w:rPr>
          <w:rFonts w:ascii="Times New Roman" w:hAnsi="Times New Roman" w:cs="Times New Roman"/>
          <w:sz w:val="24"/>
          <w:szCs w:val="24"/>
        </w:rPr>
        <w:t>Según el refranero español, sería</w:t>
      </w:r>
      <w:r w:rsidR="007132F8">
        <w:rPr>
          <w:rFonts w:ascii="Times New Roman" w:hAnsi="Times New Roman" w:cs="Times New Roman"/>
          <w:sz w:val="24"/>
          <w:szCs w:val="24"/>
        </w:rPr>
        <w:t>: “d</w:t>
      </w:r>
      <w:r w:rsidR="007132F8" w:rsidRPr="007132F8">
        <w:rPr>
          <w:rFonts w:ascii="Times New Roman" w:hAnsi="Times New Roman" w:cs="Times New Roman"/>
          <w:sz w:val="24"/>
          <w:szCs w:val="24"/>
        </w:rPr>
        <w:t>esnudar un santo para vestir otro</w:t>
      </w:r>
      <w:r w:rsidR="007132F8">
        <w:rPr>
          <w:rFonts w:ascii="Times New Roman" w:hAnsi="Times New Roman" w:cs="Times New Roman"/>
          <w:sz w:val="24"/>
          <w:szCs w:val="24"/>
        </w:rPr>
        <w:t>”.</w:t>
      </w:r>
    </w:p>
    <w:p w:rsidR="007132F8" w:rsidRDefault="007132F8" w:rsidP="005A072A">
      <w:pPr>
        <w:spacing w:line="240" w:lineRule="auto"/>
        <w:jc w:val="both"/>
        <w:rPr>
          <w:rFonts w:ascii="Times New Roman" w:hAnsi="Times New Roman" w:cs="Times New Roman"/>
          <w:sz w:val="24"/>
          <w:szCs w:val="24"/>
        </w:rPr>
      </w:pPr>
      <w:r>
        <w:rPr>
          <w:rFonts w:ascii="Times New Roman" w:hAnsi="Times New Roman" w:cs="Times New Roman"/>
          <w:sz w:val="24"/>
          <w:szCs w:val="24"/>
        </w:rPr>
        <w:t>Pero supongamos que estoy equivocado en mi valoració</w:t>
      </w:r>
      <w:r w:rsidR="00D20647">
        <w:rPr>
          <w:rFonts w:ascii="Times New Roman" w:hAnsi="Times New Roman" w:cs="Times New Roman"/>
          <w:sz w:val="24"/>
          <w:szCs w:val="24"/>
        </w:rPr>
        <w:t>n (demostración por el absurdo):</w:t>
      </w:r>
      <w:r>
        <w:rPr>
          <w:rFonts w:ascii="Times New Roman" w:hAnsi="Times New Roman" w:cs="Times New Roman"/>
          <w:sz w:val="24"/>
          <w:szCs w:val="24"/>
        </w:rPr>
        <w:t xml:space="preserve"> </w:t>
      </w:r>
    </w:p>
    <w:p w:rsidR="007132F8" w:rsidRPr="00E51329" w:rsidRDefault="007132F8" w:rsidP="007132F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20647">
        <w:rPr>
          <w:rFonts w:ascii="Times New Roman" w:hAnsi="Times New Roman" w:cs="Times New Roman"/>
          <w:sz w:val="24"/>
          <w:szCs w:val="24"/>
          <w:u w:val="single"/>
        </w:rPr>
        <w:t>Cuáles serán las mayores economías del mundo en 2030</w:t>
      </w:r>
      <w:r>
        <w:rPr>
          <w:rFonts w:ascii="Times New Roman" w:hAnsi="Times New Roman" w:cs="Times New Roman"/>
          <w:sz w:val="24"/>
          <w:szCs w:val="24"/>
        </w:rPr>
        <w:t>? (Fuente:</w:t>
      </w:r>
      <w:r w:rsidR="004620A6">
        <w:rPr>
          <w:rFonts w:ascii="Times New Roman" w:hAnsi="Times New Roman" w:cs="Times New Roman"/>
          <w:sz w:val="24"/>
          <w:szCs w:val="24"/>
        </w:rPr>
        <w:t xml:space="preserve"> BBC</w:t>
      </w:r>
      <w:r w:rsidRPr="00E51329">
        <w:rPr>
          <w:rFonts w:ascii="Times New Roman" w:hAnsi="Times New Roman" w:cs="Times New Roman"/>
          <w:sz w:val="24"/>
          <w:szCs w:val="24"/>
        </w:rPr>
        <w:t>Mundo</w:t>
      </w:r>
      <w:r w:rsidR="004620A6">
        <w:rPr>
          <w:rFonts w:ascii="Times New Roman" w:hAnsi="Times New Roman" w:cs="Times New Roman"/>
          <w:sz w:val="24"/>
          <w:szCs w:val="24"/>
        </w:rPr>
        <w:t xml:space="preserve"> - </w:t>
      </w:r>
      <w:r w:rsidR="004620A6" w:rsidRPr="004620A6">
        <w:rPr>
          <w:rFonts w:ascii="Times New Roman" w:hAnsi="Times New Roman" w:cs="Times New Roman"/>
          <w:b/>
          <w:sz w:val="24"/>
          <w:szCs w:val="24"/>
        </w:rPr>
        <w:t>14/1/19</w:t>
      </w:r>
      <w:r w:rsidR="004620A6">
        <w:rPr>
          <w:rFonts w:ascii="Times New Roman" w:hAnsi="Times New Roman" w:cs="Times New Roman"/>
          <w:sz w:val="24"/>
          <w:szCs w:val="24"/>
        </w:rPr>
        <w:t>)</w:t>
      </w:r>
    </w:p>
    <w:p w:rsidR="007132F8" w:rsidRPr="00E51329" w:rsidRDefault="007132F8" w:rsidP="007132F8">
      <w:pPr>
        <w:spacing w:line="240" w:lineRule="auto"/>
        <w:jc w:val="both"/>
        <w:rPr>
          <w:rFonts w:ascii="Times New Roman" w:hAnsi="Times New Roman" w:cs="Times New Roman"/>
          <w:sz w:val="24"/>
          <w:szCs w:val="24"/>
        </w:rPr>
      </w:pPr>
      <w:r w:rsidRPr="00E51329">
        <w:rPr>
          <w:rFonts w:ascii="Times New Roman" w:hAnsi="Times New Roman" w:cs="Times New Roman"/>
          <w:sz w:val="24"/>
          <w:szCs w:val="24"/>
        </w:rPr>
        <w:t xml:space="preserve">La economía de India sobrepasará a la de Estados Unidos en 2030. Esa es una de las sorpresas que trae una investigación que acaba de publicar </w:t>
      </w:r>
      <w:r w:rsidRPr="00E51329">
        <w:rPr>
          <w:rFonts w:ascii="Times New Roman" w:hAnsi="Times New Roman" w:cs="Times New Roman"/>
          <w:b/>
          <w:sz w:val="24"/>
          <w:szCs w:val="24"/>
        </w:rPr>
        <w:t>Standard Chartered</w:t>
      </w:r>
      <w:r w:rsidRPr="00E51329">
        <w:rPr>
          <w:rFonts w:ascii="Times New Roman" w:hAnsi="Times New Roman" w:cs="Times New Roman"/>
          <w:sz w:val="24"/>
          <w:szCs w:val="24"/>
        </w:rPr>
        <w:t>, un banco multina</w:t>
      </w:r>
      <w:r>
        <w:rPr>
          <w:rFonts w:ascii="Times New Roman" w:hAnsi="Times New Roman" w:cs="Times New Roman"/>
          <w:sz w:val="24"/>
          <w:szCs w:val="24"/>
        </w:rPr>
        <w:t>cional con sede en Reino Unido.</w:t>
      </w:r>
    </w:p>
    <w:p w:rsidR="007132F8" w:rsidRPr="00E51329" w:rsidRDefault="007132F8" w:rsidP="007132F8">
      <w:pPr>
        <w:spacing w:line="240" w:lineRule="auto"/>
        <w:jc w:val="both"/>
        <w:rPr>
          <w:rFonts w:ascii="Times New Roman" w:hAnsi="Times New Roman" w:cs="Times New Roman"/>
          <w:sz w:val="24"/>
          <w:szCs w:val="24"/>
        </w:rPr>
      </w:pPr>
      <w:r w:rsidRPr="00E51329">
        <w:rPr>
          <w:rFonts w:ascii="Times New Roman" w:hAnsi="Times New Roman" w:cs="Times New Roman"/>
          <w:sz w:val="24"/>
          <w:szCs w:val="24"/>
        </w:rPr>
        <w:t>Si esa proyección se cumple, India se convertiría en la segunda economía mundial -de</w:t>
      </w:r>
      <w:r w:rsidR="004620A6">
        <w:rPr>
          <w:rFonts w:ascii="Times New Roman" w:hAnsi="Times New Roman" w:cs="Times New Roman"/>
          <w:sz w:val="24"/>
          <w:szCs w:val="24"/>
        </w:rPr>
        <w:t>spués de China- mientras que EE</w:t>
      </w:r>
      <w:r w:rsidRPr="00E51329">
        <w:rPr>
          <w:rFonts w:ascii="Times New Roman" w:hAnsi="Times New Roman" w:cs="Times New Roman"/>
          <w:sz w:val="24"/>
          <w:szCs w:val="24"/>
        </w:rPr>
        <w:t>U</w:t>
      </w:r>
      <w:r w:rsidR="004620A6">
        <w:rPr>
          <w:rFonts w:ascii="Times New Roman" w:hAnsi="Times New Roman" w:cs="Times New Roman"/>
          <w:sz w:val="24"/>
          <w:szCs w:val="24"/>
        </w:rPr>
        <w:t>U</w:t>
      </w:r>
      <w:r>
        <w:rPr>
          <w:rFonts w:ascii="Times New Roman" w:hAnsi="Times New Roman" w:cs="Times New Roman"/>
          <w:sz w:val="24"/>
          <w:szCs w:val="24"/>
        </w:rPr>
        <w:t xml:space="preserve"> quedaría en el tercer lugar.</w:t>
      </w:r>
    </w:p>
    <w:p w:rsidR="00E8084B" w:rsidRDefault="007132F8" w:rsidP="007132F8">
      <w:pPr>
        <w:spacing w:line="240" w:lineRule="auto"/>
        <w:jc w:val="both"/>
        <w:rPr>
          <w:rFonts w:ascii="Times New Roman" w:hAnsi="Times New Roman" w:cs="Times New Roman"/>
          <w:sz w:val="24"/>
          <w:szCs w:val="24"/>
        </w:rPr>
      </w:pPr>
      <w:r w:rsidRPr="00E51329">
        <w:rPr>
          <w:rFonts w:ascii="Times New Roman" w:hAnsi="Times New Roman" w:cs="Times New Roman"/>
          <w:sz w:val="24"/>
          <w:szCs w:val="24"/>
        </w:rPr>
        <w:t>Siete de las primeras 10 economías del mundo serán, de acuerdo al estudio, mercados que hoy están en la categoría de emergentes, con Indonesia saltando al quinto lugar.</w:t>
      </w:r>
    </w:p>
    <w:p w:rsidR="00E8084B" w:rsidRDefault="007132F8" w:rsidP="00E8084B">
      <w:pPr>
        <w:spacing w:line="240" w:lineRule="auto"/>
        <w:jc w:val="both"/>
        <w:rPr>
          <w:rFonts w:ascii="Times New Roman" w:hAnsi="Times New Roman" w:cs="Times New Roman"/>
          <w:sz w:val="24"/>
          <w:szCs w:val="24"/>
        </w:rPr>
      </w:pPr>
      <w:r w:rsidRPr="00873E3A">
        <w:rPr>
          <w:rFonts w:ascii="Times New Roman" w:hAnsi="Times New Roman" w:cs="Times New Roman"/>
          <w:noProof/>
          <w:sz w:val="24"/>
          <w:szCs w:val="24"/>
          <w:lang w:eastAsia="es-ES"/>
        </w:rPr>
        <w:drawing>
          <wp:inline distT="0" distB="0" distL="0" distR="0" wp14:anchorId="34EF7F7D" wp14:editId="62FAAAD6">
            <wp:extent cx="5728075" cy="2946400"/>
            <wp:effectExtent l="0" t="0" r="635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948167"/>
                    </a:xfrm>
                    <a:prstGeom prst="rect">
                      <a:avLst/>
                    </a:prstGeom>
                  </pic:spPr>
                </pic:pic>
              </a:graphicData>
            </a:graphic>
          </wp:inline>
        </w:drawing>
      </w:r>
    </w:p>
    <w:p w:rsidR="000E4B23" w:rsidRDefault="009F2A59" w:rsidP="00E8084B">
      <w:pPr>
        <w:spacing w:line="240" w:lineRule="auto"/>
        <w:jc w:val="both"/>
        <w:rPr>
          <w:rFonts w:ascii="Times New Roman" w:hAnsi="Times New Roman" w:cs="Times New Roman"/>
          <w:sz w:val="24"/>
          <w:szCs w:val="24"/>
        </w:rPr>
      </w:pPr>
      <w:r>
        <w:rPr>
          <w:rFonts w:ascii="Times New Roman" w:hAnsi="Times New Roman" w:cs="Times New Roman"/>
          <w:sz w:val="24"/>
          <w:szCs w:val="24"/>
        </w:rPr>
        <w:t>Ya sabemos</w:t>
      </w:r>
      <w:r w:rsidR="00D37EAF">
        <w:rPr>
          <w:rFonts w:ascii="Times New Roman" w:hAnsi="Times New Roman" w:cs="Times New Roman"/>
          <w:sz w:val="24"/>
          <w:szCs w:val="24"/>
        </w:rPr>
        <w:t>,</w:t>
      </w:r>
      <w:r>
        <w:rPr>
          <w:rFonts w:ascii="Times New Roman" w:hAnsi="Times New Roman" w:cs="Times New Roman"/>
          <w:sz w:val="24"/>
          <w:szCs w:val="24"/>
        </w:rPr>
        <w:t xml:space="preserve"> quiénes</w:t>
      </w:r>
      <w:r w:rsidR="000E4B23">
        <w:rPr>
          <w:rFonts w:ascii="Times New Roman" w:hAnsi="Times New Roman" w:cs="Times New Roman"/>
          <w:sz w:val="24"/>
          <w:szCs w:val="24"/>
        </w:rPr>
        <w:t xml:space="preserve"> son los grandes “ganadores” de la globalización…</w:t>
      </w:r>
    </w:p>
    <w:p w:rsidR="00E8084B" w:rsidRPr="00E8084B" w:rsidRDefault="000E4B23" w:rsidP="00E8084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 ahora,</w:t>
      </w:r>
      <w:r w:rsidR="009F2A59">
        <w:rPr>
          <w:rFonts w:ascii="Times New Roman" w:hAnsi="Times New Roman" w:cs="Times New Roman"/>
          <w:sz w:val="24"/>
          <w:szCs w:val="24"/>
          <w:u w:val="single"/>
        </w:rPr>
        <w:t xml:space="preserve"> veamos quienes son</w:t>
      </w:r>
      <w:r>
        <w:rPr>
          <w:rFonts w:ascii="Times New Roman" w:hAnsi="Times New Roman" w:cs="Times New Roman"/>
          <w:sz w:val="24"/>
          <w:szCs w:val="24"/>
          <w:u w:val="single"/>
        </w:rPr>
        <w:t xml:space="preserve"> l</w:t>
      </w:r>
      <w:r w:rsidR="00E8084B" w:rsidRPr="00E8084B">
        <w:rPr>
          <w:rFonts w:ascii="Times New Roman" w:hAnsi="Times New Roman" w:cs="Times New Roman"/>
          <w:sz w:val="24"/>
          <w:szCs w:val="24"/>
          <w:u w:val="single"/>
        </w:rPr>
        <w:t>os grandes “perdedores” de la globalización</w:t>
      </w:r>
      <w:r>
        <w:rPr>
          <w:rFonts w:ascii="Times New Roman" w:hAnsi="Times New Roman" w:cs="Times New Roman"/>
          <w:sz w:val="24"/>
          <w:szCs w:val="24"/>
          <w:u w:val="single"/>
        </w:rPr>
        <w:t xml:space="preserve"> </w:t>
      </w:r>
    </w:p>
    <w:p w:rsidR="00E8084B"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 xml:space="preserve">Es la gran fuerza electoral de nuestra época, aun cuando no suela ser tenida en cuenta. Se habla con cierta frecuencia de ella, y se la señala como gran perdedora de la globalización, pero nadie la toma en serio. </w:t>
      </w:r>
    </w:p>
    <w:p w:rsidR="00E8084B" w:rsidRPr="000E4B23" w:rsidRDefault="00E8084B"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E8084B"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La clase me</w:t>
      </w:r>
      <w:r w:rsidR="00E8084B" w:rsidRPr="000E4B23">
        <w:rPr>
          <w:rFonts w:ascii="Times New Roman" w:eastAsia="Times New Roman" w:hAnsi="Times New Roman" w:cs="Times New Roman"/>
          <w:sz w:val="24"/>
          <w:szCs w:val="24"/>
        </w:rPr>
        <w:t xml:space="preserve">dia empobrecida </w:t>
      </w:r>
      <w:r w:rsidRPr="000E4B23">
        <w:rPr>
          <w:rFonts w:ascii="Times New Roman" w:eastAsia="Times New Roman" w:hAnsi="Times New Roman" w:cs="Times New Roman"/>
          <w:sz w:val="24"/>
          <w:szCs w:val="24"/>
        </w:rPr>
        <w:t>suele ser sinónimo, para una parte del espectro político, de esa gente que no se ha sabido adaptar a las exigencias de los tiempos, y para el otro, de esas personas retrógradas y en el fondo</w:t>
      </w:r>
      <w:r w:rsidR="00D1622B">
        <w:rPr>
          <w:rFonts w:ascii="Times New Roman" w:eastAsia="Times New Roman" w:hAnsi="Times New Roman" w:cs="Times New Roman"/>
          <w:sz w:val="24"/>
          <w:szCs w:val="24"/>
        </w:rPr>
        <w:t>,</w:t>
      </w:r>
      <w:r w:rsidRPr="000E4B23">
        <w:rPr>
          <w:rFonts w:ascii="Times New Roman" w:eastAsia="Times New Roman" w:hAnsi="Times New Roman" w:cs="Times New Roman"/>
          <w:sz w:val="24"/>
          <w:szCs w:val="24"/>
        </w:rPr>
        <w:t xml:space="preserve"> fascistas que no quieren asimilar los cambios culturales. </w:t>
      </w:r>
    </w:p>
    <w:p w:rsidR="00E8084B" w:rsidRPr="000E4B23" w:rsidRDefault="00E8084B"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E8084B"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Ambos la ven como un problema, algo de lo que habría que deshacerse, más que como una fuerza con potencial enorme para el cambio. La ceguera de unos y otros ha abierto la puerta a la derecha populista, como la francesa</w:t>
      </w:r>
      <w:r w:rsidR="00E8084B" w:rsidRPr="000E4B23">
        <w:rPr>
          <w:rFonts w:ascii="Times New Roman" w:eastAsia="Times New Roman" w:hAnsi="Times New Roman" w:cs="Times New Roman"/>
          <w:sz w:val="24"/>
          <w:szCs w:val="24"/>
        </w:rPr>
        <w:t xml:space="preserve"> (Le Pen)</w:t>
      </w:r>
      <w:r w:rsidRPr="000E4B23">
        <w:rPr>
          <w:rFonts w:ascii="Times New Roman" w:eastAsia="Times New Roman" w:hAnsi="Times New Roman" w:cs="Times New Roman"/>
          <w:sz w:val="24"/>
          <w:szCs w:val="24"/>
        </w:rPr>
        <w:t xml:space="preserve"> o la italiana</w:t>
      </w:r>
      <w:r w:rsidR="00E8084B" w:rsidRPr="000E4B23">
        <w:rPr>
          <w:rFonts w:ascii="Times New Roman" w:eastAsia="Times New Roman" w:hAnsi="Times New Roman" w:cs="Times New Roman"/>
          <w:sz w:val="24"/>
          <w:szCs w:val="24"/>
        </w:rPr>
        <w:t xml:space="preserve"> (Salvini)</w:t>
      </w:r>
      <w:r w:rsidRPr="000E4B23">
        <w:rPr>
          <w:rFonts w:ascii="Times New Roman" w:eastAsia="Times New Roman" w:hAnsi="Times New Roman" w:cs="Times New Roman"/>
          <w:sz w:val="24"/>
          <w:szCs w:val="24"/>
        </w:rPr>
        <w:t>,</w:t>
      </w:r>
      <w:r w:rsidR="00E8084B" w:rsidRPr="000E4B23">
        <w:rPr>
          <w:rFonts w:ascii="Times New Roman" w:eastAsia="Times New Roman" w:hAnsi="Times New Roman" w:cs="Times New Roman"/>
          <w:sz w:val="24"/>
          <w:szCs w:val="24"/>
        </w:rPr>
        <w:t xml:space="preserve"> o la americana (Trump),</w:t>
      </w:r>
      <w:r w:rsidRPr="000E4B23">
        <w:rPr>
          <w:rFonts w:ascii="Times New Roman" w:eastAsia="Times New Roman" w:hAnsi="Times New Roman" w:cs="Times New Roman"/>
          <w:sz w:val="24"/>
          <w:szCs w:val="24"/>
        </w:rPr>
        <w:t xml:space="preserve"> que sí se ha di</w:t>
      </w:r>
      <w:r w:rsidR="00D1622B">
        <w:rPr>
          <w:rFonts w:ascii="Times New Roman" w:eastAsia="Times New Roman" w:hAnsi="Times New Roman" w:cs="Times New Roman"/>
          <w:sz w:val="24"/>
          <w:szCs w:val="24"/>
        </w:rPr>
        <w:t>rigido a ella de nuevas maneras.</w:t>
      </w:r>
      <w:r w:rsidRPr="000E4B23">
        <w:rPr>
          <w:rFonts w:ascii="Times New Roman" w:eastAsia="Times New Roman" w:hAnsi="Times New Roman" w:cs="Times New Roman"/>
          <w:sz w:val="24"/>
          <w:szCs w:val="24"/>
        </w:rPr>
        <w:t xml:space="preserve"> </w:t>
      </w: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E8084B"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 xml:space="preserve">La crisis de la clase media ha sido tomada como una crisis de los márgenes, la consecuencia de la debilidad de los trabajadores, autónomos, profesionales, cuadros medios y pequeños empresarios a la hora de situarse a la altura de lo que demanda la época, y es por tanto una demostración de la ausencia de autorresponsabilidad de estos colectivos. Pero un discurso tan pobre esconde una realidad mucho más dura. </w:t>
      </w:r>
    </w:p>
    <w:p w:rsidR="00E8084B" w:rsidRPr="000E4B23" w:rsidRDefault="00E8084B"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Si observamos la evolución desde los años 80, en la época de las reconversiones, veremos cómo se borró del mapa a los obreros industriales, después se desplazaron los trabajos a países de Asia y se empobreció notablemente a agricultores y ganaderos; también se redujeron los cuadros intermedios de las empresas con la excusa de que había que adelgazarlas, se precarizó a los profesionales con el argumento de que no generaban valor en el siglo de la revolución digital, y a los jóvenes, mayormente provenientes de las clases trabajadoras, pero también de parte de las medias, con la justificación de una teórica falta de competencias; ahora la jubilación lleva tiempo en el punto de mira, porque se paga demasiado a gente que no trabaja y resulta imprescindible reducir la cuantía de las pensiones y retrasar la edad de retirada.</w:t>
      </w: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En el margen quedan también los pequeños empresarios y los autónomos, que no han inventado maneras de competir en el mundo globali</w:t>
      </w:r>
      <w:r w:rsidR="00E8084B" w:rsidRPr="000E4B23">
        <w:rPr>
          <w:rFonts w:ascii="Times New Roman" w:eastAsia="Times New Roman" w:hAnsi="Times New Roman" w:cs="Times New Roman"/>
          <w:sz w:val="24"/>
          <w:szCs w:val="24"/>
        </w:rPr>
        <w:t>zado, o los soldados de usar y tirar, porque su</w:t>
      </w:r>
      <w:r w:rsidRPr="000E4B23">
        <w:rPr>
          <w:rFonts w:ascii="Times New Roman" w:eastAsia="Times New Roman" w:hAnsi="Times New Roman" w:cs="Times New Roman"/>
          <w:sz w:val="24"/>
          <w:szCs w:val="24"/>
        </w:rPr>
        <w:t xml:space="preserve"> trabajo ya lo hacen las máquina</w:t>
      </w:r>
      <w:r w:rsidR="00E8084B" w:rsidRPr="000E4B23">
        <w:rPr>
          <w:rFonts w:ascii="Times New Roman" w:eastAsia="Times New Roman" w:hAnsi="Times New Roman" w:cs="Times New Roman"/>
          <w:sz w:val="24"/>
          <w:szCs w:val="24"/>
        </w:rPr>
        <w:t xml:space="preserve">s, </w:t>
      </w:r>
      <w:r w:rsidRPr="000E4B23">
        <w:rPr>
          <w:rFonts w:ascii="Times New Roman" w:eastAsia="Times New Roman" w:hAnsi="Times New Roman" w:cs="Times New Roman"/>
          <w:sz w:val="24"/>
          <w:szCs w:val="24"/>
        </w:rPr>
        <w:t>o todo el sector servicios, cuyos salarios son bajos porque son gente fácilmente reemplazable cuyo trabajo aporta escaso valor a</w:t>
      </w:r>
      <w:r w:rsidR="00E8084B" w:rsidRPr="000E4B23">
        <w:rPr>
          <w:rFonts w:ascii="Times New Roman" w:eastAsia="Times New Roman" w:hAnsi="Times New Roman" w:cs="Times New Roman"/>
          <w:sz w:val="24"/>
          <w:szCs w:val="24"/>
        </w:rPr>
        <w:t>ñadido. Y así sucesivamente</w:t>
      </w:r>
      <w:r w:rsidRPr="000E4B23">
        <w:rPr>
          <w:rFonts w:ascii="Times New Roman" w:eastAsia="Times New Roman" w:hAnsi="Times New Roman" w:cs="Times New Roman"/>
          <w:sz w:val="24"/>
          <w:szCs w:val="24"/>
        </w:rPr>
        <w:t>, cuando se juntan todos estos pedazos rotos, se compone un buen retrato, el de aquellos que una vez fueron clase media.</w:t>
      </w: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Esas clases comienzan a ser conscientes de que su posición social fue la de pobres en excedencia: una vez tuvieron la idea de que el futuro iba a ser mejor, de que sus hijos podrían reproducir o mejorar su posición social, de que habían ganado una estabilidad que sería complicado perder. Hoy llega la hora de reconocer la realidad, que todo aquello fue un paréntesis y que ahora toca regresar al lugar del que procedían, las capas más bajas de la sociedad. Una clase obrera que, a su vez, se ha empobrecido sustancialmente.</w:t>
      </w: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Este destino no es el futuro, sino que compone nuestro presente, y de esto va también lo que se ha llamado precariedad, que va mucho más allá de los contratos eventuales</w:t>
      </w:r>
      <w:r w:rsidR="00FD663D" w:rsidRPr="000E4B23">
        <w:rPr>
          <w:rFonts w:ascii="Times New Roman" w:eastAsia="Times New Roman" w:hAnsi="Times New Roman" w:cs="Times New Roman"/>
          <w:sz w:val="24"/>
          <w:szCs w:val="24"/>
        </w:rPr>
        <w:t>. Empleados bancarios (</w:t>
      </w:r>
      <w:r w:rsidRPr="000E4B23">
        <w:rPr>
          <w:rFonts w:ascii="Times New Roman" w:eastAsia="Times New Roman" w:hAnsi="Times New Roman" w:cs="Times New Roman"/>
          <w:sz w:val="24"/>
          <w:szCs w:val="24"/>
        </w:rPr>
        <w:t>que hoy son agentes comerciales</w:t>
      </w:r>
      <w:r w:rsidR="00FD663D" w:rsidRPr="000E4B23">
        <w:rPr>
          <w:rFonts w:ascii="Times New Roman" w:eastAsia="Times New Roman" w:hAnsi="Times New Roman" w:cs="Times New Roman"/>
          <w:sz w:val="24"/>
          <w:szCs w:val="24"/>
        </w:rPr>
        <w:t>), taxistas o transportistas;</w:t>
      </w:r>
      <w:r w:rsidRPr="000E4B23">
        <w:rPr>
          <w:rFonts w:ascii="Times New Roman" w:eastAsia="Times New Roman" w:hAnsi="Times New Roman" w:cs="Times New Roman"/>
          <w:sz w:val="24"/>
          <w:szCs w:val="24"/>
        </w:rPr>
        <w:t xml:space="preserve"> o esos profesionales que gozaron de años en puestos decentes hasta que fueron devueltos al paro y ya nadie les </w:t>
      </w:r>
      <w:r w:rsidRPr="000E4B23">
        <w:rPr>
          <w:rFonts w:ascii="Times New Roman" w:eastAsia="Times New Roman" w:hAnsi="Times New Roman" w:cs="Times New Roman"/>
          <w:sz w:val="24"/>
          <w:szCs w:val="24"/>
        </w:rPr>
        <w:lastRenderedPageBreak/>
        <w:t>contrata; o esos emprendedores que creyeron que podrían labrarse un porvenir gracias a una buena idea y hoy se buscan la vida con chapuzas; o esos jóvenes que están hoy en las facultades y que todavía creen que en el futuro podrán se</w:t>
      </w:r>
      <w:r w:rsidR="00D1622B">
        <w:rPr>
          <w:rFonts w:ascii="Times New Roman" w:eastAsia="Times New Roman" w:hAnsi="Times New Roman" w:cs="Times New Roman"/>
          <w:sz w:val="24"/>
          <w:szCs w:val="24"/>
        </w:rPr>
        <w:t xml:space="preserve">r algo más que comerciales o </w:t>
      </w:r>
      <w:r w:rsidRPr="000E4B23">
        <w:rPr>
          <w:rFonts w:ascii="Times New Roman" w:eastAsia="Times New Roman" w:hAnsi="Times New Roman" w:cs="Times New Roman"/>
          <w:sz w:val="24"/>
          <w:szCs w:val="24"/>
        </w:rPr>
        <w:t xml:space="preserve"> camareros; o esos trabajadores que no se quieren jubilar porque saben que cobrando únicamente la pensión no podrán mantener ni de lejos su actual nivel de vida. Todos ellos pensaban ser clase media, y se han dado cuenta de que simplemente estaban en una época de excedencia de la pobreza.</w:t>
      </w: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Esta clase media en desaparición ha sido analizada desde dos tipos de discurso. El dominante fue, y lo es todavía, el de las reformas, es decir, la aceptación de desventajas presentes a cambio de bienes futuros que nunca llegan. La idea que se les transmitía era que debían realizarse cambios en la sociedad para evitar la crisis, para solucionarla o para que el porvenir fuera mejor, y se les aseguraba que los sacrificios solicitados tendrían una recompensa en los años venideros. Pero el tiempo ha ido pasando, y todo lo que queda son una serie de promesas incumplidas y un descenso notable en su nivel de vida. Parecen mucho menos dispuestos a creer ya en estas afirmaciones, y eso explica de manera directa el nacimiento de nuevas fuerzas políticas y sociales.</w:t>
      </w: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FD663D" w:rsidRPr="000E4B23" w:rsidRDefault="0039063F" w:rsidP="00FD663D">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El otro discurso habitual es el de</w:t>
      </w:r>
      <w:r w:rsidR="00FD663D" w:rsidRPr="000E4B23">
        <w:rPr>
          <w:rFonts w:ascii="Times New Roman" w:eastAsia="Times New Roman" w:hAnsi="Times New Roman" w:cs="Times New Roman"/>
          <w:sz w:val="24"/>
          <w:szCs w:val="24"/>
        </w:rPr>
        <w:t xml:space="preserve"> una izquierda (“progresista”), que les acusa de ser incapaces de adaptarse a los cambios culturales. Por esa brecha han entrado la derecha populista y la extrema derecha, que les ofrecen una solución a través de la vía nacional e identitaria, y que convierten la cuestión de clase en geográfica: nosotros podemos cambiar las cosas, y nos irá mucho mejor si vamos por nuestra cuenta. Esto es Trump, pero también Le Pen o Salvini.</w:t>
      </w: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No es una solución al problema de fondo. EEUU es la prueba, un país que a pesar de hallarse en un buen momento económico ve cómo la desigualdad sigue aumentando, cómo la mayoría de sus trabajos siguen retribuyéndose escasamente, cómo el coste de la vida aumenta para las clases populares y las medias y cómo las grandes firmas continúan externalizando su producción. Sin embargo, y puesto que todavía el partido se juega en términos culturales, el discurso les funciona.</w:t>
      </w: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0E4B23"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 xml:space="preserve">No hay que olvidar que la clase media fue, además de una posición social, un tipo de mentalidad, una forma de ver el mundo en la que se esperaba que el futuro fuese mejor en todos los sentidos. Esa idea se ha roto, pero no los entornos en las que su socialización se produjo, así como su formación, experiencias y aspiraciones. Eso ha llevado también a que buena parte de la clase media actual lo siga siendo, a pesar de que sus condiciones materiales sean ya de clase obrera. Esto tardará algún tiempo en desaparecer, ya que las generaciones posteriores se van a criar en contextos pauperizados, y por tanto sometidos a posibilidades culturales y vitales más limitantes, como ocurría en el pasado, pero de momento no es así. </w:t>
      </w:r>
    </w:p>
    <w:p w:rsidR="000E4B23" w:rsidRPr="000E4B23" w:rsidRDefault="000E4B23"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39063F"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0E4B23">
        <w:rPr>
          <w:rFonts w:ascii="Times New Roman" w:eastAsia="Times New Roman" w:hAnsi="Times New Roman" w:cs="Times New Roman"/>
          <w:sz w:val="24"/>
          <w:szCs w:val="24"/>
        </w:rPr>
        <w:t>Y esta clase cuenta, al contrario de lo que suele creerse, con muchos aspectos positivos: cierta estabilidad, cierta seguridad económica, la capacidad de hacer planes y la necesidad de conservar vínculos son aspectos imprescindibles para gozar de una buena sociedad, y hoy es este tipo de clase media quien mejor los representa. Es cierto que esto no durará demasiado, porque los colectivos en lucha por la subsistencia tienden a olvidarse de estos valores, pero todavía los conservan.</w:t>
      </w:r>
    </w:p>
    <w:p w:rsidR="000E4B23" w:rsidRDefault="000E4B23"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0E4B23" w:rsidRPr="002805E4" w:rsidRDefault="002805E4" w:rsidP="0039063F">
      <w:pPr>
        <w:shd w:val="clear" w:color="auto" w:fill="FFFFFF"/>
        <w:spacing w:after="0" w:line="240" w:lineRule="auto"/>
        <w:jc w:val="both"/>
        <w:textAlignment w:val="baseline"/>
        <w:rPr>
          <w:rFonts w:ascii="Times New Roman" w:eastAsia="Times New Roman" w:hAnsi="Times New Roman" w:cs="Times New Roman"/>
          <w:i/>
          <w:sz w:val="24"/>
          <w:szCs w:val="24"/>
        </w:rPr>
      </w:pPr>
      <w:r w:rsidRPr="002805E4">
        <w:rPr>
          <w:rFonts w:ascii="Times New Roman" w:eastAsia="Times New Roman" w:hAnsi="Times New Roman" w:cs="Times New Roman"/>
          <w:i/>
          <w:sz w:val="24"/>
          <w:szCs w:val="24"/>
        </w:rPr>
        <w:t>“</w:t>
      </w:r>
      <w:r w:rsidR="000E4B23" w:rsidRPr="002805E4">
        <w:rPr>
          <w:rFonts w:ascii="Times New Roman" w:eastAsia="Times New Roman" w:hAnsi="Times New Roman" w:cs="Times New Roman"/>
          <w:i/>
          <w:sz w:val="24"/>
          <w:szCs w:val="24"/>
        </w:rPr>
        <w:t>Por sus frutos los conoceréis. ¿Acaso se recogen uvas de los espinos, o higos de los abrojos?</w:t>
      </w:r>
      <w:r w:rsidRPr="002805E4">
        <w:rPr>
          <w:rFonts w:ascii="Times New Roman" w:eastAsia="Times New Roman" w:hAnsi="Times New Roman" w:cs="Times New Roman"/>
          <w:i/>
          <w:sz w:val="24"/>
          <w:szCs w:val="24"/>
        </w:rPr>
        <w:t>” (Mateo 7:16-21)</w:t>
      </w:r>
      <w:r>
        <w:rPr>
          <w:rFonts w:ascii="Times New Roman" w:eastAsia="Times New Roman" w:hAnsi="Times New Roman" w:cs="Times New Roman"/>
          <w:i/>
          <w:sz w:val="24"/>
          <w:szCs w:val="24"/>
        </w:rPr>
        <w:t xml:space="preserve">. </w:t>
      </w:r>
      <w:r w:rsidR="000E4B23">
        <w:rPr>
          <w:rFonts w:ascii="Times New Roman" w:eastAsia="Times New Roman" w:hAnsi="Times New Roman" w:cs="Times New Roman"/>
          <w:sz w:val="24"/>
          <w:szCs w:val="24"/>
        </w:rPr>
        <w:t>Demostración por el absu</w:t>
      </w:r>
      <w:r w:rsidR="006C3F14">
        <w:rPr>
          <w:rFonts w:ascii="Times New Roman" w:eastAsia="Times New Roman" w:hAnsi="Times New Roman" w:cs="Times New Roman"/>
          <w:sz w:val="24"/>
          <w:szCs w:val="24"/>
        </w:rPr>
        <w:t>rdo: ¿cuándo, y cómo</w:t>
      </w:r>
      <w:r>
        <w:rPr>
          <w:rFonts w:ascii="Times New Roman" w:eastAsia="Times New Roman" w:hAnsi="Times New Roman" w:cs="Times New Roman"/>
          <w:sz w:val="24"/>
          <w:szCs w:val="24"/>
        </w:rPr>
        <w:t>, se “jodió” la clase media</w:t>
      </w:r>
      <w:r w:rsidR="00881688">
        <w:rPr>
          <w:rFonts w:ascii="Times New Roman" w:eastAsia="Times New Roman" w:hAnsi="Times New Roman" w:cs="Times New Roman"/>
          <w:sz w:val="24"/>
          <w:szCs w:val="24"/>
        </w:rPr>
        <w:t xml:space="preserve"> en</w:t>
      </w:r>
      <w:r>
        <w:rPr>
          <w:rFonts w:ascii="Times New Roman" w:eastAsia="Times New Roman" w:hAnsi="Times New Roman" w:cs="Times New Roman"/>
          <w:sz w:val="24"/>
          <w:szCs w:val="24"/>
        </w:rPr>
        <w:t xml:space="preserve"> EEUU y la UE?</w:t>
      </w:r>
      <w:r w:rsidR="002A4708">
        <w:rPr>
          <w:rFonts w:ascii="Times New Roman" w:eastAsia="Times New Roman" w:hAnsi="Times New Roman" w:cs="Times New Roman"/>
          <w:sz w:val="24"/>
          <w:szCs w:val="24"/>
        </w:rPr>
        <w:t xml:space="preserve">... </w:t>
      </w:r>
      <w:r w:rsidR="00881688">
        <w:rPr>
          <w:rFonts w:ascii="Times New Roman" w:eastAsia="Times New Roman" w:hAnsi="Times New Roman" w:cs="Times New Roman"/>
          <w:sz w:val="24"/>
          <w:szCs w:val="24"/>
        </w:rPr>
        <w:t>Veamos</w:t>
      </w:r>
      <w:r w:rsidR="0048192E">
        <w:rPr>
          <w:rFonts w:ascii="Times New Roman" w:eastAsia="Times New Roman" w:hAnsi="Times New Roman" w:cs="Times New Roman"/>
          <w:sz w:val="24"/>
          <w:szCs w:val="24"/>
        </w:rPr>
        <w:t xml:space="preserve"> lo que </w:t>
      </w:r>
      <w:r w:rsidR="006C3F14">
        <w:rPr>
          <w:rFonts w:ascii="Times New Roman" w:eastAsia="Times New Roman" w:hAnsi="Times New Roman" w:cs="Times New Roman"/>
          <w:sz w:val="24"/>
          <w:szCs w:val="24"/>
        </w:rPr>
        <w:t>dice</w:t>
      </w:r>
      <w:r w:rsidR="009F2A59">
        <w:rPr>
          <w:rFonts w:ascii="Times New Roman" w:eastAsia="Times New Roman" w:hAnsi="Times New Roman" w:cs="Times New Roman"/>
          <w:sz w:val="24"/>
          <w:szCs w:val="24"/>
        </w:rPr>
        <w:t>,</w:t>
      </w:r>
      <w:r w:rsidR="00881688">
        <w:rPr>
          <w:rFonts w:ascii="Times New Roman" w:eastAsia="Times New Roman" w:hAnsi="Times New Roman" w:cs="Times New Roman"/>
          <w:sz w:val="24"/>
          <w:szCs w:val="24"/>
        </w:rPr>
        <w:t xml:space="preserve"> la “maldita hemeroteca”</w:t>
      </w:r>
      <w:r w:rsidR="009F2A59">
        <w:rPr>
          <w:rFonts w:ascii="Times New Roman" w:eastAsia="Times New Roman" w:hAnsi="Times New Roman" w:cs="Times New Roman"/>
          <w:sz w:val="24"/>
          <w:szCs w:val="24"/>
        </w:rPr>
        <w:t>.</w:t>
      </w:r>
      <w:r w:rsidR="00881688">
        <w:rPr>
          <w:rFonts w:ascii="Times New Roman" w:eastAsia="Times New Roman" w:hAnsi="Times New Roman" w:cs="Times New Roman"/>
          <w:sz w:val="24"/>
          <w:szCs w:val="24"/>
        </w:rPr>
        <w:t xml:space="preserve"> </w:t>
      </w:r>
    </w:p>
    <w:p w:rsidR="0039063F" w:rsidRDefault="009F2A59" w:rsidP="0039063F">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 </w:t>
      </w:r>
      <w:r w:rsidR="002805E4" w:rsidRPr="002805E4">
        <w:rPr>
          <w:rFonts w:ascii="Times New Roman" w:eastAsia="Times New Roman" w:hAnsi="Times New Roman" w:cs="Times New Roman"/>
          <w:b/>
          <w:sz w:val="24"/>
          <w:szCs w:val="24"/>
        </w:rPr>
        <w:t>L</w:t>
      </w:r>
      <w:r w:rsidR="00844212">
        <w:rPr>
          <w:rFonts w:ascii="Times New Roman" w:eastAsia="Times New Roman" w:hAnsi="Times New Roman" w:cs="Times New Roman"/>
          <w:b/>
          <w:sz w:val="24"/>
          <w:szCs w:val="24"/>
        </w:rPr>
        <w:t>a clase media contemporánea, es</w:t>
      </w:r>
      <w:r w:rsidR="002805E4" w:rsidRPr="002805E4">
        <w:rPr>
          <w:rFonts w:ascii="Times New Roman" w:eastAsia="Times New Roman" w:hAnsi="Times New Roman" w:cs="Times New Roman"/>
          <w:b/>
          <w:sz w:val="24"/>
          <w:szCs w:val="24"/>
        </w:rPr>
        <w:t>os pobres a los que se les acaba la excedencia</w:t>
      </w:r>
    </w:p>
    <w:p w:rsidR="00881688" w:rsidRDefault="00881688" w:rsidP="0039063F">
      <w:pPr>
        <w:shd w:val="clear" w:color="auto" w:fill="FFFFFF"/>
        <w:spacing w:after="0" w:line="240" w:lineRule="auto"/>
        <w:jc w:val="both"/>
        <w:textAlignment w:val="baseline"/>
        <w:rPr>
          <w:rFonts w:ascii="Times New Roman" w:eastAsia="Times New Roman" w:hAnsi="Times New Roman" w:cs="Times New Roman"/>
          <w:b/>
          <w:sz w:val="24"/>
          <w:szCs w:val="24"/>
        </w:rPr>
      </w:pPr>
    </w:p>
    <w:p w:rsidR="00881688" w:rsidRPr="002805E4" w:rsidRDefault="00881688" w:rsidP="0039063F">
      <w:pPr>
        <w:shd w:val="clear" w:color="auto" w:fill="FFFFFF"/>
        <w:spacing w:after="0" w:line="240" w:lineRule="auto"/>
        <w:jc w:val="both"/>
        <w:textAlignment w:val="baseline"/>
        <w:rPr>
          <w:rFonts w:ascii="Times New Roman" w:eastAsia="Times New Roman" w:hAnsi="Times New Roman" w:cs="Times New Roman"/>
          <w:b/>
          <w:sz w:val="24"/>
          <w:szCs w:val="24"/>
        </w:rPr>
      </w:pPr>
      <w:r>
        <w:rPr>
          <w:noProof/>
          <w:lang w:eastAsia="es-ES"/>
        </w:rPr>
        <w:drawing>
          <wp:inline distT="0" distB="0" distL="0" distR="0" wp14:anchorId="4578B812" wp14:editId="433A6CB2">
            <wp:extent cx="5725962" cy="2692400"/>
            <wp:effectExtent l="0" t="0" r="8255" b="0"/>
            <wp:docPr id="2" name="Imagen 2" descr="depr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pressio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2695009"/>
                    </a:xfrm>
                    <a:prstGeom prst="rect">
                      <a:avLst/>
                    </a:prstGeom>
                    <a:noFill/>
                    <a:ln>
                      <a:noFill/>
                    </a:ln>
                  </pic:spPr>
                </pic:pic>
              </a:graphicData>
            </a:graphic>
          </wp:inline>
        </w:drawing>
      </w:r>
    </w:p>
    <w:p w:rsidR="0039063F" w:rsidRPr="000E4B2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9F2A59"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u w:val="single"/>
        </w:rPr>
        <w:t>China tiene una clase media más grande que Estados Unidos</w:t>
      </w:r>
      <w:r w:rsidR="009F07A9">
        <w:rPr>
          <w:rFonts w:ascii="Times New Roman" w:eastAsia="Times New Roman" w:hAnsi="Times New Roman" w:cs="Times New Roman"/>
          <w:sz w:val="24"/>
          <w:szCs w:val="24"/>
        </w:rPr>
        <w:t xml:space="preserve"> </w:t>
      </w:r>
    </w:p>
    <w:p w:rsidR="009F2A59"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p>
    <w:p w:rsidR="009F2A59" w:rsidRPr="009F2A59" w:rsidRDefault="009F2A59" w:rsidP="009F2A59">
      <w:pPr>
        <w:shd w:val="clear" w:color="auto" w:fill="FFFFFF"/>
        <w:spacing w:after="0" w:line="240" w:lineRule="auto"/>
        <w:jc w:val="both"/>
        <w:textAlignment w:val="baseline"/>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Pr="009F2A59">
        <w:rPr>
          <w:rFonts w:ascii="Times New Roman" w:eastAsia="Times New Roman" w:hAnsi="Times New Roman" w:cs="Times New Roman"/>
          <w:i/>
          <w:sz w:val="24"/>
          <w:szCs w:val="24"/>
        </w:rPr>
        <w:t>El “sueño chino” se está haciendo realidad para millones de personas. La clase media en China es ahora la más grande del mundo, y crece mucho más rápido que la de Estados Unidos, según una investigación de Credit Suisse</w:t>
      </w:r>
      <w:r>
        <w:rPr>
          <w:rFonts w:ascii="Times New Roman" w:eastAsia="Times New Roman" w:hAnsi="Times New Roman" w:cs="Times New Roman"/>
          <w:i/>
          <w:sz w:val="24"/>
          <w:szCs w:val="24"/>
        </w:rPr>
        <w:t>”..</w:t>
      </w:r>
      <w:r w:rsidRPr="009F2A59">
        <w:rPr>
          <w:rFonts w:ascii="Times New Roman" w:eastAsia="Times New Roman" w:hAnsi="Times New Roman" w:cs="Times New Roman"/>
          <w:i/>
          <w:sz w:val="24"/>
          <w:szCs w:val="24"/>
        </w:rPr>
        <w:t>.</w:t>
      </w:r>
      <w:r w:rsidR="009F07A9" w:rsidRPr="009F07A9">
        <w:rPr>
          <w:rFonts w:ascii="Times New Roman" w:eastAsia="Times New Roman" w:hAnsi="Times New Roman" w:cs="Times New Roman"/>
          <w:sz w:val="24"/>
          <w:szCs w:val="24"/>
        </w:rPr>
        <w:t xml:space="preserve"> </w:t>
      </w:r>
      <w:r w:rsidR="009F07A9">
        <w:rPr>
          <w:rFonts w:ascii="Times New Roman" w:eastAsia="Times New Roman" w:hAnsi="Times New Roman" w:cs="Times New Roman"/>
          <w:sz w:val="24"/>
          <w:szCs w:val="24"/>
        </w:rPr>
        <w:t xml:space="preserve">(CNN - </w:t>
      </w:r>
      <w:r w:rsidR="009F07A9" w:rsidRPr="00010918">
        <w:rPr>
          <w:rFonts w:ascii="Times New Roman" w:eastAsia="Times New Roman" w:hAnsi="Times New Roman" w:cs="Times New Roman"/>
          <w:b/>
          <w:sz w:val="24"/>
          <w:szCs w:val="24"/>
        </w:rPr>
        <w:t>14/10/15</w:t>
      </w:r>
      <w:r w:rsidR="009F07A9">
        <w:rPr>
          <w:rFonts w:ascii="Times New Roman" w:eastAsia="Times New Roman" w:hAnsi="Times New Roman" w:cs="Times New Roman"/>
          <w:sz w:val="24"/>
          <w:szCs w:val="24"/>
        </w:rPr>
        <w:t>)</w:t>
      </w:r>
    </w:p>
    <w:p w:rsidR="009F2A59" w:rsidRPr="009F2A59" w:rsidRDefault="009F2A59" w:rsidP="009F2A59">
      <w:pPr>
        <w:shd w:val="clear" w:color="auto" w:fill="FFFFFF"/>
        <w:spacing w:after="0" w:line="240" w:lineRule="auto"/>
        <w:jc w:val="both"/>
        <w:textAlignment w:val="baseline"/>
        <w:rPr>
          <w:rFonts w:ascii="Times New Roman" w:eastAsia="Times New Roman" w:hAnsi="Times New Roman" w:cs="Times New Roman"/>
          <w:i/>
          <w:sz w:val="24"/>
          <w:szCs w:val="24"/>
        </w:rPr>
      </w:pPr>
    </w:p>
    <w:p w:rsidR="009F2A59" w:rsidRPr="00010918"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Hay 109 millones de chinos con un patrimonio entre 50.00 y 500.000 dólares. Desde el 2000, el doble de chinos se ha sumado a la clase media, comparado con los estadounidenses que han hecho lo propio.</w:t>
      </w:r>
    </w:p>
    <w:p w:rsidR="009F2A59" w:rsidRPr="00010918"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p>
    <w:p w:rsidR="009F2A59" w:rsidRPr="00010918"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Credit Suisse mide el patrimonio y no las ganancias para evitar cambios temporales causados por el desempleo, por ejemplo.</w:t>
      </w:r>
    </w:p>
    <w:p w:rsidR="009F2A59" w:rsidRPr="00010918"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p>
    <w:p w:rsidR="009F2A59" w:rsidRPr="00010918"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chinos se están volviendo ricos a una tasa increíble. La riqueza por cada adulto se ha cuadruplicado a 22.500 desde el 2000. El país ahora tiene una quinta parte de la población y el 10$ de la riqueza mundial.</w:t>
      </w:r>
    </w:p>
    <w:p w:rsidR="009F2A59" w:rsidRPr="00010918"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p>
    <w:p w:rsidR="009F2A59" w:rsidRPr="00010918"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010918">
        <w:rPr>
          <w:rFonts w:ascii="Times New Roman" w:eastAsia="Times New Roman" w:hAnsi="Times New Roman" w:cs="Times New Roman"/>
          <w:sz w:val="24"/>
          <w:szCs w:val="24"/>
        </w:rPr>
        <w:t>La riqueza de los hogares del país podría continuar aumentando por encima de las tasas de crecimiento</w:t>
      </w:r>
      <w:r>
        <w:rPr>
          <w:rFonts w:ascii="Times New Roman" w:eastAsia="Times New Roman" w:hAnsi="Times New Roman" w:cs="Times New Roman"/>
          <w:sz w:val="24"/>
          <w:szCs w:val="24"/>
        </w:rPr>
        <w:t xml:space="preserve"> de las economías desarrolladas”</w:t>
      </w:r>
      <w:r w:rsidR="00720160">
        <w:rPr>
          <w:rFonts w:ascii="Times New Roman" w:eastAsia="Times New Roman" w:hAnsi="Times New Roman" w:cs="Times New Roman"/>
          <w:sz w:val="24"/>
          <w:szCs w:val="24"/>
        </w:rPr>
        <w:t>, dice Credit</w:t>
      </w:r>
      <w:r w:rsidRPr="00010918">
        <w:rPr>
          <w:rFonts w:ascii="Times New Roman" w:eastAsia="Times New Roman" w:hAnsi="Times New Roman" w:cs="Times New Roman"/>
          <w:sz w:val="24"/>
          <w:szCs w:val="24"/>
        </w:rPr>
        <w:t xml:space="preserve"> Suisse.</w:t>
      </w:r>
    </w:p>
    <w:p w:rsidR="009F2A59" w:rsidRPr="00010918"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p>
    <w:p w:rsidR="009F2A59" w:rsidRPr="00010918"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China también verá su número de millonarios crecer un 74% hasta alcanzar 2,3 millones en 2020, de acuerdo con el reporte.</w:t>
      </w:r>
    </w:p>
    <w:p w:rsidR="009F2A59" w:rsidRPr="00010918"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p>
    <w:p w:rsidR="009F2A59" w:rsidRDefault="009F2A59" w:rsidP="009F2A59">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Otro informe hecho por PricewaterhouseCoopers encontró que un nuevo multimillonario se creaba casi cada semana en China en el primer cuarto del año.</w:t>
      </w:r>
    </w:p>
    <w:p w:rsidR="009F07A9" w:rsidRDefault="009F07A9" w:rsidP="009F2A59">
      <w:pPr>
        <w:shd w:val="clear" w:color="auto" w:fill="FFFFFF"/>
        <w:spacing w:after="0" w:line="240" w:lineRule="auto"/>
        <w:jc w:val="both"/>
        <w:textAlignment w:val="baseline"/>
        <w:rPr>
          <w:rFonts w:ascii="Times New Roman" w:eastAsia="Times New Roman" w:hAnsi="Times New Roman" w:cs="Times New Roman"/>
          <w:sz w:val="24"/>
          <w:szCs w:val="24"/>
        </w:rPr>
      </w:pP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La clase media de EE</w:t>
      </w:r>
      <w:r w:rsidRPr="002E1EF3">
        <w:rPr>
          <w:rFonts w:ascii="Times New Roman" w:eastAsia="Times New Roman" w:hAnsi="Times New Roman" w:cs="Times New Roman"/>
          <w:sz w:val="24"/>
          <w:szCs w:val="24"/>
          <w:u w:val="single"/>
        </w:rPr>
        <w:t>UU cae a niveles de hace 30 años</w:t>
      </w:r>
      <w:r>
        <w:rPr>
          <w:rFonts w:ascii="Times New Roman" w:eastAsia="Times New Roman" w:hAnsi="Times New Roman" w:cs="Times New Roman"/>
          <w:sz w:val="24"/>
          <w:szCs w:val="24"/>
        </w:rPr>
        <w:t xml:space="preserve"> </w:t>
      </w:r>
    </w:p>
    <w:p w:rsidR="009F07A9"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9F2A59">
        <w:rPr>
          <w:rFonts w:ascii="Times New Roman" w:eastAsia="Times New Roman" w:hAnsi="Times New Roman" w:cs="Times New Roman"/>
          <w:i/>
          <w:sz w:val="24"/>
          <w:szCs w:val="24"/>
        </w:rPr>
        <w:t xml:space="preserve">El Fondo Monetario Internacional continúa con su labor de Pepito Grillo de los asuntos económicos. Y esta vez le ha tocado el turno a Estados Unidos y Francia. Sobre la economía estadounidense, el Fondo alerta de “perniciosas tendencias seculares en la distribución de los ingresos”: la clase media ha disminuido hasta los niveles de hace tres décadas y la </w:t>
      </w:r>
      <w:r w:rsidRPr="009F2A59">
        <w:rPr>
          <w:rFonts w:ascii="Times New Roman" w:eastAsia="Times New Roman" w:hAnsi="Times New Roman" w:cs="Times New Roman"/>
          <w:i/>
          <w:sz w:val="24"/>
          <w:szCs w:val="24"/>
        </w:rPr>
        <w:lastRenderedPageBreak/>
        <w:t>pobreza ha aumentado. En cuanto a Francia, la institución recuerda que sufre demasiado desempleo de larga duración, presenta unas perspectivas de crecimiento bajas y una de</w:t>
      </w:r>
      <w:r>
        <w:rPr>
          <w:rFonts w:ascii="Times New Roman" w:eastAsia="Times New Roman" w:hAnsi="Times New Roman" w:cs="Times New Roman"/>
          <w:i/>
          <w:sz w:val="24"/>
          <w:szCs w:val="24"/>
        </w:rPr>
        <w:t>uda sobre PIB que sigue al alza”…</w:t>
      </w:r>
      <w:r w:rsidRPr="009F2A5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 País - </w:t>
      </w:r>
      <w:r w:rsidRPr="002E1EF3">
        <w:rPr>
          <w:rFonts w:ascii="Times New Roman" w:eastAsia="Times New Roman" w:hAnsi="Times New Roman" w:cs="Times New Roman"/>
          <w:b/>
          <w:sz w:val="24"/>
          <w:szCs w:val="24"/>
        </w:rPr>
        <w:t>13/7/16</w:t>
      </w:r>
      <w:r>
        <w:rPr>
          <w:rFonts w:ascii="Times New Roman" w:eastAsia="Times New Roman" w:hAnsi="Times New Roman" w:cs="Times New Roman"/>
          <w:sz w:val="24"/>
          <w:szCs w:val="24"/>
        </w:rPr>
        <w:t>)</w:t>
      </w:r>
    </w:p>
    <w:p w:rsidR="009F07A9" w:rsidRPr="009F2A59" w:rsidRDefault="009F07A9" w:rsidP="009F07A9">
      <w:pPr>
        <w:shd w:val="clear" w:color="auto" w:fill="FFFFFF"/>
        <w:spacing w:after="0" w:line="240" w:lineRule="auto"/>
        <w:jc w:val="both"/>
        <w:textAlignment w:val="baseline"/>
        <w:rPr>
          <w:rFonts w:ascii="Times New Roman" w:eastAsia="Times New Roman" w:hAnsi="Times New Roman" w:cs="Times New Roman"/>
          <w:i/>
          <w:sz w:val="24"/>
          <w:szCs w:val="24"/>
        </w:rPr>
      </w:pP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su informe sobre la economía estadounidense, el FMI enumera un panorama desolador en este aspecto: la pobreza sigue al alza, la clase media ha encogido hasta niveles de la década de los ochenta, la distribución de la renta y de la riqueza se encuentra altamente polarizada, y el porcentaje de ingresos que se lleva el factor trabajo es un 5% más bajo que hace quince años. “Todos los avances logrados para reducir la pobreza desde los años 90 se han diluido”, sostiene.</w:t>
      </w: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si fuera poco, uno de cada siete americanos vive en condiciones de pobreza y el 40% de los pobres está trabajando. “Si no se atajan, estas fuerzas continuarán tirando hacia abajo del crecimiento actual y potencial, disminuyendo las ganancias en estándares de vida y empeorando la pobreza”, concluye el documento elaborado por los hombres de negro.</w:t>
      </w: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Ante la evidencia, los </w:t>
      </w:r>
      <w:r>
        <w:rPr>
          <w:rFonts w:ascii="Times New Roman" w:eastAsia="Times New Roman" w:hAnsi="Times New Roman" w:cs="Times New Roman"/>
          <w:sz w:val="24"/>
          <w:szCs w:val="24"/>
        </w:rPr>
        <w:t>directores del Fondo urgen a EE</w:t>
      </w:r>
      <w:r w:rsidRPr="002E1EF3">
        <w:rPr>
          <w:rFonts w:ascii="Times New Roman" w:eastAsia="Times New Roman" w:hAnsi="Times New Roman" w:cs="Times New Roman"/>
          <w:sz w:val="24"/>
          <w:szCs w:val="24"/>
        </w:rPr>
        <w:t>UU a adoptar medidas para expandir los créditos fiscales destinados a hogares de bajos ingresos, elevar el salario mínimo, extender los pagos por cuidar a familiares, invertir en educación o reformar el impuesto de Sociedades.</w:t>
      </w: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Y no queda ahí la cosa. El FMI advierte además de peligros en el horizonte como un dólar al alza o la aversión al riesgo de los inversores. Pero también sobre la posibilidad de que la economía estadounidense experimente un crecimiento potencial más bajo de lo esperado en un contexto de escasa productividad y mayor envejecimiento demográfico: “De ser verdad, esto significaría que la economía estadounidense pronto podría sufrir limitaciones en su crecimientos que podrían generar presiones inflacionistas con efectos globales negativos”, subraya el Fondo. De ahí que animen a elevar el desembolso en infraestructuras, gastar más en formación y educación de conocimientos técnicos, reformar el sistema de salud y de pensiones o aprobar una reforma de la inmigración basada en las capacidades. En semejante escenario, el Fondo insta a la Fed a que actúe de forma precavida y mantenga en todo momento una comunicación clara sobre la senda al alza de los tipos.</w:t>
      </w: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lo que respecta a Francia, el organismo encabezado por Christine Lagarde ve positiva la reforma laboral francesa, una legislación similar a la española pero aplicada en versión suave. Sin embargo, pide bastante más. Algo que se entiende a la luz de las perspectivas de crecimientos retraídos que augura el Fondo para la economía gala.</w:t>
      </w: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un lado, considera que hay que adoptar muchas más medidas para facilitar la creación de empleo. Y por otro, critica que los esfuerzos estructurales para bajar el déficit sean cercanos a cero: “Esfuerzos más ambiciosos para mantener el gasto gubernamental plano en términos reales ayudarían a alcanzar los objetivos fiscales a medio plazo y rebajar de forma duradera la deuda pública”.</w:t>
      </w:r>
    </w:p>
    <w:p w:rsidR="009F07A9" w:rsidRPr="002E1EF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p>
    <w:p w:rsidR="009F07A9"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A partir de la década de los 70, los ingresos reales de los hogares estadounidenses de clases medias bajas se han estancado, mientras que los de los grupos superiores se han acelerado desde los 90, explica el Fondo. Y esta tendencia ha conducido a unas tasas de consumo menores en los últimos 15 años. De acuerdo con los expertos del organismo, las razones son variadas y numerosas: la polarización del mercado de trabajo entre formados y no formados, </w:t>
      </w:r>
      <w:r w:rsidRPr="002E1EF3">
        <w:rPr>
          <w:rFonts w:ascii="Times New Roman" w:eastAsia="Times New Roman" w:hAnsi="Times New Roman" w:cs="Times New Roman"/>
          <w:sz w:val="24"/>
          <w:szCs w:val="24"/>
        </w:rPr>
        <w:lastRenderedPageBreak/>
        <w:t>la deslocalización de empresas intensivas en empleo, la competencia salarial del exterior o una progresividad en declive del sistema fiscal, entre muchas otras.</w:t>
      </w:r>
    </w:p>
    <w:p w:rsidR="009F07A9"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u w:val="single"/>
        </w:rPr>
        <w:t>Casi 500 millones de chinos serán de clase media en 2030</w:t>
      </w:r>
      <w:r>
        <w:rPr>
          <w:rFonts w:ascii="Times New Roman" w:eastAsia="Times New Roman" w:hAnsi="Times New Roman" w:cs="Times New Roman"/>
          <w:sz w:val="24"/>
          <w:szCs w:val="24"/>
        </w:rPr>
        <w:t xml:space="preserve"> (ABC - </w:t>
      </w:r>
      <w:r w:rsidRPr="006455D2">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9F07A9"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p>
    <w:p w:rsidR="009F07A9"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00D20647" w:rsidRPr="009F07A9">
        <w:rPr>
          <w:rFonts w:ascii="Times New Roman" w:eastAsia="Times New Roman" w:hAnsi="Times New Roman" w:cs="Times New Roman"/>
          <w:i/>
          <w:sz w:val="24"/>
          <w:szCs w:val="24"/>
        </w:rPr>
        <w:t>Mientras la clase media sigue menguando en número e ingresos en los avanzados países occidentales, en Asia no para de crecer. Son los efectos de una globalización que, acelerada por la crisis que estalló en 2008, está volviendo las tornas de la economía mundial hacia Oriente, especialmente hacia China</w:t>
      </w:r>
      <w:r>
        <w:rPr>
          <w:rFonts w:ascii="Times New Roman" w:eastAsia="Times New Roman" w:hAnsi="Times New Roman" w:cs="Times New Roman"/>
          <w:i/>
          <w:sz w:val="24"/>
          <w:szCs w:val="24"/>
        </w:rPr>
        <w:t>”..</w:t>
      </w:r>
      <w:r w:rsidR="00D20647" w:rsidRPr="009F07A9">
        <w:rPr>
          <w:rFonts w:ascii="Times New Roman" w:eastAsia="Times New Roman" w:hAnsi="Times New Roman" w:cs="Times New Roman"/>
          <w:i/>
          <w:sz w:val="24"/>
          <w:szCs w:val="24"/>
        </w:rPr>
        <w:t>.</w:t>
      </w:r>
      <w:r w:rsidRPr="009F07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(ABC - </w:t>
      </w:r>
      <w:r w:rsidRPr="006455D2">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084327" w:rsidRDefault="0008432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 pesar de la ralentización de su crecimiento económico, que ha llegado a su ritmo más bajo del último cuarto de siglo, el consumo privado continúa subiendo en China por el incremento de su clase media. Buena prueba de ello es que el año pasado se elevó un 8,4%, muy por encima del crecimiento del Producto Interior Bruto (PIB), que fue del 6,9%. Dentro del cambio de modelo que está acometiendo el autoritario régimen de Pekín, el consumo ya ha reemplazado como motor del crecimiento a los dos pil</w:t>
      </w:r>
      <w:r w:rsidR="009F07A9">
        <w:rPr>
          <w:rFonts w:ascii="Times New Roman" w:eastAsia="Times New Roman" w:hAnsi="Times New Roman" w:cs="Times New Roman"/>
          <w:sz w:val="24"/>
          <w:szCs w:val="24"/>
        </w:rPr>
        <w:t>ares en que se había basado el “milagro económico”</w:t>
      </w:r>
      <w:r w:rsidRPr="006455D2">
        <w:rPr>
          <w:rFonts w:ascii="Times New Roman" w:eastAsia="Times New Roman" w:hAnsi="Times New Roman" w:cs="Times New Roman"/>
          <w:sz w:val="24"/>
          <w:szCs w:val="24"/>
        </w:rPr>
        <w:t xml:space="preserve"> chino: las exportaciones y la inversión. Y todo indica que esta será la tendencia a seguir en el futuro.</w:t>
      </w: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Según prevé un informe de la Unidad de Inteligencia de la presti</w:t>
      </w:r>
      <w:r w:rsidR="009F07A9">
        <w:rPr>
          <w:rFonts w:ascii="Times New Roman" w:eastAsia="Times New Roman" w:hAnsi="Times New Roman" w:cs="Times New Roman"/>
          <w:sz w:val="24"/>
          <w:szCs w:val="24"/>
        </w:rPr>
        <w:t>giosa revista “The Economist”</w:t>
      </w:r>
      <w:r w:rsidRPr="006455D2">
        <w:rPr>
          <w:rFonts w:ascii="Times New Roman" w:eastAsia="Times New Roman" w:hAnsi="Times New Roman" w:cs="Times New Roman"/>
          <w:sz w:val="24"/>
          <w:szCs w:val="24"/>
        </w:rPr>
        <w:t>, que ha analizado 300 ciudades chinas, el consumo privado crecerá una media anual del 5,5% hasta 2030. En esa fecha, se calcula que unos 480 millones de personas (un 35% de la población) formarán parte de la clase media al disponer de unos ingresos medio-altos o altos y una capacidad de gasto anual superior a los 10.000 dólares (9.106 euros). En la actualidad, solo el 10% de los chinos (unos 132 millones de personas) disfruta de esas rentas y puede permitirse tales gastos.</w:t>
      </w: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 xml:space="preserve">Dentro del progreso que seguirá viviendo China, cada vez más personas irán saliendo de la pobreza y ascendiendo en la escala </w:t>
      </w:r>
      <w:r w:rsidR="009F07A9">
        <w:rPr>
          <w:rFonts w:ascii="Times New Roman" w:eastAsia="Times New Roman" w:hAnsi="Times New Roman" w:cs="Times New Roman"/>
          <w:sz w:val="24"/>
          <w:szCs w:val="24"/>
        </w:rPr>
        <w:t>social. A tenor del estudio de “The Economist”</w:t>
      </w:r>
      <w:r w:rsidRPr="006455D2">
        <w:rPr>
          <w:rFonts w:ascii="Times New Roman" w:eastAsia="Times New Roman" w:hAnsi="Times New Roman" w:cs="Times New Roman"/>
          <w:sz w:val="24"/>
          <w:szCs w:val="24"/>
        </w:rPr>
        <w:t>, 503 millones de chinos (36,9% de la población) formaban parte el año pasado del grupo con ingresos bajos, con menos de 13.000 yuanes (1.767 euros) al año para gastar. En 2030, su número se habrá reducido hasta los 155 millones de personas (11% de la población).</w:t>
      </w:r>
    </w:p>
    <w:p w:rsidR="00D20647" w:rsidRDefault="00D20647"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39063F"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u w:val="single"/>
        </w:rPr>
        <w:t>La OIT alerta de una “erosión de la clase media” en Europa</w:t>
      </w:r>
      <w:r w:rsidR="009F07A9">
        <w:rPr>
          <w:rFonts w:ascii="Times New Roman" w:eastAsia="Times New Roman" w:hAnsi="Times New Roman" w:cs="Times New Roman"/>
          <w:sz w:val="24"/>
          <w:szCs w:val="24"/>
        </w:rPr>
        <w:t xml:space="preserve"> </w:t>
      </w:r>
    </w:p>
    <w:p w:rsidR="0039063F"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9F07A9"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0039063F" w:rsidRPr="009F07A9">
        <w:rPr>
          <w:rFonts w:ascii="Times New Roman" w:eastAsia="Times New Roman" w:hAnsi="Times New Roman" w:cs="Times New Roman"/>
          <w:i/>
          <w:sz w:val="24"/>
          <w:szCs w:val="24"/>
        </w:rPr>
        <w:t>La clase media en Europa se redujo un 2,3% entre 2004 y 2011, una contracción que ha continuado desde entonces y que afecta sobre todo a los jóvenes, según un estudio de la Organización Internacional del Trabajo (OIT) y la editorial Edward Elgar Publishing dado a conocer este miércoles</w:t>
      </w:r>
      <w:r>
        <w:rPr>
          <w:rFonts w:ascii="Times New Roman" w:eastAsia="Times New Roman" w:hAnsi="Times New Roman" w:cs="Times New Roman"/>
          <w:i/>
          <w:sz w:val="24"/>
          <w:szCs w:val="24"/>
        </w:rPr>
        <w:t>”..</w:t>
      </w:r>
      <w:r w:rsidR="0039063F" w:rsidRPr="009F07A9">
        <w:rPr>
          <w:rFonts w:ascii="Times New Roman" w:eastAsia="Times New Roman" w:hAnsi="Times New Roman" w:cs="Times New Roman"/>
          <w:i/>
          <w:sz w:val="24"/>
          <w:szCs w:val="24"/>
        </w:rPr>
        <w:t>.</w:t>
      </w:r>
      <w:r w:rsidRPr="009F07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(Noticias ONU - </w:t>
      </w:r>
      <w:r w:rsidRPr="00402C89">
        <w:rPr>
          <w:rFonts w:ascii="Times New Roman" w:eastAsia="Times New Roman" w:hAnsi="Times New Roman" w:cs="Times New Roman"/>
          <w:b/>
          <w:sz w:val="24"/>
          <w:szCs w:val="24"/>
        </w:rPr>
        <w:t>23/11/16</w:t>
      </w:r>
      <w:r>
        <w:rPr>
          <w:rFonts w:ascii="Times New Roman" w:eastAsia="Times New Roman" w:hAnsi="Times New Roman" w:cs="Times New Roman"/>
          <w:sz w:val="24"/>
          <w:szCs w:val="24"/>
        </w:rPr>
        <w:t>)</w:t>
      </w:r>
    </w:p>
    <w:p w:rsidR="0039063F" w:rsidRPr="00402C89"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39063F" w:rsidRPr="00402C89"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investigación, financiada por la Comisión Europea y titulada “¿Está desapareciendo la clase media en Europa? Evidencias del mundo laboral”, señala que, en proporción, el deterioro es aún más grave en Alemania y Grecia.</w:t>
      </w:r>
    </w:p>
    <w:p w:rsidR="0039063F" w:rsidRPr="00402C89"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39063F" w:rsidRPr="00402C89"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más numerosa se encuentra hoy en Dinamarca y Suecia, donde representa un 40 y un 39% de la sociedad respectivamente, mientras que Letonia (23%) y Lituania (24%) son los países europeos con tasas más bajas.</w:t>
      </w:r>
    </w:p>
    <w:p w:rsidR="0039063F" w:rsidRPr="00402C89"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084327"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El texto define la clase media como los hogares con salarios de entre el 80 y el 120% de los ingresos medios en el continente.</w:t>
      </w:r>
    </w:p>
    <w:p w:rsidR="0039063F" w:rsidRPr="002743B3"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u w:val="single"/>
        </w:rPr>
        <w:lastRenderedPageBreak/>
        <w:t>La clase media progresa de forma divergente en Europa, según estudio</w:t>
      </w:r>
      <w:r w:rsidR="009F07A9">
        <w:rPr>
          <w:rFonts w:ascii="Times New Roman" w:eastAsia="Times New Roman" w:hAnsi="Times New Roman" w:cs="Times New Roman"/>
          <w:sz w:val="24"/>
          <w:szCs w:val="24"/>
        </w:rPr>
        <w:t xml:space="preserve"> </w:t>
      </w:r>
    </w:p>
    <w:p w:rsidR="0039063F" w:rsidRDefault="0039063F"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9F07A9" w:rsidRPr="002743B3" w:rsidRDefault="009F07A9" w:rsidP="009F07A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9F07A9">
        <w:rPr>
          <w:rFonts w:ascii="Times New Roman" w:eastAsia="Times New Roman" w:hAnsi="Times New Roman" w:cs="Times New Roman"/>
          <w:i/>
          <w:sz w:val="24"/>
          <w:szCs w:val="24"/>
        </w:rPr>
        <w:t>La</w:t>
      </w:r>
      <w:r w:rsidR="0039063F" w:rsidRPr="009F07A9">
        <w:rPr>
          <w:rFonts w:ascii="Times New Roman" w:eastAsia="Times New Roman" w:hAnsi="Times New Roman" w:cs="Times New Roman"/>
          <w:i/>
          <w:sz w:val="24"/>
          <w:szCs w:val="24"/>
        </w:rPr>
        <w:t xml:space="preserve"> proporción de adultos que viven en hogares considerados de clase media aumentaron en Francia, los Países Bajos y el Reino Unido, pero se redujeron en Alemania, Italia y España entre 1991 y 2010, según arroja un estudio publicado hoy por el Centro de Estudios Pew</w:t>
      </w:r>
      <w:r>
        <w:rPr>
          <w:rFonts w:ascii="Times New Roman" w:eastAsia="Times New Roman" w:hAnsi="Times New Roman" w:cs="Times New Roman"/>
          <w:i/>
          <w:sz w:val="24"/>
          <w:szCs w:val="24"/>
        </w:rPr>
        <w:t>”..</w:t>
      </w:r>
      <w:r w:rsidR="0039063F" w:rsidRPr="009F07A9">
        <w:rPr>
          <w:rFonts w:ascii="Times New Roman" w:eastAsia="Times New Roman" w:hAnsi="Times New Roman" w:cs="Times New Roman"/>
          <w:i/>
          <w:sz w:val="24"/>
          <w:szCs w:val="24"/>
        </w:rPr>
        <w:t>.</w:t>
      </w:r>
      <w:r w:rsidRPr="009F07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(eldiario.es - </w:t>
      </w:r>
      <w:r w:rsidRPr="00402C89">
        <w:rPr>
          <w:rFonts w:ascii="Times New Roman" w:eastAsia="Times New Roman" w:hAnsi="Times New Roman" w:cs="Times New Roman"/>
          <w:b/>
          <w:sz w:val="24"/>
          <w:szCs w:val="24"/>
        </w:rPr>
        <w:t>24/4/17</w:t>
      </w:r>
      <w:r>
        <w:rPr>
          <w:rFonts w:ascii="Times New Roman" w:eastAsia="Times New Roman" w:hAnsi="Times New Roman" w:cs="Times New Roman"/>
          <w:sz w:val="24"/>
          <w:szCs w:val="24"/>
        </w:rPr>
        <w:t>)</w:t>
      </w:r>
    </w:p>
    <w:p w:rsidR="0039063F" w:rsidRPr="009F07A9" w:rsidRDefault="0039063F" w:rsidP="0039063F">
      <w:pPr>
        <w:shd w:val="clear" w:color="auto" w:fill="FFFFFF"/>
        <w:spacing w:after="0" w:line="240" w:lineRule="auto"/>
        <w:jc w:val="both"/>
        <w:textAlignment w:val="baseline"/>
        <w:rPr>
          <w:rFonts w:ascii="Times New Roman" w:eastAsia="Times New Roman" w:hAnsi="Times New Roman" w:cs="Times New Roman"/>
          <w:i/>
          <w:sz w:val="24"/>
          <w:szCs w:val="24"/>
        </w:rPr>
      </w:pPr>
    </w:p>
    <w:p w:rsidR="0039063F" w:rsidRDefault="009F07A9" w:rsidP="0039063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39063F" w:rsidRPr="00402C89">
        <w:rPr>
          <w:rFonts w:ascii="Times New Roman" w:eastAsia="Times New Roman" w:hAnsi="Times New Roman" w:cs="Times New Roman"/>
          <w:sz w:val="24"/>
          <w:szCs w:val="24"/>
        </w:rPr>
        <w:t>Las trayectorias divergentes están vinculadas a diferencias en la forma en que los ingresos de los hogares en general han evolucionado. Francia, los Países Bajos y el Reino Unido experimentaron un notable crecimiento en el ingreso de los hogares durante este período. Mientras tanto, los ingresos se estancaron o descendier</w:t>
      </w:r>
      <w:r>
        <w:rPr>
          <w:rFonts w:ascii="Times New Roman" w:eastAsia="Times New Roman" w:hAnsi="Times New Roman" w:cs="Times New Roman"/>
          <w:sz w:val="24"/>
          <w:szCs w:val="24"/>
        </w:rPr>
        <w:t>on en Alemania, Italia y España”</w:t>
      </w:r>
      <w:r w:rsidR="0039063F" w:rsidRPr="00402C89">
        <w:rPr>
          <w:rFonts w:ascii="Times New Roman" w:eastAsia="Times New Roman" w:hAnsi="Times New Roman" w:cs="Times New Roman"/>
          <w:sz w:val="24"/>
          <w:szCs w:val="24"/>
        </w:rPr>
        <w:t>, apunta el estudio.</w:t>
      </w:r>
    </w:p>
    <w:p w:rsidR="009F07A9" w:rsidRDefault="009F07A9" w:rsidP="0039063F">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u w:val="single"/>
        </w:rPr>
        <w:t>China ya concentra la mitad de la clase media mundial</w:t>
      </w:r>
      <w:r w:rsidR="00084327">
        <w:rPr>
          <w:rFonts w:ascii="Times New Roman" w:eastAsia="Times New Roman" w:hAnsi="Times New Roman" w:cs="Times New Roman"/>
          <w:sz w:val="24"/>
          <w:szCs w:val="24"/>
        </w:rPr>
        <w:t xml:space="preserve"> </w:t>
      </w: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084327" w:rsidRDefault="00084327" w:rsidP="0008432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00D20647" w:rsidRPr="00084327">
        <w:rPr>
          <w:rFonts w:ascii="Times New Roman" w:eastAsia="Times New Roman" w:hAnsi="Times New Roman" w:cs="Times New Roman"/>
          <w:i/>
          <w:sz w:val="24"/>
          <w:szCs w:val="24"/>
        </w:rPr>
        <w:t>China ya concentra la mitad de la clase media mundial. Es uno de los datos destacados del informe anual del Credit Suisse Wealth Report, que también pone de relieve que en España hay 852.000 ciudadanos que tienen un patrimonio superior al mi</w:t>
      </w:r>
      <w:r>
        <w:rPr>
          <w:rFonts w:ascii="Times New Roman" w:eastAsia="Times New Roman" w:hAnsi="Times New Roman" w:cs="Times New Roman"/>
          <w:i/>
          <w:sz w:val="24"/>
          <w:szCs w:val="24"/>
        </w:rPr>
        <w:t xml:space="preserve">llón de dólares (867.000 euros)… </w:t>
      </w:r>
      <w:r>
        <w:rPr>
          <w:rFonts w:ascii="Times New Roman" w:eastAsia="Times New Roman" w:hAnsi="Times New Roman" w:cs="Times New Roman"/>
          <w:sz w:val="24"/>
          <w:szCs w:val="24"/>
        </w:rPr>
        <w:t xml:space="preserve">(La Vanguardia - </w:t>
      </w:r>
      <w:r w:rsidRPr="006455D2">
        <w:rPr>
          <w:rFonts w:ascii="Times New Roman" w:eastAsia="Times New Roman" w:hAnsi="Times New Roman" w:cs="Times New Roman"/>
          <w:b/>
          <w:sz w:val="24"/>
          <w:szCs w:val="24"/>
        </w:rPr>
        <w:t>21/10/18</w:t>
      </w:r>
      <w:r>
        <w:rPr>
          <w:rFonts w:ascii="Times New Roman" w:eastAsia="Times New Roman" w:hAnsi="Times New Roman" w:cs="Times New Roman"/>
          <w:sz w:val="24"/>
          <w:szCs w:val="24"/>
        </w:rPr>
        <w:t>)</w:t>
      </w: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Con las cifras españolas en la mano, se trata de un número superior al que se registra de países como Suiza u Holanda. Y además España se sitúa entre los primeros diez países del mundo donde más creció esta categoría respecto al año anterior, superando los incrementos registrados en Canadá o los Países Bajos.</w:t>
      </w: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 el ranking de riqueza en el primer lugar se sitúa Estados Unidos, con 98 billones de dólares.</w:t>
      </w:r>
      <w:r>
        <w:rPr>
          <w:rFonts w:ascii="Times New Roman" w:eastAsia="Times New Roman" w:hAnsi="Times New Roman" w:cs="Times New Roman"/>
          <w:sz w:val="24"/>
          <w:szCs w:val="24"/>
        </w:rPr>
        <w:t xml:space="preserve"> </w:t>
      </w:r>
      <w:r w:rsidRPr="006455D2">
        <w:rPr>
          <w:rFonts w:ascii="Times New Roman" w:eastAsia="Times New Roman" w:hAnsi="Times New Roman" w:cs="Times New Roman"/>
          <w:sz w:val="24"/>
          <w:szCs w:val="24"/>
        </w:rPr>
        <w:t>Con 52 billones de dólares, China se consolida en el segundo puesto, al sumar este año 2,3 billones de dólares.</w:t>
      </w: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Pero China merece sin lugar a dudas un discurso aparte. Los cálculos del informe señalan que en su territorio, hoy por hoy, ya se sitúa la mitad de la clase media del mundo.</w:t>
      </w: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Para definirla, los economistas han examinado la franja de patrimonio entre los 10.000 y 100.000 dólares y un promedio que se coloca en 33.100 dólares. Pues bien, el dominio en este apartado de China es abrumador, porque concentra el 48% de los miembros de esta categoría.</w:t>
      </w: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 otras palabras, el gigante asiático, que durante años ha sido considerado como la fábrica del mundo gracias a su mano de obra barata, ya puede presumir, tras casi dos décadas de crecimiento económico prodigioso, de 641 millones de consumidores con cierto poder adquisitivo. Un dato que las empresas globales deben empezar (si no lo hacen ya) a tener en cuenta a la hora de definir sus estrategias de expansión al exterior.</w:t>
      </w: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La consolidació</w:t>
      </w:r>
      <w:r w:rsidR="00720160">
        <w:rPr>
          <w:rFonts w:ascii="Times New Roman" w:eastAsia="Times New Roman" w:hAnsi="Times New Roman" w:cs="Times New Roman"/>
          <w:sz w:val="24"/>
          <w:szCs w:val="24"/>
        </w:rPr>
        <w:t>n de esta clase media, según Cre</w:t>
      </w:r>
      <w:r w:rsidRPr="006455D2">
        <w:rPr>
          <w:rFonts w:ascii="Times New Roman" w:eastAsia="Times New Roman" w:hAnsi="Times New Roman" w:cs="Times New Roman"/>
          <w:sz w:val="24"/>
          <w:szCs w:val="24"/>
        </w:rPr>
        <w:t>dit Suisse, se debe a varios elementos. “Si bien la desigualdad entre el área urbana y la rural en China es significativa, la desigualdad de la riqueza es más baja. Esto se debe, en parte a la ausencia de fortunas heredadas y la división relativamente equitativa de la tierra rural y la vivienda privatizada”, explican.</w:t>
      </w:r>
    </w:p>
    <w:p w:rsidR="00084327" w:rsidRDefault="0008432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084327" w:rsidRDefault="0008432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084327" w:rsidRDefault="0008432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084327" w:rsidRDefault="0008432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084327" w:rsidRPr="00084327" w:rsidRDefault="00084327" w:rsidP="00D20647">
      <w:pPr>
        <w:shd w:val="clear" w:color="auto" w:fill="FFFFFF"/>
        <w:spacing w:after="0" w:line="240" w:lineRule="auto"/>
        <w:jc w:val="both"/>
        <w:textAlignment w:val="baseline"/>
        <w:rPr>
          <w:rFonts w:ascii="Times New Roman" w:eastAsia="Times New Roman" w:hAnsi="Times New Roman" w:cs="Times New Roman"/>
          <w:b/>
          <w:sz w:val="24"/>
          <w:szCs w:val="24"/>
        </w:rPr>
      </w:pPr>
      <w:r w:rsidRPr="00084327">
        <w:rPr>
          <w:rFonts w:ascii="Times New Roman" w:eastAsia="Times New Roman" w:hAnsi="Times New Roman" w:cs="Times New Roman"/>
          <w:b/>
          <w:sz w:val="24"/>
          <w:szCs w:val="24"/>
        </w:rPr>
        <w:lastRenderedPageBreak/>
        <w:t>Sombras chinescas</w:t>
      </w:r>
      <w:r w:rsidR="0048192E">
        <w:rPr>
          <w:rFonts w:ascii="Times New Roman" w:eastAsia="Times New Roman" w:hAnsi="Times New Roman" w:cs="Times New Roman"/>
          <w:b/>
          <w:sz w:val="24"/>
          <w:szCs w:val="24"/>
        </w:rPr>
        <w:t xml:space="preserve"> (… y lo que te rondaré morena)</w:t>
      </w:r>
    </w:p>
    <w:p w:rsidR="00084327" w:rsidRDefault="0008432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084327" w:rsidRDefault="0008432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Pr>
          <w:noProof/>
          <w:lang w:eastAsia="es-ES"/>
        </w:rPr>
        <w:drawing>
          <wp:inline distT="0" distB="0" distL="0" distR="0" wp14:anchorId="3368C08E" wp14:editId="54AFE3E6">
            <wp:extent cx="5740400" cy="2940050"/>
            <wp:effectExtent l="0" t="0" r="0" b="0"/>
            <wp:docPr id="1" name="Imagen 1" descr="CÃ³mo hacer sombras chines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Ã³mo hacer sombras chinesc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40400" cy="2940050"/>
                    </a:xfrm>
                    <a:prstGeom prst="rect">
                      <a:avLst/>
                    </a:prstGeom>
                    <a:noFill/>
                    <a:ln>
                      <a:noFill/>
                    </a:ln>
                  </pic:spPr>
                </pic:pic>
              </a:graphicData>
            </a:graphic>
          </wp:inline>
        </w:drawing>
      </w:r>
    </w:p>
    <w:p w:rsidR="00084327" w:rsidRDefault="0008432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A37CEC" w:rsidRDefault="0008432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Fuente: </w:t>
      </w:r>
      <w:r w:rsidR="00D41384">
        <w:rPr>
          <w:rFonts w:ascii="Times New Roman" w:eastAsia="Times New Roman" w:hAnsi="Times New Roman" w:cs="Times New Roman"/>
          <w:sz w:val="24"/>
          <w:szCs w:val="24"/>
        </w:rPr>
        <w:t xml:space="preserve">Informe de </w:t>
      </w:r>
      <w:r>
        <w:rPr>
          <w:rFonts w:ascii="Times New Roman" w:eastAsia="Times New Roman" w:hAnsi="Times New Roman" w:cs="Times New Roman"/>
          <w:sz w:val="24"/>
          <w:szCs w:val="24"/>
        </w:rPr>
        <w:t>Franklin Templeton Investment (2013)</w:t>
      </w:r>
    </w:p>
    <w:p w:rsidR="00084327" w:rsidRDefault="0008432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En los últimos años la economía china ha crecido a un ritmo vertiginoso, poco a poco el ritmo cae, pero la clase media se afianza.</w:t>
      </w: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Durante años China ha sido un destino al que deslocalizar la producción en la búsqueda de reducción de costes, pero el crecimiento anual en torno al 10% ha generado la aparición de una boyante clase media, por lo que el gigante asiático ya no es visto solo un lugar con mano de obra barata, sino también un mercado de oportunidades para la venta de productos. No en vano, el 22% de la población mundial (1.340 millones de personas) vive en este país.</w:t>
      </w: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Según datos de Naciones Unidades existen 69 millones de hogares que pertenecen a la clase media y 53 millones que se consideran clase media-alta. En la actualidad el consumo privado representa el 37% del PIB, según datos que dio a conocer la consultora Souyou  en una jornada sobre oportunidades de negocio en China organizada por CEEI Castellón el pasado viernes. El gobierno chino tiene el objetivo de incrementar la calidad de vida de su población y cada año está incorporando 40  millones de personas a la clase media. Un indicador de este incremento de la clase media son las ventas de smartphones en el país que en el primer trimestre de 2015 ascendieron a casi 100 millones de unidades (Fuente: IDC). Esta cifra ha descendido casi un 5%, lo que indica que la clase media poco a poco se va estabilizando.</w:t>
      </w:r>
    </w:p>
    <w:p w:rsidR="00D41384" w:rsidRDefault="00D41384"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41384" w:rsidRPr="00A37CEC" w:rsidRDefault="00D41384" w:rsidP="00D41384">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 xml:space="preserve">Debido al aumento de la renta per </w:t>
      </w:r>
      <w:r w:rsidR="00720160" w:rsidRPr="00A37CEC">
        <w:rPr>
          <w:rFonts w:ascii="Times New Roman" w:eastAsia="Times New Roman" w:hAnsi="Times New Roman" w:cs="Times New Roman"/>
          <w:sz w:val="24"/>
          <w:szCs w:val="24"/>
        </w:rPr>
        <w:t>cápita</w:t>
      </w:r>
      <w:r w:rsidRPr="00A37CEC">
        <w:rPr>
          <w:rFonts w:ascii="Times New Roman" w:eastAsia="Times New Roman" w:hAnsi="Times New Roman" w:cs="Times New Roman"/>
          <w:sz w:val="24"/>
          <w:szCs w:val="24"/>
        </w:rPr>
        <w:t xml:space="preserve"> el mercado de la construcción, los materiales y el mobiliario están creciendo, y se demandan productos de mayor calidad y con mejores acabados. Aunque las previsiones son de crecimiento, los datos actuales muestran un estancamiento del sector. En lo relativo al mercado inmobiliario, la construcción residencial ha descendido en el en 2014. Sin embargo las nuevas políticas para atraer la inversión extranjera están surtiendo efecto y se esperan posibles crecimientos, aunque siempre más moderados. Tomando como referencia Beijing el precio de la vivienda ha caído en un 5,4% por metro cuadrado en 2014 según la consultora experta en China Savills. Los datos en lo referente al sector de baldosas cerámicas sin similares y por primera vez las empresas chinas </w:t>
      </w:r>
      <w:r w:rsidRPr="00A37CEC">
        <w:rPr>
          <w:rFonts w:ascii="Times New Roman" w:eastAsia="Times New Roman" w:hAnsi="Times New Roman" w:cs="Times New Roman"/>
          <w:sz w:val="24"/>
          <w:szCs w:val="24"/>
        </w:rPr>
        <w:lastRenderedPageBreak/>
        <w:t>han registrado bajadas en sus exportaciones, con caídas de hasta el 22.8% en Sudamérica.  Aun así China es un país extenso y con crecimiento desigual, por ejemplo el mercado residencial en Hong Kong vive un buen momento con un incremento de las ventas con especial incidencia en el mercado del lujo y un incremento de los precios.</w:t>
      </w:r>
    </w:p>
    <w:p w:rsidR="00D41384" w:rsidRDefault="00D41384"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Pr>
          <w:noProof/>
          <w:lang w:eastAsia="es-ES"/>
        </w:rPr>
        <w:drawing>
          <wp:inline distT="0" distB="0" distL="0" distR="0" wp14:anchorId="7AC6C000" wp14:editId="35C0AAD9">
            <wp:extent cx="5715000" cy="3981450"/>
            <wp:effectExtent l="0" t="0" r="0" b="0"/>
            <wp:docPr id="14" name="Imagen 14" descr="http://econintersect.com/images/2013/11/83383500middle-class-population-glob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econintersect.com/images/2013/11/83383500middle-class-population-global.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5000" cy="3981450"/>
                    </a:xfrm>
                    <a:prstGeom prst="rect">
                      <a:avLst/>
                    </a:prstGeom>
                    <a:noFill/>
                    <a:ln>
                      <a:noFill/>
                    </a:ln>
                  </pic:spPr>
                </pic:pic>
              </a:graphicData>
            </a:graphic>
          </wp:inline>
        </w:drawing>
      </w:r>
    </w:p>
    <w:p w:rsidR="00D20647" w:rsidRPr="006455D2"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En la actualidad el 70% de los productos de lujo comprados por chinos se adquiere fuera de China (Fuente: Bain &amp; Company) o a través de servicios como el llamado Daigou, un canal de comercio para compra p</w:t>
      </w:r>
      <w:r>
        <w:rPr>
          <w:rFonts w:ascii="Times New Roman" w:eastAsia="Times New Roman" w:hAnsi="Times New Roman" w:cs="Times New Roman"/>
          <w:sz w:val="24"/>
          <w:szCs w:val="24"/>
        </w:rPr>
        <w:t>roductos de lujo en el extranje</w:t>
      </w:r>
      <w:r w:rsidRPr="00A37CEC">
        <w:rPr>
          <w:rFonts w:ascii="Times New Roman" w:eastAsia="Times New Roman" w:hAnsi="Times New Roman" w:cs="Times New Roman"/>
          <w:sz w:val="24"/>
          <w:szCs w:val="24"/>
        </w:rPr>
        <w:t>ro. Por tanto, China se está convirtiendo en una oportunidad para el mercado de las marcas de lujo y en el que además se están refinando los gustos. Aparecen cada vez más consumidores que ven los productos y el diseño europeo como símbolos de estatus.</w:t>
      </w:r>
    </w:p>
    <w:p w:rsidR="00D41384" w:rsidRDefault="00D41384"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41384" w:rsidRPr="00A37CEC" w:rsidRDefault="00D41384"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Fuente: Informe </w:t>
      </w:r>
      <w:r w:rsidRPr="00A37CEC">
        <w:rPr>
          <w:rFonts w:ascii="Times New Roman" w:eastAsia="Times New Roman" w:hAnsi="Times New Roman" w:cs="Times New Roman"/>
          <w:sz w:val="24"/>
          <w:szCs w:val="24"/>
        </w:rPr>
        <w:t>McKinsey &amp; Company</w:t>
      </w:r>
      <w:r>
        <w:rPr>
          <w:rFonts w:ascii="Times New Roman" w:eastAsia="Times New Roman" w:hAnsi="Times New Roman" w:cs="Times New Roman"/>
          <w:sz w:val="24"/>
          <w:szCs w:val="24"/>
        </w:rPr>
        <w:t xml:space="preserve"> (2017)</w:t>
      </w: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Dentro de cinco años, el 2022, un 76 por ciento de la población urbana de China será clase media (con ingresos entre US$</w:t>
      </w:r>
      <w:r w:rsidR="00D41384">
        <w:rPr>
          <w:rFonts w:ascii="Times New Roman" w:eastAsia="Times New Roman" w:hAnsi="Times New Roman" w:cs="Times New Roman"/>
          <w:sz w:val="24"/>
          <w:szCs w:val="24"/>
        </w:rPr>
        <w:t xml:space="preserve"> 9.</w:t>
      </w:r>
      <w:r w:rsidRPr="00A37CEC">
        <w:rPr>
          <w:rFonts w:ascii="Times New Roman" w:eastAsia="Times New Roman" w:hAnsi="Times New Roman" w:cs="Times New Roman"/>
          <w:sz w:val="24"/>
          <w:szCs w:val="24"/>
        </w:rPr>
        <w:t>000 y US$</w:t>
      </w:r>
      <w:r w:rsidR="00D41384">
        <w:rPr>
          <w:rFonts w:ascii="Times New Roman" w:eastAsia="Times New Roman" w:hAnsi="Times New Roman" w:cs="Times New Roman"/>
          <w:sz w:val="24"/>
          <w:szCs w:val="24"/>
        </w:rPr>
        <w:t xml:space="preserve"> 34.</w:t>
      </w:r>
      <w:r w:rsidRPr="00A37CEC">
        <w:rPr>
          <w:rFonts w:ascii="Times New Roman" w:eastAsia="Times New Roman" w:hAnsi="Times New Roman" w:cs="Times New Roman"/>
          <w:sz w:val="24"/>
          <w:szCs w:val="24"/>
        </w:rPr>
        <w:t>000 al año) según un estudio de la consultora McKinsey &amp; Company. Es decir, 550 millones de chinos serán clase media, una cifra largamente superior a toda la población de los Estados Unidos, que es el tercer país más poblado del mundo.</w:t>
      </w: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Un 54 por ciento de estos van a ser clase media-alta, con ingresos superiores a US$ 16,000 al año, lo que suma 300 millones de personas, es decir, casi diez Perú. Estamos hablando de ingreso per cápita; es decir, si pensamos en una familia de tres, dos padres y un hijo, equivale a más de 13 mil soles mensuales, suma que permite una vida bastante acomodada y ciertos lujos.</w:t>
      </w: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lastRenderedPageBreak/>
        <w:t>El crecimiento de esta clase media china no pararía allí; en una década más, al 2030, otras 300 millones de personas adicionales se sumarían a la clase media china. La clase media china será más grande que toda la población europea o de Latinoamérica entera. Esto va a tener consecuencias mundiales sobre el consumo y los patrones culturales, y podría significar importantes oportunidades para el Perú.</w:t>
      </w: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 xml:space="preserve">El explosivo crecimiento de la clase media china en este periodo se debe al nivel de ingresos al que ya han llegado y al ritmo de crecimiento económico que tienen. La clase media china era solo 4 por ciento </w:t>
      </w:r>
      <w:r w:rsidR="00D41384">
        <w:rPr>
          <w:rFonts w:ascii="Times New Roman" w:eastAsia="Times New Roman" w:hAnsi="Times New Roman" w:cs="Times New Roman"/>
          <w:sz w:val="24"/>
          <w:szCs w:val="24"/>
        </w:rPr>
        <w:t>de su población urbana el año 2</w:t>
      </w:r>
      <w:r w:rsidRPr="00A37CEC">
        <w:rPr>
          <w:rFonts w:ascii="Times New Roman" w:eastAsia="Times New Roman" w:hAnsi="Times New Roman" w:cs="Times New Roman"/>
          <w:sz w:val="24"/>
          <w:szCs w:val="24"/>
        </w:rPr>
        <w:t xml:space="preserve">000 y ya hoy es la mayoría. China ha logrado reducir su pobreza a solo 4% según las cifras oficiales y el plan presentado recientemente por su presidente Xi Jinping es eliminar la pobreza al 2020. ¿Por qué es recién ahora, y no antes, que crece tan rápidamente la clase media china? Lo que sucede es que China empezó a crecer desde bien atrás, es decir, de un nivel de ingresos sumamente bajos y una pobreza muy extendida, producto de su desconexión de la revolución industrial europea de los siglos XVIII y XIX y de un siglo largo de muy duras guerras externas e internas ente 1840 y 1950.  Por eso </w:t>
      </w:r>
      <w:r w:rsidR="00D41384" w:rsidRPr="00A37CEC">
        <w:rPr>
          <w:rFonts w:ascii="Times New Roman" w:eastAsia="Times New Roman" w:hAnsi="Times New Roman" w:cs="Times New Roman"/>
          <w:sz w:val="24"/>
          <w:szCs w:val="24"/>
        </w:rPr>
        <w:t>aún</w:t>
      </w:r>
      <w:r w:rsidRPr="00A37CEC">
        <w:rPr>
          <w:rFonts w:ascii="Times New Roman" w:eastAsia="Times New Roman" w:hAnsi="Times New Roman" w:cs="Times New Roman"/>
          <w:sz w:val="24"/>
          <w:szCs w:val="24"/>
        </w:rPr>
        <w:t xml:space="preserve"> luego de décadas de crecimiento acelerado en términos de PBI per cápita China está todavía en el puesto 78 </w:t>
      </w:r>
      <w:r w:rsidR="00D41384">
        <w:rPr>
          <w:rFonts w:ascii="Times New Roman" w:eastAsia="Times New Roman" w:hAnsi="Times New Roman" w:cs="Times New Roman"/>
          <w:sz w:val="24"/>
          <w:szCs w:val="24"/>
        </w:rPr>
        <w:t>a nivel mundial con unos US$ 13.</w:t>
      </w:r>
      <w:r w:rsidRPr="00A37CEC">
        <w:rPr>
          <w:rFonts w:ascii="Times New Roman" w:eastAsia="Times New Roman" w:hAnsi="Times New Roman" w:cs="Times New Roman"/>
          <w:sz w:val="24"/>
          <w:szCs w:val="24"/>
        </w:rPr>
        <w:t>500 anuales, apenas un poco p</w:t>
      </w:r>
      <w:r w:rsidR="00D41384">
        <w:rPr>
          <w:rFonts w:ascii="Times New Roman" w:eastAsia="Times New Roman" w:hAnsi="Times New Roman" w:cs="Times New Roman"/>
          <w:sz w:val="24"/>
          <w:szCs w:val="24"/>
        </w:rPr>
        <w:t>or encima del Perú que tiene 11.</w:t>
      </w:r>
      <w:r w:rsidRPr="00A37CEC">
        <w:rPr>
          <w:rFonts w:ascii="Times New Roman" w:eastAsia="Times New Roman" w:hAnsi="Times New Roman" w:cs="Times New Roman"/>
          <w:sz w:val="24"/>
          <w:szCs w:val="24"/>
        </w:rPr>
        <w:t>000 de PBI per cápita, en dólares PPP (del mismo poder de compra). Gracias a una política económica que ha apostado fuerte a la industrialización y el avance tecnológico, con empresas públicas, crédito dirigido y un tipo de cambio promotor (es decir todo lo que nosotros no hacemos), China ha crecido fuerte y tiene las perspectivas de seguir creciendo apostando por la robótica y la energía solar, con lo que los ingresos de su gente y su clase media seguiría creciendo.</w:t>
      </w: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Esta clase media china es, además, de una nueva generación, más segura de sí misma, más consumidora, occidentalizada y con uso intensivo de Internet. Una empresa china de alquiler de bicicletas en ciudades por horas usando apps e celular tiene más de 100 millones de usuarios registrados. Mientras en occidente Amazon conquista mercados, en oriente hay una empresa china Alibabá de magnitud similar, que también hace pagos electrónicos.</w:t>
      </w:r>
    </w:p>
    <w:p w:rsidR="00D20647" w:rsidRPr="00A37CEC"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A37CEC">
        <w:rPr>
          <w:rFonts w:ascii="Times New Roman" w:eastAsia="Times New Roman" w:hAnsi="Times New Roman" w:cs="Times New Roman"/>
          <w:sz w:val="24"/>
          <w:szCs w:val="24"/>
        </w:rPr>
        <w:t>Los turistas chinos en todo el mundo van a aumentar en más de 70 millones entre el 2006 y el 2020. Esto puede tener un gran impacto sobre el Perú, adonde este año se estima que el número de turistas chinos que llegue será de apenas 50 mil. Si solo el uno por ciento de la clase media china visitara el Perú, dentro de cinco años serían más de 5 millones visitantes anuales, casi el doble del número total de turistas de todo el mundo que recibimos ahora.</w:t>
      </w: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D41384" w:rsidRDefault="00D41384" w:rsidP="00D20647">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D41384">
        <w:rPr>
          <w:rFonts w:ascii="Times New Roman" w:eastAsia="Times New Roman" w:hAnsi="Times New Roman" w:cs="Times New Roman"/>
          <w:sz w:val="24"/>
          <w:szCs w:val="24"/>
          <w:u w:val="single"/>
        </w:rPr>
        <w:t>Algunas características de</w:t>
      </w:r>
      <w:r w:rsidR="00D20647" w:rsidRPr="00D41384">
        <w:rPr>
          <w:rFonts w:ascii="Times New Roman" w:eastAsia="Times New Roman" w:hAnsi="Times New Roman" w:cs="Times New Roman"/>
          <w:sz w:val="24"/>
          <w:szCs w:val="24"/>
          <w:u w:val="single"/>
        </w:rPr>
        <w:t xml:space="preserve"> la clase media china</w:t>
      </w:r>
      <w:r w:rsidRPr="00D41384">
        <w:rPr>
          <w:rFonts w:ascii="Times New Roman" w:eastAsia="Times New Roman" w:hAnsi="Times New Roman" w:cs="Times New Roman"/>
          <w:sz w:val="24"/>
          <w:szCs w:val="24"/>
          <w:u w:val="single"/>
        </w:rPr>
        <w:t xml:space="preserve"> </w:t>
      </w:r>
    </w:p>
    <w:p w:rsidR="00D20647" w:rsidRPr="004E5204"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Default="00D41384"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Según algunas estimaciones</w:t>
      </w:r>
      <w:r w:rsidR="00D20647" w:rsidRPr="004E5204">
        <w:rPr>
          <w:rFonts w:ascii="Times New Roman" w:eastAsia="Times New Roman" w:hAnsi="Times New Roman" w:cs="Times New Roman"/>
          <w:sz w:val="24"/>
          <w:szCs w:val="24"/>
        </w:rPr>
        <w:t xml:space="preserve"> 600 millones de chinos serán de clase media para 2030, en un país que, para entonces, seguramente ya estará afianzado como la primera economía mundial. Unos 300 millones de chinos ya constituyen la clase media más voluminosa del planeta, superando a toda Europa y a los Estados Unidos, donde los sectores medios vienen retrocediendo. A esto podría sumarse que China desbancó recientemente a Estados Unidos como el país con más multimillonarios.</w:t>
      </w:r>
    </w:p>
    <w:p w:rsidR="009E3503" w:rsidRDefault="009E3503"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4E5204"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Las proyecciones de crecimiento de la economía china indican que la clase media se seguirá engrosando con preferencias de consumo cada vez más diversas y sofisticadas. Se estima que el consumo privado crecerá a una media anual del 5,5% hasta 2030 en China, consolidado como motor de la economía asiática y mundial.</w:t>
      </w:r>
    </w:p>
    <w:p w:rsidR="00D20647" w:rsidRPr="004E5204"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Pr="004E5204"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lastRenderedPageBreak/>
        <w:t>La nueva clase media china tiene algunos rasgos distintivos que conviene destacar. En primer lugar, el consumo ocupa un lugar central de la vida, sobre todo de los más jóvenes. Consumir es sinónimo de bienestar y felicidad, en una sociedad mayoritariamente atea y que supo padecer grandes carencias materiales. Por otra parte, esta nueva clase media es fundamentalmente urbana y se caracteriza por un marcado pragmatismo, elevado nivel educativo y ansias de progreso permanente.</w:t>
      </w:r>
    </w:p>
    <w:p w:rsidR="00D20647" w:rsidRPr="004E5204"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El consumo se produce principalmente de manera online. China es uno de los países con mejor conectividad y mayor cantidad de teléfonos celulares per cápita. Gran parte de la vida de los chinos pasa por el teléfono móvil, medio que acapara el grueso de las transacciones. En China ya casi ni se usan las tarjetas y los billetes. Por ello, una empresa de productos elaborados o servicios que no opere en las principales plataformas de comercio online, como TMall o Taobao, no existe en el mercado chino.</w:t>
      </w:r>
    </w:p>
    <w:p w:rsidR="00D20647" w:rsidRPr="004E5204"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20647"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En China, consumir es sinónimo de bienestar y felicidad, en una sociedad mayoritariamente atea y que supo padecer grandes carencias materiales.</w:t>
      </w:r>
    </w:p>
    <w:p w:rsidR="00D20647" w:rsidRPr="004E5204" w:rsidRDefault="00D20647" w:rsidP="00D20647">
      <w:pPr>
        <w:shd w:val="clear" w:color="auto" w:fill="FFFFFF"/>
        <w:spacing w:after="0" w:line="240" w:lineRule="auto"/>
        <w:jc w:val="both"/>
        <w:textAlignment w:val="baseline"/>
        <w:rPr>
          <w:rFonts w:ascii="Times New Roman" w:eastAsia="Times New Roman" w:hAnsi="Times New Roman" w:cs="Times New Roman"/>
          <w:sz w:val="24"/>
          <w:szCs w:val="24"/>
        </w:rPr>
      </w:pPr>
    </w:p>
    <w:p w:rsidR="00D77F01" w:rsidRDefault="00D20647" w:rsidP="00D77F01">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En el último “Día de los Solteros”, promocionado por Alibaba, se produjo un nuevo récord de ventas. Sólo esa empresa concretó operaciones por más de 25.000 millones de dólares, un 60% más que en 2016. La impresionante cifra representa, por caso, cerca del doble de las ventas online en Brasil a lo largo de un año.</w:t>
      </w:r>
    </w:p>
    <w:p w:rsidR="00D77F01" w:rsidRDefault="00D77F01" w:rsidP="00D77F01">
      <w:pPr>
        <w:shd w:val="clear" w:color="auto" w:fill="FFFFFF"/>
        <w:spacing w:after="0" w:line="240" w:lineRule="auto"/>
        <w:jc w:val="both"/>
        <w:textAlignment w:val="baseline"/>
        <w:rPr>
          <w:rFonts w:ascii="Times New Roman" w:eastAsia="Times New Roman" w:hAnsi="Times New Roman" w:cs="Times New Roman"/>
          <w:sz w:val="24"/>
          <w:szCs w:val="24"/>
        </w:rPr>
      </w:pPr>
    </w:p>
    <w:p w:rsidR="00D77F01" w:rsidRPr="00E91B02" w:rsidRDefault="00D77F01" w:rsidP="00D77F01">
      <w:pPr>
        <w:shd w:val="clear" w:color="auto" w:fill="FFFFFF"/>
        <w:spacing w:after="0" w:line="240" w:lineRule="auto"/>
        <w:jc w:val="both"/>
        <w:textAlignment w:val="baseline"/>
        <w:rPr>
          <w:rFonts w:ascii="Times New Roman" w:eastAsia="Times New Roman" w:hAnsi="Times New Roman" w:cs="Times New Roman"/>
          <w:sz w:val="24"/>
          <w:szCs w:val="24"/>
          <w:u w:val="single"/>
          <w:lang w:val="en-US"/>
        </w:rPr>
      </w:pPr>
      <w:r w:rsidRPr="00D77F01">
        <w:rPr>
          <w:rFonts w:ascii="Times New Roman" w:eastAsia="Times New Roman" w:hAnsi="Times New Roman" w:cs="Times New Roman"/>
          <w:sz w:val="24"/>
          <w:szCs w:val="24"/>
          <w:u w:val="single"/>
          <w:lang w:val="en-US"/>
        </w:rPr>
        <w:t>Globalización 4.0 (and the winner is…)</w:t>
      </w:r>
    </w:p>
    <w:p w:rsidR="00D77F01" w:rsidRDefault="00D77F01" w:rsidP="00D77F01">
      <w:pPr>
        <w:pStyle w:val="NormalWeb"/>
        <w:jc w:val="both"/>
        <w:rPr>
          <w:color w:val="141414"/>
        </w:rPr>
      </w:pPr>
      <w:r>
        <w:rPr>
          <w:noProof/>
        </w:rPr>
        <w:drawing>
          <wp:inline distT="0" distB="0" distL="0" distR="0" wp14:anchorId="3B672192" wp14:editId="7E7FB69A">
            <wp:extent cx="5969000" cy="2705100"/>
            <wp:effectExtent l="0" t="0" r="0" b="0"/>
            <wp:docPr id="249" name="Imagen 2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69000" cy="2705100"/>
                    </a:xfrm>
                    <a:prstGeom prst="rect">
                      <a:avLst/>
                    </a:prstGeom>
                    <a:noFill/>
                    <a:ln>
                      <a:noFill/>
                    </a:ln>
                  </pic:spPr>
                </pic:pic>
              </a:graphicData>
            </a:graphic>
          </wp:inline>
        </w:drawing>
      </w:r>
    </w:p>
    <w:p w:rsidR="00D77F01" w:rsidRPr="00E91B02" w:rsidRDefault="00D77F01" w:rsidP="00D77F01">
      <w:pPr>
        <w:spacing w:after="100" w:afterAutospacing="1" w:line="240" w:lineRule="auto"/>
        <w:jc w:val="both"/>
        <w:rPr>
          <w:rFonts w:ascii="Times New Roman" w:eastAsia="Times New Roman" w:hAnsi="Times New Roman" w:cs="Times New Roman"/>
          <w:sz w:val="24"/>
          <w:szCs w:val="24"/>
          <w:lang w:val="en-US"/>
        </w:rPr>
      </w:pPr>
      <w:r w:rsidRPr="00E91B02">
        <w:rPr>
          <w:rFonts w:ascii="Times New Roman" w:eastAsia="Times New Roman" w:hAnsi="Times New Roman" w:cs="Times New Roman"/>
          <w:sz w:val="24"/>
          <w:szCs w:val="24"/>
          <w:lang w:val="en-US"/>
        </w:rPr>
        <w:t>When Chinese e-commerce giant Alibaba in 2018 announced it had chosen the ancient city of Xi’an as the site for its new regional headquarters, the symbolic value wasn’t lost on the company: it had brought globalization to its ancient birthplace, the start of the old Silk Road. It named its new offices aptly: “</w:t>
      </w:r>
      <w:hyperlink r:id="rId14" w:history="1">
        <w:r w:rsidRPr="00E91B02">
          <w:rPr>
            <w:rFonts w:ascii="Times New Roman" w:eastAsia="Times New Roman" w:hAnsi="Times New Roman" w:cs="Times New Roman"/>
            <w:sz w:val="24"/>
            <w:szCs w:val="24"/>
            <w:lang w:val="en-US"/>
          </w:rPr>
          <w:t>Silk Road Headquarters</w:t>
        </w:r>
      </w:hyperlink>
      <w:r w:rsidRPr="00E91B02">
        <w:rPr>
          <w:rFonts w:ascii="Times New Roman" w:eastAsia="Times New Roman" w:hAnsi="Times New Roman" w:cs="Times New Roman"/>
          <w:sz w:val="24"/>
          <w:szCs w:val="24"/>
          <w:lang w:val="en-US"/>
        </w:rPr>
        <w:t>”. The city where globalization had started more than 2,000 years ago would also have a stake in globalization’s future.</w:t>
      </w:r>
    </w:p>
    <w:p w:rsidR="00D77F01" w:rsidRPr="00D37EAF" w:rsidRDefault="00D77F01" w:rsidP="00D77F01">
      <w:pPr>
        <w:spacing w:before="100" w:beforeAutospacing="1" w:after="100" w:afterAutospacing="1" w:line="240" w:lineRule="auto"/>
        <w:jc w:val="both"/>
        <w:rPr>
          <w:rFonts w:ascii="Times New Roman" w:eastAsia="Times New Roman" w:hAnsi="Times New Roman" w:cs="Times New Roman"/>
          <w:sz w:val="24"/>
          <w:szCs w:val="24"/>
        </w:rPr>
      </w:pPr>
      <w:r w:rsidRPr="00E91B02">
        <w:rPr>
          <w:rFonts w:ascii="Times New Roman" w:eastAsia="Times New Roman" w:hAnsi="Times New Roman" w:cs="Times New Roman"/>
          <w:sz w:val="24"/>
          <w:szCs w:val="24"/>
          <w:lang w:val="en-US"/>
        </w:rPr>
        <w:t>Alibaba shouldn’t be alone in looking back. As we are entering a new, digita</w:t>
      </w:r>
      <w:r>
        <w:rPr>
          <w:rFonts w:ascii="Times New Roman" w:eastAsia="Times New Roman" w:hAnsi="Times New Roman" w:cs="Times New Roman"/>
          <w:sz w:val="24"/>
          <w:szCs w:val="24"/>
          <w:lang w:val="en-US"/>
        </w:rPr>
        <w:t>l-driven era of globalization -we call it “Globalization 4.0”-</w:t>
      </w:r>
      <w:r w:rsidRPr="00E91B02">
        <w:rPr>
          <w:rFonts w:ascii="Times New Roman" w:eastAsia="Times New Roman" w:hAnsi="Times New Roman" w:cs="Times New Roman"/>
          <w:sz w:val="24"/>
          <w:szCs w:val="24"/>
          <w:lang w:val="en-US"/>
        </w:rPr>
        <w:t xml:space="preserve"> it is worthwhile that we do the same. When did globalization start? What were its major phases? And where is it headed tomorrow?</w:t>
      </w:r>
      <w:r>
        <w:rPr>
          <w:rFonts w:ascii="Times New Roman" w:eastAsia="Times New Roman" w:hAnsi="Times New Roman" w:cs="Times New Roman"/>
          <w:sz w:val="24"/>
          <w:szCs w:val="24"/>
          <w:lang w:val="en-US"/>
        </w:rPr>
        <w:t xml:space="preserve"> ... </w:t>
      </w:r>
      <w:r w:rsidRPr="00D37EAF">
        <w:rPr>
          <w:rFonts w:ascii="Times New Roman" w:eastAsia="Times New Roman" w:hAnsi="Times New Roman" w:cs="Times New Roman"/>
          <w:sz w:val="24"/>
          <w:szCs w:val="24"/>
        </w:rPr>
        <w:t xml:space="preserve">(A brief history of globalization - World Economic Forum - </w:t>
      </w:r>
      <w:r w:rsidRPr="00D37EAF">
        <w:rPr>
          <w:rFonts w:ascii="Times New Roman" w:eastAsia="Times New Roman" w:hAnsi="Times New Roman" w:cs="Times New Roman"/>
          <w:b/>
          <w:sz w:val="24"/>
          <w:szCs w:val="24"/>
        </w:rPr>
        <w:t>17/1/19</w:t>
      </w:r>
      <w:r w:rsidRPr="00D37EAF">
        <w:rPr>
          <w:rFonts w:ascii="Times New Roman" w:eastAsia="Times New Roman" w:hAnsi="Times New Roman" w:cs="Times New Roman"/>
          <w:sz w:val="24"/>
          <w:szCs w:val="24"/>
        </w:rPr>
        <w:t>)</w:t>
      </w:r>
    </w:p>
    <w:p w:rsidR="009E3503" w:rsidRPr="00133AA5" w:rsidRDefault="000A776A" w:rsidP="00133AA5">
      <w:pPr>
        <w:spacing w:line="240" w:lineRule="auto"/>
        <w:jc w:val="both"/>
        <w:rPr>
          <w:rFonts w:ascii="Times New Roman" w:hAnsi="Times New Roman" w:cs="Times New Roman"/>
          <w:sz w:val="24"/>
          <w:szCs w:val="24"/>
        </w:rPr>
      </w:pPr>
      <w:r>
        <w:rPr>
          <w:rFonts w:ascii="Times New Roman" w:eastAsia="Times New Roman" w:hAnsi="Times New Roman" w:cs="Times New Roman"/>
          <w:b/>
          <w:sz w:val="24"/>
          <w:szCs w:val="24"/>
        </w:rPr>
        <w:lastRenderedPageBreak/>
        <w:t xml:space="preserve">- </w:t>
      </w:r>
      <w:r w:rsidR="009E3503" w:rsidRPr="000A776A">
        <w:rPr>
          <w:rFonts w:ascii="Times New Roman" w:eastAsia="Times New Roman" w:hAnsi="Times New Roman" w:cs="Times New Roman"/>
          <w:b/>
          <w:sz w:val="24"/>
          <w:szCs w:val="24"/>
        </w:rPr>
        <w:t>La clase media pobre de los países ricos (los que no vieron venir la cachetada)</w:t>
      </w:r>
    </w:p>
    <w:p w:rsidR="000A776A" w:rsidRDefault="000A776A" w:rsidP="00D20647">
      <w:pPr>
        <w:shd w:val="clear" w:color="auto" w:fill="FFFFFF"/>
        <w:spacing w:after="0" w:line="240" w:lineRule="auto"/>
        <w:jc w:val="both"/>
        <w:textAlignment w:val="baseline"/>
        <w:rPr>
          <w:rFonts w:ascii="Times New Roman" w:eastAsia="Times New Roman" w:hAnsi="Times New Roman" w:cs="Times New Roman"/>
          <w:b/>
          <w:sz w:val="24"/>
          <w:szCs w:val="24"/>
        </w:rPr>
      </w:pPr>
    </w:p>
    <w:p w:rsidR="000A776A" w:rsidRPr="000A776A" w:rsidRDefault="000A776A" w:rsidP="00D20647">
      <w:pPr>
        <w:shd w:val="clear" w:color="auto" w:fill="FFFFFF"/>
        <w:spacing w:after="0" w:line="240" w:lineRule="auto"/>
        <w:jc w:val="both"/>
        <w:textAlignment w:val="baseline"/>
        <w:rPr>
          <w:rFonts w:ascii="Times New Roman" w:eastAsia="Times New Roman" w:hAnsi="Times New Roman" w:cs="Times New Roman"/>
          <w:b/>
          <w:sz w:val="24"/>
          <w:szCs w:val="24"/>
        </w:rPr>
      </w:pPr>
      <w:r>
        <w:rPr>
          <w:noProof/>
          <w:lang w:eastAsia="es-ES"/>
        </w:rPr>
        <w:drawing>
          <wp:inline distT="0" distB="0" distL="0" distR="0" wp14:anchorId="048D269D" wp14:editId="360F0178">
            <wp:extent cx="5726992" cy="2984500"/>
            <wp:effectExtent l="0" t="0" r="7620" b="6350"/>
            <wp:docPr id="19" name="Imagen 19" descr="Foto: Unos salen adelante, otros no.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Unos salen adelante, otros no. (iStock)"/>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986855"/>
                    </a:xfrm>
                    <a:prstGeom prst="rect">
                      <a:avLst/>
                    </a:prstGeom>
                    <a:noFill/>
                    <a:ln>
                      <a:noFill/>
                    </a:ln>
                  </pic:spPr>
                </pic:pic>
              </a:graphicData>
            </a:graphic>
          </wp:inline>
        </w:drawing>
      </w:r>
    </w:p>
    <w:p w:rsidR="000A776A" w:rsidRDefault="000A776A" w:rsidP="00D20647">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0A776A" w:rsidRPr="007B18FD" w:rsidRDefault="000A776A" w:rsidP="000A776A">
      <w:pPr>
        <w:spacing w:line="240" w:lineRule="auto"/>
        <w:jc w:val="both"/>
        <w:rPr>
          <w:rFonts w:ascii="Times New Roman" w:hAnsi="Times New Roman" w:cs="Times New Roman"/>
          <w:sz w:val="24"/>
          <w:szCs w:val="24"/>
        </w:rPr>
      </w:pPr>
      <w:r>
        <w:rPr>
          <w:rFonts w:ascii="Times New Roman" w:hAnsi="Times New Roman" w:cs="Times New Roman"/>
          <w:sz w:val="24"/>
          <w:szCs w:val="24"/>
        </w:rPr>
        <w:t>El círculo de la pobreza: p</w:t>
      </w:r>
      <w:r w:rsidRPr="007B18FD">
        <w:rPr>
          <w:rFonts w:ascii="Times New Roman" w:hAnsi="Times New Roman" w:cs="Times New Roman"/>
          <w:sz w:val="24"/>
          <w:szCs w:val="24"/>
        </w:rPr>
        <w:t>ara acceder a los mejores puestos, debes cuidar tu nombre y no devaluarlo con trabajos que te den mala reputación. Pero ¿quién se lo puede permitir?</w:t>
      </w:r>
    </w:p>
    <w:p w:rsidR="000A776A" w:rsidRPr="007B18FD" w:rsidRDefault="000A776A" w:rsidP="000A776A">
      <w:pPr>
        <w:spacing w:line="240" w:lineRule="auto"/>
        <w:jc w:val="both"/>
        <w:rPr>
          <w:rFonts w:ascii="Times New Roman" w:hAnsi="Times New Roman" w:cs="Times New Roman"/>
          <w:sz w:val="24"/>
          <w:szCs w:val="24"/>
        </w:rPr>
      </w:pPr>
      <w:r>
        <w:rPr>
          <w:rFonts w:ascii="Times New Roman" w:hAnsi="Times New Roman" w:cs="Times New Roman"/>
          <w:sz w:val="24"/>
          <w:szCs w:val="24"/>
        </w:rPr>
        <w:t>Es un ejemplo un tanto burdo -y, probablemente, tramposo-</w:t>
      </w:r>
      <w:r w:rsidRPr="007B18FD">
        <w:rPr>
          <w:rFonts w:ascii="Times New Roman" w:hAnsi="Times New Roman" w:cs="Times New Roman"/>
          <w:sz w:val="24"/>
          <w:szCs w:val="24"/>
        </w:rPr>
        <w:t xml:space="preserve"> de lo que resume un artículo publicado por Tim Denning, que se define a sí mismo como “bloguero viral”. Lo que aconseja al lector es, básicamente, que no abarate el precio de su nombre (su firma, su marca) aceptando encargos en los que no cree o que van a encasillarlo como un trabajador “barato”. A la larga, explica, ser selectivo resulta mucho más rentable que aceptar la primera propuesta que se presenta. Si eres barato, te pagarán barato, y si eres caro...</w:t>
      </w:r>
    </w:p>
    <w:p w:rsidR="000A776A" w:rsidRPr="007B18FD" w:rsidRDefault="000A776A" w:rsidP="000A776A">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 xml:space="preserve"> “Cuando lo que quieres es ganar dinero con lo que haces, las empresas y proyectos a los que has estado vinculado determinan tu valor”, explica. “Si lo único que has hecho ha sido publicar entradas de blogs por 15 dólares y </w:t>
      </w:r>
      <w:r>
        <w:rPr>
          <w:rFonts w:ascii="Times New Roman" w:hAnsi="Times New Roman" w:cs="Times New Roman"/>
          <w:sz w:val="24"/>
          <w:szCs w:val="24"/>
        </w:rPr>
        <w:t>estás pidiendo 1.000 dólares a “INC Magazine”</w:t>
      </w:r>
      <w:r w:rsidRPr="007B18FD">
        <w:rPr>
          <w:rFonts w:ascii="Times New Roman" w:hAnsi="Times New Roman" w:cs="Times New Roman"/>
          <w:sz w:val="24"/>
          <w:szCs w:val="24"/>
        </w:rPr>
        <w:t xml:space="preserve"> por una entrada, no te van a pagar esa suma de dinero”. Es una obviedad, pero oculta una moraleja que tendemos a olvidar. Debido a que nuestro valor futuro depende por completo del actual, debemos preocuparnos por que este sea todo lo alto que podamos. “Conseguir lo que mereces en el futuro es no conformarse con lo barato hoy”, recuerda. “Es muy difícil ver más allá de tu valor actual”. Tiene un punto de ese “fake it till you make it” que te sugiere que te comportes como un rico si quieres serlo.</w:t>
      </w:r>
    </w:p>
    <w:p w:rsidR="000A776A" w:rsidRPr="007B18FD" w:rsidRDefault="000A776A" w:rsidP="000A776A">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Hay tres tentaciones que debemos evitar, señala Denning: decir “sí” a todo, ceder nuestra credibilidad simplemente “para dar a conocer nuestro nombre” y aceptar remuneraciones bajas justificándonos en la experiencia o que servirá para llegar a más público. Nada de eso. Denning dice que “incluso si eres un don nadie como yo, tienes que cuidar seriamente de tu nombre”. La gran pregunta, sin embargo, es hasta qué punto un don nadie puede permitirse cuidar su nombre, o si eso es precisamente lo que diferencia a los trabajadores de élite y el resto.</w:t>
      </w:r>
    </w:p>
    <w:p w:rsidR="000A776A" w:rsidRPr="007B18FD" w:rsidRDefault="000A776A" w:rsidP="000A776A">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 xml:space="preserve">No todo el mundo tiene las mismas posibilidades de elegir trabajar o no, por lo que es lógico pensar que los puestos ideales (y mejor pagados) terminarán en manos de aquellos que </w:t>
      </w:r>
      <w:r w:rsidRPr="007B18FD">
        <w:rPr>
          <w:rFonts w:ascii="Times New Roman" w:hAnsi="Times New Roman" w:cs="Times New Roman"/>
          <w:sz w:val="24"/>
          <w:szCs w:val="24"/>
        </w:rPr>
        <w:lastRenderedPageBreak/>
        <w:t>disponen de una mayor elección. Lo resumen bien los investigadores Brett Theodos y Robert Bednarik en su informe sobre “la trampa de los sueldos bajos” para Oxfam: “La posibilidad de abandonar los malos salarios decrece dramáticamente a medida que uno pasa más tiempo en un empleo mal pagado, ya que las características asociadas con este empleo conducen a mayores niveles de bajos salarios permanentes”.</w:t>
      </w:r>
    </w:p>
    <w:p w:rsidR="000A776A" w:rsidRPr="007B18FD" w:rsidRDefault="000A776A" w:rsidP="000A776A">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En otras palabras, y al contrario del mito que señala que trabajar es siempre mejor que no hacerlo, aquellos que pueden permitirse sortear los malos empleos tienen ventaja respecto al resto, especialmente en un contexto en el que cada vez es más fácil conocer los entresijos del pasado laboral de un potencial trabajador a través de una sencilla búsqueda en internet. Esta brecha se amplía aún más si el tiempo no trabajado se destina a ampliar su formación, lo que, como recuerdan todos los estudios, aumenta las posibilidades de conseguir un empleo mejor remunerado, hacer contactos o mejorar su portfolio.</w:t>
      </w:r>
    </w:p>
    <w:p w:rsidR="000A776A" w:rsidRPr="007B18FD" w:rsidRDefault="000A776A" w:rsidP="000A776A">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Esto genera círculos virtuosos y viciosos, como señalaba el informe realizado por el Instituto Urbano de Georgetown. Tener un sueldo bajo implica que no puedes invertir en ti mismo, por ejemplo, cursando un posgrado que te abra las puertas de puestos más altos; también, te hace más difícil obtener herramientas en algunos casos necesarias para conseguir un trabajo (los autores ponen el ejemplo del automóvil); y, además, quienes menos cobran tienen más posibilidades de ser los primeros en salir de una empresa, lo que les devuelve a la casilla de salida.</w:t>
      </w:r>
    </w:p>
    <w:p w:rsidR="000A776A" w:rsidRPr="007B18FD" w:rsidRDefault="000A776A" w:rsidP="000A776A">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Se ha utilizado con frecuencia el término “ciclo de la pobreza” para referirse a la situación en la que los trabajadores con sueldos más bajos tienen menos probabilidades de ascender de manera significativa en la escala salarial, algo que se puede prolongar entre generaciones. Un informe publicado por la Fundación Joseph Rowntree, aunque haga referencia al mercado laboral británico, resulta revelador: recordaba que el factor con un mayor impacto en la pobreza recurrente son las condiciones laborales del empleado, y no el paro. Tener trabajo no era por sí mismo una vía para abandonar la situación de pobreza, si la seguridad del trabajo y los sueldos eran bajos.</w:t>
      </w:r>
    </w:p>
    <w:p w:rsidR="000A776A" w:rsidRPr="007B18FD" w:rsidRDefault="000A776A" w:rsidP="000A776A">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Las familias que dependen de los ingresos de uno de sus miembros, las madres solteras, los que se hacen cargo de personas dependientes o los jóvenes son los que tienen más probabilidades de verse obligados a aceptar un empleo que no le satisface, que “devalúa su nombre” o, simplemente, mal pagado. Una encuesta realizada en Reino Unido por la Comisión de Movilidad Social revelaba que uno de cada cuatro trabajadores se encuentra atrapado en una situación perpetua de empleo mal pagado. Las mujeres de poco más de 20 años que deben compaginar el trabajo y el cuidado de hijos son las más vulnerables.</w:t>
      </w:r>
    </w:p>
    <w:p w:rsidR="000A776A" w:rsidRPr="000A776A" w:rsidRDefault="000A776A" w:rsidP="000A776A">
      <w:pPr>
        <w:spacing w:line="240" w:lineRule="auto"/>
        <w:jc w:val="both"/>
        <w:rPr>
          <w:rFonts w:ascii="Times New Roman" w:hAnsi="Times New Roman" w:cs="Times New Roman"/>
          <w:sz w:val="24"/>
          <w:szCs w:val="24"/>
        </w:rPr>
      </w:pPr>
      <w:r w:rsidRPr="007B18FD">
        <w:rPr>
          <w:rFonts w:ascii="Times New Roman" w:hAnsi="Times New Roman" w:cs="Times New Roman"/>
          <w:sz w:val="24"/>
          <w:szCs w:val="24"/>
        </w:rPr>
        <w:t>El director de la Comisión, el exministro Alan Milburn, señalaba del peligro que supone “un mercado laboral de dos velocidades”. Ese es uno de los puntos ciegos de la retórica de los “blogueros virales”, que siguiendo el sesgo del superviviente, consideran que lo que a ellos les ha funcionado también lo hará con los demás, olvidando que a menudo la necesidad, y no una estrategia equivocada, es lo que provoca o impide que alguien se decante por un trabajo mal pagado, aunqu</w:t>
      </w:r>
      <w:r>
        <w:rPr>
          <w:rFonts w:ascii="Times New Roman" w:hAnsi="Times New Roman" w:cs="Times New Roman"/>
          <w:sz w:val="24"/>
          <w:szCs w:val="24"/>
        </w:rPr>
        <w:t>e pueda arruinar su reputación “online”</w:t>
      </w:r>
      <w:r w:rsidRPr="007B18FD">
        <w:rPr>
          <w:rFonts w:ascii="Times New Roman" w:hAnsi="Times New Roman" w:cs="Times New Roman"/>
          <w:sz w:val="24"/>
          <w:szCs w:val="24"/>
        </w:rPr>
        <w:t>. Entre otras cosas, porque hacerse un nombre es un trabajo a largo plazo, y la mayoría de trabajadores españoles no pueden permitirse pensar más allá de la siguiente nómina.</w:t>
      </w:r>
    </w:p>
    <w:p w:rsidR="002805E4" w:rsidRPr="009E3503" w:rsidRDefault="002805E4" w:rsidP="002805E4">
      <w:pPr>
        <w:shd w:val="clear" w:color="auto" w:fill="FFFFFF"/>
        <w:spacing w:after="0" w:line="240" w:lineRule="auto"/>
        <w:jc w:val="both"/>
        <w:textAlignment w:val="baseline"/>
        <w:rPr>
          <w:rFonts w:ascii="Times New Roman" w:eastAsia="Times New Roman" w:hAnsi="Times New Roman" w:cs="Times New Roman"/>
          <w:sz w:val="24"/>
          <w:szCs w:val="24"/>
        </w:rPr>
      </w:pPr>
      <w:r w:rsidRPr="009E3503">
        <w:rPr>
          <w:rFonts w:ascii="Times New Roman" w:eastAsia="Times New Roman" w:hAnsi="Times New Roman" w:cs="Times New Roman"/>
          <w:sz w:val="24"/>
          <w:szCs w:val="24"/>
        </w:rPr>
        <w:t>La clase media contemporánea, estos pobres a los que se les acaba la excedencia, vive en la peor de las invisibilidades; todo el mundo sabe que existe, pero a nadie le importa políticamente. La ceguera analítica que caracteriza a políticos y pensadores de nuestro tiempo, demasiado pendientes de los gráficos o de la reproducci</w:t>
      </w:r>
      <w:r w:rsidR="009E3503" w:rsidRPr="009E3503">
        <w:rPr>
          <w:rFonts w:ascii="Times New Roman" w:eastAsia="Times New Roman" w:hAnsi="Times New Roman" w:cs="Times New Roman"/>
          <w:sz w:val="24"/>
          <w:szCs w:val="24"/>
        </w:rPr>
        <w:t>ón de los textos de su dogma</w:t>
      </w:r>
      <w:r w:rsidRPr="009E3503">
        <w:rPr>
          <w:rFonts w:ascii="Times New Roman" w:eastAsia="Times New Roman" w:hAnsi="Times New Roman" w:cs="Times New Roman"/>
          <w:sz w:val="24"/>
          <w:szCs w:val="24"/>
        </w:rPr>
        <w:t xml:space="preserve"> </w:t>
      </w:r>
      <w:r w:rsidRPr="009E3503">
        <w:rPr>
          <w:rFonts w:ascii="Times New Roman" w:eastAsia="Times New Roman" w:hAnsi="Times New Roman" w:cs="Times New Roman"/>
          <w:sz w:val="24"/>
          <w:szCs w:val="24"/>
        </w:rPr>
        <w:lastRenderedPageBreak/>
        <w:t>les impide identificarla, así como conocer sus deseos y sus aspiraciones. Unos la defenderían vivamente si se autodenominase clase obrera, en cuyo caso no habría problema para integrarla en sus discursos; otros apuestan por ella, siempre que se declare</w:t>
      </w:r>
      <w:r w:rsidR="009E3503" w:rsidRPr="009E3503">
        <w:rPr>
          <w:rFonts w:ascii="Times New Roman" w:eastAsia="Times New Roman" w:hAnsi="Times New Roman" w:cs="Times New Roman"/>
          <w:sz w:val="24"/>
          <w:szCs w:val="24"/>
        </w:rPr>
        <w:t xml:space="preserve"> populista</w:t>
      </w:r>
      <w:r w:rsidRPr="009E3503">
        <w:rPr>
          <w:rFonts w:ascii="Times New Roman" w:eastAsia="Times New Roman" w:hAnsi="Times New Roman" w:cs="Times New Roman"/>
          <w:sz w:val="24"/>
          <w:szCs w:val="24"/>
        </w:rPr>
        <w:t>; y otros pretenden que abandone sus anclajes y pase a ser una clase digital y global. Pero nadie quiere tomar en serio sus condiciones materiales y vitales, sólo quieren llevarla a su terreno. Hay quienes están teniendo más fortuna, como los populismos de derecha, y otros menos, como la izquierda</w:t>
      </w:r>
      <w:r w:rsidR="009E3503" w:rsidRPr="009E3503">
        <w:rPr>
          <w:rFonts w:ascii="Times New Roman" w:eastAsia="Times New Roman" w:hAnsi="Times New Roman" w:cs="Times New Roman"/>
          <w:sz w:val="24"/>
          <w:szCs w:val="24"/>
        </w:rPr>
        <w:t xml:space="preserve"> “progre”</w:t>
      </w:r>
      <w:r w:rsidRPr="009E3503">
        <w:rPr>
          <w:rFonts w:ascii="Times New Roman" w:eastAsia="Times New Roman" w:hAnsi="Times New Roman" w:cs="Times New Roman"/>
          <w:sz w:val="24"/>
          <w:szCs w:val="24"/>
        </w:rPr>
        <w:t>. Pero, en todo caso, quien gane este espacio tendrá en sus manos el triunfo político en nuestro tiempo.</w:t>
      </w:r>
    </w:p>
    <w:p w:rsidR="009E3503" w:rsidRPr="009E3503" w:rsidRDefault="009E3503" w:rsidP="002805E4">
      <w:pPr>
        <w:shd w:val="clear" w:color="auto" w:fill="FFFFFF"/>
        <w:spacing w:after="0" w:line="240" w:lineRule="auto"/>
        <w:jc w:val="both"/>
        <w:textAlignment w:val="baseline"/>
        <w:rPr>
          <w:rFonts w:ascii="Times New Roman" w:eastAsia="Times New Roman" w:hAnsi="Times New Roman" w:cs="Times New Roman"/>
          <w:sz w:val="24"/>
          <w:szCs w:val="24"/>
        </w:rPr>
      </w:pPr>
    </w:p>
    <w:p w:rsidR="009E3503" w:rsidRDefault="009E3503" w:rsidP="009E3503">
      <w:pPr>
        <w:shd w:val="clear" w:color="auto" w:fill="FFFFFF"/>
        <w:spacing w:after="0" w:line="240" w:lineRule="auto"/>
        <w:jc w:val="both"/>
        <w:textAlignment w:val="baseline"/>
        <w:rPr>
          <w:rFonts w:ascii="Times New Roman" w:eastAsia="Times New Roman" w:hAnsi="Times New Roman" w:cs="Times New Roman"/>
          <w:sz w:val="24"/>
          <w:szCs w:val="24"/>
        </w:rPr>
      </w:pPr>
      <w:r w:rsidRPr="009E3503">
        <w:rPr>
          <w:rFonts w:ascii="Times New Roman" w:eastAsia="Times New Roman" w:hAnsi="Times New Roman" w:cs="Times New Roman"/>
          <w:sz w:val="24"/>
          <w:szCs w:val="24"/>
        </w:rPr>
        <w:t>Por eso la lucha política va más allá de los asuntos materiales, más allá de la cuestión obvia de los ingresos y los gastos privados y públicos, y por eso la conflictividad social ha tomado formas identitarias, ya sea desde la perspectiva nacionalista, la religiosa o la feminista. Pero todo esto no es más que derivas de un asunto central, esa devolución de la clase media a la clase obrera y de la desconfianza en el futuro que acarrea, y del deseo de grandes capas de la población de poder disponer de opciones vitales mucho mejores que las que hoy encuentran.</w:t>
      </w:r>
    </w:p>
    <w:p w:rsidR="00133AA5" w:rsidRDefault="00133AA5" w:rsidP="009E3503">
      <w:pPr>
        <w:shd w:val="clear" w:color="auto" w:fill="FFFFFF"/>
        <w:spacing w:after="0" w:line="240" w:lineRule="auto"/>
        <w:jc w:val="both"/>
        <w:textAlignment w:val="baseline"/>
        <w:rPr>
          <w:rFonts w:ascii="Times New Roman" w:eastAsia="Times New Roman" w:hAnsi="Times New Roman" w:cs="Times New Roman"/>
          <w:sz w:val="24"/>
          <w:szCs w:val="24"/>
        </w:rPr>
      </w:pPr>
    </w:p>
    <w:p w:rsidR="00133AA5" w:rsidRDefault="00133AA5" w:rsidP="009E3503">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133AA5">
        <w:rPr>
          <w:rFonts w:ascii="Times New Roman" w:eastAsia="Times New Roman" w:hAnsi="Times New Roman" w:cs="Times New Roman"/>
          <w:sz w:val="24"/>
          <w:szCs w:val="24"/>
          <w:u w:val="single"/>
        </w:rPr>
        <w:t>La clase media (de los países ricos) no va al paraíso</w:t>
      </w:r>
      <w:r w:rsidR="0036518C">
        <w:rPr>
          <w:rFonts w:ascii="Times New Roman" w:eastAsia="Times New Roman" w:hAnsi="Times New Roman" w:cs="Times New Roman"/>
          <w:sz w:val="24"/>
          <w:szCs w:val="24"/>
          <w:u w:val="single"/>
        </w:rPr>
        <w:t xml:space="preserve"> (avergonzada de ser pobre</w:t>
      </w:r>
      <w:r>
        <w:rPr>
          <w:rFonts w:ascii="Times New Roman" w:eastAsia="Times New Roman" w:hAnsi="Times New Roman" w:cs="Times New Roman"/>
          <w:sz w:val="24"/>
          <w:szCs w:val="24"/>
          <w:u w:val="single"/>
        </w:rPr>
        <w:t>)</w:t>
      </w:r>
    </w:p>
    <w:p w:rsidR="00920926" w:rsidRDefault="00920926" w:rsidP="009E3503">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920926" w:rsidRPr="002446C7" w:rsidRDefault="00920926" w:rsidP="009E3503">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2446C7">
        <w:rPr>
          <w:rFonts w:ascii="Times New Roman" w:hAnsi="Times New Roman" w:cs="Times New Roman"/>
          <w:sz w:val="24"/>
          <w:szCs w:val="24"/>
        </w:rPr>
        <w:t>Hay mil historias, cada una es diferente…</w:t>
      </w:r>
    </w:p>
    <w:p w:rsidR="00133AA5" w:rsidRPr="002446C7" w:rsidRDefault="00133AA5" w:rsidP="009E3503">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A31298" w:rsidRPr="002446C7" w:rsidRDefault="00133AA5" w:rsidP="00133AA5">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Muchos</w:t>
      </w:r>
      <w:r w:rsidR="00920926" w:rsidRPr="002446C7">
        <w:rPr>
          <w:rFonts w:ascii="Times New Roman" w:hAnsi="Times New Roman" w:cs="Times New Roman"/>
          <w:sz w:val="24"/>
          <w:szCs w:val="24"/>
        </w:rPr>
        <w:t xml:space="preserve"> miembros de la clase media </w:t>
      </w:r>
      <w:r w:rsidRPr="002446C7">
        <w:rPr>
          <w:rFonts w:ascii="Times New Roman" w:hAnsi="Times New Roman" w:cs="Times New Roman"/>
          <w:sz w:val="24"/>
          <w:szCs w:val="24"/>
        </w:rPr>
        <w:t xml:space="preserve">que caen ahora en la pobreza lo ocultan a su entorno… </w:t>
      </w:r>
      <w:r w:rsidR="00920926" w:rsidRPr="002446C7">
        <w:rPr>
          <w:rFonts w:ascii="Times New Roman" w:hAnsi="Times New Roman" w:cs="Times New Roman"/>
          <w:sz w:val="24"/>
          <w:szCs w:val="24"/>
        </w:rPr>
        <w:t>Nunca hubieran pensado</w:t>
      </w:r>
      <w:r w:rsidRPr="002446C7">
        <w:rPr>
          <w:rFonts w:ascii="Times New Roman" w:hAnsi="Times New Roman" w:cs="Times New Roman"/>
          <w:sz w:val="24"/>
          <w:szCs w:val="24"/>
        </w:rPr>
        <w:t xml:space="preserve"> que se vería</w:t>
      </w:r>
      <w:r w:rsidR="00920926" w:rsidRPr="002446C7">
        <w:rPr>
          <w:rFonts w:ascii="Times New Roman" w:hAnsi="Times New Roman" w:cs="Times New Roman"/>
          <w:sz w:val="24"/>
          <w:szCs w:val="24"/>
        </w:rPr>
        <w:t>n</w:t>
      </w:r>
      <w:r w:rsidRPr="002446C7">
        <w:rPr>
          <w:rFonts w:ascii="Times New Roman" w:hAnsi="Times New Roman" w:cs="Times New Roman"/>
          <w:sz w:val="24"/>
          <w:szCs w:val="24"/>
        </w:rPr>
        <w:t xml:space="preserve"> en esta situa</w:t>
      </w:r>
      <w:r w:rsidR="00920926" w:rsidRPr="002446C7">
        <w:rPr>
          <w:rFonts w:ascii="Times New Roman" w:hAnsi="Times New Roman" w:cs="Times New Roman"/>
          <w:sz w:val="24"/>
          <w:szCs w:val="24"/>
        </w:rPr>
        <w:t>ción… “C</w:t>
      </w:r>
      <w:r w:rsidRPr="002446C7">
        <w:rPr>
          <w:rFonts w:ascii="Times New Roman" w:hAnsi="Times New Roman" w:cs="Times New Roman"/>
          <w:sz w:val="24"/>
          <w:szCs w:val="24"/>
        </w:rPr>
        <w:t>uando ves que tu nivel de vida no es el mismo que antes, claro que te preguntas qué te ha pasado. Al principio te consuelas pensando que ya mañana irá mejor, que mañana encontrarás algo... Pero llega mañana y nada, y el dinero va bajando… Hasta que de repente te entra e</w:t>
      </w:r>
      <w:r w:rsidR="00920926" w:rsidRPr="002446C7">
        <w:rPr>
          <w:rFonts w:ascii="Times New Roman" w:hAnsi="Times New Roman" w:cs="Times New Roman"/>
          <w:sz w:val="24"/>
          <w:szCs w:val="24"/>
        </w:rPr>
        <w:t>l miedo: “</w:t>
      </w:r>
      <w:r w:rsidRPr="002446C7">
        <w:rPr>
          <w:rFonts w:ascii="Times New Roman" w:hAnsi="Times New Roman" w:cs="Times New Roman"/>
          <w:sz w:val="24"/>
          <w:szCs w:val="24"/>
        </w:rPr>
        <w:t xml:space="preserve">¿Y si no encuentro </w:t>
      </w:r>
      <w:r w:rsidR="00A31298" w:rsidRPr="002446C7">
        <w:rPr>
          <w:rFonts w:ascii="Times New Roman" w:hAnsi="Times New Roman" w:cs="Times New Roman"/>
          <w:sz w:val="24"/>
          <w:szCs w:val="24"/>
        </w:rPr>
        <w:t xml:space="preserve"> un nuevo </w:t>
      </w:r>
      <w:r w:rsidRPr="002446C7">
        <w:rPr>
          <w:rFonts w:ascii="Times New Roman" w:hAnsi="Times New Roman" w:cs="Times New Roman"/>
          <w:sz w:val="24"/>
          <w:szCs w:val="24"/>
        </w:rPr>
        <w:t>trabajo?, ¿</w:t>
      </w:r>
      <w:r w:rsidR="00920926" w:rsidRPr="002446C7">
        <w:rPr>
          <w:rFonts w:ascii="Times New Roman" w:hAnsi="Times New Roman" w:cs="Times New Roman"/>
          <w:sz w:val="24"/>
          <w:szCs w:val="24"/>
        </w:rPr>
        <w:t xml:space="preserve">y si me echan del piso?”. </w:t>
      </w:r>
    </w:p>
    <w:p w:rsidR="00920926" w:rsidRPr="002446C7" w:rsidRDefault="00920926" w:rsidP="00133AA5">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 xml:space="preserve">Entonces </w:t>
      </w:r>
      <w:r w:rsidR="00133AA5" w:rsidRPr="002446C7">
        <w:rPr>
          <w:rFonts w:ascii="Times New Roman" w:hAnsi="Times New Roman" w:cs="Times New Roman"/>
          <w:sz w:val="24"/>
          <w:szCs w:val="24"/>
        </w:rPr>
        <w:t>echa</w:t>
      </w:r>
      <w:r w:rsidRPr="002446C7">
        <w:rPr>
          <w:rFonts w:ascii="Times New Roman" w:hAnsi="Times New Roman" w:cs="Times New Roman"/>
          <w:sz w:val="24"/>
          <w:szCs w:val="24"/>
        </w:rPr>
        <w:t>n</w:t>
      </w:r>
      <w:r w:rsidR="00133AA5" w:rsidRPr="002446C7">
        <w:rPr>
          <w:rFonts w:ascii="Times New Roman" w:hAnsi="Times New Roman" w:cs="Times New Roman"/>
          <w:sz w:val="24"/>
          <w:szCs w:val="24"/>
        </w:rPr>
        <w:t xml:space="preserve"> la vista atrás y se pregunta</w:t>
      </w:r>
      <w:r w:rsidRPr="002446C7">
        <w:rPr>
          <w:rFonts w:ascii="Times New Roman" w:hAnsi="Times New Roman" w:cs="Times New Roman"/>
          <w:sz w:val="24"/>
          <w:szCs w:val="24"/>
        </w:rPr>
        <w:t>n</w:t>
      </w:r>
      <w:r w:rsidR="00133AA5" w:rsidRPr="002446C7">
        <w:rPr>
          <w:rFonts w:ascii="Times New Roman" w:hAnsi="Times New Roman" w:cs="Times New Roman"/>
          <w:sz w:val="24"/>
          <w:szCs w:val="24"/>
        </w:rPr>
        <w:t xml:space="preserve"> en qué m</w:t>
      </w:r>
      <w:r w:rsidR="00A31298" w:rsidRPr="002446C7">
        <w:rPr>
          <w:rFonts w:ascii="Times New Roman" w:hAnsi="Times New Roman" w:cs="Times New Roman"/>
          <w:sz w:val="24"/>
          <w:szCs w:val="24"/>
        </w:rPr>
        <w:t>omento empezó todo, el motivo</w:t>
      </w:r>
      <w:r w:rsidR="00133AA5" w:rsidRPr="002446C7">
        <w:rPr>
          <w:rFonts w:ascii="Times New Roman" w:hAnsi="Times New Roman" w:cs="Times New Roman"/>
          <w:sz w:val="24"/>
          <w:szCs w:val="24"/>
        </w:rPr>
        <w:t xml:space="preserve"> que puso en marcha los vasos comunicantes que acaban en la exclusión</w:t>
      </w:r>
      <w:r w:rsidRPr="002446C7">
        <w:rPr>
          <w:rFonts w:ascii="Times New Roman" w:hAnsi="Times New Roman" w:cs="Times New Roman"/>
          <w:sz w:val="24"/>
          <w:szCs w:val="24"/>
        </w:rPr>
        <w:t xml:space="preserve">. </w:t>
      </w:r>
      <w:r w:rsidR="00133AA5" w:rsidRPr="002446C7">
        <w:rPr>
          <w:rFonts w:ascii="Times New Roman" w:hAnsi="Times New Roman" w:cs="Times New Roman"/>
          <w:sz w:val="24"/>
          <w:szCs w:val="24"/>
        </w:rPr>
        <w:t>Personas qu</w:t>
      </w:r>
      <w:r w:rsidRPr="002446C7">
        <w:rPr>
          <w:rFonts w:ascii="Times New Roman" w:hAnsi="Times New Roman" w:cs="Times New Roman"/>
          <w:sz w:val="24"/>
          <w:szCs w:val="24"/>
        </w:rPr>
        <w:t>e hasta el momento del “detonante”</w:t>
      </w:r>
      <w:r w:rsidR="00133AA5" w:rsidRPr="002446C7">
        <w:rPr>
          <w:rFonts w:ascii="Times New Roman" w:hAnsi="Times New Roman" w:cs="Times New Roman"/>
          <w:sz w:val="24"/>
          <w:szCs w:val="24"/>
        </w:rPr>
        <w:t xml:space="preserve"> no habían tenido ninguna relación con la exclusión y que ocultan su situación porque no quieren identificarse con una clase social denostada por la sociedad</w:t>
      </w:r>
      <w:r w:rsidRPr="002446C7">
        <w:rPr>
          <w:rFonts w:ascii="Times New Roman" w:hAnsi="Times New Roman" w:cs="Times New Roman"/>
          <w:sz w:val="24"/>
          <w:szCs w:val="24"/>
        </w:rPr>
        <w:t xml:space="preserve">. </w:t>
      </w:r>
      <w:r w:rsidR="00133AA5" w:rsidRPr="002446C7">
        <w:rPr>
          <w:rFonts w:ascii="Times New Roman" w:hAnsi="Times New Roman" w:cs="Times New Roman"/>
          <w:sz w:val="24"/>
          <w:szCs w:val="24"/>
        </w:rPr>
        <w:t>Que no tienen para comprarse un abrigo, pero no dejan de pagar la comunidad para que no lo sepan los vecinos. Personas que viven lo que los expertos ya han acertado a denomi</w:t>
      </w:r>
      <w:r w:rsidRPr="002446C7">
        <w:rPr>
          <w:rFonts w:ascii="Times New Roman" w:hAnsi="Times New Roman" w:cs="Times New Roman"/>
          <w:sz w:val="24"/>
          <w:szCs w:val="24"/>
        </w:rPr>
        <w:t>nar como “pobreza vergonzante”</w:t>
      </w:r>
      <w:r w:rsidR="00133AA5" w:rsidRPr="002446C7">
        <w:rPr>
          <w:rFonts w:ascii="Times New Roman" w:hAnsi="Times New Roman" w:cs="Times New Roman"/>
          <w:sz w:val="24"/>
          <w:szCs w:val="24"/>
        </w:rPr>
        <w:t xml:space="preserve">… </w:t>
      </w:r>
      <w:r w:rsidRPr="002446C7">
        <w:rPr>
          <w:rFonts w:ascii="Times New Roman" w:hAnsi="Times New Roman" w:cs="Times New Roman"/>
          <w:sz w:val="24"/>
          <w:szCs w:val="24"/>
        </w:rPr>
        <w:t>que padecen la epidemia de la precariedad, cuando el empleo deja</w:t>
      </w:r>
      <w:r w:rsidR="00133AA5" w:rsidRPr="002446C7">
        <w:rPr>
          <w:rFonts w:ascii="Times New Roman" w:hAnsi="Times New Roman" w:cs="Times New Roman"/>
          <w:sz w:val="24"/>
          <w:szCs w:val="24"/>
        </w:rPr>
        <w:t xml:space="preserve"> de garantizar</w:t>
      </w:r>
      <w:r w:rsidRPr="002446C7">
        <w:rPr>
          <w:rFonts w:ascii="Times New Roman" w:hAnsi="Times New Roman" w:cs="Times New Roman"/>
          <w:sz w:val="24"/>
          <w:szCs w:val="24"/>
        </w:rPr>
        <w:t xml:space="preserve"> la estabilidad de</w:t>
      </w:r>
      <w:r w:rsidR="00133AA5" w:rsidRPr="002446C7">
        <w:rPr>
          <w:rFonts w:ascii="Times New Roman" w:hAnsi="Times New Roman" w:cs="Times New Roman"/>
          <w:sz w:val="24"/>
          <w:szCs w:val="24"/>
        </w:rPr>
        <w:t xml:space="preserve"> las familias… </w:t>
      </w:r>
      <w:r w:rsidRPr="00D77F01">
        <w:rPr>
          <w:rFonts w:ascii="Times New Roman" w:hAnsi="Times New Roman" w:cs="Times New Roman"/>
          <w:sz w:val="24"/>
          <w:szCs w:val="24"/>
        </w:rPr>
        <w:t>Pueden notar que</w:t>
      </w:r>
      <w:r w:rsidR="00133AA5" w:rsidRPr="00D77F01">
        <w:rPr>
          <w:rFonts w:ascii="Times New Roman" w:hAnsi="Times New Roman" w:cs="Times New Roman"/>
          <w:sz w:val="24"/>
          <w:szCs w:val="24"/>
        </w:rPr>
        <w:t xml:space="preserve"> hay más empleo pero que es más precario…</w:t>
      </w:r>
      <w:r w:rsidR="00133AA5" w:rsidRPr="002446C7">
        <w:rPr>
          <w:rFonts w:ascii="Times New Roman" w:hAnsi="Times New Roman" w:cs="Times New Roman"/>
          <w:sz w:val="24"/>
          <w:szCs w:val="24"/>
        </w:rPr>
        <w:t xml:space="preserve"> Piden un trabajo fijo, cuando la mayoría de los empleos son temporales… Y si destinan todo a vivienda es cuando dejan de alimentarse de manera correcta, o pasan frío porque</w:t>
      </w:r>
      <w:r w:rsidRPr="002446C7">
        <w:rPr>
          <w:rFonts w:ascii="Times New Roman" w:hAnsi="Times New Roman" w:cs="Times New Roman"/>
          <w:sz w:val="24"/>
          <w:szCs w:val="24"/>
        </w:rPr>
        <w:t xml:space="preserve"> no pueden pagar la calefacción</w:t>
      </w:r>
      <w:r w:rsidR="00133AA5" w:rsidRPr="002446C7">
        <w:rPr>
          <w:rFonts w:ascii="Times New Roman" w:hAnsi="Times New Roman" w:cs="Times New Roman"/>
          <w:sz w:val="24"/>
          <w:szCs w:val="24"/>
        </w:rPr>
        <w:t xml:space="preserve">… </w:t>
      </w:r>
    </w:p>
    <w:p w:rsidR="004E7509" w:rsidRPr="002446C7" w:rsidRDefault="00133AA5" w:rsidP="00133AA5">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Al principio todo el mundo se siente aturdido, bloqueado. Uno no se levanta por la mañana y se encuentra como proyecto de futuro en la calle, sino qu</w:t>
      </w:r>
      <w:r w:rsidR="004E7509" w:rsidRPr="002446C7">
        <w:rPr>
          <w:rFonts w:ascii="Times New Roman" w:hAnsi="Times New Roman" w:cs="Times New Roman"/>
          <w:sz w:val="24"/>
          <w:szCs w:val="24"/>
        </w:rPr>
        <w:t>e pasa algo y lo quiebra todo</w:t>
      </w:r>
      <w:r w:rsidRPr="002446C7">
        <w:rPr>
          <w:rFonts w:ascii="Times New Roman" w:hAnsi="Times New Roman" w:cs="Times New Roman"/>
          <w:sz w:val="24"/>
          <w:szCs w:val="24"/>
        </w:rPr>
        <w:t xml:space="preserve">… </w:t>
      </w:r>
      <w:r w:rsidR="004E7509" w:rsidRPr="002446C7">
        <w:rPr>
          <w:rFonts w:ascii="Times New Roman" w:hAnsi="Times New Roman" w:cs="Times New Roman"/>
          <w:sz w:val="24"/>
          <w:szCs w:val="24"/>
        </w:rPr>
        <w:t>Algunos se  cuidan mucho, se esfuerzan</w:t>
      </w:r>
      <w:r w:rsidRPr="002446C7">
        <w:rPr>
          <w:rFonts w:ascii="Times New Roman" w:hAnsi="Times New Roman" w:cs="Times New Roman"/>
          <w:sz w:val="24"/>
          <w:szCs w:val="24"/>
        </w:rPr>
        <w:t xml:space="preserve"> en mantener la dignidad y que no se</w:t>
      </w:r>
      <w:r w:rsidR="004E7509" w:rsidRPr="002446C7">
        <w:rPr>
          <w:rFonts w:ascii="Times New Roman" w:hAnsi="Times New Roman" w:cs="Times New Roman"/>
          <w:sz w:val="24"/>
          <w:szCs w:val="24"/>
        </w:rPr>
        <w:t xml:space="preserve"> note la nueva pobreza</w:t>
      </w:r>
      <w:r w:rsidRPr="002446C7">
        <w:rPr>
          <w:rFonts w:ascii="Times New Roman" w:hAnsi="Times New Roman" w:cs="Times New Roman"/>
          <w:sz w:val="24"/>
          <w:szCs w:val="24"/>
        </w:rPr>
        <w:t xml:space="preserve">… </w:t>
      </w:r>
      <w:r w:rsidR="004E7509" w:rsidRPr="002446C7">
        <w:rPr>
          <w:rFonts w:ascii="Times New Roman" w:hAnsi="Times New Roman" w:cs="Times New Roman"/>
          <w:sz w:val="24"/>
          <w:szCs w:val="24"/>
        </w:rPr>
        <w:t>Para los gastos básicos van</w:t>
      </w:r>
      <w:r w:rsidRPr="002446C7">
        <w:rPr>
          <w:rFonts w:ascii="Times New Roman" w:hAnsi="Times New Roman" w:cs="Times New Roman"/>
          <w:sz w:val="24"/>
          <w:szCs w:val="24"/>
        </w:rPr>
        <w:t xml:space="preserve"> pidiendo dinero a amigos con excusas, pero nunca</w:t>
      </w:r>
      <w:r w:rsidR="004E7509" w:rsidRPr="002446C7">
        <w:rPr>
          <w:rFonts w:ascii="Times New Roman" w:hAnsi="Times New Roman" w:cs="Times New Roman"/>
          <w:sz w:val="24"/>
          <w:szCs w:val="24"/>
        </w:rPr>
        <w:t xml:space="preserve"> dos veces a la misma persona. No quieren molestar</w:t>
      </w:r>
      <w:r w:rsidRPr="002446C7">
        <w:rPr>
          <w:rFonts w:ascii="Times New Roman" w:hAnsi="Times New Roman" w:cs="Times New Roman"/>
          <w:sz w:val="24"/>
          <w:szCs w:val="24"/>
        </w:rPr>
        <w:t xml:space="preserve">…. La pobreza vergonzante… </w:t>
      </w:r>
      <w:r w:rsidR="004E7509" w:rsidRPr="002446C7">
        <w:rPr>
          <w:rFonts w:ascii="Times New Roman" w:hAnsi="Times New Roman" w:cs="Times New Roman"/>
          <w:sz w:val="24"/>
          <w:szCs w:val="24"/>
        </w:rPr>
        <w:t>H</w:t>
      </w:r>
      <w:r w:rsidRPr="002446C7">
        <w:rPr>
          <w:rFonts w:ascii="Times New Roman" w:hAnsi="Times New Roman" w:cs="Times New Roman"/>
          <w:sz w:val="24"/>
          <w:szCs w:val="24"/>
        </w:rPr>
        <w:t>ay una serie de espa</w:t>
      </w:r>
      <w:r w:rsidR="004E7509" w:rsidRPr="002446C7">
        <w:rPr>
          <w:rFonts w:ascii="Times New Roman" w:hAnsi="Times New Roman" w:cs="Times New Roman"/>
          <w:sz w:val="24"/>
          <w:szCs w:val="24"/>
        </w:rPr>
        <w:t>cios relacionales donde hacen su</w:t>
      </w:r>
      <w:r w:rsidRPr="002446C7">
        <w:rPr>
          <w:rFonts w:ascii="Times New Roman" w:hAnsi="Times New Roman" w:cs="Times New Roman"/>
          <w:sz w:val="24"/>
          <w:szCs w:val="24"/>
        </w:rPr>
        <w:t xml:space="preserve"> red: colegio de los </w:t>
      </w:r>
      <w:r w:rsidR="004E7509" w:rsidRPr="002446C7">
        <w:rPr>
          <w:rFonts w:ascii="Times New Roman" w:hAnsi="Times New Roman" w:cs="Times New Roman"/>
          <w:sz w:val="24"/>
          <w:szCs w:val="24"/>
        </w:rPr>
        <w:t>niños, trabajo, ocio… Pero si les</w:t>
      </w:r>
      <w:r w:rsidRPr="002446C7">
        <w:rPr>
          <w:rFonts w:ascii="Times New Roman" w:hAnsi="Times New Roman" w:cs="Times New Roman"/>
          <w:sz w:val="24"/>
          <w:szCs w:val="24"/>
        </w:rPr>
        <w:t xml:space="preserve"> expulsan de esos espa</w:t>
      </w:r>
      <w:r w:rsidR="004E7509" w:rsidRPr="002446C7">
        <w:rPr>
          <w:rFonts w:ascii="Times New Roman" w:hAnsi="Times New Roman" w:cs="Times New Roman"/>
          <w:sz w:val="24"/>
          <w:szCs w:val="24"/>
        </w:rPr>
        <w:t>cios, eso se va perdiendo. Si se quedan sin trabajo, su</w:t>
      </w:r>
      <w:r w:rsidRPr="002446C7">
        <w:rPr>
          <w:rFonts w:ascii="Times New Roman" w:hAnsi="Times New Roman" w:cs="Times New Roman"/>
          <w:sz w:val="24"/>
          <w:szCs w:val="24"/>
        </w:rPr>
        <w:t xml:space="preserve"> círculo se reduc</w:t>
      </w:r>
      <w:r w:rsidR="004E7509" w:rsidRPr="002446C7">
        <w:rPr>
          <w:rFonts w:ascii="Times New Roman" w:hAnsi="Times New Roman" w:cs="Times New Roman"/>
          <w:sz w:val="24"/>
          <w:szCs w:val="24"/>
        </w:rPr>
        <w:t>e. Si no tienen dinero para el ocio, se</w:t>
      </w:r>
      <w:r w:rsidRPr="002446C7">
        <w:rPr>
          <w:rFonts w:ascii="Times New Roman" w:hAnsi="Times New Roman" w:cs="Times New Roman"/>
          <w:sz w:val="24"/>
          <w:szCs w:val="24"/>
        </w:rPr>
        <w:t xml:space="preserve"> </w:t>
      </w:r>
      <w:r w:rsidR="004E7509" w:rsidRPr="002446C7">
        <w:rPr>
          <w:rFonts w:ascii="Times New Roman" w:hAnsi="Times New Roman" w:cs="Times New Roman"/>
          <w:sz w:val="24"/>
          <w:szCs w:val="24"/>
        </w:rPr>
        <w:t>vas distanciando de los amigos…</w:t>
      </w:r>
    </w:p>
    <w:p w:rsidR="00920926" w:rsidRPr="002446C7" w:rsidRDefault="004E7509" w:rsidP="00920926">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A</w:t>
      </w:r>
      <w:r w:rsidR="00133AA5" w:rsidRPr="002446C7">
        <w:rPr>
          <w:rFonts w:ascii="Times New Roman" w:hAnsi="Times New Roman" w:cs="Times New Roman"/>
          <w:sz w:val="24"/>
          <w:szCs w:val="24"/>
        </w:rPr>
        <w:t xml:space="preserve"> diferencia de otros tipos de pobreza, la vergonzante no llama cuando lo necesita, sino que hay que salir a buscarla. </w:t>
      </w:r>
      <w:r w:rsidRPr="002446C7">
        <w:rPr>
          <w:rFonts w:ascii="Times New Roman" w:hAnsi="Times New Roman" w:cs="Times New Roman"/>
          <w:sz w:val="24"/>
          <w:szCs w:val="24"/>
        </w:rPr>
        <w:t>L</w:t>
      </w:r>
      <w:r w:rsidR="00920926" w:rsidRPr="002446C7">
        <w:rPr>
          <w:rFonts w:ascii="Times New Roman" w:hAnsi="Times New Roman" w:cs="Times New Roman"/>
          <w:sz w:val="24"/>
          <w:szCs w:val="24"/>
        </w:rPr>
        <w:t>a exclusión es una lotería en la que todos juegan, pero en la que unos tienen más papeletas que otros. La falta de trabajo,</w:t>
      </w:r>
      <w:r w:rsidRPr="002446C7">
        <w:rPr>
          <w:rFonts w:ascii="Times New Roman" w:hAnsi="Times New Roman" w:cs="Times New Roman"/>
          <w:sz w:val="24"/>
          <w:szCs w:val="24"/>
        </w:rPr>
        <w:t xml:space="preserve"> el nivel de formación profesional o</w:t>
      </w:r>
      <w:r w:rsidR="00920926" w:rsidRPr="002446C7">
        <w:rPr>
          <w:rFonts w:ascii="Times New Roman" w:hAnsi="Times New Roman" w:cs="Times New Roman"/>
          <w:sz w:val="24"/>
          <w:szCs w:val="24"/>
        </w:rPr>
        <w:t xml:space="preserve"> </w:t>
      </w:r>
      <w:r w:rsidR="00920926" w:rsidRPr="002446C7">
        <w:rPr>
          <w:rFonts w:ascii="Times New Roman" w:hAnsi="Times New Roman" w:cs="Times New Roman"/>
          <w:sz w:val="24"/>
          <w:szCs w:val="24"/>
        </w:rPr>
        <w:lastRenderedPageBreak/>
        <w:t>los entornos desestructurad</w:t>
      </w:r>
      <w:r w:rsidRPr="002446C7">
        <w:rPr>
          <w:rFonts w:ascii="Times New Roman" w:hAnsi="Times New Roman" w:cs="Times New Roman"/>
          <w:sz w:val="24"/>
          <w:szCs w:val="24"/>
        </w:rPr>
        <w:t xml:space="preserve">os </w:t>
      </w:r>
      <w:r w:rsidR="00920926" w:rsidRPr="002446C7">
        <w:rPr>
          <w:rFonts w:ascii="Times New Roman" w:hAnsi="Times New Roman" w:cs="Times New Roman"/>
          <w:sz w:val="24"/>
          <w:szCs w:val="24"/>
        </w:rPr>
        <w:t>son factores de riesgo, pero llegado el momento del azar, a</w:t>
      </w:r>
      <w:r w:rsidRPr="002446C7">
        <w:rPr>
          <w:rFonts w:ascii="Times New Roman" w:hAnsi="Times New Roman" w:cs="Times New Roman"/>
          <w:sz w:val="24"/>
          <w:szCs w:val="24"/>
        </w:rPr>
        <w:t xml:space="preserve"> cualquiera puede tocarle. “</w:t>
      </w:r>
      <w:r w:rsidR="00920926" w:rsidRPr="002446C7">
        <w:rPr>
          <w:rFonts w:ascii="Times New Roman" w:hAnsi="Times New Roman" w:cs="Times New Roman"/>
          <w:sz w:val="24"/>
          <w:szCs w:val="24"/>
        </w:rPr>
        <w:t>Es una cuestión de circunstancias. En la vida al final tomamos muchas decisiones cuyas consecuencias no podemos calcular. Contratas una hipoteca pensando que vas a poder pagar los siguientes 25 o 30 años. O formas una familia, pens</w:t>
      </w:r>
      <w:r w:rsidRPr="002446C7">
        <w:rPr>
          <w:rFonts w:ascii="Times New Roman" w:hAnsi="Times New Roman" w:cs="Times New Roman"/>
          <w:sz w:val="24"/>
          <w:szCs w:val="24"/>
        </w:rPr>
        <w:t>ando que no te vas a divorciar…”</w:t>
      </w:r>
      <w:r w:rsidR="00920926" w:rsidRPr="002446C7">
        <w:rPr>
          <w:rFonts w:ascii="Times New Roman" w:hAnsi="Times New Roman" w:cs="Times New Roman"/>
          <w:sz w:val="24"/>
          <w:szCs w:val="24"/>
        </w:rPr>
        <w:t xml:space="preserve">. </w:t>
      </w:r>
      <w:r w:rsidRPr="002446C7">
        <w:rPr>
          <w:rFonts w:ascii="Times New Roman" w:hAnsi="Times New Roman" w:cs="Times New Roman"/>
          <w:sz w:val="24"/>
          <w:szCs w:val="24"/>
        </w:rPr>
        <w:t xml:space="preserve">Según los servicios sociales, </w:t>
      </w:r>
      <w:r w:rsidR="00920926" w:rsidRPr="002446C7">
        <w:rPr>
          <w:rFonts w:ascii="Times New Roman" w:hAnsi="Times New Roman" w:cs="Times New Roman"/>
          <w:sz w:val="24"/>
          <w:szCs w:val="24"/>
        </w:rPr>
        <w:t>la pobreza vergonzante se da más en barrios con mayor poder adquisitivo, porque no quieren ser los únicos seña</w:t>
      </w:r>
      <w:r w:rsidRPr="002446C7">
        <w:rPr>
          <w:rFonts w:ascii="Times New Roman" w:hAnsi="Times New Roman" w:cs="Times New Roman"/>
          <w:sz w:val="24"/>
          <w:szCs w:val="24"/>
        </w:rPr>
        <w:t>lados por ese problema social. “</w:t>
      </w:r>
      <w:r w:rsidR="00920926" w:rsidRPr="002446C7">
        <w:rPr>
          <w:rFonts w:ascii="Times New Roman" w:hAnsi="Times New Roman" w:cs="Times New Roman"/>
          <w:sz w:val="24"/>
          <w:szCs w:val="24"/>
        </w:rPr>
        <w:t xml:space="preserve">Por eso algunos pagan antes </w:t>
      </w:r>
      <w:r w:rsidRPr="002446C7">
        <w:rPr>
          <w:rFonts w:ascii="Times New Roman" w:hAnsi="Times New Roman" w:cs="Times New Roman"/>
          <w:sz w:val="24"/>
          <w:szCs w:val="24"/>
        </w:rPr>
        <w:t>la comunidad que la calefacción”,</w:t>
      </w:r>
      <w:r w:rsidR="00920926" w:rsidRPr="002446C7">
        <w:rPr>
          <w:rFonts w:ascii="Times New Roman" w:hAnsi="Times New Roman" w:cs="Times New Roman"/>
          <w:sz w:val="24"/>
          <w:szCs w:val="24"/>
        </w:rPr>
        <w:t xml:space="preserve"> explica</w:t>
      </w:r>
      <w:r w:rsidRPr="002446C7">
        <w:rPr>
          <w:rFonts w:ascii="Times New Roman" w:hAnsi="Times New Roman" w:cs="Times New Roman"/>
          <w:sz w:val="24"/>
          <w:szCs w:val="24"/>
        </w:rPr>
        <w:t xml:space="preserve">n. </w:t>
      </w:r>
    </w:p>
    <w:p w:rsidR="00920926" w:rsidRPr="002446C7" w:rsidRDefault="00920926" w:rsidP="00920926">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La crisis ha cambiado los tipos de pobreza, pero no la imagen que se tiene de ella. Por eso, los que caen por primera vez en la vulnerabilidad económica tienen problemas para identificarse en su n</w:t>
      </w:r>
      <w:r w:rsidR="004E7509" w:rsidRPr="002446C7">
        <w:rPr>
          <w:rFonts w:ascii="Times New Roman" w:hAnsi="Times New Roman" w:cs="Times New Roman"/>
          <w:sz w:val="24"/>
          <w:szCs w:val="24"/>
        </w:rPr>
        <w:t xml:space="preserve">ueva realidad. </w:t>
      </w:r>
      <w:r w:rsidRPr="002446C7">
        <w:rPr>
          <w:rFonts w:ascii="Times New Roman" w:hAnsi="Times New Roman" w:cs="Times New Roman"/>
          <w:sz w:val="24"/>
          <w:szCs w:val="24"/>
        </w:rPr>
        <w:t xml:space="preserve">Vivimos en una sociedad en la que poseer y visibilizarse como alguien que tiene dinero es fenómeno de éxito y no tener es símbolo de fracaso. Pero es cierto que la crisis económica pone a muchas familias en una situación que hasta entonces </w:t>
      </w:r>
      <w:r w:rsidR="004E7509" w:rsidRPr="002446C7">
        <w:rPr>
          <w:rFonts w:ascii="Times New Roman" w:hAnsi="Times New Roman" w:cs="Times New Roman"/>
          <w:sz w:val="24"/>
          <w:szCs w:val="24"/>
        </w:rPr>
        <w:t>no habían vivido.</w:t>
      </w:r>
      <w:r w:rsidR="00A31298" w:rsidRPr="002446C7">
        <w:rPr>
          <w:rFonts w:ascii="Times New Roman" w:hAnsi="Times New Roman" w:cs="Times New Roman"/>
          <w:sz w:val="24"/>
          <w:szCs w:val="24"/>
        </w:rPr>
        <w:t xml:space="preserve"> Por eso, cuando se confían, la frase más habitual es “</w:t>
      </w:r>
      <w:r w:rsidRPr="002446C7">
        <w:rPr>
          <w:rFonts w:ascii="Times New Roman" w:hAnsi="Times New Roman" w:cs="Times New Roman"/>
          <w:sz w:val="24"/>
          <w:szCs w:val="24"/>
        </w:rPr>
        <w:t>nunca p</w:t>
      </w:r>
      <w:r w:rsidR="00A31298" w:rsidRPr="002446C7">
        <w:rPr>
          <w:rFonts w:ascii="Times New Roman" w:hAnsi="Times New Roman" w:cs="Times New Roman"/>
          <w:sz w:val="24"/>
          <w:szCs w:val="24"/>
        </w:rPr>
        <w:t>ensé que me iba a ocurrir a mí”</w:t>
      </w:r>
      <w:r w:rsidRPr="002446C7">
        <w:rPr>
          <w:rFonts w:ascii="Times New Roman" w:hAnsi="Times New Roman" w:cs="Times New Roman"/>
          <w:sz w:val="24"/>
          <w:szCs w:val="24"/>
        </w:rPr>
        <w:t>. La imagen del pobre ha cambi</w:t>
      </w:r>
      <w:r w:rsidR="00A31298" w:rsidRPr="002446C7">
        <w:rPr>
          <w:rFonts w:ascii="Times New Roman" w:hAnsi="Times New Roman" w:cs="Times New Roman"/>
          <w:sz w:val="24"/>
          <w:szCs w:val="24"/>
        </w:rPr>
        <w:t>ado, por eso no se reconocen, se puede</w:t>
      </w:r>
      <w:r w:rsidRPr="002446C7">
        <w:rPr>
          <w:rFonts w:ascii="Times New Roman" w:hAnsi="Times New Roman" w:cs="Times New Roman"/>
          <w:sz w:val="24"/>
          <w:szCs w:val="24"/>
        </w:rPr>
        <w:t xml:space="preserve"> ver por la calle a una persona con un nivel de limpieza y edu</w:t>
      </w:r>
      <w:r w:rsidR="00A31298" w:rsidRPr="002446C7">
        <w:rPr>
          <w:rFonts w:ascii="Times New Roman" w:hAnsi="Times New Roman" w:cs="Times New Roman"/>
          <w:sz w:val="24"/>
          <w:szCs w:val="24"/>
        </w:rPr>
        <w:t xml:space="preserve">cación muy correcto, pero que está </w:t>
      </w:r>
      <w:r w:rsidRPr="002446C7">
        <w:rPr>
          <w:rFonts w:ascii="Times New Roman" w:hAnsi="Times New Roman" w:cs="Times New Roman"/>
          <w:sz w:val="24"/>
          <w:szCs w:val="24"/>
        </w:rPr>
        <w:t>sufriendo una precaried</w:t>
      </w:r>
      <w:r w:rsidR="00A31298" w:rsidRPr="002446C7">
        <w:rPr>
          <w:rFonts w:ascii="Times New Roman" w:hAnsi="Times New Roman" w:cs="Times New Roman"/>
          <w:sz w:val="24"/>
          <w:szCs w:val="24"/>
        </w:rPr>
        <w:t>ad importantísima</w:t>
      </w:r>
      <w:r w:rsidRPr="002446C7">
        <w:rPr>
          <w:rFonts w:ascii="Times New Roman" w:hAnsi="Times New Roman" w:cs="Times New Roman"/>
          <w:sz w:val="24"/>
          <w:szCs w:val="24"/>
        </w:rPr>
        <w:t>.</w:t>
      </w:r>
    </w:p>
    <w:p w:rsidR="006623B0" w:rsidRPr="002446C7" w:rsidRDefault="00920926" w:rsidP="00920926">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Uno de los sentimientos más comunes de este tipo de pobreza es la culpa, el sentir que podr</w:t>
      </w:r>
      <w:r w:rsidR="00A31298" w:rsidRPr="002446C7">
        <w:rPr>
          <w:rFonts w:ascii="Times New Roman" w:hAnsi="Times New Roman" w:cs="Times New Roman"/>
          <w:sz w:val="24"/>
          <w:szCs w:val="24"/>
        </w:rPr>
        <w:t>ían haber evitado la situación, s</w:t>
      </w:r>
      <w:r w:rsidRPr="002446C7">
        <w:rPr>
          <w:rFonts w:ascii="Times New Roman" w:hAnsi="Times New Roman" w:cs="Times New Roman"/>
          <w:sz w:val="24"/>
          <w:szCs w:val="24"/>
        </w:rPr>
        <w:t>obre todo cuando piensa</w:t>
      </w:r>
      <w:r w:rsidR="00A31298" w:rsidRPr="002446C7">
        <w:rPr>
          <w:rFonts w:ascii="Times New Roman" w:hAnsi="Times New Roman" w:cs="Times New Roman"/>
          <w:sz w:val="24"/>
          <w:szCs w:val="24"/>
        </w:rPr>
        <w:t xml:space="preserve">n en su familia: “Cuando se enteraron, </w:t>
      </w:r>
      <w:r w:rsidRPr="002446C7">
        <w:rPr>
          <w:rFonts w:ascii="Times New Roman" w:hAnsi="Times New Roman" w:cs="Times New Roman"/>
          <w:sz w:val="24"/>
          <w:szCs w:val="24"/>
        </w:rPr>
        <w:t>no se lo creían, que una perso</w:t>
      </w:r>
      <w:r w:rsidR="00A31298" w:rsidRPr="002446C7">
        <w:rPr>
          <w:rFonts w:ascii="Times New Roman" w:hAnsi="Times New Roman" w:cs="Times New Roman"/>
          <w:sz w:val="24"/>
          <w:szCs w:val="24"/>
        </w:rPr>
        <w:t>na con estudios como yo, acabase así”</w:t>
      </w:r>
      <w:r w:rsidRPr="002446C7">
        <w:rPr>
          <w:rFonts w:ascii="Times New Roman" w:hAnsi="Times New Roman" w:cs="Times New Roman"/>
          <w:sz w:val="24"/>
          <w:szCs w:val="24"/>
        </w:rPr>
        <w:t>.</w:t>
      </w:r>
      <w:r w:rsidR="006623B0" w:rsidRPr="002446C7">
        <w:rPr>
          <w:rFonts w:ascii="Times New Roman" w:hAnsi="Times New Roman" w:cs="Times New Roman"/>
          <w:sz w:val="24"/>
          <w:szCs w:val="24"/>
        </w:rPr>
        <w:t xml:space="preserve"> Aunque con la vergüenza no se come, la sensación de humillación, los paraliza, deprime, aliena… </w:t>
      </w:r>
      <w:r w:rsidRPr="002446C7">
        <w:rPr>
          <w:rFonts w:ascii="Times New Roman" w:hAnsi="Times New Roman" w:cs="Times New Roman"/>
          <w:sz w:val="24"/>
          <w:szCs w:val="24"/>
        </w:rPr>
        <w:t xml:space="preserve"> </w:t>
      </w:r>
    </w:p>
    <w:p w:rsidR="00920926" w:rsidRDefault="006623B0" w:rsidP="00920926">
      <w:pPr>
        <w:spacing w:line="240" w:lineRule="auto"/>
        <w:jc w:val="both"/>
        <w:rPr>
          <w:rFonts w:ascii="Times New Roman" w:hAnsi="Times New Roman" w:cs="Times New Roman"/>
          <w:sz w:val="24"/>
          <w:szCs w:val="24"/>
        </w:rPr>
      </w:pPr>
      <w:r w:rsidRPr="002446C7">
        <w:rPr>
          <w:rFonts w:ascii="Times New Roman" w:hAnsi="Times New Roman" w:cs="Times New Roman"/>
          <w:sz w:val="24"/>
          <w:szCs w:val="24"/>
        </w:rPr>
        <w:t xml:space="preserve">Aunque superen esa </w:t>
      </w:r>
      <w:r w:rsidR="002446C7" w:rsidRPr="002446C7">
        <w:rPr>
          <w:rFonts w:ascii="Times New Roman" w:hAnsi="Times New Roman" w:cs="Times New Roman"/>
          <w:sz w:val="24"/>
          <w:szCs w:val="24"/>
        </w:rPr>
        <w:t>etapa de abatimiento</w:t>
      </w:r>
      <w:r w:rsidRPr="002446C7">
        <w:rPr>
          <w:rFonts w:ascii="Times New Roman" w:hAnsi="Times New Roman" w:cs="Times New Roman"/>
          <w:sz w:val="24"/>
          <w:szCs w:val="24"/>
        </w:rPr>
        <w:t xml:space="preserve">, continúan </w:t>
      </w:r>
      <w:r w:rsidR="00920926" w:rsidRPr="002446C7">
        <w:rPr>
          <w:rFonts w:ascii="Times New Roman" w:hAnsi="Times New Roman" w:cs="Times New Roman"/>
          <w:sz w:val="24"/>
          <w:szCs w:val="24"/>
        </w:rPr>
        <w:t>sufriendo momentos de bajón y sobre todo, una profunda soledad que</w:t>
      </w:r>
      <w:r w:rsidRPr="002446C7">
        <w:rPr>
          <w:rFonts w:ascii="Times New Roman" w:hAnsi="Times New Roman" w:cs="Times New Roman"/>
          <w:sz w:val="24"/>
          <w:szCs w:val="24"/>
        </w:rPr>
        <w:t>, a veces,</w:t>
      </w:r>
      <w:r w:rsidR="00920926" w:rsidRPr="002446C7">
        <w:rPr>
          <w:rFonts w:ascii="Times New Roman" w:hAnsi="Times New Roman" w:cs="Times New Roman"/>
          <w:sz w:val="24"/>
          <w:szCs w:val="24"/>
        </w:rPr>
        <w:t xml:space="preserve"> ni siquiera puede</w:t>
      </w:r>
      <w:r w:rsidR="002446C7" w:rsidRPr="002446C7">
        <w:rPr>
          <w:rFonts w:ascii="Times New Roman" w:hAnsi="Times New Roman" w:cs="Times New Roman"/>
          <w:sz w:val="24"/>
          <w:szCs w:val="24"/>
        </w:rPr>
        <w:t>n</w:t>
      </w:r>
      <w:r w:rsidR="00920926" w:rsidRPr="002446C7">
        <w:rPr>
          <w:rFonts w:ascii="Times New Roman" w:hAnsi="Times New Roman" w:cs="Times New Roman"/>
          <w:sz w:val="24"/>
          <w:szCs w:val="24"/>
        </w:rPr>
        <w:t xml:space="preserve"> </w:t>
      </w:r>
      <w:r w:rsidRPr="002446C7">
        <w:rPr>
          <w:rFonts w:ascii="Times New Roman" w:hAnsi="Times New Roman" w:cs="Times New Roman"/>
          <w:sz w:val="24"/>
          <w:szCs w:val="24"/>
        </w:rPr>
        <w:t xml:space="preserve">compartir con su familia. Cuesta que el </w:t>
      </w:r>
      <w:r w:rsidR="002446C7" w:rsidRPr="002446C7">
        <w:rPr>
          <w:rFonts w:ascii="Times New Roman" w:hAnsi="Times New Roman" w:cs="Times New Roman"/>
          <w:sz w:val="24"/>
          <w:szCs w:val="24"/>
        </w:rPr>
        <w:t>núcleo</w:t>
      </w:r>
      <w:r w:rsidRPr="002446C7">
        <w:rPr>
          <w:rFonts w:ascii="Times New Roman" w:hAnsi="Times New Roman" w:cs="Times New Roman"/>
          <w:sz w:val="24"/>
          <w:szCs w:val="24"/>
        </w:rPr>
        <w:t xml:space="preserve"> familiar</w:t>
      </w:r>
      <w:r w:rsidR="002446C7" w:rsidRPr="002446C7">
        <w:rPr>
          <w:rFonts w:ascii="Times New Roman" w:hAnsi="Times New Roman" w:cs="Times New Roman"/>
          <w:sz w:val="24"/>
          <w:szCs w:val="24"/>
        </w:rPr>
        <w:t xml:space="preserve"> sea del</w:t>
      </w:r>
      <w:r w:rsidR="00920926" w:rsidRPr="002446C7">
        <w:rPr>
          <w:rFonts w:ascii="Times New Roman" w:hAnsi="Times New Roman" w:cs="Times New Roman"/>
          <w:sz w:val="24"/>
          <w:szCs w:val="24"/>
        </w:rPr>
        <w:t xml:space="preserve"> todo consciente de la</w:t>
      </w:r>
      <w:r w:rsidR="002446C7" w:rsidRPr="002446C7">
        <w:rPr>
          <w:rFonts w:ascii="Times New Roman" w:hAnsi="Times New Roman" w:cs="Times New Roman"/>
          <w:sz w:val="24"/>
          <w:szCs w:val="24"/>
        </w:rPr>
        <w:t xml:space="preserve"> nueva situación “</w:t>
      </w:r>
      <w:r w:rsidR="00920926" w:rsidRPr="002446C7">
        <w:rPr>
          <w:rFonts w:ascii="Times New Roman" w:hAnsi="Times New Roman" w:cs="Times New Roman"/>
          <w:sz w:val="24"/>
          <w:szCs w:val="24"/>
        </w:rPr>
        <w:t>o más bien no se quiere</w:t>
      </w:r>
      <w:r w:rsidR="002446C7" w:rsidRPr="002446C7">
        <w:rPr>
          <w:rFonts w:ascii="Times New Roman" w:hAnsi="Times New Roman" w:cs="Times New Roman"/>
          <w:sz w:val="24"/>
          <w:szCs w:val="24"/>
        </w:rPr>
        <w:t>n enterar”. A veces, cuando no pueden mantener el nivel de gastos, dicen: “Joder, es que parece que somos pobres”</w:t>
      </w:r>
      <w:r w:rsidR="00920926" w:rsidRPr="002446C7">
        <w:rPr>
          <w:rFonts w:ascii="Times New Roman" w:hAnsi="Times New Roman" w:cs="Times New Roman"/>
          <w:sz w:val="24"/>
          <w:szCs w:val="24"/>
        </w:rPr>
        <w:t xml:space="preserve">. Ya… </w:t>
      </w:r>
      <w:r w:rsidR="002446C7" w:rsidRPr="002446C7">
        <w:rPr>
          <w:rFonts w:ascii="Times New Roman" w:hAnsi="Times New Roman" w:cs="Times New Roman"/>
          <w:sz w:val="24"/>
          <w:szCs w:val="24"/>
        </w:rPr>
        <w:t>eso es lo que no quieren ver: “que ahora son (somos) pobres”</w:t>
      </w:r>
      <w:r w:rsidR="00920926" w:rsidRPr="002446C7">
        <w:rPr>
          <w:rFonts w:ascii="Times New Roman" w:hAnsi="Times New Roman" w:cs="Times New Roman"/>
          <w:sz w:val="24"/>
          <w:szCs w:val="24"/>
        </w:rPr>
        <w:t>.</w:t>
      </w:r>
    </w:p>
    <w:p w:rsidR="0093749B" w:rsidRDefault="00236323" w:rsidP="0093749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desigualdad </w:t>
      </w:r>
      <w:r w:rsidR="0093749B" w:rsidRPr="0093749B">
        <w:rPr>
          <w:rFonts w:ascii="Times New Roman" w:hAnsi="Times New Roman" w:cs="Times New Roman"/>
          <w:sz w:val="24"/>
          <w:szCs w:val="24"/>
        </w:rPr>
        <w:t>económica ¿realmente se ha incrementado en las últimas dos décadas, conocidas como “la era de la globalización”? ¿Dónde y cuánto? Y lo que es más importante, ¿por qué? ¿Cuál es la relación, si existiera, entre la desigualdad y el desarrollo económico? ¿Cuál es el efecto sobre la desigualdad de las crisis económicas, las guerras, las revoluciones y los golpes de Estado? ¿Cuál es el efecto sobre la desigualdad de las turbulencias financieras en los países en desarrollo y, más específicamente, sobre  las crisis de la deuda y los colapsos cambiarios? ¿Cuál es el efecto de factores nacionales como las políticas públicas y cuál es el efecto de factores globales como el nivel internacional de los tipos de interés?</w:t>
      </w:r>
    </w:p>
    <w:p w:rsidR="0093749B" w:rsidRPr="0093749B" w:rsidRDefault="00D37EAF" w:rsidP="0093749B">
      <w:pPr>
        <w:spacing w:line="240" w:lineRule="auto"/>
        <w:jc w:val="both"/>
        <w:rPr>
          <w:rFonts w:ascii="Times New Roman" w:hAnsi="Times New Roman" w:cs="Times New Roman"/>
          <w:sz w:val="24"/>
          <w:szCs w:val="24"/>
        </w:rPr>
      </w:pPr>
      <w:r>
        <w:rPr>
          <w:rFonts w:ascii="Times New Roman" w:hAnsi="Times New Roman" w:cs="Times New Roman"/>
          <w:sz w:val="24"/>
          <w:szCs w:val="24"/>
        </w:rPr>
        <w:t>Desde</w:t>
      </w:r>
      <w:r w:rsidR="0093749B" w:rsidRPr="0093749B">
        <w:rPr>
          <w:rFonts w:ascii="Times New Roman" w:hAnsi="Times New Roman" w:cs="Times New Roman"/>
          <w:sz w:val="24"/>
          <w:szCs w:val="24"/>
        </w:rPr>
        <w:t xml:space="preserve"> mediados de la década del noventa, la nueva cartografía social ya revelaba una creciente polarización entre los “ganadores” y los “perdedores” del modelo. Con una virulencia nunca vista, el proceso de dualización se manifestó al interior de las clases medias. La profunda brecha que se instaló entre ganadores y perdedores echó por tierra  la  representación  de  una  clase  media  fuerte  y  culturalmente  homogénea,  cuya expansión  a  lo  largo  del  siglo  XX  confirmaba  su  armonización  con  los  modelos económicos implementados.</w:t>
      </w:r>
      <w:r w:rsidR="00E36E71">
        <w:rPr>
          <w:rFonts w:ascii="Times New Roman" w:hAnsi="Times New Roman" w:cs="Times New Roman"/>
          <w:sz w:val="24"/>
          <w:szCs w:val="24"/>
        </w:rPr>
        <w:t xml:space="preserve"> Esta situación de “bipolaridad” se consolida en la era digital. Y ahí, estamos.</w:t>
      </w:r>
    </w:p>
    <w:p w:rsidR="002446C7" w:rsidRDefault="00C110FB" w:rsidP="002446C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Antes de pasar a la “demostración del teorema” sobre la “inmolación” de la clase media de Estados Unidos y la Unión Europea,  como ofrenda a la globalización</w:t>
      </w:r>
      <w:r w:rsidR="00AD3D0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les aportaré un buen lote de datos estadísticos de referencia</w:t>
      </w:r>
      <w:r w:rsidR="00AD3D00">
        <w:rPr>
          <w:rFonts w:ascii="Times New Roman" w:eastAsia="Times New Roman" w:hAnsi="Times New Roman" w:cs="Times New Roman"/>
          <w:sz w:val="24"/>
          <w:szCs w:val="24"/>
        </w:rPr>
        <w:t xml:space="preserve"> </w:t>
      </w:r>
      <w:r w:rsidR="00236323">
        <w:rPr>
          <w:rFonts w:ascii="Times New Roman" w:eastAsia="Times New Roman" w:hAnsi="Times New Roman" w:cs="Times New Roman"/>
          <w:sz w:val="24"/>
          <w:szCs w:val="24"/>
        </w:rPr>
        <w:t>reunido durante la tarea “arqueológica</w:t>
      </w:r>
      <w:r>
        <w:rPr>
          <w:rFonts w:ascii="Times New Roman" w:eastAsia="Times New Roman" w:hAnsi="Times New Roman" w:cs="Times New Roman"/>
          <w:sz w:val="24"/>
          <w:szCs w:val="24"/>
        </w:rPr>
        <w:t>”, por los Informes de Organismos Internacionales</w:t>
      </w:r>
      <w:r w:rsidR="00AD3D00">
        <w:rPr>
          <w:rFonts w:ascii="Times New Roman" w:eastAsia="Times New Roman" w:hAnsi="Times New Roman" w:cs="Times New Roman"/>
          <w:sz w:val="24"/>
          <w:szCs w:val="24"/>
        </w:rPr>
        <w:t>,</w:t>
      </w:r>
      <w:r w:rsidR="00236323">
        <w:rPr>
          <w:rFonts w:ascii="Times New Roman" w:eastAsia="Times New Roman" w:hAnsi="Times New Roman" w:cs="Times New Roman"/>
          <w:sz w:val="24"/>
          <w:szCs w:val="24"/>
        </w:rPr>
        <w:t xml:space="preserve"> en busca de los datos sobre composición, tamaño y evolución, de</w:t>
      </w:r>
      <w:r w:rsidR="00AD3D00">
        <w:rPr>
          <w:rFonts w:ascii="Times New Roman" w:eastAsia="Times New Roman" w:hAnsi="Times New Roman" w:cs="Times New Roman"/>
          <w:sz w:val="24"/>
          <w:szCs w:val="24"/>
        </w:rPr>
        <w:t xml:space="preserve"> las</w:t>
      </w:r>
      <w:r>
        <w:rPr>
          <w:rFonts w:ascii="Times New Roman" w:eastAsia="Times New Roman" w:hAnsi="Times New Roman" w:cs="Times New Roman"/>
          <w:sz w:val="24"/>
          <w:szCs w:val="24"/>
        </w:rPr>
        <w:t xml:space="preserve"> clases sociales</w:t>
      </w:r>
      <w:r w:rsidR="00AD3D00">
        <w:rPr>
          <w:rFonts w:ascii="Times New Roman" w:eastAsia="Times New Roman" w:hAnsi="Times New Roman" w:cs="Times New Roman"/>
          <w:sz w:val="24"/>
          <w:szCs w:val="24"/>
        </w:rPr>
        <w:t xml:space="preserve"> en los </w:t>
      </w:r>
      <w:r w:rsidR="00236323">
        <w:rPr>
          <w:rFonts w:ascii="Times New Roman" w:eastAsia="Times New Roman" w:hAnsi="Times New Roman" w:cs="Times New Roman"/>
          <w:sz w:val="24"/>
          <w:szCs w:val="24"/>
        </w:rPr>
        <w:t>“</w:t>
      </w:r>
      <w:r w:rsidR="00AD3D00">
        <w:rPr>
          <w:rFonts w:ascii="Times New Roman" w:eastAsia="Times New Roman" w:hAnsi="Times New Roman" w:cs="Times New Roman"/>
          <w:sz w:val="24"/>
          <w:szCs w:val="24"/>
        </w:rPr>
        <w:t>países avanzados</w:t>
      </w:r>
      <w:r w:rsidR="00236323">
        <w:rPr>
          <w:rFonts w:ascii="Times New Roman" w:eastAsia="Times New Roman" w:hAnsi="Times New Roman" w:cs="Times New Roman"/>
          <w:sz w:val="24"/>
          <w:szCs w:val="24"/>
        </w:rPr>
        <w:t>”</w:t>
      </w:r>
      <w:r w:rsidR="00AD3D00">
        <w:rPr>
          <w:rFonts w:ascii="Times New Roman" w:eastAsia="Times New Roman" w:hAnsi="Times New Roman" w:cs="Times New Roman"/>
          <w:sz w:val="24"/>
          <w:szCs w:val="24"/>
        </w:rPr>
        <w:t xml:space="preserve"> (</w:t>
      </w:r>
      <w:r w:rsidR="00236323">
        <w:rPr>
          <w:rFonts w:ascii="Times New Roman" w:eastAsia="Times New Roman" w:hAnsi="Times New Roman" w:cs="Times New Roman"/>
          <w:sz w:val="24"/>
          <w:szCs w:val="24"/>
        </w:rPr>
        <w:t>¡</w:t>
      </w:r>
      <w:r w:rsidR="00AD3D00">
        <w:rPr>
          <w:rFonts w:ascii="Times New Roman" w:eastAsia="Times New Roman" w:hAnsi="Times New Roman" w:cs="Times New Roman"/>
          <w:sz w:val="24"/>
          <w:szCs w:val="24"/>
        </w:rPr>
        <w:t>vaya sarcasmo</w:t>
      </w:r>
      <w:r w:rsidR="00236323">
        <w:rPr>
          <w:rFonts w:ascii="Times New Roman" w:eastAsia="Times New Roman" w:hAnsi="Times New Roman" w:cs="Times New Roman"/>
          <w:sz w:val="24"/>
          <w:szCs w:val="24"/>
        </w:rPr>
        <w:t>!</w:t>
      </w:r>
      <w:r w:rsidR="00AD3D00">
        <w:rPr>
          <w:rFonts w:ascii="Times New Roman" w:eastAsia="Times New Roman" w:hAnsi="Times New Roman" w:cs="Times New Roman"/>
          <w:sz w:val="24"/>
          <w:szCs w:val="24"/>
        </w:rPr>
        <w:t>).</w:t>
      </w:r>
    </w:p>
    <w:p w:rsidR="0093749B" w:rsidRDefault="0093749B" w:rsidP="002446C7">
      <w:pPr>
        <w:shd w:val="clear" w:color="auto" w:fill="FFFFFF"/>
        <w:spacing w:after="0" w:line="240" w:lineRule="auto"/>
        <w:jc w:val="both"/>
        <w:textAlignment w:val="baseline"/>
        <w:rPr>
          <w:rFonts w:ascii="Times New Roman" w:eastAsia="Times New Roman" w:hAnsi="Times New Roman" w:cs="Times New Roman"/>
          <w:sz w:val="24"/>
          <w:szCs w:val="24"/>
        </w:rPr>
      </w:pPr>
    </w:p>
    <w:p w:rsidR="0093749B" w:rsidRDefault="0093749B" w:rsidP="002446C7">
      <w:pPr>
        <w:shd w:val="clear" w:color="auto" w:fill="FFFFFF"/>
        <w:spacing w:after="0" w:line="240" w:lineRule="auto"/>
        <w:jc w:val="both"/>
        <w:textAlignment w:val="baseline"/>
        <w:rPr>
          <w:rFonts w:ascii="Times New Roman" w:eastAsia="Times New Roman" w:hAnsi="Times New Roman" w:cs="Times New Roman"/>
          <w:sz w:val="24"/>
          <w:szCs w:val="24"/>
        </w:rPr>
      </w:pPr>
    </w:p>
    <w:p w:rsidR="00AD3D00" w:rsidRPr="002446C7" w:rsidRDefault="00AD3D00" w:rsidP="002446C7">
      <w:pPr>
        <w:shd w:val="clear" w:color="auto" w:fill="FFFFFF"/>
        <w:spacing w:after="0" w:line="240" w:lineRule="auto"/>
        <w:jc w:val="both"/>
        <w:textAlignment w:val="baseline"/>
        <w:rPr>
          <w:rFonts w:ascii="Times New Roman" w:eastAsia="Times New Roman" w:hAnsi="Times New Roman" w:cs="Times New Roman"/>
          <w:sz w:val="24"/>
          <w:szCs w:val="24"/>
        </w:rPr>
      </w:pPr>
      <w:r w:rsidRPr="002446C7">
        <w:rPr>
          <w:rFonts w:ascii="Times New Roman" w:hAnsi="Times New Roman" w:cs="Times New Roman"/>
          <w:b/>
          <w:color w:val="1A1A1A"/>
          <w:sz w:val="24"/>
          <w:szCs w:val="24"/>
        </w:rPr>
        <w:t>- Anexo estadístico (I): Paper - La deslocalización de la clase media</w:t>
      </w:r>
    </w:p>
    <w:p w:rsidR="00AD3D00" w:rsidRDefault="00AD3D00" w:rsidP="00AD3D00">
      <w:pPr>
        <w:pStyle w:val="NormalWeb"/>
        <w:shd w:val="clear" w:color="auto" w:fill="FFFFFF"/>
        <w:spacing w:before="0" w:beforeAutospacing="0" w:after="0" w:afterAutospacing="0"/>
        <w:jc w:val="both"/>
        <w:textAlignment w:val="baseline"/>
        <w:rPr>
          <w:b/>
          <w:color w:val="1A1A1A"/>
        </w:rPr>
      </w:pPr>
    </w:p>
    <w:p w:rsidR="00AD3D00" w:rsidRDefault="00AD3D00" w:rsidP="00AD3D00">
      <w:pPr>
        <w:pStyle w:val="NormalWeb"/>
        <w:shd w:val="clear" w:color="auto" w:fill="FFFFFF"/>
        <w:spacing w:before="0" w:beforeAutospacing="0" w:after="0" w:afterAutospacing="0"/>
        <w:jc w:val="both"/>
        <w:textAlignment w:val="baseline"/>
        <w:rPr>
          <w:b/>
          <w:color w:val="1A1A1A"/>
        </w:rPr>
      </w:pPr>
      <w:r w:rsidRPr="000D7739">
        <w:rPr>
          <w:b/>
          <w:color w:val="1A1A1A"/>
        </w:rPr>
        <w:t>- Informe Mundial sobre Salarios 2016/2017 - OI</w:t>
      </w:r>
      <w:r>
        <w:rPr>
          <w:b/>
          <w:color w:val="1A1A1A"/>
        </w:rPr>
        <w:t xml:space="preserve">T </w:t>
      </w:r>
    </w:p>
    <w:p w:rsidR="00AD3D00" w:rsidRPr="000D7739" w:rsidRDefault="00AD3D00" w:rsidP="00AD3D00">
      <w:pPr>
        <w:pStyle w:val="NormalWeb"/>
        <w:shd w:val="clear" w:color="auto" w:fill="FFFFFF"/>
        <w:spacing w:before="0" w:beforeAutospacing="0" w:after="0" w:afterAutospacing="0"/>
        <w:jc w:val="both"/>
        <w:textAlignment w:val="baseline"/>
        <w:rPr>
          <w:b/>
          <w:color w:val="1A1A1A"/>
        </w:rPr>
      </w:pPr>
      <w:r w:rsidRPr="000D7739">
        <w:rPr>
          <w:b/>
          <w:color w:val="1A1A1A"/>
        </w:rPr>
        <w:t xml:space="preserve"> </w:t>
      </w:r>
    </w:p>
    <w:p w:rsidR="00AD3D00" w:rsidRDefault="00AD3D00" w:rsidP="00AD3D00">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78B8276A" wp14:editId="4BCD1102">
            <wp:extent cx="5727700" cy="3429000"/>
            <wp:effectExtent l="0" t="0" r="635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3431281"/>
                    </a:xfrm>
                    <a:prstGeom prst="rect">
                      <a:avLst/>
                    </a:prstGeom>
                  </pic:spPr>
                </pic:pic>
              </a:graphicData>
            </a:graphic>
          </wp:inline>
        </w:drawing>
      </w:r>
    </w:p>
    <w:p w:rsidR="00AD3D00" w:rsidRDefault="00AD3D00" w:rsidP="00AD3D00">
      <w:pPr>
        <w:pStyle w:val="NormalWeb"/>
        <w:shd w:val="clear" w:color="auto" w:fill="FFFFFF"/>
        <w:spacing w:before="0" w:beforeAutospacing="0" w:after="0" w:afterAutospacing="0"/>
        <w:jc w:val="both"/>
        <w:textAlignment w:val="baseline"/>
        <w:rPr>
          <w:color w:val="1A1A1A"/>
        </w:rPr>
      </w:pPr>
    </w:p>
    <w:p w:rsidR="00AD3D00" w:rsidRDefault="00AD3D00" w:rsidP="00AD3D00">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15124B2D" wp14:editId="79DAC1D4">
            <wp:extent cx="5731510" cy="3302354"/>
            <wp:effectExtent l="0" t="0" r="254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3302354"/>
                    </a:xfrm>
                    <a:prstGeom prst="rect">
                      <a:avLst/>
                    </a:prstGeom>
                  </pic:spPr>
                </pic:pic>
              </a:graphicData>
            </a:graphic>
          </wp:inline>
        </w:drawing>
      </w:r>
    </w:p>
    <w:p w:rsidR="00AD3D00" w:rsidRDefault="00AD3D00" w:rsidP="00AD3D00">
      <w:pPr>
        <w:pStyle w:val="NormalWeb"/>
        <w:shd w:val="clear" w:color="auto" w:fill="FFFFFF"/>
        <w:spacing w:before="0" w:beforeAutospacing="0" w:after="0" w:afterAutospacing="0"/>
        <w:jc w:val="both"/>
        <w:textAlignment w:val="baseline"/>
        <w:rPr>
          <w:color w:val="1A1A1A"/>
        </w:rPr>
      </w:pPr>
      <w:r w:rsidRPr="000D7739">
        <w:rPr>
          <w:noProof/>
          <w:color w:val="1A1A1A"/>
        </w:rPr>
        <w:lastRenderedPageBreak/>
        <w:drawing>
          <wp:inline distT="0" distB="0" distL="0" distR="0" wp14:anchorId="584AE2F7" wp14:editId="4BF20ECC">
            <wp:extent cx="5731510" cy="2882288"/>
            <wp:effectExtent l="0" t="0" r="254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882288"/>
                    </a:xfrm>
                    <a:prstGeom prst="rect">
                      <a:avLst/>
                    </a:prstGeom>
                  </pic:spPr>
                </pic:pic>
              </a:graphicData>
            </a:graphic>
          </wp:inline>
        </w:drawing>
      </w:r>
    </w:p>
    <w:p w:rsidR="00AD3D00" w:rsidRDefault="00AD3D00" w:rsidP="00AD3D00">
      <w:pPr>
        <w:pStyle w:val="NormalWeb"/>
        <w:shd w:val="clear" w:color="auto" w:fill="FFFFFF"/>
        <w:spacing w:before="0" w:beforeAutospacing="0" w:after="0" w:afterAutospacing="0"/>
        <w:jc w:val="both"/>
        <w:textAlignment w:val="baseline"/>
        <w:rPr>
          <w:color w:val="1A1A1A"/>
        </w:rPr>
      </w:pPr>
    </w:p>
    <w:p w:rsidR="00AD3D00" w:rsidRDefault="00AD3D00" w:rsidP="00AD3D00">
      <w:pPr>
        <w:pStyle w:val="NormalWeb"/>
        <w:shd w:val="clear" w:color="auto" w:fill="FFFFFF"/>
        <w:spacing w:before="0" w:beforeAutospacing="0" w:after="0" w:afterAutospacing="0"/>
        <w:jc w:val="both"/>
        <w:textAlignment w:val="baseline"/>
        <w:rPr>
          <w:color w:val="1A1A1A"/>
        </w:rPr>
      </w:pPr>
    </w:p>
    <w:p w:rsidR="00AD3D00" w:rsidRDefault="00AD3D00" w:rsidP="00AD3D00">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202E859F" wp14:editId="33C8F29D">
            <wp:extent cx="5731510" cy="2163400"/>
            <wp:effectExtent l="0" t="0" r="2540" b="889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2163400"/>
                    </a:xfrm>
                    <a:prstGeom prst="rect">
                      <a:avLst/>
                    </a:prstGeom>
                  </pic:spPr>
                </pic:pic>
              </a:graphicData>
            </a:graphic>
          </wp:inline>
        </w:drawing>
      </w:r>
    </w:p>
    <w:p w:rsidR="00AD3D00" w:rsidRDefault="00AD3D00" w:rsidP="00AD3D00">
      <w:pPr>
        <w:pStyle w:val="NormalWeb"/>
        <w:shd w:val="clear" w:color="auto" w:fill="FFFFFF"/>
        <w:spacing w:before="0" w:beforeAutospacing="0" w:after="0" w:afterAutospacing="0"/>
        <w:jc w:val="both"/>
        <w:textAlignment w:val="baseline"/>
        <w:rPr>
          <w:color w:val="1A1A1A"/>
        </w:rPr>
      </w:pPr>
    </w:p>
    <w:p w:rsidR="00AD3D00" w:rsidRDefault="00AD3D00" w:rsidP="00AD3D00">
      <w:pPr>
        <w:pStyle w:val="NormalWeb"/>
        <w:shd w:val="clear" w:color="auto" w:fill="FFFFFF"/>
        <w:spacing w:before="0" w:beforeAutospacing="0" w:after="0" w:afterAutospacing="0"/>
        <w:jc w:val="both"/>
        <w:textAlignment w:val="baseline"/>
        <w:rPr>
          <w:color w:val="1A1A1A"/>
        </w:rPr>
      </w:pPr>
    </w:p>
    <w:p w:rsidR="00AD3D00" w:rsidRDefault="00AD3D00" w:rsidP="00AD3D00">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3F10404F" wp14:editId="6D7FF748">
            <wp:extent cx="3823883" cy="2057400"/>
            <wp:effectExtent l="0" t="0" r="571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829584" cy="2060467"/>
                    </a:xfrm>
                    <a:prstGeom prst="rect">
                      <a:avLst/>
                    </a:prstGeom>
                  </pic:spPr>
                </pic:pic>
              </a:graphicData>
            </a:graphic>
          </wp:inline>
        </w:drawing>
      </w:r>
    </w:p>
    <w:p w:rsidR="00AD3D00" w:rsidRDefault="00AD3D00" w:rsidP="00AD3D00">
      <w:pPr>
        <w:pStyle w:val="NormalWeb"/>
        <w:shd w:val="clear" w:color="auto" w:fill="FFFFFF"/>
        <w:spacing w:before="0" w:beforeAutospacing="0" w:after="0" w:afterAutospacing="0"/>
        <w:jc w:val="both"/>
        <w:textAlignment w:val="baseline"/>
        <w:rPr>
          <w:color w:val="1A1A1A"/>
        </w:rPr>
      </w:pPr>
      <w:r w:rsidRPr="000D7739">
        <w:rPr>
          <w:noProof/>
          <w:color w:val="1A1A1A"/>
        </w:rPr>
        <w:lastRenderedPageBreak/>
        <w:drawing>
          <wp:inline distT="0" distB="0" distL="0" distR="0" wp14:anchorId="613E642A" wp14:editId="31958563">
            <wp:extent cx="5346700" cy="3105150"/>
            <wp:effectExtent l="0" t="0" r="635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344332" cy="3103775"/>
                    </a:xfrm>
                    <a:prstGeom prst="rect">
                      <a:avLst/>
                    </a:prstGeom>
                  </pic:spPr>
                </pic:pic>
              </a:graphicData>
            </a:graphic>
          </wp:inline>
        </w:drawing>
      </w:r>
    </w:p>
    <w:p w:rsidR="00AD3D00" w:rsidRPr="000D7739" w:rsidRDefault="00AD3D00" w:rsidP="00AD3D00">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502AF08B" wp14:editId="1A5AEC93">
            <wp:extent cx="5734050" cy="2832100"/>
            <wp:effectExtent l="0" t="0" r="0"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2830845"/>
                    </a:xfrm>
                    <a:prstGeom prst="rect">
                      <a:avLst/>
                    </a:prstGeom>
                  </pic:spPr>
                </pic:pic>
              </a:graphicData>
            </a:graphic>
          </wp:inline>
        </w:drawing>
      </w:r>
    </w:p>
    <w:p w:rsidR="00AD3D00" w:rsidRDefault="00AD3D00" w:rsidP="00AD3D00">
      <w:pPr>
        <w:pStyle w:val="NormalWeb"/>
        <w:shd w:val="clear" w:color="auto" w:fill="FFFFFF"/>
        <w:spacing w:before="0" w:beforeAutospacing="0" w:after="0" w:afterAutospacing="0"/>
        <w:jc w:val="both"/>
        <w:textAlignment w:val="baseline"/>
        <w:rPr>
          <w:color w:val="1A1A1A"/>
        </w:rPr>
      </w:pPr>
    </w:p>
    <w:p w:rsidR="00AD3D00" w:rsidRDefault="00AD3D00" w:rsidP="00AD3D00">
      <w:pPr>
        <w:pStyle w:val="NormalWeb"/>
        <w:shd w:val="clear" w:color="auto" w:fill="FFFFFF"/>
        <w:spacing w:before="0" w:beforeAutospacing="0" w:after="0" w:afterAutospacing="0"/>
        <w:jc w:val="both"/>
        <w:textAlignment w:val="baseline"/>
        <w:rPr>
          <w:color w:val="1A1A1A"/>
        </w:rPr>
      </w:pPr>
      <w:r w:rsidRPr="000D7739">
        <w:rPr>
          <w:noProof/>
          <w:color w:val="1A1A1A"/>
        </w:rPr>
        <w:drawing>
          <wp:inline distT="0" distB="0" distL="0" distR="0" wp14:anchorId="2D328258" wp14:editId="05BF33A1">
            <wp:extent cx="5537200" cy="2667000"/>
            <wp:effectExtent l="0" t="0" r="635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541379" cy="2669013"/>
                    </a:xfrm>
                    <a:prstGeom prst="rect">
                      <a:avLst/>
                    </a:prstGeom>
                  </pic:spPr>
                </pic:pic>
              </a:graphicData>
            </a:graphic>
          </wp:inline>
        </w:drawing>
      </w:r>
    </w:p>
    <w:p w:rsidR="00AD3D00" w:rsidRDefault="00AD3D00" w:rsidP="00AD3D00">
      <w:pPr>
        <w:pStyle w:val="NormalWeb"/>
        <w:shd w:val="clear" w:color="auto" w:fill="FFFFFF"/>
        <w:spacing w:before="0" w:beforeAutospacing="0" w:after="0" w:afterAutospacing="0"/>
        <w:jc w:val="both"/>
        <w:textAlignment w:val="baseline"/>
        <w:rPr>
          <w:color w:val="1A1A1A"/>
        </w:rPr>
      </w:pPr>
      <w:r w:rsidRPr="00AA51BF">
        <w:rPr>
          <w:noProof/>
          <w:color w:val="1A1A1A"/>
        </w:rPr>
        <w:lastRenderedPageBreak/>
        <w:drawing>
          <wp:inline distT="0" distB="0" distL="0" distR="0" wp14:anchorId="132C49CF" wp14:editId="25184505">
            <wp:extent cx="5731510" cy="3730993"/>
            <wp:effectExtent l="0" t="0" r="2540" b="317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3730993"/>
                    </a:xfrm>
                    <a:prstGeom prst="rect">
                      <a:avLst/>
                    </a:prstGeom>
                  </pic:spPr>
                </pic:pic>
              </a:graphicData>
            </a:graphic>
          </wp:inline>
        </w:drawing>
      </w:r>
    </w:p>
    <w:p w:rsidR="00AD3D00" w:rsidRDefault="00AD3D00" w:rsidP="00AD3D00">
      <w:pPr>
        <w:pStyle w:val="NormalWeb"/>
        <w:shd w:val="clear" w:color="auto" w:fill="FFFFFF"/>
        <w:spacing w:before="0" w:beforeAutospacing="0" w:after="0" w:afterAutospacing="0"/>
        <w:jc w:val="both"/>
        <w:textAlignment w:val="baseline"/>
        <w:rPr>
          <w:color w:val="1A1A1A"/>
        </w:rPr>
      </w:pPr>
    </w:p>
    <w:p w:rsidR="00AD3D00" w:rsidRPr="000D7739" w:rsidRDefault="00AD3D00" w:rsidP="00AD3D00">
      <w:pPr>
        <w:pStyle w:val="NormalWeb"/>
        <w:shd w:val="clear" w:color="auto" w:fill="FFFFFF"/>
        <w:spacing w:before="0" w:beforeAutospacing="0" w:after="0" w:afterAutospacing="0"/>
        <w:jc w:val="both"/>
        <w:textAlignment w:val="baseline"/>
        <w:rPr>
          <w:color w:val="1A1A1A"/>
        </w:rPr>
      </w:pPr>
      <w:r w:rsidRPr="00AA51BF">
        <w:rPr>
          <w:noProof/>
          <w:color w:val="1A1A1A"/>
        </w:rPr>
        <w:drawing>
          <wp:inline distT="0" distB="0" distL="0" distR="0" wp14:anchorId="2F1C9AD9" wp14:editId="776D3BFD">
            <wp:extent cx="5731510" cy="4623785"/>
            <wp:effectExtent l="0" t="0" r="2540" b="571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4623785"/>
                    </a:xfrm>
                    <a:prstGeom prst="rect">
                      <a:avLst/>
                    </a:prstGeom>
                  </pic:spPr>
                </pic:pic>
              </a:graphicData>
            </a:graphic>
          </wp:inline>
        </w:drawing>
      </w:r>
    </w:p>
    <w:p w:rsidR="00AD3D00" w:rsidRPr="000D7739" w:rsidRDefault="00AD3D00" w:rsidP="00AD3D00">
      <w:pPr>
        <w:pStyle w:val="NormalWeb"/>
        <w:shd w:val="clear" w:color="auto" w:fill="FFFFFF"/>
        <w:spacing w:before="0" w:beforeAutospacing="0" w:after="0" w:afterAutospacing="0"/>
        <w:jc w:val="both"/>
        <w:textAlignment w:val="baseline"/>
        <w:rPr>
          <w:color w:val="1A1A1A"/>
        </w:rPr>
      </w:pP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r w:rsidRPr="00AA51BF">
        <w:rPr>
          <w:rFonts w:ascii="Times New Roman" w:eastAsia="Times New Roman" w:hAnsi="Times New Roman" w:cs="Times New Roman"/>
          <w:noProof/>
          <w:sz w:val="24"/>
          <w:szCs w:val="24"/>
          <w:lang w:eastAsia="es-ES"/>
        </w:rPr>
        <w:lastRenderedPageBreak/>
        <w:drawing>
          <wp:inline distT="0" distB="0" distL="0" distR="0" wp14:anchorId="34A34BDA" wp14:editId="77A1B63F">
            <wp:extent cx="5731510" cy="2800847"/>
            <wp:effectExtent l="0" t="0" r="254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800847"/>
                    </a:xfrm>
                    <a:prstGeom prst="rect">
                      <a:avLst/>
                    </a:prstGeom>
                  </pic:spPr>
                </pic:pic>
              </a:graphicData>
            </a:graphic>
          </wp:inline>
        </w:drawing>
      </w: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r w:rsidRPr="00AA51BF">
        <w:rPr>
          <w:rFonts w:ascii="Times New Roman" w:eastAsia="Times New Roman" w:hAnsi="Times New Roman" w:cs="Times New Roman"/>
          <w:noProof/>
          <w:sz w:val="24"/>
          <w:szCs w:val="24"/>
          <w:lang w:eastAsia="es-ES"/>
        </w:rPr>
        <w:drawing>
          <wp:inline distT="0" distB="0" distL="0" distR="0" wp14:anchorId="11D976BE" wp14:editId="5EAD0135">
            <wp:extent cx="5731510" cy="2451813"/>
            <wp:effectExtent l="0" t="0" r="2540" b="571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451813"/>
                    </a:xfrm>
                    <a:prstGeom prst="rect">
                      <a:avLst/>
                    </a:prstGeom>
                  </pic:spPr>
                </pic:pic>
              </a:graphicData>
            </a:graphic>
          </wp:inline>
        </w:drawing>
      </w: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r w:rsidRPr="00AA51BF">
        <w:rPr>
          <w:rFonts w:ascii="Times New Roman" w:eastAsia="Times New Roman" w:hAnsi="Times New Roman" w:cs="Times New Roman"/>
          <w:noProof/>
          <w:sz w:val="24"/>
          <w:szCs w:val="24"/>
          <w:lang w:eastAsia="es-ES"/>
        </w:rPr>
        <w:drawing>
          <wp:inline distT="0" distB="0" distL="0" distR="0" wp14:anchorId="2E143236" wp14:editId="57D700EE">
            <wp:extent cx="5731510" cy="2966179"/>
            <wp:effectExtent l="0" t="0" r="2540" b="571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966179"/>
                    </a:xfrm>
                    <a:prstGeom prst="rect">
                      <a:avLst/>
                    </a:prstGeom>
                  </pic:spPr>
                </pic:pic>
              </a:graphicData>
            </a:graphic>
          </wp:inline>
        </w:drawing>
      </w: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r w:rsidRPr="00AA51BF">
        <w:rPr>
          <w:rFonts w:ascii="Times New Roman" w:eastAsia="Times New Roman" w:hAnsi="Times New Roman" w:cs="Times New Roman"/>
          <w:noProof/>
          <w:sz w:val="24"/>
          <w:szCs w:val="24"/>
          <w:lang w:eastAsia="es-ES"/>
        </w:rPr>
        <w:lastRenderedPageBreak/>
        <w:drawing>
          <wp:inline distT="0" distB="0" distL="0" distR="0" wp14:anchorId="6E4B96F4" wp14:editId="64EB0F71">
            <wp:extent cx="5731510" cy="3230710"/>
            <wp:effectExtent l="0" t="0" r="2540" b="8255"/>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230710"/>
                    </a:xfrm>
                    <a:prstGeom prst="rect">
                      <a:avLst/>
                    </a:prstGeom>
                  </pic:spPr>
                </pic:pic>
              </a:graphicData>
            </a:graphic>
          </wp:inline>
        </w:drawing>
      </w:r>
    </w:p>
    <w:p w:rsidR="00AD3D00" w:rsidRDefault="00AD3D00" w:rsidP="00AD3D00">
      <w:pPr>
        <w:shd w:val="clear" w:color="auto" w:fill="FFFFFF"/>
        <w:spacing w:after="0" w:line="240" w:lineRule="auto"/>
        <w:jc w:val="both"/>
        <w:textAlignment w:val="baseline"/>
      </w:pP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Resumen ejecutivo</w:t>
      </w: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 </w:t>
      </w: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Parte I. Principales tendencias de los salarios </w:t>
      </w: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p>
    <w:p w:rsidR="00AD3D00" w:rsidRDefault="00AD3D00" w:rsidP="00AD3D00">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El contexto </w:t>
      </w:r>
    </w:p>
    <w:p w:rsidR="00AD3D00" w:rsidRDefault="00AD3D00" w:rsidP="00AD3D00">
      <w:pPr>
        <w:shd w:val="clear" w:color="auto" w:fill="FFFFFF"/>
        <w:spacing w:after="0" w:line="240" w:lineRule="auto"/>
        <w:jc w:val="both"/>
        <w:textAlignment w:val="baseline"/>
        <w:rPr>
          <w:rFonts w:ascii="Times New Roman" w:hAnsi="Times New Roman" w:cs="Times New Roman"/>
          <w:sz w:val="24"/>
          <w:szCs w:val="24"/>
        </w:rPr>
      </w:pP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En los últimos años se ha reconocido cada vez más la necesidad de controlar las tendencias de los salarios y de aplicar políticas salariales sostenibles, que atajen el estancamiento de estos, aumenten los niveles de remuneración de los millones de trabajadores y trabajadoras pobres del mundo, aseguren una distribución justa, reduzcan las excesivas desigualdades de los salarios y de la renta, y refuercen el consumo como pilar fundamental de una economía sostenible…</w:t>
      </w: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Menor crecimiento salarial en las economías emergentes y en desarrollo </w:t>
      </w: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Durante la mayor parte del periodo posterior a la crisis, el crecimiento salarial mundial se debió en buena medida al relativamente fuerte crecimiento salarial en los países emergentes y en desarrollo de Asia y el Pacífico, sobre todo, en China, pero también al de otros países y regiones en desarrollo. Más recientemente, esta tendencia ha perdido fuerza o se ha revertido. Entre los países emergentes y en desarrollo del G-20, el crecimiento del salario real cayó del 6,6 por ciento en 2012 al 2,5 por ciento en 2015…</w:t>
      </w: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Participación de la renta del trabajo; variedad de tendencias </w:t>
      </w: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En las tendencias del salario real influyen factores económicos como el crecimiento del PIB y la inflación de precios, además de otros factores. Actualmente, muchos estudios indican que en la mayor parte de los países el crecimiento salarial mundial en los últimos decenios ha quedado a la zaga del crecimiento de la productividad laboral; ello ha provocado un descenso de la participación salarial en el PIB. Es probable que ello se deba a una combinación de factores, como la globalización, las tecnologías que favorecen a determinadas competencias, el debilitamiento de las instituciones del mercado de trabajo, y la creciente presión de los </w:t>
      </w:r>
      <w:r w:rsidRPr="0027687B">
        <w:rPr>
          <w:rFonts w:ascii="Times New Roman" w:hAnsi="Times New Roman" w:cs="Times New Roman"/>
          <w:sz w:val="24"/>
          <w:szCs w:val="24"/>
        </w:rPr>
        <w:lastRenderedPageBreak/>
        <w:t>mercados financieros para que los superávits generados por las grandes empresas se desvíen a los inversores…</w:t>
      </w: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La pirámide de la desigualdad salarial en Europa </w:t>
      </w: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p>
    <w:p w:rsidR="00AD3D00" w:rsidRDefault="00AD3D00" w:rsidP="00AD3D00">
      <w:pPr>
        <w:shd w:val="clear" w:color="auto" w:fill="FFFFFF"/>
        <w:spacing w:after="0" w:line="240" w:lineRule="auto"/>
        <w:jc w:val="both"/>
        <w:textAlignment w:val="baseline"/>
        <w:rPr>
          <w:rFonts w:ascii="Times New Roman" w:hAnsi="Times New Roman" w:cs="Times New Roman"/>
          <w:sz w:val="24"/>
          <w:szCs w:val="24"/>
        </w:rPr>
      </w:pPr>
      <w:r w:rsidRPr="0027687B">
        <w:rPr>
          <w:rFonts w:ascii="Times New Roman" w:hAnsi="Times New Roman" w:cs="Times New Roman"/>
          <w:sz w:val="24"/>
          <w:szCs w:val="24"/>
        </w:rPr>
        <w:t xml:space="preserve">En Europa, en 2010 la desigualdad salarial en las empresas representaba casi la mitad de la desigualdad salarial total. Al clasificar a las empresas en función de sus salarios medios y analizar los salarios mínimos y máximos que pagan, en nuestro informe se documenta que en Europa hay una apreciable disparidad salarial en las empresas cuyos salarios medios son relativamente elevados. Al comparar los salarios de las personas con el salario medio de las empresas en las que trabajan, se aprecia que la mayor parte de la plantilla (un 80 por ciento) percibe una paga inferior al salario medio. En el extremo más bajo de la curva, algunos trabajadores perciben un salario muy inferior a este, lo cual apunta a la gran desigualdad dentro de esas empresas como causa de la indebida baja remuneración. En el extremo superior de la curva, el 0,1 por ciento de las personas percibe 211 euros por hora, mientras que las empresas en las que trabajan pagan un promedio de 45 euros por hora. En el informe esta situación se ilustra mediante gráficos que muestran cómo el pago de salarios sumamente elevados por parte de unas pocas empresas a unas pocas personas </w:t>
      </w:r>
      <w:r>
        <w:rPr>
          <w:rFonts w:ascii="Times New Roman" w:hAnsi="Times New Roman" w:cs="Times New Roman"/>
          <w:sz w:val="24"/>
          <w:szCs w:val="24"/>
        </w:rPr>
        <w:t>provoca una “pirámide”</w:t>
      </w:r>
      <w:r w:rsidRPr="0027687B">
        <w:rPr>
          <w:rFonts w:ascii="Times New Roman" w:hAnsi="Times New Roman" w:cs="Times New Roman"/>
          <w:sz w:val="24"/>
          <w:szCs w:val="24"/>
        </w:rPr>
        <w:t xml:space="preserve"> de salarios distribuidos de forma sumamente desigual, y pone de manifiesto el alcance y el grado de desigualdad salarial no solo entre empresas sino en su interior…</w:t>
      </w:r>
    </w:p>
    <w:p w:rsidR="00AD3D00" w:rsidRPr="0027687B" w:rsidRDefault="00AD3D00" w:rsidP="00AD3D00">
      <w:pPr>
        <w:shd w:val="clear" w:color="auto" w:fill="FFFFFF"/>
        <w:spacing w:after="0" w:line="240" w:lineRule="auto"/>
        <w:jc w:val="both"/>
        <w:textAlignment w:val="baseline"/>
        <w:rPr>
          <w:rFonts w:ascii="Times New Roman" w:hAnsi="Times New Roman" w:cs="Times New Roman"/>
          <w:sz w:val="24"/>
          <w:szCs w:val="24"/>
        </w:rPr>
      </w:pPr>
    </w:p>
    <w:p w:rsidR="00AD3D00" w:rsidRDefault="00AD3D00" w:rsidP="00AD3D00">
      <w:pPr>
        <w:shd w:val="clear" w:color="auto" w:fill="FFFFFF"/>
        <w:spacing w:after="0" w:line="240" w:lineRule="auto"/>
        <w:jc w:val="both"/>
        <w:textAlignment w:val="baseline"/>
      </w:pPr>
    </w:p>
    <w:p w:rsidR="00AD3D00" w:rsidRDefault="00AD3D00" w:rsidP="00AD3D00">
      <w:pPr>
        <w:shd w:val="clear" w:color="auto" w:fill="FFFFFF"/>
        <w:spacing w:after="0" w:line="240" w:lineRule="auto"/>
        <w:jc w:val="both"/>
        <w:textAlignment w:val="baseline"/>
      </w:pP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b/>
          <w:sz w:val="24"/>
          <w:szCs w:val="24"/>
        </w:rPr>
      </w:pPr>
      <w:r w:rsidRPr="00272E4C">
        <w:rPr>
          <w:rFonts w:ascii="Times New Roman" w:eastAsia="Times New Roman" w:hAnsi="Times New Roman" w:cs="Times New Roman"/>
          <w:b/>
          <w:sz w:val="24"/>
          <w:szCs w:val="24"/>
        </w:rPr>
        <w:t xml:space="preserve">Eurostat </w:t>
      </w:r>
      <w:r>
        <w:rPr>
          <w:rFonts w:ascii="Times New Roman" w:eastAsia="Times New Roman" w:hAnsi="Times New Roman" w:cs="Times New Roman"/>
          <w:b/>
          <w:sz w:val="24"/>
          <w:szCs w:val="24"/>
        </w:rPr>
        <w:t xml:space="preserve">-  </w:t>
      </w:r>
      <w:r w:rsidRPr="00272E4C">
        <w:rPr>
          <w:rFonts w:ascii="Times New Roman" w:eastAsia="Times New Roman" w:hAnsi="Times New Roman" w:cs="Times New Roman"/>
          <w:b/>
          <w:sz w:val="24"/>
          <w:szCs w:val="24"/>
        </w:rPr>
        <w:t xml:space="preserve"> Database</w:t>
      </w:r>
    </w:p>
    <w:p w:rsidR="00AD3D00" w:rsidRPr="00272E4C" w:rsidRDefault="00AD3D00" w:rsidP="00AD3D00">
      <w:pPr>
        <w:shd w:val="clear" w:color="auto" w:fill="FFFFFF"/>
        <w:spacing w:after="0" w:line="240" w:lineRule="auto"/>
        <w:jc w:val="both"/>
        <w:textAlignment w:val="baseline"/>
        <w:rPr>
          <w:rFonts w:ascii="Times New Roman" w:eastAsia="Times New Roman" w:hAnsi="Times New Roman" w:cs="Times New Roman"/>
          <w:b/>
          <w:sz w:val="24"/>
          <w:szCs w:val="24"/>
        </w:rPr>
      </w:pP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sectPr w:rsidR="00AD3D00">
          <w:pgSz w:w="11906" w:h="16838"/>
          <w:pgMar w:top="1440" w:right="1440" w:bottom="1440" w:left="1440" w:header="708" w:footer="708" w:gutter="0"/>
          <w:cols w:space="708"/>
          <w:docGrid w:linePitch="360"/>
        </w:sectPr>
      </w:pPr>
      <w:r w:rsidRPr="00986738">
        <w:rPr>
          <w:rFonts w:ascii="Times New Roman" w:eastAsia="Times New Roman" w:hAnsi="Times New Roman" w:cs="Times New Roman"/>
          <w:noProof/>
          <w:sz w:val="24"/>
          <w:szCs w:val="24"/>
          <w:lang w:eastAsia="es-ES"/>
        </w:rPr>
        <w:drawing>
          <wp:inline distT="0" distB="0" distL="0" distR="0" wp14:anchorId="28BC452F" wp14:editId="59B6DB76">
            <wp:extent cx="5734050" cy="3117850"/>
            <wp:effectExtent l="0" t="0" r="0" b="635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3116469"/>
                    </a:xfrm>
                    <a:prstGeom prst="rect">
                      <a:avLst/>
                    </a:prstGeom>
                  </pic:spPr>
                </pic:pic>
              </a:graphicData>
            </a:graphic>
          </wp:inline>
        </w:drawing>
      </w:r>
    </w:p>
    <w:p w:rsidR="00AD3D00" w:rsidRDefault="00AD3D00" w:rsidP="00AD3D00">
      <w:r w:rsidRPr="00EA0B09">
        <w:rPr>
          <w:noProof/>
          <w:lang w:eastAsia="es-ES"/>
        </w:rPr>
        <w:lastRenderedPageBreak/>
        <w:drawing>
          <wp:inline distT="0" distB="0" distL="0" distR="0" wp14:anchorId="166F4911" wp14:editId="4652C972">
            <wp:extent cx="7429500" cy="1682750"/>
            <wp:effectExtent l="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7429500" cy="1682750"/>
                    </a:xfrm>
                    <a:prstGeom prst="rect">
                      <a:avLst/>
                    </a:prstGeom>
                  </pic:spPr>
                </pic:pic>
              </a:graphicData>
            </a:graphic>
          </wp:inline>
        </w:drawing>
      </w:r>
    </w:p>
    <w:p w:rsidR="00AD3D00" w:rsidRDefault="00AD3D00" w:rsidP="00AD3D00">
      <w:r w:rsidRPr="00E438FD">
        <w:rPr>
          <w:noProof/>
          <w:lang w:eastAsia="es-ES"/>
        </w:rPr>
        <w:drawing>
          <wp:inline distT="0" distB="0" distL="0" distR="0" wp14:anchorId="7107040F" wp14:editId="3533B800">
            <wp:extent cx="7429500" cy="1308100"/>
            <wp:effectExtent l="0" t="0" r="0" b="635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7448309" cy="1311412"/>
                    </a:xfrm>
                    <a:prstGeom prst="rect">
                      <a:avLst/>
                    </a:prstGeom>
                  </pic:spPr>
                </pic:pic>
              </a:graphicData>
            </a:graphic>
          </wp:inline>
        </w:drawing>
      </w:r>
    </w:p>
    <w:p w:rsidR="00AD3D00" w:rsidRDefault="00AD3D00" w:rsidP="00AD3D00">
      <w:r w:rsidRPr="00E73E6F">
        <w:rPr>
          <w:noProof/>
          <w:lang w:eastAsia="es-ES"/>
        </w:rPr>
        <w:drawing>
          <wp:inline distT="0" distB="0" distL="0" distR="0" wp14:anchorId="1C2697EB" wp14:editId="0F9EC387">
            <wp:extent cx="7429500" cy="1174750"/>
            <wp:effectExtent l="0" t="0" r="0" b="63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7429500" cy="1174750"/>
                    </a:xfrm>
                    <a:prstGeom prst="rect">
                      <a:avLst/>
                    </a:prstGeom>
                  </pic:spPr>
                </pic:pic>
              </a:graphicData>
            </a:graphic>
          </wp:inline>
        </w:drawing>
      </w:r>
    </w:p>
    <w:p w:rsidR="00AD3D00" w:rsidRDefault="00AD3D00" w:rsidP="00AD3D00"/>
    <w:p w:rsidR="00AD3D00" w:rsidRDefault="00AD3D00" w:rsidP="00AD3D00"/>
    <w:p w:rsidR="00AD3D00" w:rsidRDefault="00AD3D00" w:rsidP="00AD3D00"/>
    <w:p w:rsidR="00AD3D00" w:rsidRDefault="00AD3D00" w:rsidP="00AD3D00">
      <w:pPr>
        <w:rPr>
          <w:rFonts w:ascii="Times New Roman" w:hAnsi="Times New Roman" w:cs="Times New Roman"/>
          <w:b/>
          <w:sz w:val="24"/>
          <w:szCs w:val="24"/>
          <w:lang w:val="en-US"/>
        </w:rPr>
      </w:pPr>
      <w:r w:rsidRPr="00E900E6">
        <w:rPr>
          <w:rFonts w:ascii="Times New Roman" w:hAnsi="Times New Roman" w:cs="Times New Roman"/>
          <w:b/>
          <w:sz w:val="24"/>
          <w:szCs w:val="24"/>
          <w:lang w:val="en-US"/>
        </w:rPr>
        <w:lastRenderedPageBreak/>
        <w:t>National Accounts of OECD Countries, Volume 2016 Issue 1</w:t>
      </w:r>
    </w:p>
    <w:p w:rsidR="00AD3D00" w:rsidRDefault="00AD3D00" w:rsidP="00AD3D00">
      <w:pPr>
        <w:rPr>
          <w:rFonts w:ascii="Times New Roman" w:hAnsi="Times New Roman" w:cs="Times New Roman"/>
          <w:b/>
          <w:sz w:val="24"/>
          <w:szCs w:val="24"/>
          <w:lang w:val="en-US"/>
        </w:rPr>
      </w:pPr>
      <w:r w:rsidRPr="00E900E6">
        <w:rPr>
          <w:rFonts w:ascii="Times New Roman" w:hAnsi="Times New Roman" w:cs="Times New Roman"/>
          <w:b/>
          <w:noProof/>
          <w:sz w:val="24"/>
          <w:szCs w:val="24"/>
          <w:lang w:eastAsia="es-ES"/>
        </w:rPr>
        <w:drawing>
          <wp:inline distT="0" distB="0" distL="0" distR="0" wp14:anchorId="58BFCB83" wp14:editId="50EF46A4">
            <wp:extent cx="7188200" cy="1498600"/>
            <wp:effectExtent l="0" t="0" r="0" b="635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7188200" cy="1498600"/>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E900E6">
        <w:rPr>
          <w:rFonts w:ascii="Times New Roman" w:hAnsi="Times New Roman" w:cs="Times New Roman"/>
          <w:b/>
          <w:noProof/>
          <w:sz w:val="24"/>
          <w:szCs w:val="24"/>
          <w:lang w:eastAsia="es-ES"/>
        </w:rPr>
        <w:drawing>
          <wp:inline distT="0" distB="0" distL="0" distR="0" wp14:anchorId="0675EA8E" wp14:editId="74B40F6B">
            <wp:extent cx="7054850" cy="209550"/>
            <wp:effectExtent l="0" t="0" r="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7085128" cy="210449"/>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E900E6">
        <w:rPr>
          <w:rFonts w:ascii="Times New Roman" w:hAnsi="Times New Roman" w:cs="Times New Roman"/>
          <w:b/>
          <w:noProof/>
          <w:sz w:val="24"/>
          <w:szCs w:val="24"/>
          <w:lang w:eastAsia="es-ES"/>
        </w:rPr>
        <w:drawing>
          <wp:inline distT="0" distB="0" distL="0" distR="0" wp14:anchorId="3AC060CD" wp14:editId="014E65BA">
            <wp:extent cx="7143734" cy="107950"/>
            <wp:effectExtent l="0" t="0" r="635" b="635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7381876" cy="111549"/>
                    </a:xfrm>
                    <a:prstGeom prst="rect">
                      <a:avLst/>
                    </a:prstGeom>
                  </pic:spPr>
                </pic:pic>
              </a:graphicData>
            </a:graphic>
          </wp:inline>
        </w:drawing>
      </w:r>
    </w:p>
    <w:p w:rsidR="00AD3D00" w:rsidRPr="00E900E6" w:rsidRDefault="00AD3D00" w:rsidP="00AD3D00">
      <w:pPr>
        <w:rPr>
          <w:rFonts w:ascii="Times New Roman" w:hAnsi="Times New Roman" w:cs="Times New Roman"/>
          <w:b/>
          <w:sz w:val="24"/>
          <w:szCs w:val="24"/>
          <w:lang w:val="en-US"/>
        </w:rPr>
      </w:pPr>
    </w:p>
    <w:p w:rsidR="00AD3D00" w:rsidRDefault="00AD3D00" w:rsidP="00AD3D00">
      <w:pPr>
        <w:rPr>
          <w:rFonts w:ascii="Times New Roman" w:hAnsi="Times New Roman" w:cs="Times New Roman"/>
          <w:b/>
          <w:sz w:val="24"/>
          <w:szCs w:val="24"/>
          <w:lang w:val="en-US"/>
        </w:rPr>
      </w:pPr>
      <w:r w:rsidRPr="00B331DC">
        <w:rPr>
          <w:rFonts w:ascii="Times New Roman" w:hAnsi="Times New Roman" w:cs="Times New Roman"/>
          <w:b/>
          <w:sz w:val="24"/>
          <w:szCs w:val="24"/>
          <w:lang w:val="en-US"/>
        </w:rPr>
        <w:t>National Accounts of OECD Countries, Volume 2018 Issue 2</w:t>
      </w:r>
    </w:p>
    <w:p w:rsidR="00AD3D00" w:rsidRDefault="00AD3D00" w:rsidP="00AD3D00">
      <w:pPr>
        <w:rPr>
          <w:rFonts w:ascii="Times New Roman" w:hAnsi="Times New Roman" w:cs="Times New Roman"/>
          <w:b/>
          <w:sz w:val="24"/>
          <w:szCs w:val="24"/>
          <w:lang w:val="en-US"/>
        </w:rPr>
      </w:pPr>
      <w:r w:rsidRPr="00B331DC">
        <w:rPr>
          <w:rFonts w:ascii="Times New Roman" w:hAnsi="Times New Roman" w:cs="Times New Roman"/>
          <w:b/>
          <w:noProof/>
          <w:sz w:val="24"/>
          <w:szCs w:val="24"/>
          <w:lang w:eastAsia="es-ES"/>
        </w:rPr>
        <w:drawing>
          <wp:inline distT="0" distB="0" distL="0" distR="0" wp14:anchorId="37A14E76" wp14:editId="424BE00E">
            <wp:extent cx="7188200" cy="1524000"/>
            <wp:effectExtent l="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7188200" cy="1524000"/>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B331DC">
        <w:rPr>
          <w:rFonts w:ascii="Times New Roman" w:hAnsi="Times New Roman" w:cs="Times New Roman"/>
          <w:b/>
          <w:noProof/>
          <w:sz w:val="24"/>
          <w:szCs w:val="24"/>
          <w:lang w:eastAsia="es-ES"/>
        </w:rPr>
        <w:drawing>
          <wp:inline distT="0" distB="0" distL="0" distR="0" wp14:anchorId="73DF608F" wp14:editId="5B88483B">
            <wp:extent cx="7600950" cy="273050"/>
            <wp:effectExtent l="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7600950" cy="273050"/>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B331DC">
        <w:rPr>
          <w:rFonts w:ascii="Times New Roman" w:hAnsi="Times New Roman" w:cs="Times New Roman"/>
          <w:b/>
          <w:noProof/>
          <w:sz w:val="24"/>
          <w:szCs w:val="24"/>
          <w:lang w:eastAsia="es-ES"/>
        </w:rPr>
        <w:drawing>
          <wp:inline distT="0" distB="0" distL="0" distR="0" wp14:anchorId="1647EA0F" wp14:editId="5FEB0722">
            <wp:extent cx="7639050" cy="13970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7639050" cy="139700"/>
                    </a:xfrm>
                    <a:prstGeom prst="rect">
                      <a:avLst/>
                    </a:prstGeom>
                  </pic:spPr>
                </pic:pic>
              </a:graphicData>
            </a:graphic>
          </wp:inline>
        </w:drawing>
      </w:r>
    </w:p>
    <w:p w:rsidR="00AD3D00" w:rsidRDefault="00AD3D00" w:rsidP="00AD3D00">
      <w:pPr>
        <w:rPr>
          <w:rFonts w:ascii="Times New Roman" w:hAnsi="Times New Roman" w:cs="Times New Roman"/>
          <w:b/>
          <w:sz w:val="24"/>
          <w:szCs w:val="24"/>
        </w:rPr>
      </w:pPr>
      <w:r w:rsidRPr="00676A12">
        <w:rPr>
          <w:rFonts w:ascii="Times New Roman" w:hAnsi="Times New Roman" w:cs="Times New Roman"/>
          <w:b/>
          <w:sz w:val="24"/>
          <w:szCs w:val="24"/>
        </w:rPr>
        <w:lastRenderedPageBreak/>
        <w:t xml:space="preserve">Banco Mundial </w:t>
      </w:r>
      <w:r>
        <w:rPr>
          <w:rFonts w:ascii="Times New Roman" w:hAnsi="Times New Roman" w:cs="Times New Roman"/>
          <w:b/>
          <w:sz w:val="24"/>
          <w:szCs w:val="24"/>
        </w:rPr>
        <w:t>-</w:t>
      </w:r>
      <w:r w:rsidRPr="00676A12">
        <w:rPr>
          <w:rFonts w:ascii="Times New Roman" w:hAnsi="Times New Roman" w:cs="Times New Roman"/>
          <w:b/>
          <w:sz w:val="24"/>
          <w:szCs w:val="24"/>
        </w:rPr>
        <w:t xml:space="preserve"> Base de datos </w:t>
      </w:r>
      <w:r>
        <w:rPr>
          <w:rFonts w:ascii="Times New Roman" w:hAnsi="Times New Roman" w:cs="Times New Roman"/>
          <w:b/>
          <w:sz w:val="24"/>
          <w:szCs w:val="24"/>
        </w:rPr>
        <w:t>-</w:t>
      </w:r>
      <w:r w:rsidRPr="00676A12">
        <w:rPr>
          <w:rFonts w:ascii="Times New Roman" w:hAnsi="Times New Roman" w:cs="Times New Roman"/>
          <w:b/>
          <w:sz w:val="24"/>
          <w:szCs w:val="24"/>
        </w:rPr>
        <w:t xml:space="preserve"> </w:t>
      </w:r>
      <w:r>
        <w:rPr>
          <w:rFonts w:ascii="Times New Roman" w:hAnsi="Times New Roman" w:cs="Times New Roman"/>
          <w:b/>
          <w:sz w:val="24"/>
          <w:szCs w:val="24"/>
        </w:rPr>
        <w:t>Indicadores: China</w:t>
      </w:r>
    </w:p>
    <w:p w:rsidR="00AD3D00" w:rsidRPr="00E056B7" w:rsidRDefault="00AD3D00" w:rsidP="00AD3D00">
      <w:pPr>
        <w:rPr>
          <w:rFonts w:ascii="Times New Roman" w:hAnsi="Times New Roman" w:cs="Times New Roman"/>
          <w:b/>
          <w:sz w:val="20"/>
          <w:szCs w:val="20"/>
          <w:lang w:val="en-US"/>
        </w:rPr>
      </w:pPr>
      <w:r w:rsidRPr="00E056B7">
        <w:rPr>
          <w:rFonts w:ascii="Times New Roman" w:hAnsi="Times New Roman" w:cs="Times New Roman"/>
          <w:b/>
          <w:sz w:val="20"/>
          <w:szCs w:val="20"/>
          <w:lang w:val="en-US"/>
        </w:rPr>
        <w:t>GDP (current US$) (NY.GDP.MKTP.CD)</w:t>
      </w:r>
    </w:p>
    <w:p w:rsidR="00AD3D00" w:rsidRDefault="00AD3D00" w:rsidP="00AD3D00">
      <w:pPr>
        <w:rPr>
          <w:rFonts w:ascii="Times New Roman" w:hAnsi="Times New Roman" w:cs="Times New Roman"/>
          <w:b/>
          <w:sz w:val="24"/>
          <w:szCs w:val="24"/>
          <w:lang w:val="en-US"/>
        </w:rPr>
      </w:pPr>
      <w:r w:rsidRPr="009356D3">
        <w:rPr>
          <w:rFonts w:ascii="Times New Roman" w:hAnsi="Times New Roman" w:cs="Times New Roman"/>
          <w:b/>
          <w:noProof/>
          <w:sz w:val="24"/>
          <w:szCs w:val="24"/>
          <w:lang w:eastAsia="es-ES"/>
        </w:rPr>
        <w:drawing>
          <wp:inline distT="0" distB="0" distL="0" distR="0" wp14:anchorId="567D7A58" wp14:editId="26CB5764">
            <wp:extent cx="5943600" cy="22987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229870"/>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9356D3">
        <w:rPr>
          <w:rFonts w:ascii="Times New Roman" w:hAnsi="Times New Roman" w:cs="Times New Roman"/>
          <w:b/>
          <w:noProof/>
          <w:sz w:val="24"/>
          <w:szCs w:val="24"/>
          <w:lang w:eastAsia="es-ES"/>
        </w:rPr>
        <w:drawing>
          <wp:inline distT="0" distB="0" distL="0" distR="0" wp14:anchorId="61E44D80" wp14:editId="0E7E0DDB">
            <wp:extent cx="5632450" cy="247650"/>
            <wp:effectExtent l="0" t="0" r="635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46892" cy="248285"/>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9356D3">
        <w:rPr>
          <w:rFonts w:ascii="Times New Roman" w:hAnsi="Times New Roman" w:cs="Times New Roman"/>
          <w:b/>
          <w:noProof/>
          <w:sz w:val="24"/>
          <w:szCs w:val="24"/>
          <w:lang w:eastAsia="es-ES"/>
        </w:rPr>
        <w:drawing>
          <wp:inline distT="0" distB="0" distL="0" distR="0" wp14:anchorId="14E642AF" wp14:editId="6098E8EC">
            <wp:extent cx="2838450" cy="254000"/>
            <wp:effectExtent l="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841293" cy="254254"/>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9356D3">
        <w:rPr>
          <w:rFonts w:ascii="Times New Roman" w:hAnsi="Times New Roman" w:cs="Times New Roman"/>
          <w:b/>
          <w:noProof/>
          <w:sz w:val="24"/>
          <w:szCs w:val="24"/>
          <w:lang w:eastAsia="es-ES"/>
        </w:rPr>
        <w:drawing>
          <wp:inline distT="0" distB="0" distL="0" distR="0" wp14:anchorId="652C8C29" wp14:editId="7909E658">
            <wp:extent cx="2565400" cy="222250"/>
            <wp:effectExtent l="0" t="0" r="6350" b="635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565759" cy="222281"/>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E056B7">
        <w:rPr>
          <w:rFonts w:ascii="Times New Roman" w:hAnsi="Times New Roman" w:cs="Times New Roman"/>
          <w:b/>
          <w:noProof/>
          <w:sz w:val="24"/>
          <w:szCs w:val="24"/>
          <w:lang w:eastAsia="es-ES"/>
        </w:rPr>
        <w:drawing>
          <wp:inline distT="0" distB="0" distL="0" distR="0" wp14:anchorId="0BD6BBED" wp14:editId="47F4339C">
            <wp:extent cx="5943600" cy="231775"/>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231775"/>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E056B7">
        <w:rPr>
          <w:rFonts w:ascii="Times New Roman" w:hAnsi="Times New Roman" w:cs="Times New Roman"/>
          <w:b/>
          <w:noProof/>
          <w:sz w:val="24"/>
          <w:szCs w:val="24"/>
          <w:lang w:eastAsia="es-ES"/>
        </w:rPr>
        <w:drawing>
          <wp:inline distT="0" distB="0" distL="0" distR="0" wp14:anchorId="7E6CD091" wp14:editId="2F8A5645">
            <wp:extent cx="5946243" cy="729406"/>
            <wp:effectExtent l="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729082"/>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E056B7">
        <w:rPr>
          <w:rFonts w:ascii="Times New Roman" w:hAnsi="Times New Roman" w:cs="Times New Roman"/>
          <w:b/>
          <w:noProof/>
          <w:sz w:val="24"/>
          <w:szCs w:val="24"/>
          <w:lang w:eastAsia="es-ES"/>
        </w:rPr>
        <w:drawing>
          <wp:inline distT="0" distB="0" distL="0" distR="0" wp14:anchorId="691C57D3" wp14:editId="7F6233C8">
            <wp:extent cx="5943600" cy="201930"/>
            <wp:effectExtent l="0" t="0" r="0" b="762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3600" cy="201930"/>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E056B7">
        <w:rPr>
          <w:rFonts w:ascii="Times New Roman" w:hAnsi="Times New Roman" w:cs="Times New Roman"/>
          <w:b/>
          <w:noProof/>
          <w:sz w:val="24"/>
          <w:szCs w:val="24"/>
          <w:lang w:eastAsia="es-ES"/>
        </w:rPr>
        <w:drawing>
          <wp:inline distT="0" distB="0" distL="0" distR="0" wp14:anchorId="756982B4" wp14:editId="6BC827C0">
            <wp:extent cx="5943152" cy="702978"/>
            <wp:effectExtent l="0" t="0" r="635" b="190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3600" cy="703031"/>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E056B7">
        <w:rPr>
          <w:rFonts w:ascii="Times New Roman" w:hAnsi="Times New Roman" w:cs="Times New Roman"/>
          <w:b/>
          <w:noProof/>
          <w:sz w:val="24"/>
          <w:szCs w:val="24"/>
          <w:lang w:eastAsia="es-ES"/>
        </w:rPr>
        <w:drawing>
          <wp:inline distT="0" distB="0" distL="0" distR="0" wp14:anchorId="78A9F465" wp14:editId="2B11CC71">
            <wp:extent cx="2889250" cy="190500"/>
            <wp:effectExtent l="0" t="0" r="6350"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924583" cy="192830"/>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E056B7">
        <w:rPr>
          <w:rFonts w:ascii="Times New Roman" w:hAnsi="Times New Roman" w:cs="Times New Roman"/>
          <w:b/>
          <w:noProof/>
          <w:sz w:val="24"/>
          <w:szCs w:val="24"/>
          <w:lang w:eastAsia="es-ES"/>
        </w:rPr>
        <w:drawing>
          <wp:inline distT="0" distB="0" distL="0" distR="0" wp14:anchorId="64DCC75E" wp14:editId="04D94375">
            <wp:extent cx="3113188" cy="639552"/>
            <wp:effectExtent l="0" t="0" r="0" b="825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114247" cy="639770"/>
                    </a:xfrm>
                    <a:prstGeom prst="rect">
                      <a:avLst/>
                    </a:prstGeom>
                  </pic:spPr>
                </pic:pic>
              </a:graphicData>
            </a:graphic>
          </wp:inline>
        </w:drawing>
      </w:r>
      <w:r w:rsidRPr="00E056B7">
        <w:rPr>
          <w:rFonts w:ascii="Times New Roman" w:hAnsi="Times New Roman" w:cs="Times New Roman"/>
          <w:b/>
          <w:noProof/>
          <w:sz w:val="24"/>
          <w:szCs w:val="24"/>
          <w:lang w:eastAsia="es-ES"/>
        </w:rPr>
        <w:drawing>
          <wp:inline distT="0" distB="0" distL="0" distR="0" wp14:anchorId="1DFD9EF8" wp14:editId="25C8642A">
            <wp:extent cx="2685059" cy="623695"/>
            <wp:effectExtent l="0" t="0" r="1270" b="508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686425" cy="624012"/>
                    </a:xfrm>
                    <a:prstGeom prst="rect">
                      <a:avLst/>
                    </a:prstGeom>
                  </pic:spPr>
                </pic:pic>
              </a:graphicData>
            </a:graphic>
          </wp:inline>
        </w:drawing>
      </w:r>
    </w:p>
    <w:p w:rsidR="00AD3D00" w:rsidRPr="007F1285" w:rsidRDefault="00AD3D00" w:rsidP="00AD3D00">
      <w:pPr>
        <w:rPr>
          <w:rFonts w:ascii="Times New Roman" w:hAnsi="Times New Roman" w:cs="Times New Roman"/>
          <w:b/>
          <w:sz w:val="24"/>
          <w:szCs w:val="24"/>
        </w:rPr>
      </w:pPr>
      <w:r w:rsidRPr="007F1285">
        <w:rPr>
          <w:rFonts w:ascii="Times New Roman" w:hAnsi="Times New Roman" w:cs="Times New Roman"/>
          <w:b/>
          <w:sz w:val="24"/>
          <w:szCs w:val="24"/>
        </w:rPr>
        <w:lastRenderedPageBreak/>
        <w:t xml:space="preserve">Fondo Monetario Internacional </w:t>
      </w:r>
      <w:r>
        <w:rPr>
          <w:rFonts w:ascii="Times New Roman" w:hAnsi="Times New Roman" w:cs="Times New Roman"/>
          <w:b/>
          <w:sz w:val="24"/>
          <w:szCs w:val="24"/>
        </w:rPr>
        <w:t>-</w:t>
      </w:r>
      <w:r w:rsidRPr="007F1285">
        <w:rPr>
          <w:rFonts w:ascii="Times New Roman" w:hAnsi="Times New Roman" w:cs="Times New Roman"/>
          <w:b/>
          <w:sz w:val="24"/>
          <w:szCs w:val="24"/>
        </w:rPr>
        <w:t xml:space="preserve"> P</w:t>
      </w:r>
      <w:r>
        <w:rPr>
          <w:rFonts w:ascii="Times New Roman" w:hAnsi="Times New Roman" w:cs="Times New Roman"/>
          <w:b/>
          <w:sz w:val="24"/>
          <w:szCs w:val="24"/>
        </w:rPr>
        <w:t>erspectivas de la Economía Mundial - Octubre 2018</w:t>
      </w:r>
    </w:p>
    <w:p w:rsidR="00AD3D00" w:rsidRDefault="00AD3D00" w:rsidP="00AD3D00">
      <w:pPr>
        <w:rPr>
          <w:rFonts w:ascii="Times New Roman" w:hAnsi="Times New Roman" w:cs="Times New Roman"/>
          <w:b/>
          <w:sz w:val="24"/>
          <w:szCs w:val="24"/>
          <w:lang w:val="en-US"/>
        </w:rPr>
      </w:pPr>
      <w:r w:rsidRPr="007F1285">
        <w:rPr>
          <w:rFonts w:ascii="Times New Roman" w:hAnsi="Times New Roman" w:cs="Times New Roman"/>
          <w:b/>
          <w:noProof/>
          <w:sz w:val="24"/>
          <w:szCs w:val="24"/>
          <w:lang w:eastAsia="es-ES"/>
        </w:rPr>
        <w:drawing>
          <wp:inline distT="0" distB="0" distL="0" distR="0" wp14:anchorId="13B77175" wp14:editId="7F8852F1">
            <wp:extent cx="6578600" cy="1136650"/>
            <wp:effectExtent l="0" t="0" r="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6582275" cy="1137285"/>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7F1285">
        <w:rPr>
          <w:rFonts w:ascii="Times New Roman" w:hAnsi="Times New Roman" w:cs="Times New Roman"/>
          <w:b/>
          <w:noProof/>
          <w:sz w:val="24"/>
          <w:szCs w:val="24"/>
          <w:lang w:eastAsia="es-ES"/>
        </w:rPr>
        <w:drawing>
          <wp:inline distT="0" distB="0" distL="0" distR="0" wp14:anchorId="2BE2E5A8" wp14:editId="3A912C7B">
            <wp:extent cx="6629400" cy="723900"/>
            <wp:effectExtent l="0" t="0" r="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6646846" cy="725805"/>
                    </a:xfrm>
                    <a:prstGeom prst="rect">
                      <a:avLst/>
                    </a:prstGeom>
                  </pic:spPr>
                </pic:pic>
              </a:graphicData>
            </a:graphic>
          </wp:inline>
        </w:drawing>
      </w:r>
    </w:p>
    <w:p w:rsidR="00AD3D00" w:rsidRDefault="00AD3D00" w:rsidP="00AD3D00">
      <w:pPr>
        <w:rPr>
          <w:rFonts w:ascii="Times New Roman" w:hAnsi="Times New Roman" w:cs="Times New Roman"/>
          <w:b/>
          <w:sz w:val="24"/>
          <w:szCs w:val="24"/>
          <w:lang w:val="en-US"/>
        </w:rPr>
      </w:pPr>
      <w:r w:rsidRPr="007F1285">
        <w:rPr>
          <w:rFonts w:ascii="Times New Roman" w:hAnsi="Times New Roman" w:cs="Times New Roman"/>
          <w:b/>
          <w:noProof/>
          <w:sz w:val="24"/>
          <w:szCs w:val="24"/>
          <w:lang w:eastAsia="es-ES"/>
        </w:rPr>
        <w:drawing>
          <wp:inline distT="0" distB="0" distL="0" distR="0" wp14:anchorId="6E644B57" wp14:editId="18AB2E96">
            <wp:extent cx="6629400" cy="12065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6629400" cy="120650"/>
                    </a:xfrm>
                    <a:prstGeom prst="rect">
                      <a:avLst/>
                    </a:prstGeom>
                  </pic:spPr>
                </pic:pic>
              </a:graphicData>
            </a:graphic>
          </wp:inline>
        </w:drawing>
      </w:r>
    </w:p>
    <w:p w:rsidR="00AD3D00" w:rsidRPr="007C4E7D" w:rsidRDefault="00AD3D00" w:rsidP="00AD3D00">
      <w:pPr>
        <w:rPr>
          <w:rFonts w:ascii="Times New Roman" w:hAnsi="Times New Roman" w:cs="Times New Roman"/>
          <w:b/>
          <w:sz w:val="24"/>
          <w:szCs w:val="24"/>
          <w:lang w:val="en-US"/>
        </w:rPr>
      </w:pPr>
      <w:r w:rsidRPr="007C4E7D">
        <w:rPr>
          <w:rFonts w:ascii="Times New Roman" w:hAnsi="Times New Roman" w:cs="Times New Roman"/>
          <w:b/>
          <w:sz w:val="24"/>
          <w:szCs w:val="24"/>
          <w:lang w:val="en-US"/>
        </w:rPr>
        <w:t>China Average Yearly Wages</w:t>
      </w:r>
      <w:r>
        <w:rPr>
          <w:rFonts w:ascii="Times New Roman" w:hAnsi="Times New Roman" w:cs="Times New Roman"/>
          <w:b/>
          <w:sz w:val="24"/>
          <w:szCs w:val="24"/>
          <w:lang w:val="en-US"/>
        </w:rPr>
        <w:t xml:space="preserve"> - </w:t>
      </w:r>
      <w:r w:rsidRPr="00EE2208">
        <w:rPr>
          <w:rFonts w:ascii="Times New Roman" w:hAnsi="Times New Roman" w:cs="Times New Roman"/>
          <w:b/>
          <w:sz w:val="24"/>
          <w:szCs w:val="24"/>
          <w:lang w:val="en-US"/>
        </w:rPr>
        <w:t>https://tradingeconomics.com/china/wages</w:t>
      </w:r>
    </w:p>
    <w:p w:rsidR="00AD3D00" w:rsidRDefault="00AD3D00" w:rsidP="00AD3D00">
      <w:pPr>
        <w:rPr>
          <w:rFonts w:ascii="Times New Roman" w:hAnsi="Times New Roman" w:cs="Times New Roman"/>
          <w:b/>
          <w:sz w:val="24"/>
          <w:szCs w:val="24"/>
          <w:lang w:val="en-US"/>
        </w:rPr>
      </w:pPr>
      <w:r>
        <w:rPr>
          <w:noProof/>
          <w:lang w:eastAsia="es-ES"/>
        </w:rPr>
        <w:drawing>
          <wp:inline distT="0" distB="0" distL="0" distR="0" wp14:anchorId="7A26EC35" wp14:editId="4240A48A">
            <wp:extent cx="6953250" cy="2298700"/>
            <wp:effectExtent l="0" t="0" r="0" b="6350"/>
            <wp:docPr id="5" name="Imagen 5" descr="China Average Yearly W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na Average Yearly Wage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953250" cy="2298700"/>
                    </a:xfrm>
                    <a:prstGeom prst="rect">
                      <a:avLst/>
                    </a:prstGeom>
                    <a:noFill/>
                    <a:ln>
                      <a:noFill/>
                    </a:ln>
                  </pic:spPr>
                </pic:pic>
              </a:graphicData>
            </a:graphic>
          </wp:inline>
        </w:drawing>
      </w:r>
    </w:p>
    <w:p w:rsidR="00AD3D00" w:rsidRDefault="00AD3D00" w:rsidP="00AD3D00">
      <w:pPr>
        <w:rPr>
          <w:rFonts w:ascii="Times New Roman" w:hAnsi="Times New Roman" w:cs="Times New Roman"/>
          <w:sz w:val="24"/>
          <w:szCs w:val="24"/>
          <w:lang w:val="en-US"/>
        </w:rPr>
      </w:pPr>
      <w:r w:rsidRPr="00EE2208">
        <w:rPr>
          <w:rFonts w:ascii="Times New Roman" w:hAnsi="Times New Roman" w:cs="Times New Roman"/>
          <w:sz w:val="24"/>
          <w:szCs w:val="24"/>
          <w:lang w:val="en-US"/>
        </w:rPr>
        <w:lastRenderedPageBreak/>
        <w:t>Wages in China increased to 74318 CNY/Year in 2017 from 68993 CNY/Year in 2016</w:t>
      </w:r>
      <w:r>
        <w:rPr>
          <w:rFonts w:ascii="Times New Roman" w:hAnsi="Times New Roman" w:cs="Times New Roman"/>
          <w:sz w:val="24"/>
          <w:szCs w:val="24"/>
          <w:lang w:val="en-US"/>
        </w:rPr>
        <w:t xml:space="preserve">. </w:t>
      </w:r>
    </w:p>
    <w:p w:rsidR="00AD3D00" w:rsidRDefault="00AD3D00" w:rsidP="00AD3D00">
      <w:pPr>
        <w:rPr>
          <w:rFonts w:ascii="Times New Roman" w:hAnsi="Times New Roman" w:cs="Times New Roman"/>
          <w:sz w:val="24"/>
          <w:szCs w:val="24"/>
          <w:lang w:val="en-US"/>
        </w:rPr>
      </w:pPr>
      <w:r w:rsidRPr="00EE2208">
        <w:rPr>
          <w:rFonts w:ascii="Times New Roman" w:hAnsi="Times New Roman" w:cs="Times New Roman"/>
          <w:sz w:val="24"/>
          <w:szCs w:val="24"/>
          <w:lang w:val="en-US"/>
        </w:rPr>
        <w:t>Wages in China averaged 10744.45 CNY/Year from 1952 until 2017,</w:t>
      </w:r>
      <w:r>
        <w:rPr>
          <w:rFonts w:ascii="Times New Roman" w:hAnsi="Times New Roman" w:cs="Times New Roman"/>
          <w:sz w:val="24"/>
          <w:szCs w:val="24"/>
          <w:lang w:val="en-US"/>
        </w:rPr>
        <w:t xml:space="preserve"> </w:t>
      </w:r>
      <w:r w:rsidRPr="00EE2208">
        <w:rPr>
          <w:rFonts w:ascii="Times New Roman" w:hAnsi="Times New Roman" w:cs="Times New Roman"/>
          <w:sz w:val="24"/>
          <w:szCs w:val="24"/>
          <w:lang w:val="en-US"/>
        </w:rPr>
        <w:t xml:space="preserve">reaching an </w:t>
      </w:r>
      <w:r w:rsidR="0036518C" w:rsidRPr="00EE2208">
        <w:rPr>
          <w:rFonts w:ascii="Times New Roman" w:hAnsi="Times New Roman" w:cs="Times New Roman"/>
          <w:sz w:val="24"/>
          <w:szCs w:val="24"/>
          <w:lang w:val="en-US"/>
        </w:rPr>
        <w:t>all-time</w:t>
      </w:r>
      <w:r w:rsidRPr="00EE2208">
        <w:rPr>
          <w:rFonts w:ascii="Times New Roman" w:hAnsi="Times New Roman" w:cs="Times New Roman"/>
          <w:sz w:val="24"/>
          <w:szCs w:val="24"/>
          <w:lang w:val="en-US"/>
        </w:rPr>
        <w:t xml:space="preserve"> high of 74318 CNY/Year in 2017 </w:t>
      </w:r>
    </w:p>
    <w:p w:rsidR="00AD3D00" w:rsidRPr="00EE2208" w:rsidRDefault="00AD3D00" w:rsidP="00AD3D00">
      <w:pPr>
        <w:rPr>
          <w:rFonts w:ascii="Times New Roman" w:hAnsi="Times New Roman" w:cs="Times New Roman"/>
          <w:sz w:val="24"/>
          <w:szCs w:val="24"/>
          <w:lang w:val="en-US"/>
        </w:rPr>
      </w:pPr>
      <w:r w:rsidRPr="00EE2208">
        <w:rPr>
          <w:rFonts w:ascii="Times New Roman" w:hAnsi="Times New Roman" w:cs="Times New Roman"/>
          <w:sz w:val="24"/>
          <w:szCs w:val="24"/>
          <w:lang w:val="en-US"/>
        </w:rPr>
        <w:t>And</w:t>
      </w:r>
      <w:r>
        <w:rPr>
          <w:rFonts w:ascii="Times New Roman" w:hAnsi="Times New Roman" w:cs="Times New Roman"/>
          <w:sz w:val="24"/>
          <w:szCs w:val="24"/>
          <w:lang w:val="en-US"/>
        </w:rPr>
        <w:t xml:space="preserve"> </w:t>
      </w:r>
      <w:r w:rsidRPr="00EE2208">
        <w:rPr>
          <w:rFonts w:ascii="inherit" w:eastAsia="Times New Roman" w:hAnsi="inherit" w:cs="Times New Roman"/>
          <w:color w:val="000000"/>
          <w:sz w:val="23"/>
          <w:szCs w:val="23"/>
          <w:lang w:val="en-US"/>
        </w:rPr>
        <w:t>a record low of 445 CNY/Year in 1952.</w:t>
      </w:r>
    </w:p>
    <w:p w:rsidR="00AD3D00" w:rsidRPr="00EE2208" w:rsidRDefault="00AD3D00" w:rsidP="00AD3D00">
      <w:pPr>
        <w:rPr>
          <w:rFonts w:ascii="Times New Roman" w:hAnsi="Times New Roman" w:cs="Times New Roman"/>
          <w:sz w:val="24"/>
          <w:szCs w:val="24"/>
          <w:lang w:val="en-US"/>
        </w:rPr>
      </w:pPr>
    </w:p>
    <w:p w:rsidR="00AD3D00" w:rsidRDefault="00AD3D00" w:rsidP="00AD3D00">
      <w:pPr>
        <w:rPr>
          <w:rFonts w:ascii="Times New Roman" w:hAnsi="Times New Roman" w:cs="Times New Roman"/>
          <w:b/>
          <w:sz w:val="24"/>
          <w:szCs w:val="24"/>
          <w:lang w:val="en-US"/>
        </w:rPr>
      </w:pPr>
      <w:r>
        <w:rPr>
          <w:rFonts w:ascii="Times New Roman" w:hAnsi="Times New Roman" w:cs="Times New Roman"/>
          <w:b/>
          <w:sz w:val="24"/>
          <w:szCs w:val="24"/>
          <w:lang w:val="en-US"/>
        </w:rPr>
        <w:t>Forecast</w:t>
      </w:r>
    </w:p>
    <w:p w:rsidR="00AD3D00" w:rsidRDefault="00AD3D00" w:rsidP="00AD3D00">
      <w:pPr>
        <w:rPr>
          <w:rFonts w:ascii="Times New Roman" w:hAnsi="Times New Roman" w:cs="Times New Roman"/>
          <w:b/>
          <w:sz w:val="24"/>
          <w:szCs w:val="24"/>
          <w:lang w:val="en-US"/>
        </w:rPr>
        <w:sectPr w:rsidR="00AD3D00" w:rsidSect="00717D41">
          <w:pgSz w:w="16838" w:h="11906" w:orient="landscape"/>
          <w:pgMar w:top="1440" w:right="1440" w:bottom="1440" w:left="1440" w:header="709" w:footer="709" w:gutter="0"/>
          <w:cols w:space="708"/>
          <w:docGrid w:linePitch="360"/>
        </w:sectPr>
      </w:pPr>
      <w:r>
        <w:rPr>
          <w:noProof/>
          <w:lang w:eastAsia="es-ES"/>
        </w:rPr>
        <w:drawing>
          <wp:inline distT="0" distB="0" distL="0" distR="0" wp14:anchorId="44F52291" wp14:editId="0B3BE5C0">
            <wp:extent cx="6953250" cy="2660650"/>
            <wp:effectExtent l="0" t="0" r="0" b="6350"/>
            <wp:docPr id="6" name="Imagen 6" descr="Forecast Data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recast Data Char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953250" cy="2660650"/>
                    </a:xfrm>
                    <a:prstGeom prst="rect">
                      <a:avLst/>
                    </a:prstGeom>
                    <a:noFill/>
                    <a:ln>
                      <a:noFill/>
                    </a:ln>
                  </pic:spPr>
                </pic:pic>
              </a:graphicData>
            </a:graphic>
          </wp:inline>
        </w:drawing>
      </w:r>
    </w:p>
    <w:p w:rsidR="00AD3D00" w:rsidRPr="00676A12" w:rsidRDefault="00AD3D00" w:rsidP="00AD3D00">
      <w:pPr>
        <w:rPr>
          <w:rFonts w:ascii="Times New Roman" w:hAnsi="Times New Roman" w:cs="Times New Roman"/>
          <w:b/>
          <w:sz w:val="24"/>
          <w:szCs w:val="24"/>
          <w:lang w:val="en-US"/>
        </w:rPr>
      </w:pPr>
      <w:r w:rsidRPr="000A7293">
        <w:rPr>
          <w:rFonts w:ascii="Times New Roman" w:hAnsi="Times New Roman" w:cs="Times New Roman"/>
          <w:b/>
          <w:sz w:val="24"/>
          <w:szCs w:val="24"/>
          <w:lang w:val="en-US"/>
        </w:rPr>
        <w:lastRenderedPageBreak/>
        <w:t>Nationa</w:t>
      </w:r>
      <w:r>
        <w:rPr>
          <w:rFonts w:ascii="Times New Roman" w:hAnsi="Times New Roman" w:cs="Times New Roman"/>
          <w:b/>
          <w:sz w:val="24"/>
          <w:szCs w:val="24"/>
          <w:lang w:val="en-US"/>
        </w:rPr>
        <w:t xml:space="preserve">l Bureau of Statistics of China - </w:t>
      </w:r>
      <w:r w:rsidRPr="000A7293">
        <w:rPr>
          <w:rFonts w:ascii="Times New Roman" w:hAnsi="Times New Roman" w:cs="Times New Roman"/>
          <w:b/>
          <w:sz w:val="24"/>
          <w:szCs w:val="24"/>
          <w:lang w:val="en-US"/>
        </w:rPr>
        <w:t>http://data.stats.gov.cn/english/index.htm</w:t>
      </w: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r w:rsidRPr="00BF4779">
        <w:rPr>
          <w:rFonts w:ascii="Times New Roman" w:eastAsia="Times New Roman" w:hAnsi="Times New Roman" w:cs="Times New Roman"/>
          <w:noProof/>
          <w:sz w:val="24"/>
          <w:szCs w:val="24"/>
          <w:lang w:eastAsia="es-ES"/>
        </w:rPr>
        <w:drawing>
          <wp:inline distT="0" distB="0" distL="0" distR="0" wp14:anchorId="13E9BEC2" wp14:editId="0947E14F">
            <wp:extent cx="5734050" cy="24384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5543" cy="2439035"/>
                    </a:xfrm>
                    <a:prstGeom prst="rect">
                      <a:avLst/>
                    </a:prstGeom>
                  </pic:spPr>
                </pic:pic>
              </a:graphicData>
            </a:graphic>
          </wp:inline>
        </w:drawing>
      </w: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r w:rsidRPr="00BF4779">
        <w:rPr>
          <w:rFonts w:ascii="Times New Roman" w:eastAsia="Times New Roman" w:hAnsi="Times New Roman" w:cs="Times New Roman"/>
          <w:noProof/>
          <w:sz w:val="24"/>
          <w:szCs w:val="24"/>
          <w:lang w:eastAsia="es-ES"/>
        </w:rPr>
        <w:drawing>
          <wp:inline distT="0" distB="0" distL="0" distR="0" wp14:anchorId="259B5C75" wp14:editId="5436B64A">
            <wp:extent cx="5731510" cy="2171973"/>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2171973"/>
                    </a:xfrm>
                    <a:prstGeom prst="rect">
                      <a:avLst/>
                    </a:prstGeom>
                  </pic:spPr>
                </pic:pic>
              </a:graphicData>
            </a:graphic>
          </wp:inline>
        </w:drawing>
      </w: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r w:rsidRPr="00BF4779">
        <w:rPr>
          <w:rFonts w:ascii="Times New Roman" w:eastAsia="Times New Roman" w:hAnsi="Times New Roman" w:cs="Times New Roman"/>
          <w:noProof/>
          <w:sz w:val="24"/>
          <w:szCs w:val="24"/>
          <w:lang w:eastAsia="es-ES"/>
        </w:rPr>
        <w:drawing>
          <wp:inline distT="0" distB="0" distL="0" distR="0" wp14:anchorId="51FC2127" wp14:editId="5090C110">
            <wp:extent cx="5731510" cy="2241167"/>
            <wp:effectExtent l="0" t="0" r="254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2241167"/>
                    </a:xfrm>
                    <a:prstGeom prst="rect">
                      <a:avLst/>
                    </a:prstGeom>
                  </pic:spPr>
                </pic:pic>
              </a:graphicData>
            </a:graphic>
          </wp:inline>
        </w:drawing>
      </w: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r w:rsidRPr="00BF4779">
        <w:rPr>
          <w:rFonts w:ascii="Times New Roman" w:eastAsia="Times New Roman" w:hAnsi="Times New Roman" w:cs="Times New Roman"/>
          <w:noProof/>
          <w:sz w:val="24"/>
          <w:szCs w:val="24"/>
          <w:lang w:eastAsia="es-ES"/>
        </w:rPr>
        <w:lastRenderedPageBreak/>
        <w:drawing>
          <wp:inline distT="0" distB="0" distL="0" distR="0" wp14:anchorId="5C4B723B" wp14:editId="556A1F18">
            <wp:extent cx="5731510" cy="2787375"/>
            <wp:effectExtent l="0" t="0" r="254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2787375"/>
                    </a:xfrm>
                    <a:prstGeom prst="rect">
                      <a:avLst/>
                    </a:prstGeom>
                  </pic:spPr>
                </pic:pic>
              </a:graphicData>
            </a:graphic>
          </wp:inline>
        </w:drawing>
      </w: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r w:rsidRPr="00BF4779">
        <w:rPr>
          <w:rFonts w:ascii="Times New Roman" w:eastAsia="Times New Roman" w:hAnsi="Times New Roman" w:cs="Times New Roman"/>
          <w:noProof/>
          <w:sz w:val="24"/>
          <w:szCs w:val="24"/>
          <w:lang w:eastAsia="es-ES"/>
        </w:rPr>
        <w:drawing>
          <wp:inline distT="0" distB="0" distL="0" distR="0" wp14:anchorId="6337B781" wp14:editId="6B87BD42">
            <wp:extent cx="5731510" cy="2936174"/>
            <wp:effectExtent l="0" t="0" r="254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2936174"/>
                    </a:xfrm>
                    <a:prstGeom prst="rect">
                      <a:avLst/>
                    </a:prstGeom>
                  </pic:spPr>
                </pic:pic>
              </a:graphicData>
            </a:graphic>
          </wp:inline>
        </w:drawing>
      </w:r>
    </w:p>
    <w:p w:rsidR="00AD3D00" w:rsidRDefault="00AD3D00" w:rsidP="00AD3D00">
      <w:pPr>
        <w:shd w:val="clear" w:color="auto" w:fill="FFFFFF"/>
        <w:spacing w:after="0" w:line="240" w:lineRule="auto"/>
        <w:jc w:val="both"/>
        <w:textAlignment w:val="baseline"/>
        <w:rPr>
          <w:rFonts w:ascii="Times New Roman" w:eastAsia="Times New Roman" w:hAnsi="Times New Roman" w:cs="Times New Roman"/>
          <w:sz w:val="24"/>
          <w:szCs w:val="24"/>
        </w:rPr>
      </w:pPr>
      <w:r w:rsidRPr="00437631">
        <w:rPr>
          <w:rFonts w:ascii="Times New Roman" w:eastAsia="Times New Roman" w:hAnsi="Times New Roman" w:cs="Times New Roman"/>
          <w:noProof/>
          <w:sz w:val="24"/>
          <w:szCs w:val="24"/>
          <w:lang w:eastAsia="es-ES"/>
        </w:rPr>
        <w:drawing>
          <wp:inline distT="0" distB="0" distL="0" distR="0" wp14:anchorId="51746E4F" wp14:editId="7AB8A4BD">
            <wp:extent cx="4813300" cy="2876550"/>
            <wp:effectExtent l="0" t="0" r="635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815730" cy="2878002"/>
                    </a:xfrm>
                    <a:prstGeom prst="rect">
                      <a:avLst/>
                    </a:prstGeom>
                  </pic:spPr>
                </pic:pic>
              </a:graphicData>
            </a:graphic>
          </wp:inline>
        </w:drawing>
      </w:r>
      <w:r w:rsidRPr="00437631">
        <w:rPr>
          <w:noProof/>
        </w:rPr>
        <w:t xml:space="preserve"> </w:t>
      </w:r>
      <w:r w:rsidRPr="00437631">
        <w:rPr>
          <w:rFonts w:ascii="Times New Roman" w:eastAsia="Times New Roman" w:hAnsi="Times New Roman" w:cs="Times New Roman"/>
          <w:noProof/>
          <w:sz w:val="24"/>
          <w:szCs w:val="24"/>
          <w:lang w:eastAsia="es-ES"/>
        </w:rPr>
        <w:drawing>
          <wp:inline distT="0" distB="0" distL="0" distR="0" wp14:anchorId="1894D0E9" wp14:editId="201F4400">
            <wp:extent cx="825500" cy="2908300"/>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825500" cy="2908300"/>
                    </a:xfrm>
                    <a:prstGeom prst="rect">
                      <a:avLst/>
                    </a:prstGeom>
                  </pic:spPr>
                </pic:pic>
              </a:graphicData>
            </a:graphic>
          </wp:inline>
        </w:drawing>
      </w:r>
    </w:p>
    <w:p w:rsidR="00AD3D00" w:rsidRDefault="00AD3D00" w:rsidP="00AD3D00"/>
    <w:p w:rsidR="008F0C3B" w:rsidRDefault="00AD3D00" w:rsidP="002805E4">
      <w:pPr>
        <w:shd w:val="clear" w:color="auto" w:fill="FFFFFF"/>
        <w:spacing w:after="0" w:line="240" w:lineRule="auto"/>
        <w:jc w:val="both"/>
        <w:textAlignment w:val="baseline"/>
        <w:rPr>
          <w:rFonts w:ascii="Times New Roman" w:eastAsia="Times New Roman" w:hAnsi="Times New Roman" w:cs="Times New Roman"/>
          <w:b/>
          <w:sz w:val="24"/>
          <w:szCs w:val="24"/>
        </w:rPr>
      </w:pPr>
      <w:r w:rsidRPr="007622A7">
        <w:rPr>
          <w:rFonts w:ascii="Times New Roman" w:eastAsia="Times New Roman" w:hAnsi="Times New Roman" w:cs="Times New Roman"/>
          <w:b/>
          <w:sz w:val="24"/>
          <w:szCs w:val="24"/>
        </w:rPr>
        <w:lastRenderedPageBreak/>
        <w:t xml:space="preserve"> </w:t>
      </w:r>
      <w:r w:rsidR="007622A7" w:rsidRPr="007622A7">
        <w:rPr>
          <w:rFonts w:ascii="Times New Roman" w:eastAsia="Times New Roman" w:hAnsi="Times New Roman" w:cs="Times New Roman"/>
          <w:b/>
          <w:sz w:val="24"/>
          <w:szCs w:val="24"/>
        </w:rPr>
        <w:t xml:space="preserve">- </w:t>
      </w:r>
      <w:r w:rsidR="00C110FB" w:rsidRPr="007622A7">
        <w:rPr>
          <w:rFonts w:ascii="Times New Roman" w:eastAsia="Times New Roman" w:hAnsi="Times New Roman" w:cs="Times New Roman"/>
          <w:b/>
          <w:sz w:val="24"/>
          <w:szCs w:val="24"/>
        </w:rPr>
        <w:t xml:space="preserve"> </w:t>
      </w:r>
      <w:r w:rsidR="007622A7" w:rsidRPr="007622A7">
        <w:rPr>
          <w:rFonts w:ascii="Times New Roman" w:eastAsia="Times New Roman" w:hAnsi="Times New Roman" w:cs="Times New Roman"/>
          <w:b/>
          <w:sz w:val="24"/>
          <w:szCs w:val="24"/>
        </w:rPr>
        <w:t>Juego de números</w:t>
      </w:r>
      <w:r w:rsidR="0000287F">
        <w:rPr>
          <w:rFonts w:ascii="Times New Roman" w:eastAsia="Times New Roman" w:hAnsi="Times New Roman" w:cs="Times New Roman"/>
          <w:b/>
          <w:sz w:val="24"/>
          <w:szCs w:val="24"/>
        </w:rPr>
        <w:t xml:space="preserve"> (cuando</w:t>
      </w:r>
      <w:r w:rsidR="00E36E71">
        <w:rPr>
          <w:rFonts w:ascii="Times New Roman" w:eastAsia="Times New Roman" w:hAnsi="Times New Roman" w:cs="Times New Roman"/>
          <w:b/>
          <w:sz w:val="24"/>
          <w:szCs w:val="24"/>
        </w:rPr>
        <w:t xml:space="preserve"> ya</w:t>
      </w:r>
      <w:r w:rsidR="00DE7D3F">
        <w:rPr>
          <w:rFonts w:ascii="Times New Roman" w:eastAsia="Times New Roman" w:hAnsi="Times New Roman" w:cs="Times New Roman"/>
          <w:b/>
          <w:sz w:val="24"/>
          <w:szCs w:val="24"/>
        </w:rPr>
        <w:t xml:space="preserve"> resulta imposible</w:t>
      </w:r>
      <w:r w:rsidR="00E36E71">
        <w:rPr>
          <w:rFonts w:ascii="Times New Roman" w:eastAsia="Times New Roman" w:hAnsi="Times New Roman" w:cs="Times New Roman"/>
          <w:b/>
          <w:sz w:val="24"/>
          <w:szCs w:val="24"/>
        </w:rPr>
        <w:t xml:space="preserve"> continuar negando</w:t>
      </w:r>
      <w:r w:rsidR="0000287F">
        <w:rPr>
          <w:rFonts w:ascii="Times New Roman" w:eastAsia="Times New Roman" w:hAnsi="Times New Roman" w:cs="Times New Roman"/>
          <w:b/>
          <w:sz w:val="24"/>
          <w:szCs w:val="24"/>
        </w:rPr>
        <w:t xml:space="preserve"> la evidencia)</w:t>
      </w:r>
      <w:r w:rsidR="008F0C3B">
        <w:rPr>
          <w:rFonts w:ascii="Times New Roman" w:eastAsia="Times New Roman" w:hAnsi="Times New Roman" w:cs="Times New Roman"/>
          <w:b/>
          <w:sz w:val="24"/>
          <w:szCs w:val="24"/>
        </w:rPr>
        <w:t xml:space="preserve"> </w:t>
      </w:r>
    </w:p>
    <w:p w:rsidR="008F0C3B" w:rsidRDefault="008F0C3B" w:rsidP="002805E4">
      <w:pPr>
        <w:shd w:val="clear" w:color="auto" w:fill="FFFFFF"/>
        <w:spacing w:after="0" w:line="240" w:lineRule="auto"/>
        <w:jc w:val="both"/>
        <w:textAlignment w:val="baseline"/>
        <w:rPr>
          <w:rFonts w:ascii="Times New Roman" w:eastAsia="Times New Roman" w:hAnsi="Times New Roman" w:cs="Times New Roman"/>
          <w:b/>
          <w:sz w:val="24"/>
          <w:szCs w:val="24"/>
        </w:rPr>
      </w:pPr>
    </w:p>
    <w:p w:rsidR="009E3503" w:rsidRDefault="008F0C3B" w:rsidP="002805E4">
      <w:pPr>
        <w:shd w:val="clear" w:color="auto" w:fill="FFFFFF"/>
        <w:spacing w:after="0" w:line="240" w:lineRule="auto"/>
        <w:jc w:val="both"/>
        <w:textAlignment w:val="baseline"/>
        <w:rPr>
          <w:rFonts w:ascii="Times New Roman" w:eastAsia="Times New Roman" w:hAnsi="Times New Roman" w:cs="Times New Roman"/>
          <w:b/>
          <w:sz w:val="24"/>
          <w:szCs w:val="24"/>
        </w:rPr>
      </w:pPr>
      <w:r>
        <w:rPr>
          <w:noProof/>
          <w:lang w:eastAsia="es-ES"/>
        </w:rPr>
        <w:drawing>
          <wp:inline distT="0" distB="0" distL="0" distR="0" wp14:anchorId="388814CA" wp14:editId="57925F79">
            <wp:extent cx="5731510" cy="3226435"/>
            <wp:effectExtent l="0" t="0" r="2540" b="0"/>
            <wp:docPr id="17" name="Imagen 17" descr="Auto amarillo sumergiÃ©ndose en el a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to amarillo sumergiÃ©ndose en el agua."/>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3226435"/>
                    </a:xfrm>
                    <a:prstGeom prst="rect">
                      <a:avLst/>
                    </a:prstGeom>
                    <a:noFill/>
                    <a:ln>
                      <a:noFill/>
                    </a:ln>
                  </pic:spPr>
                </pic:pic>
              </a:graphicData>
            </a:graphic>
          </wp:inline>
        </w:drawing>
      </w:r>
      <w:r w:rsidR="007622A7">
        <w:rPr>
          <w:rFonts w:ascii="Times New Roman" w:eastAsia="Times New Roman" w:hAnsi="Times New Roman" w:cs="Times New Roman"/>
          <w:b/>
          <w:sz w:val="24"/>
          <w:szCs w:val="24"/>
        </w:rPr>
        <w:t xml:space="preserve"> </w:t>
      </w:r>
    </w:p>
    <w:p w:rsidR="007622A7" w:rsidRDefault="007622A7" w:rsidP="002805E4">
      <w:pPr>
        <w:shd w:val="clear" w:color="auto" w:fill="FFFFFF"/>
        <w:spacing w:after="0" w:line="240" w:lineRule="auto"/>
        <w:jc w:val="both"/>
        <w:textAlignment w:val="baseline"/>
        <w:rPr>
          <w:rFonts w:ascii="Times New Roman" w:eastAsia="Times New Roman" w:hAnsi="Times New Roman" w:cs="Times New Roman"/>
          <w:b/>
          <w:sz w:val="24"/>
          <w:szCs w:val="24"/>
        </w:rPr>
      </w:pPr>
    </w:p>
    <w:p w:rsidR="007622A7" w:rsidRDefault="007622A7" w:rsidP="002805E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Como habrán podido constatar de los Informes de Organismos Internacionales seleccionados en el Anexo estadístico (I), hay mucha información sobre </w:t>
      </w:r>
      <w:r w:rsidR="000A776A">
        <w:rPr>
          <w:rFonts w:ascii="Times New Roman" w:eastAsia="Times New Roman" w:hAnsi="Times New Roman" w:cs="Times New Roman"/>
          <w:sz w:val="24"/>
          <w:szCs w:val="24"/>
        </w:rPr>
        <w:t>“</w:t>
      </w:r>
      <w:r>
        <w:rPr>
          <w:rFonts w:ascii="Times New Roman" w:eastAsia="Times New Roman" w:hAnsi="Times New Roman" w:cs="Times New Roman"/>
          <w:sz w:val="24"/>
          <w:szCs w:val="24"/>
        </w:rPr>
        <w:t>distribución de los ingresos</w:t>
      </w:r>
      <w:r w:rsidR="000A776A">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(composición y evolución), pero no sobre “clases sociales”</w:t>
      </w:r>
      <w:r w:rsidR="0008203B">
        <w:rPr>
          <w:rFonts w:ascii="Times New Roman" w:eastAsia="Times New Roman" w:hAnsi="Times New Roman" w:cs="Times New Roman"/>
          <w:sz w:val="24"/>
          <w:szCs w:val="24"/>
        </w:rPr>
        <w:t xml:space="preserve"> (estructura y desarrollo</w:t>
      </w:r>
      <w:r>
        <w:rPr>
          <w:rFonts w:ascii="Times New Roman" w:eastAsia="Times New Roman" w:hAnsi="Times New Roman" w:cs="Times New Roman"/>
          <w:sz w:val="24"/>
          <w:szCs w:val="24"/>
        </w:rPr>
        <w:t>), por lo que fue necesario recurrir a otras bases de datos</w:t>
      </w:r>
      <w:r w:rsidR="0008203B">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y a mucha paciencia arqueológica</w:t>
      </w:r>
      <w:r w:rsidR="0008203B">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00DE7D3F">
        <w:rPr>
          <w:rFonts w:ascii="Times New Roman" w:eastAsia="Times New Roman" w:hAnsi="Times New Roman" w:cs="Times New Roman"/>
          <w:sz w:val="24"/>
          <w:szCs w:val="24"/>
        </w:rPr>
        <w:t>para ir reuniendo el material necesario</w:t>
      </w:r>
      <w:r>
        <w:rPr>
          <w:rFonts w:ascii="Times New Roman" w:eastAsia="Times New Roman" w:hAnsi="Times New Roman" w:cs="Times New Roman"/>
          <w:sz w:val="24"/>
          <w:szCs w:val="24"/>
        </w:rPr>
        <w:t xml:space="preserve"> para demostrar el teorema sobre la “involución” de la clase media en Estados Unidos y la Unión Europea, en favor de la </w:t>
      </w:r>
      <w:r w:rsidR="00DE7D3F">
        <w:rPr>
          <w:rFonts w:ascii="Times New Roman" w:eastAsia="Times New Roman" w:hAnsi="Times New Roman" w:cs="Times New Roman"/>
          <w:sz w:val="24"/>
          <w:szCs w:val="24"/>
        </w:rPr>
        <w:t>“evolución” de la clase media en</w:t>
      </w:r>
      <w:r>
        <w:rPr>
          <w:rFonts w:ascii="Times New Roman" w:eastAsia="Times New Roman" w:hAnsi="Times New Roman" w:cs="Times New Roman"/>
          <w:sz w:val="24"/>
          <w:szCs w:val="24"/>
        </w:rPr>
        <w:t xml:space="preserve"> China.</w:t>
      </w:r>
      <w:r w:rsidR="0008203B">
        <w:rPr>
          <w:rFonts w:ascii="Times New Roman" w:eastAsia="Times New Roman" w:hAnsi="Times New Roman" w:cs="Times New Roman"/>
          <w:sz w:val="24"/>
          <w:szCs w:val="24"/>
        </w:rPr>
        <w:t xml:space="preserve"> </w:t>
      </w:r>
      <w:r w:rsidR="008F0C3B">
        <w:rPr>
          <w:rFonts w:ascii="Times New Roman" w:eastAsia="Times New Roman" w:hAnsi="Times New Roman" w:cs="Times New Roman"/>
          <w:sz w:val="24"/>
          <w:szCs w:val="24"/>
        </w:rPr>
        <w:t>En</w:t>
      </w:r>
      <w:r w:rsidR="00CB26CF">
        <w:rPr>
          <w:rFonts w:ascii="Times New Roman" w:eastAsia="Times New Roman" w:hAnsi="Times New Roman" w:cs="Times New Roman"/>
          <w:sz w:val="24"/>
          <w:szCs w:val="24"/>
        </w:rPr>
        <w:t xml:space="preserve"> el Anexo estadístico (II), se presentan algunos datos sobre estructuras de clase en China, EEUU y la UE (o algunos</w:t>
      </w:r>
      <w:r w:rsidR="00752E12">
        <w:rPr>
          <w:rFonts w:ascii="Times New Roman" w:eastAsia="Times New Roman" w:hAnsi="Times New Roman" w:cs="Times New Roman"/>
          <w:sz w:val="24"/>
          <w:szCs w:val="24"/>
        </w:rPr>
        <w:t xml:space="preserve"> de los</w:t>
      </w:r>
      <w:r w:rsidR="00CB26CF">
        <w:rPr>
          <w:rFonts w:ascii="Times New Roman" w:eastAsia="Times New Roman" w:hAnsi="Times New Roman" w:cs="Times New Roman"/>
          <w:sz w:val="24"/>
          <w:szCs w:val="24"/>
        </w:rPr>
        <w:t xml:space="preserve"> países miembro).</w:t>
      </w:r>
    </w:p>
    <w:p w:rsidR="0000287F" w:rsidRDefault="0000287F" w:rsidP="002805E4">
      <w:pPr>
        <w:shd w:val="clear" w:color="auto" w:fill="FFFFFF"/>
        <w:spacing w:after="0" w:line="240" w:lineRule="auto"/>
        <w:jc w:val="both"/>
        <w:textAlignment w:val="baseline"/>
        <w:rPr>
          <w:rFonts w:ascii="Times New Roman" w:eastAsia="Times New Roman" w:hAnsi="Times New Roman" w:cs="Times New Roman"/>
          <w:sz w:val="24"/>
          <w:szCs w:val="24"/>
        </w:rPr>
      </w:pPr>
    </w:p>
    <w:p w:rsidR="0000287F" w:rsidRDefault="0000287F" w:rsidP="0000287F">
      <w:pPr>
        <w:spacing w:line="240" w:lineRule="auto"/>
        <w:jc w:val="both"/>
        <w:rPr>
          <w:rFonts w:ascii="Times New Roman" w:hAnsi="Times New Roman" w:cs="Times New Roman"/>
          <w:b/>
          <w:sz w:val="24"/>
          <w:szCs w:val="24"/>
        </w:rPr>
      </w:pPr>
      <w:r w:rsidRPr="009865A9">
        <w:rPr>
          <w:rFonts w:ascii="Times New Roman" w:hAnsi="Times New Roman" w:cs="Times New Roman"/>
          <w:b/>
          <w:sz w:val="24"/>
          <w:szCs w:val="24"/>
        </w:rPr>
        <w:t xml:space="preserve">¿Está desapareciendo la clase media en Europa? (OIT </w:t>
      </w:r>
      <w:r>
        <w:rPr>
          <w:rFonts w:ascii="Times New Roman" w:hAnsi="Times New Roman" w:cs="Times New Roman"/>
          <w:b/>
          <w:sz w:val="24"/>
          <w:szCs w:val="24"/>
        </w:rPr>
        <w:t>-</w:t>
      </w:r>
      <w:r w:rsidRPr="009865A9">
        <w:rPr>
          <w:rFonts w:ascii="Times New Roman" w:hAnsi="Times New Roman" w:cs="Times New Roman"/>
          <w:b/>
          <w:sz w:val="24"/>
          <w:szCs w:val="24"/>
        </w:rPr>
        <w:t xml:space="preserve"> 2016)</w:t>
      </w:r>
    </w:p>
    <w:p w:rsidR="0000287F" w:rsidRPr="009865A9" w:rsidRDefault="0000287F" w:rsidP="0000287F">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00287F" w:rsidRPr="009865A9"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t>Evidencias del mundo del trabajo</w:t>
      </w:r>
    </w:p>
    <w:p w:rsidR="0000287F" w:rsidRPr="009865A9"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t xml:space="preserve">Principales resultados: El crecimiento y la erosión de la clase media </w:t>
      </w:r>
    </w:p>
    <w:p w:rsidR="0000287F" w:rsidRPr="009865A9"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t xml:space="preserve">En la mayoría de los países europeos, la clase media experimentó un rápido crecimiento en las décadas de 1980 y 1990. La tasa de actividad en los mercados laborales ha incrementado con el tiempo y constituye un factor determinante del auge de la clase media. En particular, el incremento de la tasa de actividad de las mujeres a partir de los años 1980 y 1990, produjo cambios radicales en el número de trabajadores en edad adulta de los hogares, y además incrementó la probabilidad de pertenecer a la clase media. En España, por ejemplo, la tasa de actividad femenina pasó del 29 por ciento en 1986 al 53 por ciento en 2014, acompañada de un crecimiento relativamente estable. Diversos estudios nacionales confirman que el desarrollo de un modelo de hogar con dos fuentes de ingreso contribuyó a aumentar el tamaño de la clase media en España, los Países Bajos, Portugal, Suecia y muchos otros países. </w:t>
      </w:r>
    </w:p>
    <w:p w:rsidR="0000287F" w:rsidRPr="009865A9"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lastRenderedPageBreak/>
        <w:t xml:space="preserve">En Europa, la rápida expansión de los empleos en el sector público durante las dos últimas décadas también contribuyó a aumentar de manera significativa el empleo en la clase media. El sector público da trabajo a muchas de las profesiones que tradicionalmente están asociadas con la clase media, por ejemplo docentes, médicos y funcionarios. </w:t>
      </w:r>
    </w:p>
    <w:p w:rsidR="0000287F" w:rsidRPr="009865A9"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t xml:space="preserve">Al mismo tiempo, la década pasada parece haber traído una cierta merma en el tamaño de la clase media. La expansión del número de hogares con ingresos inferiores a la renta mediana es evidente en la mayoría de los países. La evolución de la estructura ocupacional y profesional y otros factores relacionados con la reciente crisis financiera y económica, como la continuación del incremento del desempleo, en particular entre los jóvenes, han incentivado la moderación o reducción de los salarios reales y la reforma de las instituciones de diálogo social. Además, las pérdidas de puestos de trabajo y las bajadas salariales en el sector público parecen haber contribuido a dicha merma. El trabajo a tiempo parcial involuntario en casi todas las profesiones, y tanto en el sector público como en el privado, también ha incrementado de manera significativa desde el comienzo de la crisis. Como se describe en diversos capítulos, cada uno de ellos enfocado a un país diferente, se ha creado una especie de círculo vicioso: la crisis ha debilitado la clase media, lo cual a su vez ha reducido la demanda agregada, intensificando y prolongando la recesión. </w:t>
      </w:r>
    </w:p>
    <w:p w:rsidR="0000287F" w:rsidRPr="009865A9"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t xml:space="preserve">Algunas profesiones que tradicionalmente representaban a la clase media, por ejemplo los maestros, ya no pertenecen de modo sistemático a las categorías de ingresos medios. En el sector público, el número de contratos temporales ha aumentado rápidamente en toda Europa. La estabilidad laboral dejó de ser la norma en un sector público que parece no constituir más un motor del crecimiento del empleo para la clase media, como se observó en el pasado. </w:t>
      </w:r>
    </w:p>
    <w:p w:rsidR="0000287F" w:rsidRPr="009865A9"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t xml:space="preserve">Las mujeres se han visto particularmente afectadas por esta situación. El sector público no sólo es una de las principales fuentes de empleo para las mujeres, además ofrece un gran número de empleos para mujeres altamente cualificadas, y por lo tanto los procesos descritos afectan directamente el modelo de hogar de doble ingreso y el desarrollo de la clase media. Una menor oferta y, a veces, una calidad inferior de los servicios públicos también afectan a la clase media, que tradicionalmente demanda estos servicios, en particular las mujeres que quieren seguir trabajando. </w:t>
      </w:r>
    </w:p>
    <w:p w:rsidR="0000287F" w:rsidRPr="009865A9"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t>Diversos capítulos muestran en qué medida las elevadas tasas de desempleo juvenil se pueden traducir en una menor probabilidad de formar parte de la clase media en el futuro, lo cual contribuiría a crear una brecha generacional. Por el contrario, menores tasas de desempleo juvenil como en Alemania o Bélgica, podrían ayudar a que las generaciones jóvenes alcancen o mantengan el estatus de clase media. La situación de los trabajadores de más de 55 años también ha sido afectada. La tasa de empleo de los trabajadores de edades comprendidas entre los 55 y los 64 años se ha visto incrementada durante la última década. El aplazamiento de la jubilación al final de la carrera profesional implica una prolongación de la vida laboral y les permite seguir perteneciendo a la clase media.</w:t>
      </w:r>
    </w:p>
    <w:p w:rsidR="0000287F"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t xml:space="preserve">El vínculo entre la polarización y la clase media </w:t>
      </w:r>
    </w:p>
    <w:p w:rsidR="0000287F" w:rsidRPr="009865A9"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t xml:space="preserve">Las conclusiones de los expertos establecen un vínculo directo entre el incremento de las desigualdades de los ingresos y el daño ocasionado a las categorías de ingresos medios, y confirman la necesidad de abordar estas desigualdades también a partir de un análisis de lo que le está pasando a la “clase media”. El gráfico a continuación muestra una correlación directa (como muestra la línea roja y un R-cuadrado o coeficiente de determinación de 0,71 para 2011) entre el nivel de desigualdad de los ingresos y el tamaño de la clase media central. </w:t>
      </w:r>
    </w:p>
    <w:p w:rsidR="0000287F" w:rsidRPr="009865A9"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lastRenderedPageBreak/>
        <w:t xml:space="preserve">La publicación identifica además una correlación directa entre las tendencias de estos dos indicadores a lo largo del tiempo. Sobre esta base, podemos estimar que el incremento de las desigualdades, documentado recientemente por diversas organizaciones internacionales (la OCDE, el FMI, la OIT y la CE), debe haber estado acompañado de una disminución en el tamaño de la clase media. De los datos emerge otra relación, la que existe entre el deterioro de la clase media y su tamaño original. </w:t>
      </w:r>
    </w:p>
    <w:p w:rsidR="0000287F" w:rsidRPr="009865A9" w:rsidRDefault="0000287F" w:rsidP="0000287F">
      <w:pPr>
        <w:spacing w:line="240" w:lineRule="auto"/>
        <w:jc w:val="both"/>
        <w:rPr>
          <w:rFonts w:ascii="Times New Roman" w:hAnsi="Times New Roman" w:cs="Times New Roman"/>
          <w:sz w:val="24"/>
          <w:szCs w:val="24"/>
        </w:rPr>
      </w:pPr>
      <w:r w:rsidRPr="009865A9">
        <w:rPr>
          <w:rFonts w:ascii="Times New Roman" w:hAnsi="Times New Roman" w:cs="Times New Roman"/>
          <w:sz w:val="24"/>
          <w:szCs w:val="24"/>
        </w:rPr>
        <w:t>El tamaño de la clase media central en Europa varía considerablemente entre un país y otro, del 23 por ciento en Letonia al 40 por ciento en Dinamarca (2011). La comparación entre los países de la UE muestra una clase media mucho más numerosa en los países nórdicos  -Dinamarca y Suecia- y una más pequeña en Europa meridional (Grecia y España), y Europa central y oriental (Estonia, Letonia y Lituania)</w:t>
      </w:r>
      <w:r>
        <w:rPr>
          <w:rFonts w:ascii="Times New Roman" w:hAnsi="Times New Roman" w:cs="Times New Roman"/>
          <w:sz w:val="24"/>
          <w:szCs w:val="24"/>
        </w:rPr>
        <w:t>…</w:t>
      </w:r>
    </w:p>
    <w:p w:rsidR="0000287F" w:rsidRDefault="0000287F" w:rsidP="0000287F">
      <w:pPr>
        <w:spacing w:line="240" w:lineRule="auto"/>
        <w:jc w:val="both"/>
        <w:rPr>
          <w:rFonts w:ascii="Times New Roman" w:hAnsi="Times New Roman" w:cs="Times New Roman"/>
          <w:sz w:val="24"/>
          <w:szCs w:val="24"/>
        </w:rPr>
      </w:pPr>
      <w:r w:rsidRPr="00807DE9">
        <w:rPr>
          <w:rFonts w:ascii="Times New Roman" w:hAnsi="Times New Roman" w:cs="Times New Roman"/>
          <w:noProof/>
          <w:sz w:val="24"/>
          <w:szCs w:val="24"/>
          <w:lang w:eastAsia="es-ES"/>
        </w:rPr>
        <w:drawing>
          <wp:inline distT="0" distB="0" distL="0" distR="0" wp14:anchorId="155DA3B1" wp14:editId="445D6AC8">
            <wp:extent cx="5733440" cy="3511550"/>
            <wp:effectExtent l="0" t="0" r="63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3510368"/>
                    </a:xfrm>
                    <a:prstGeom prst="rect">
                      <a:avLst/>
                    </a:prstGeom>
                  </pic:spPr>
                </pic:pic>
              </a:graphicData>
            </a:graphic>
          </wp:inline>
        </w:drawing>
      </w:r>
    </w:p>
    <w:p w:rsidR="0000287F" w:rsidRDefault="0000287F" w:rsidP="002805E4">
      <w:pPr>
        <w:shd w:val="clear" w:color="auto" w:fill="FFFFFF"/>
        <w:spacing w:after="0" w:line="240" w:lineRule="auto"/>
        <w:jc w:val="both"/>
        <w:textAlignment w:val="baseline"/>
        <w:rPr>
          <w:rFonts w:ascii="Times New Roman" w:eastAsia="Times New Roman" w:hAnsi="Times New Roman" w:cs="Times New Roman"/>
          <w:sz w:val="24"/>
          <w:szCs w:val="24"/>
        </w:rPr>
      </w:pPr>
    </w:p>
    <w:p w:rsidR="008F0C3B" w:rsidRDefault="0000287F" w:rsidP="002805E4">
      <w:pPr>
        <w:shd w:val="clear" w:color="auto" w:fill="FFFFFF"/>
        <w:spacing w:after="0" w:line="240" w:lineRule="auto"/>
        <w:jc w:val="both"/>
        <w:textAlignment w:val="baseline"/>
        <w:rPr>
          <w:rFonts w:ascii="Times New Roman" w:eastAsia="Times New Roman" w:hAnsi="Times New Roman" w:cs="Times New Roman"/>
          <w:sz w:val="24"/>
          <w:szCs w:val="24"/>
        </w:rPr>
      </w:pPr>
      <w:r w:rsidRPr="00807DE9">
        <w:rPr>
          <w:rFonts w:ascii="Times New Roman" w:hAnsi="Times New Roman" w:cs="Times New Roman"/>
          <w:noProof/>
          <w:sz w:val="24"/>
          <w:szCs w:val="24"/>
          <w:lang w:eastAsia="es-ES"/>
        </w:rPr>
        <w:drawing>
          <wp:inline distT="0" distB="0" distL="0" distR="0" wp14:anchorId="10ECECDF" wp14:editId="6C47D743">
            <wp:extent cx="5731510" cy="2702560"/>
            <wp:effectExtent l="0" t="0" r="2540" b="254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2702560"/>
                    </a:xfrm>
                    <a:prstGeom prst="rect">
                      <a:avLst/>
                    </a:prstGeom>
                  </pic:spPr>
                </pic:pic>
              </a:graphicData>
            </a:graphic>
          </wp:inline>
        </w:drawing>
      </w:r>
    </w:p>
    <w:p w:rsidR="006D0F1E" w:rsidRDefault="006D0F1E" w:rsidP="006D0F1E">
      <w:pPr>
        <w:pStyle w:val="NormalWeb"/>
        <w:shd w:val="clear" w:color="auto" w:fill="FFFFFF"/>
        <w:spacing w:before="0" w:beforeAutospacing="0" w:after="0" w:afterAutospacing="0"/>
        <w:jc w:val="both"/>
        <w:textAlignment w:val="baseline"/>
        <w:rPr>
          <w:b/>
          <w:color w:val="1A1A1A"/>
        </w:rPr>
      </w:pPr>
      <w:r>
        <w:rPr>
          <w:b/>
        </w:rPr>
        <w:lastRenderedPageBreak/>
        <w:t>Anexo</w:t>
      </w:r>
      <w:r w:rsidR="00844212">
        <w:rPr>
          <w:b/>
        </w:rPr>
        <w:t xml:space="preserve"> estadístico</w:t>
      </w:r>
      <w:r>
        <w:rPr>
          <w:b/>
        </w:rPr>
        <w:t xml:space="preserve"> II: </w:t>
      </w:r>
      <w:r>
        <w:rPr>
          <w:b/>
          <w:color w:val="1A1A1A"/>
        </w:rPr>
        <w:t>Paper - La deslocalización de la clase media</w:t>
      </w:r>
    </w:p>
    <w:p w:rsidR="006D0F1E" w:rsidRDefault="006D0F1E" w:rsidP="006D0F1E">
      <w:pPr>
        <w:pStyle w:val="NormalWeb"/>
        <w:shd w:val="clear" w:color="auto" w:fill="FFFFFF"/>
        <w:spacing w:before="0" w:beforeAutospacing="0" w:after="0" w:afterAutospacing="0"/>
        <w:jc w:val="both"/>
        <w:textAlignment w:val="baseline"/>
        <w:rPr>
          <w:b/>
          <w:color w:val="1A1A1A"/>
        </w:rPr>
      </w:pPr>
    </w:p>
    <w:p w:rsidR="006D0F1E" w:rsidRPr="00F61340" w:rsidRDefault="006D0F1E" w:rsidP="006D0F1E">
      <w:pPr>
        <w:rPr>
          <w:rFonts w:ascii="Times New Roman" w:hAnsi="Times New Roman" w:cs="Times New Roman"/>
          <w:b/>
          <w:sz w:val="24"/>
          <w:szCs w:val="24"/>
        </w:rPr>
      </w:pPr>
      <w:r w:rsidRPr="00F61340">
        <w:rPr>
          <w:rFonts w:ascii="Times New Roman" w:hAnsi="Times New Roman" w:cs="Times New Roman"/>
          <w:b/>
          <w:sz w:val="24"/>
          <w:szCs w:val="24"/>
        </w:rPr>
        <w:t>Estadísticas de referencia</w:t>
      </w:r>
      <w:r>
        <w:rPr>
          <w:rFonts w:ascii="Times New Roman" w:hAnsi="Times New Roman" w:cs="Times New Roman"/>
          <w:b/>
          <w:sz w:val="24"/>
          <w:szCs w:val="24"/>
        </w:rPr>
        <w:t xml:space="preserve"> sobre la clase media </w:t>
      </w:r>
    </w:p>
    <w:p w:rsidR="006D0F1E" w:rsidRPr="00322ACF" w:rsidRDefault="006D0F1E" w:rsidP="006D0F1E">
      <w:pPr>
        <w:rPr>
          <w:rFonts w:ascii="Times New Roman" w:hAnsi="Times New Roman" w:cs="Times New Roman"/>
          <w:b/>
          <w:sz w:val="24"/>
          <w:szCs w:val="24"/>
        </w:rPr>
      </w:pPr>
      <w:r w:rsidRPr="00322ACF">
        <w:rPr>
          <w:rFonts w:ascii="Times New Roman" w:hAnsi="Times New Roman" w:cs="Times New Roman"/>
          <w:b/>
          <w:sz w:val="24"/>
          <w:szCs w:val="24"/>
        </w:rPr>
        <w:t>Living conditions in Europe - 2018 - Eurostat</w:t>
      </w:r>
    </w:p>
    <w:p w:rsidR="006D0F1E" w:rsidRDefault="006D0F1E" w:rsidP="006D0F1E">
      <w:r w:rsidRPr="00F61340">
        <w:rPr>
          <w:noProof/>
          <w:lang w:eastAsia="es-ES"/>
        </w:rPr>
        <w:drawing>
          <wp:inline distT="0" distB="0" distL="0" distR="0" wp14:anchorId="23999C4E" wp14:editId="570E253D">
            <wp:extent cx="5029902" cy="6449325"/>
            <wp:effectExtent l="0" t="0" r="0" b="889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029902" cy="6449325"/>
                    </a:xfrm>
                    <a:prstGeom prst="rect">
                      <a:avLst/>
                    </a:prstGeom>
                  </pic:spPr>
                </pic:pic>
              </a:graphicData>
            </a:graphic>
          </wp:inline>
        </w:drawing>
      </w:r>
    </w:p>
    <w:p w:rsidR="006D0F1E" w:rsidRDefault="006D0F1E" w:rsidP="006D0F1E">
      <w:r w:rsidRPr="00F61340">
        <w:rPr>
          <w:noProof/>
          <w:lang w:eastAsia="es-ES"/>
        </w:rPr>
        <w:lastRenderedPageBreak/>
        <w:drawing>
          <wp:inline distT="0" distB="0" distL="0" distR="0" wp14:anchorId="54B78B3F" wp14:editId="2065D3EB">
            <wp:extent cx="5731513" cy="2647950"/>
            <wp:effectExtent l="0" t="0" r="254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647948"/>
                    </a:xfrm>
                    <a:prstGeom prst="rect">
                      <a:avLst/>
                    </a:prstGeom>
                  </pic:spPr>
                </pic:pic>
              </a:graphicData>
            </a:graphic>
          </wp:inline>
        </w:drawing>
      </w:r>
    </w:p>
    <w:p w:rsidR="006D0F1E" w:rsidRDefault="006D0F1E" w:rsidP="006D0F1E">
      <w:r w:rsidRPr="00F61340">
        <w:rPr>
          <w:noProof/>
          <w:lang w:eastAsia="es-ES"/>
        </w:rPr>
        <w:drawing>
          <wp:inline distT="0" distB="0" distL="0" distR="0" wp14:anchorId="7D7FA4A7" wp14:editId="24DC830C">
            <wp:extent cx="4983999" cy="5988050"/>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4982270" cy="5985973"/>
                    </a:xfrm>
                    <a:prstGeom prst="rect">
                      <a:avLst/>
                    </a:prstGeom>
                  </pic:spPr>
                </pic:pic>
              </a:graphicData>
            </a:graphic>
          </wp:inline>
        </w:drawing>
      </w:r>
    </w:p>
    <w:p w:rsidR="006D0F1E" w:rsidRDefault="006D0F1E" w:rsidP="006D0F1E">
      <w:r w:rsidRPr="00322ACF">
        <w:rPr>
          <w:noProof/>
          <w:lang w:eastAsia="es-ES"/>
        </w:rPr>
        <w:lastRenderedPageBreak/>
        <w:drawing>
          <wp:inline distT="0" distB="0" distL="0" distR="0" wp14:anchorId="3A9C17E3" wp14:editId="114D1F9B">
            <wp:extent cx="4933950" cy="553720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934639" cy="5537973"/>
                    </a:xfrm>
                    <a:prstGeom prst="rect">
                      <a:avLst/>
                    </a:prstGeom>
                  </pic:spPr>
                </pic:pic>
              </a:graphicData>
            </a:graphic>
          </wp:inline>
        </w:drawing>
      </w:r>
    </w:p>
    <w:p w:rsidR="006D0F1E" w:rsidRDefault="006D0F1E" w:rsidP="006D0F1E">
      <w:r w:rsidRPr="00322ACF">
        <w:rPr>
          <w:noProof/>
          <w:lang w:eastAsia="es-ES"/>
        </w:rPr>
        <w:drawing>
          <wp:inline distT="0" distB="0" distL="0" distR="0" wp14:anchorId="56C2435E" wp14:editId="759F409E">
            <wp:extent cx="5733756" cy="3073400"/>
            <wp:effectExtent l="0" t="0" r="63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3072196"/>
                    </a:xfrm>
                    <a:prstGeom prst="rect">
                      <a:avLst/>
                    </a:prstGeom>
                  </pic:spPr>
                </pic:pic>
              </a:graphicData>
            </a:graphic>
          </wp:inline>
        </w:drawing>
      </w:r>
    </w:p>
    <w:p w:rsidR="006D0F1E" w:rsidRDefault="006D0F1E" w:rsidP="006D0F1E"/>
    <w:p w:rsidR="006D0F1E" w:rsidRDefault="006D0F1E" w:rsidP="006D0F1E"/>
    <w:p w:rsidR="006D0F1E" w:rsidRDefault="006D0F1E" w:rsidP="006D0F1E">
      <w:r w:rsidRPr="00322ACF">
        <w:rPr>
          <w:noProof/>
          <w:lang w:eastAsia="es-ES"/>
        </w:rPr>
        <w:drawing>
          <wp:inline distT="0" distB="0" distL="0" distR="0" wp14:anchorId="797ED492" wp14:editId="11ADE9E4">
            <wp:extent cx="4858428" cy="6258798"/>
            <wp:effectExtent l="0" t="0" r="0" b="889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858428" cy="6258798"/>
                    </a:xfrm>
                    <a:prstGeom prst="rect">
                      <a:avLst/>
                    </a:prstGeom>
                  </pic:spPr>
                </pic:pic>
              </a:graphicData>
            </a:graphic>
          </wp:inline>
        </w:drawing>
      </w:r>
    </w:p>
    <w:p w:rsidR="006D0F1E" w:rsidRDefault="006D0F1E" w:rsidP="006D0F1E"/>
    <w:p w:rsidR="006D0F1E" w:rsidRDefault="006D0F1E" w:rsidP="006D0F1E"/>
    <w:p w:rsidR="006D0F1E" w:rsidRDefault="006D0F1E" w:rsidP="006D0F1E"/>
    <w:p w:rsidR="006D0F1E" w:rsidRDefault="006D0F1E" w:rsidP="006D0F1E"/>
    <w:p w:rsidR="006D0F1E" w:rsidRDefault="006D0F1E" w:rsidP="006D0F1E"/>
    <w:p w:rsidR="006D0F1E" w:rsidRDefault="006D0F1E" w:rsidP="006D0F1E">
      <w:r w:rsidRPr="00322ACF">
        <w:rPr>
          <w:noProof/>
          <w:lang w:eastAsia="es-ES"/>
        </w:rPr>
        <w:lastRenderedPageBreak/>
        <w:drawing>
          <wp:inline distT="0" distB="0" distL="0" distR="0" wp14:anchorId="57F28540" wp14:editId="0DEED5A6">
            <wp:extent cx="4896533" cy="6458851"/>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896533" cy="6458851"/>
                    </a:xfrm>
                    <a:prstGeom prst="rect">
                      <a:avLst/>
                    </a:prstGeom>
                  </pic:spPr>
                </pic:pic>
              </a:graphicData>
            </a:graphic>
          </wp:inline>
        </w:drawing>
      </w:r>
      <w:r w:rsidRPr="00127584">
        <w:rPr>
          <w:noProof/>
          <w:lang w:eastAsia="es-ES"/>
        </w:rPr>
        <w:lastRenderedPageBreak/>
        <w:drawing>
          <wp:inline distT="0" distB="0" distL="0" distR="0" wp14:anchorId="1E86FC47" wp14:editId="3B88E165">
            <wp:extent cx="5731510" cy="3648939"/>
            <wp:effectExtent l="0" t="0" r="2540" b="889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3648939"/>
                    </a:xfrm>
                    <a:prstGeom prst="rect">
                      <a:avLst/>
                    </a:prstGeom>
                  </pic:spPr>
                </pic:pic>
              </a:graphicData>
            </a:graphic>
          </wp:inline>
        </w:drawing>
      </w:r>
    </w:p>
    <w:p w:rsidR="006D0F1E" w:rsidRDefault="006D0F1E" w:rsidP="006D0F1E">
      <w:r w:rsidRPr="00127584">
        <w:rPr>
          <w:noProof/>
          <w:lang w:eastAsia="es-ES"/>
        </w:rPr>
        <w:drawing>
          <wp:inline distT="0" distB="0" distL="0" distR="0" wp14:anchorId="0D3BC2FA" wp14:editId="48B397C8">
            <wp:extent cx="6032500" cy="819150"/>
            <wp:effectExtent l="0" t="0" r="635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6047221" cy="821149"/>
                    </a:xfrm>
                    <a:prstGeom prst="rect">
                      <a:avLst/>
                    </a:prstGeom>
                  </pic:spPr>
                </pic:pic>
              </a:graphicData>
            </a:graphic>
          </wp:inline>
        </w:drawing>
      </w:r>
    </w:p>
    <w:p w:rsidR="006D0F1E" w:rsidRDefault="006D0F1E" w:rsidP="006D0F1E">
      <w:r w:rsidRPr="00E63A64">
        <w:rPr>
          <w:noProof/>
          <w:lang w:eastAsia="es-ES"/>
        </w:rPr>
        <w:drawing>
          <wp:inline distT="0" distB="0" distL="0" distR="0" wp14:anchorId="2CD2BEE1" wp14:editId="2BF194CE">
            <wp:extent cx="5731510" cy="3677719"/>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3677719"/>
                    </a:xfrm>
                    <a:prstGeom prst="rect">
                      <a:avLst/>
                    </a:prstGeom>
                  </pic:spPr>
                </pic:pic>
              </a:graphicData>
            </a:graphic>
          </wp:inline>
        </w:drawing>
      </w:r>
    </w:p>
    <w:p w:rsidR="006D0F1E" w:rsidRDefault="006D0F1E" w:rsidP="006D0F1E">
      <w:pPr>
        <w:sectPr w:rsidR="006D0F1E">
          <w:pgSz w:w="11906" w:h="16838"/>
          <w:pgMar w:top="1440" w:right="1440" w:bottom="1440" w:left="1440" w:header="708" w:footer="708" w:gutter="0"/>
          <w:cols w:space="708"/>
          <w:docGrid w:linePitch="360"/>
        </w:sectPr>
      </w:pPr>
      <w:r w:rsidRPr="00E63A64">
        <w:rPr>
          <w:noProof/>
          <w:lang w:eastAsia="es-ES"/>
        </w:rPr>
        <w:drawing>
          <wp:inline distT="0" distB="0" distL="0" distR="0" wp14:anchorId="6DE67F38" wp14:editId="3EAB861F">
            <wp:extent cx="5969000" cy="165100"/>
            <wp:effectExtent l="0" t="0" r="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6021676" cy="166557"/>
                    </a:xfrm>
                    <a:prstGeom prst="rect">
                      <a:avLst/>
                    </a:prstGeom>
                  </pic:spPr>
                </pic:pic>
              </a:graphicData>
            </a:graphic>
          </wp:inline>
        </w:drawing>
      </w:r>
    </w:p>
    <w:p w:rsidR="006D0F1E" w:rsidRDefault="006D0F1E" w:rsidP="006D0F1E">
      <w:r w:rsidRPr="006B0D2C">
        <w:rPr>
          <w:noProof/>
          <w:lang w:eastAsia="es-ES"/>
        </w:rPr>
        <w:lastRenderedPageBreak/>
        <w:drawing>
          <wp:inline distT="0" distB="0" distL="0" distR="0" wp14:anchorId="554539FD" wp14:editId="5BCE79DF">
            <wp:extent cx="7073900" cy="23114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7073900" cy="231140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16"/>
          <w:szCs w:val="16"/>
          <w:lang w:val="en-US"/>
        </w:rPr>
      </w:pPr>
      <w:r w:rsidRPr="006B0D2C">
        <w:rPr>
          <w:rFonts w:ascii="Times New Roman" w:hAnsi="Times New Roman" w:cs="Times New Roman"/>
          <w:sz w:val="16"/>
          <w:szCs w:val="16"/>
          <w:lang w:val="en-US"/>
        </w:rPr>
        <w:t>The ratio of total income received by the 20 % of the population with the highest income (top</w:t>
      </w:r>
      <w:r>
        <w:rPr>
          <w:rFonts w:ascii="Times New Roman" w:hAnsi="Times New Roman" w:cs="Times New Roman"/>
          <w:sz w:val="16"/>
          <w:szCs w:val="16"/>
          <w:lang w:val="en-US"/>
        </w:rPr>
        <w:t xml:space="preserve"> quintile) to that received by </w:t>
      </w:r>
      <w:r w:rsidRPr="006B0D2C">
        <w:rPr>
          <w:rFonts w:ascii="Times New Roman" w:hAnsi="Times New Roman" w:cs="Times New Roman"/>
          <w:sz w:val="16"/>
          <w:szCs w:val="16"/>
          <w:lang w:val="en-US"/>
        </w:rPr>
        <w:t xml:space="preserve">the 20 % of the population with the lowest income </w:t>
      </w:r>
    </w:p>
    <w:p w:rsidR="006D0F1E" w:rsidRPr="006B0D2C" w:rsidRDefault="006D0F1E" w:rsidP="006D0F1E">
      <w:pPr>
        <w:spacing w:line="240" w:lineRule="auto"/>
        <w:jc w:val="both"/>
        <w:rPr>
          <w:rFonts w:ascii="Times New Roman" w:hAnsi="Times New Roman" w:cs="Times New Roman"/>
          <w:sz w:val="16"/>
          <w:szCs w:val="16"/>
          <w:lang w:val="en-US"/>
        </w:rPr>
      </w:pPr>
      <w:r w:rsidRPr="006B0D2C">
        <w:rPr>
          <w:rFonts w:ascii="Times New Roman" w:hAnsi="Times New Roman" w:cs="Times New Roman"/>
          <w:sz w:val="16"/>
          <w:szCs w:val="16"/>
          <w:lang w:val="en-US"/>
        </w:rPr>
        <w:t>(lowest quintile). Income must be unders</w:t>
      </w:r>
      <w:r>
        <w:rPr>
          <w:rFonts w:ascii="Times New Roman" w:hAnsi="Times New Roman" w:cs="Times New Roman"/>
          <w:sz w:val="16"/>
          <w:szCs w:val="16"/>
          <w:lang w:val="en-US"/>
        </w:rPr>
        <w:t xml:space="preserve">tood as equivalised disposable </w:t>
      </w:r>
      <w:r w:rsidRPr="006B0D2C">
        <w:rPr>
          <w:rFonts w:ascii="Times New Roman" w:hAnsi="Times New Roman" w:cs="Times New Roman"/>
          <w:sz w:val="16"/>
          <w:szCs w:val="16"/>
          <w:lang w:val="en-US"/>
        </w:rPr>
        <w:t>income.</w:t>
      </w:r>
    </w:p>
    <w:p w:rsidR="006D0F1E" w:rsidRDefault="006D0F1E" w:rsidP="006D0F1E">
      <w:r w:rsidRPr="006B0D2C">
        <w:rPr>
          <w:noProof/>
          <w:lang w:eastAsia="es-ES"/>
        </w:rPr>
        <w:drawing>
          <wp:inline distT="0" distB="0" distL="0" distR="0" wp14:anchorId="1B264D7C" wp14:editId="27774FFC">
            <wp:extent cx="7194550" cy="2025650"/>
            <wp:effectExtent l="0" t="0" r="635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7194550" cy="202565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16"/>
          <w:szCs w:val="16"/>
          <w:lang w:val="en-US"/>
        </w:rPr>
      </w:pPr>
      <w:r w:rsidRPr="006B0D2C">
        <w:rPr>
          <w:rFonts w:ascii="Times New Roman" w:hAnsi="Times New Roman" w:cs="Times New Roman"/>
          <w:sz w:val="16"/>
          <w:szCs w:val="16"/>
          <w:lang w:val="en-US"/>
        </w:rPr>
        <w:t>The ratio of total income received by the 20 % of the population with the highest income (top quintile) to that received by the 20 % of the</w:t>
      </w:r>
      <w:r>
        <w:rPr>
          <w:rFonts w:ascii="Times New Roman" w:hAnsi="Times New Roman" w:cs="Times New Roman"/>
          <w:sz w:val="16"/>
          <w:szCs w:val="16"/>
          <w:lang w:val="en-US"/>
        </w:rPr>
        <w:t xml:space="preserve"> </w:t>
      </w:r>
      <w:r w:rsidRPr="006B0D2C">
        <w:rPr>
          <w:rFonts w:ascii="Times New Roman" w:hAnsi="Times New Roman" w:cs="Times New Roman"/>
          <w:sz w:val="16"/>
          <w:szCs w:val="16"/>
          <w:lang w:val="en-US"/>
        </w:rPr>
        <w:t xml:space="preserve">population with the lowest income </w:t>
      </w:r>
    </w:p>
    <w:p w:rsidR="006D0F1E" w:rsidRDefault="006D0F1E" w:rsidP="006D0F1E">
      <w:pPr>
        <w:spacing w:line="240" w:lineRule="auto"/>
        <w:jc w:val="both"/>
        <w:rPr>
          <w:rFonts w:ascii="Times New Roman" w:hAnsi="Times New Roman" w:cs="Times New Roman"/>
          <w:sz w:val="16"/>
          <w:szCs w:val="16"/>
          <w:lang w:val="en-US"/>
        </w:rPr>
      </w:pPr>
      <w:r w:rsidRPr="006B0D2C">
        <w:rPr>
          <w:rFonts w:ascii="Times New Roman" w:hAnsi="Times New Roman" w:cs="Times New Roman"/>
          <w:sz w:val="16"/>
          <w:szCs w:val="16"/>
          <w:lang w:val="en-US"/>
        </w:rPr>
        <w:t>(lowest quintile). Income must be understood as equivalised disposable income. The indicator is based on the EU-SILC (statistics on income, social inclusion and living conditions).</w:t>
      </w:r>
    </w:p>
    <w:p w:rsidR="006D0F1E" w:rsidRDefault="006D0F1E" w:rsidP="006D0F1E">
      <w:pPr>
        <w:spacing w:line="240" w:lineRule="auto"/>
        <w:jc w:val="both"/>
        <w:rPr>
          <w:rFonts w:ascii="Times New Roman" w:hAnsi="Times New Roman" w:cs="Times New Roman"/>
          <w:sz w:val="16"/>
          <w:szCs w:val="16"/>
          <w:lang w:val="en-US"/>
        </w:rPr>
      </w:pPr>
      <w:r w:rsidRPr="00EB6C7B">
        <w:rPr>
          <w:rFonts w:ascii="Times New Roman" w:hAnsi="Times New Roman" w:cs="Times New Roman"/>
          <w:noProof/>
          <w:sz w:val="16"/>
          <w:szCs w:val="16"/>
          <w:lang w:eastAsia="es-ES"/>
        </w:rPr>
        <w:lastRenderedPageBreak/>
        <w:drawing>
          <wp:inline distT="0" distB="0" distL="0" distR="0" wp14:anchorId="27444A65" wp14:editId="01E6C1FD">
            <wp:extent cx="7016750" cy="2127250"/>
            <wp:effectExtent l="0" t="0" r="0" b="63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7029554" cy="2131132"/>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16"/>
          <w:szCs w:val="16"/>
          <w:lang w:val="en-US"/>
        </w:rPr>
      </w:pPr>
      <w:r w:rsidRPr="00EB6C7B">
        <w:rPr>
          <w:rFonts w:ascii="Times New Roman" w:hAnsi="Times New Roman" w:cs="Times New Roman"/>
          <w:noProof/>
          <w:sz w:val="16"/>
          <w:szCs w:val="16"/>
          <w:lang w:eastAsia="es-ES"/>
        </w:rPr>
        <w:drawing>
          <wp:inline distT="0" distB="0" distL="0" distR="0" wp14:anchorId="0CACAA5B" wp14:editId="57101550">
            <wp:extent cx="7073900" cy="169545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7073900" cy="169545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16"/>
          <w:szCs w:val="16"/>
          <w:lang w:val="en-US"/>
        </w:rPr>
      </w:pPr>
      <w:r w:rsidRPr="00EB6C7B">
        <w:rPr>
          <w:rFonts w:ascii="Times New Roman" w:hAnsi="Times New Roman" w:cs="Times New Roman"/>
          <w:noProof/>
          <w:sz w:val="16"/>
          <w:szCs w:val="16"/>
          <w:lang w:eastAsia="es-ES"/>
        </w:rPr>
        <w:drawing>
          <wp:inline distT="0" distB="0" distL="0" distR="0" wp14:anchorId="1F0E8E00" wp14:editId="0C6A486E">
            <wp:extent cx="7073900" cy="1612900"/>
            <wp:effectExtent l="0" t="0" r="0" b="63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7073900" cy="161290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16"/>
          <w:szCs w:val="16"/>
          <w:lang w:val="en-US"/>
        </w:rPr>
      </w:pPr>
      <w:r w:rsidRPr="00EB6C7B">
        <w:rPr>
          <w:rFonts w:ascii="Times New Roman" w:hAnsi="Times New Roman" w:cs="Times New Roman"/>
          <w:noProof/>
          <w:sz w:val="16"/>
          <w:szCs w:val="16"/>
          <w:lang w:eastAsia="es-ES"/>
        </w:rPr>
        <w:lastRenderedPageBreak/>
        <w:drawing>
          <wp:inline distT="0" distB="0" distL="0" distR="0" wp14:anchorId="646960CD" wp14:editId="39B38532">
            <wp:extent cx="7327897" cy="1536700"/>
            <wp:effectExtent l="0" t="0" r="6985"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7341925" cy="1539642"/>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16"/>
          <w:szCs w:val="16"/>
          <w:lang w:val="en-US"/>
        </w:rPr>
      </w:pPr>
      <w:r>
        <w:rPr>
          <w:rFonts w:ascii="Times New Roman" w:hAnsi="Times New Roman" w:cs="Times New Roman"/>
          <w:sz w:val="16"/>
          <w:szCs w:val="16"/>
          <w:lang w:val="en-US"/>
        </w:rPr>
        <w:t>Fith quintile N/D</w:t>
      </w:r>
    </w:p>
    <w:p w:rsidR="006D0F1E" w:rsidRDefault="006D0F1E" w:rsidP="006D0F1E">
      <w:pPr>
        <w:spacing w:line="240" w:lineRule="auto"/>
        <w:jc w:val="both"/>
        <w:rPr>
          <w:rFonts w:ascii="Times New Roman" w:hAnsi="Times New Roman" w:cs="Times New Roman"/>
          <w:sz w:val="16"/>
          <w:szCs w:val="16"/>
          <w:lang w:val="en-US"/>
        </w:rPr>
      </w:pPr>
      <w:r w:rsidRPr="00A80FDE">
        <w:rPr>
          <w:rFonts w:ascii="Times New Roman" w:hAnsi="Times New Roman" w:cs="Times New Roman"/>
          <w:noProof/>
          <w:sz w:val="16"/>
          <w:szCs w:val="16"/>
          <w:lang w:eastAsia="es-ES"/>
        </w:rPr>
        <w:drawing>
          <wp:inline distT="0" distB="0" distL="0" distR="0" wp14:anchorId="37099825" wp14:editId="061E9A23">
            <wp:extent cx="7537450" cy="1479550"/>
            <wp:effectExtent l="0" t="0" r="6350" b="635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7537450" cy="147955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16"/>
          <w:szCs w:val="16"/>
          <w:lang w:val="en-US"/>
        </w:rPr>
      </w:pPr>
      <w:r w:rsidRPr="00CA22A6">
        <w:rPr>
          <w:rFonts w:ascii="Times New Roman" w:hAnsi="Times New Roman" w:cs="Times New Roman"/>
          <w:noProof/>
          <w:sz w:val="16"/>
          <w:szCs w:val="16"/>
          <w:lang w:eastAsia="es-ES"/>
        </w:rPr>
        <w:drawing>
          <wp:inline distT="0" distB="0" distL="0" distR="0" wp14:anchorId="5F0BEA42" wp14:editId="6726D2FF">
            <wp:extent cx="7309590" cy="1699774"/>
            <wp:effectExtent l="0" t="0" r="571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7308850" cy="1699602"/>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16"/>
          <w:szCs w:val="16"/>
          <w:lang w:val="en-US"/>
        </w:rPr>
      </w:pPr>
      <w:r w:rsidRPr="00CA22A6">
        <w:rPr>
          <w:rFonts w:ascii="Times New Roman" w:hAnsi="Times New Roman" w:cs="Times New Roman"/>
          <w:sz w:val="16"/>
          <w:szCs w:val="16"/>
          <w:lang w:val="en-US"/>
        </w:rPr>
        <w:t>The Gini coefficient is defined as the relationship of cumulative shares of the population arranged according to the level of equivalised disposable income, to the cumulative share</w:t>
      </w:r>
    </w:p>
    <w:p w:rsidR="006D0F1E" w:rsidRDefault="006D0F1E" w:rsidP="006D0F1E">
      <w:pPr>
        <w:spacing w:line="240" w:lineRule="auto"/>
        <w:jc w:val="both"/>
        <w:rPr>
          <w:rFonts w:ascii="Times New Roman" w:hAnsi="Times New Roman" w:cs="Times New Roman"/>
          <w:sz w:val="16"/>
          <w:szCs w:val="16"/>
          <w:lang w:val="en-US"/>
        </w:rPr>
      </w:pPr>
      <w:r w:rsidRPr="00CA22A6">
        <w:rPr>
          <w:rFonts w:ascii="Times New Roman" w:hAnsi="Times New Roman" w:cs="Times New Roman"/>
          <w:sz w:val="16"/>
          <w:szCs w:val="16"/>
          <w:lang w:val="en-US"/>
        </w:rPr>
        <w:t xml:space="preserve"> of the equivalised total disposable income received by</w:t>
      </w:r>
      <w:r>
        <w:rPr>
          <w:rFonts w:ascii="Times New Roman" w:hAnsi="Times New Roman" w:cs="Times New Roman"/>
          <w:sz w:val="16"/>
          <w:szCs w:val="16"/>
          <w:lang w:val="en-US"/>
        </w:rPr>
        <w:t xml:space="preserve"> them.</w:t>
      </w:r>
    </w:p>
    <w:p w:rsidR="006D0F1E" w:rsidRDefault="006D0F1E" w:rsidP="006D0F1E">
      <w:pPr>
        <w:spacing w:line="240" w:lineRule="auto"/>
        <w:jc w:val="both"/>
        <w:rPr>
          <w:rFonts w:ascii="Times New Roman" w:hAnsi="Times New Roman" w:cs="Times New Roman"/>
          <w:sz w:val="16"/>
          <w:szCs w:val="16"/>
          <w:lang w:val="en-US"/>
        </w:rPr>
        <w:sectPr w:rsidR="006D0F1E" w:rsidSect="009720E1">
          <w:pgSz w:w="16838" w:h="11906" w:orient="landscape"/>
          <w:pgMar w:top="1440" w:right="1440" w:bottom="1440" w:left="1440" w:header="709" w:footer="709" w:gutter="0"/>
          <w:cols w:space="708"/>
          <w:docGrid w:linePitch="360"/>
        </w:sectPr>
      </w:pPr>
    </w:p>
    <w:p w:rsidR="006D0F1E" w:rsidRPr="0048218A" w:rsidRDefault="006D0F1E" w:rsidP="006D0F1E">
      <w:pPr>
        <w:spacing w:line="240" w:lineRule="auto"/>
        <w:jc w:val="both"/>
        <w:rPr>
          <w:rFonts w:ascii="Times New Roman" w:hAnsi="Times New Roman" w:cs="Times New Roman"/>
          <w:b/>
          <w:sz w:val="24"/>
          <w:szCs w:val="24"/>
          <w:lang w:val="en-US"/>
        </w:rPr>
      </w:pPr>
      <w:r w:rsidRPr="0048218A">
        <w:rPr>
          <w:rFonts w:ascii="Times New Roman" w:hAnsi="Times New Roman" w:cs="Times New Roman"/>
          <w:b/>
          <w:sz w:val="24"/>
          <w:szCs w:val="24"/>
          <w:lang w:val="en-US"/>
        </w:rPr>
        <w:lastRenderedPageBreak/>
        <w:t>Income and Poverty in the United States - Census Bureau</w:t>
      </w:r>
    </w:p>
    <w:p w:rsidR="006D0F1E" w:rsidRDefault="006D0F1E" w:rsidP="006D0F1E">
      <w:pPr>
        <w:spacing w:line="240" w:lineRule="auto"/>
        <w:jc w:val="both"/>
        <w:rPr>
          <w:rFonts w:ascii="Times New Roman" w:hAnsi="Times New Roman" w:cs="Times New Roman"/>
          <w:sz w:val="16"/>
          <w:szCs w:val="16"/>
          <w:lang w:val="en-US"/>
        </w:rPr>
      </w:pPr>
      <w:r w:rsidRPr="0048218A">
        <w:rPr>
          <w:rFonts w:ascii="Times New Roman" w:hAnsi="Times New Roman" w:cs="Times New Roman"/>
          <w:noProof/>
          <w:sz w:val="16"/>
          <w:szCs w:val="16"/>
          <w:lang w:eastAsia="es-ES"/>
        </w:rPr>
        <w:drawing>
          <wp:inline distT="0" distB="0" distL="0" distR="0" wp14:anchorId="5779657D" wp14:editId="673758FB">
            <wp:extent cx="5723959" cy="30670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071096"/>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16"/>
          <w:szCs w:val="16"/>
          <w:lang w:val="en-US"/>
        </w:rPr>
      </w:pPr>
    </w:p>
    <w:p w:rsidR="006D0F1E" w:rsidRDefault="006D0F1E" w:rsidP="006D0F1E">
      <w:pPr>
        <w:spacing w:line="240" w:lineRule="auto"/>
        <w:jc w:val="both"/>
        <w:rPr>
          <w:rFonts w:ascii="Times New Roman" w:hAnsi="Times New Roman" w:cs="Times New Roman"/>
          <w:sz w:val="16"/>
          <w:szCs w:val="16"/>
          <w:lang w:val="en-US"/>
        </w:rPr>
      </w:pPr>
      <w:r w:rsidRPr="0048218A">
        <w:rPr>
          <w:rFonts w:ascii="Times New Roman" w:hAnsi="Times New Roman" w:cs="Times New Roman"/>
          <w:noProof/>
          <w:sz w:val="16"/>
          <w:szCs w:val="16"/>
          <w:lang w:eastAsia="es-ES"/>
        </w:rPr>
        <w:drawing>
          <wp:inline distT="0" distB="0" distL="0" distR="0" wp14:anchorId="515D7697" wp14:editId="099B5DCB">
            <wp:extent cx="5727700" cy="3879850"/>
            <wp:effectExtent l="0" t="0" r="6350"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3882431"/>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16"/>
          <w:szCs w:val="16"/>
          <w:lang w:val="en-US"/>
        </w:rPr>
      </w:pPr>
    </w:p>
    <w:p w:rsidR="006D0F1E" w:rsidRDefault="006D0F1E" w:rsidP="006D0F1E">
      <w:pPr>
        <w:spacing w:line="240" w:lineRule="auto"/>
        <w:jc w:val="both"/>
        <w:rPr>
          <w:rFonts w:ascii="Times New Roman" w:hAnsi="Times New Roman" w:cs="Times New Roman"/>
          <w:sz w:val="16"/>
          <w:szCs w:val="16"/>
          <w:lang w:val="en-US"/>
        </w:rPr>
      </w:pPr>
      <w:r w:rsidRPr="00FF6E3B">
        <w:rPr>
          <w:rFonts w:ascii="Times New Roman" w:hAnsi="Times New Roman" w:cs="Times New Roman"/>
          <w:noProof/>
          <w:sz w:val="16"/>
          <w:szCs w:val="16"/>
          <w:lang w:eastAsia="es-ES"/>
        </w:rPr>
        <w:lastRenderedPageBreak/>
        <w:drawing>
          <wp:inline distT="0" distB="0" distL="0" distR="0" wp14:anchorId="2869ED8B" wp14:editId="02CABB33">
            <wp:extent cx="5727700" cy="3987800"/>
            <wp:effectExtent l="0" t="0" r="635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3990453"/>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16"/>
          <w:szCs w:val="16"/>
          <w:lang w:val="en-US"/>
        </w:rPr>
      </w:pPr>
      <w:r w:rsidRPr="00FF6E3B">
        <w:rPr>
          <w:rFonts w:ascii="Times New Roman" w:hAnsi="Times New Roman" w:cs="Times New Roman"/>
          <w:noProof/>
          <w:sz w:val="16"/>
          <w:szCs w:val="16"/>
          <w:lang w:eastAsia="es-ES"/>
        </w:rPr>
        <w:drawing>
          <wp:inline distT="0" distB="0" distL="0" distR="0" wp14:anchorId="367C54DE" wp14:editId="5AD08B1C">
            <wp:extent cx="5732866" cy="1955800"/>
            <wp:effectExtent l="0" t="0" r="1270" b="635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1955337"/>
                    </a:xfrm>
                    <a:prstGeom prst="rect">
                      <a:avLst/>
                    </a:prstGeom>
                  </pic:spPr>
                </pic:pic>
              </a:graphicData>
            </a:graphic>
          </wp:inline>
        </w:drawing>
      </w:r>
    </w:p>
    <w:p w:rsidR="006D0F1E" w:rsidRPr="009C1694" w:rsidRDefault="006D0F1E" w:rsidP="006D0F1E">
      <w:pPr>
        <w:spacing w:line="240" w:lineRule="auto"/>
        <w:jc w:val="both"/>
        <w:rPr>
          <w:rFonts w:ascii="Times New Roman" w:hAnsi="Times New Roman" w:cs="Times New Roman"/>
          <w:b/>
          <w:sz w:val="24"/>
          <w:szCs w:val="24"/>
          <w:lang w:val="en-US"/>
        </w:rPr>
      </w:pPr>
      <w:r w:rsidRPr="009C1694">
        <w:rPr>
          <w:rFonts w:ascii="Times New Roman" w:hAnsi="Times New Roman" w:cs="Times New Roman"/>
          <w:b/>
          <w:sz w:val="24"/>
          <w:szCs w:val="24"/>
          <w:lang w:val="en-US"/>
        </w:rPr>
        <w:t>Examining the Middle Class in the United States Using the Lens of the Supp</w:t>
      </w:r>
      <w:r>
        <w:rPr>
          <w:rFonts w:ascii="Times New Roman" w:hAnsi="Times New Roman" w:cs="Times New Roman"/>
          <w:b/>
          <w:sz w:val="24"/>
          <w:szCs w:val="24"/>
          <w:lang w:val="en-US"/>
        </w:rPr>
        <w:t xml:space="preserve">lemental </w:t>
      </w:r>
      <w:r w:rsidRPr="009C1694">
        <w:rPr>
          <w:rFonts w:ascii="Times New Roman" w:hAnsi="Times New Roman" w:cs="Times New Roman"/>
          <w:b/>
          <w:sz w:val="24"/>
          <w:szCs w:val="24"/>
          <w:lang w:val="en-US"/>
        </w:rPr>
        <w:t>Poverty Measure</w:t>
      </w:r>
      <w:r>
        <w:rPr>
          <w:rFonts w:ascii="Times New Roman" w:hAnsi="Times New Roman" w:cs="Times New Roman"/>
          <w:b/>
          <w:sz w:val="24"/>
          <w:szCs w:val="24"/>
          <w:lang w:val="en-US"/>
        </w:rPr>
        <w:t xml:space="preserve"> - </w:t>
      </w:r>
      <w:r w:rsidRPr="009C1694">
        <w:rPr>
          <w:rFonts w:ascii="Times New Roman" w:hAnsi="Times New Roman" w:cs="Times New Roman"/>
          <w:b/>
          <w:sz w:val="24"/>
          <w:szCs w:val="24"/>
          <w:lang w:val="en-US"/>
        </w:rPr>
        <w:t>September 30, 2014</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(By Trudi Renwick and Kathleen Short, U.S. Census Bureau)</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 xml:space="preserve">I. Introduction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 xml:space="preserve">While there is no generally accepted definition of the “middle class” in the United States, most discussions in the United States use pre-tax cash income to define the middle class. Traditionally, this same measure of pre-tax cash income has been used to define poverty. This paper explores defining the middle class using an alternative measure.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 xml:space="preserve">In 2010 an interagency technical working group asked the Census Bureau to produce poverty estimates using an alternative measure, the Supplemental Poverty Measure (SPM). This alternative poverty measure uses thresholds that are adjusted for geographic differences in housing costs and a resource measure that takes into account noncash benefits, taxes, work </w:t>
      </w:r>
      <w:r w:rsidRPr="009C1694">
        <w:rPr>
          <w:rFonts w:ascii="Times New Roman" w:hAnsi="Times New Roman" w:cs="Times New Roman"/>
          <w:sz w:val="24"/>
          <w:szCs w:val="24"/>
          <w:lang w:val="en-US"/>
        </w:rPr>
        <w:lastRenderedPageBreak/>
        <w:t xml:space="preserve">expenses and out-of-pocket medical expenses. The new poverty measure also uses an expanded unit of analysis that includes cohabiting partners and unrelated children in the resource unit. This paper applies these SPM concepts to the challenge of defining and describing the middle class in the United States.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 xml:space="preserve">II. Approaches to Defining the Middle Class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While much has been written on the middle class, there is no widely accepted approach to defining the middle class. Some analyses of the middle class equate being in the middle class with having income in the middle of the income distribution. Other analyses include in the middle class anyone who self-identifies as middle class. A third approach is to count as middle class anyone who has achieved certa</w:t>
      </w:r>
      <w:r>
        <w:rPr>
          <w:rFonts w:ascii="Times New Roman" w:hAnsi="Times New Roman" w:cs="Times New Roman"/>
          <w:sz w:val="24"/>
          <w:szCs w:val="24"/>
          <w:lang w:val="en-US"/>
        </w:rPr>
        <w:t>in aspirations -</w:t>
      </w:r>
      <w:r w:rsidRPr="009C1694">
        <w:rPr>
          <w:rFonts w:ascii="Times New Roman" w:hAnsi="Times New Roman" w:cs="Times New Roman"/>
          <w:sz w:val="24"/>
          <w:szCs w:val="24"/>
          <w:lang w:val="en-US"/>
        </w:rPr>
        <w:t xml:space="preserve"> owning their own home, having savings for retirement and/or the ability to send their children to college. As may be expected, these disparate approaches do not identify the same people as being in the middle class.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 xml:space="preserve">Of the analyses that equate being in the middle class with having an income in the middle of the income distribution, many use median household income to “define” the middle class. This metric is a useful summary measure that can be tracked over time and across countries. Each year the Census Bureau publishes a number of tables providing estimates of median household income and median family income.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 xml:space="preserve">While the Census Bureau tables generally use pretax cash income to define these medians, other analyses use alternative income concepts. For example, an April 2014 analysis by a New York Times website covering policy and politics, used data from the Luxembourg Income Study Database to compare median after-tax cash income that included direct government benefits such as tax credits. The analysis found that while the median income in the United States used to be much higher than the median in Western European countries, the gap in several countries (including Britain, the Netherlands and Sweden) is much smaller than it was a decade ago (Leonhardt).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 xml:space="preserve">Another example is a June 2011 NBER Working Paper which used a variety of income measures to calculate median income. The growth in median income between 1979 and 2007 ranges from 3.2 percent when the analysis is based on the tax unit and pre-tax, pre-transfer income to 36.7 percent when the analysis is based on a size-adjusted household and post-tax, post-transfer (including the value of health insurance) income (Burkhauser).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While median income is a good metric to describe trends over time and across countries, it does not permit an analysis of the composition of the middle class. To conduct this type of analysis, we need a definition that identifies who is in the middle class at any one point in time. There are two general approaches to these income-based definitions: a fixed-size middle class and a middle clas</w:t>
      </w:r>
      <w:r>
        <w:rPr>
          <w:rFonts w:ascii="Times New Roman" w:hAnsi="Times New Roman" w:cs="Times New Roman"/>
          <w:sz w:val="24"/>
          <w:szCs w:val="24"/>
          <w:lang w:val="en-US"/>
        </w:rPr>
        <w:t>s defined by income thresholds.</w:t>
      </w:r>
      <w:r w:rsidRPr="009C1694">
        <w:rPr>
          <w:rFonts w:ascii="Times New Roman" w:hAnsi="Times New Roman" w:cs="Times New Roman"/>
          <w:sz w:val="24"/>
          <w:szCs w:val="24"/>
          <w:lang w:val="en-US"/>
        </w:rPr>
        <w:t xml:space="preserve"> The fixed-size income middle class defines the middle class as the middle 60 (or 40 or 50) percent of the income distribution. Using this approach one can discuss changes in the share of income received by the middle class but by definition, the “size” of the middle class cannot vary. The alternative approach sets income limits of the middle class and counts how many individuals have incomes between these limits. Since most analyses of the middle class in the United States have used the income limit approach, this paper will also use this approach.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 xml:space="preserve">There is no official definition of the middle class in the United States. In recent years, analysts have used a variety of income concepts to define middle class in the United States. For example: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lastRenderedPageBreak/>
        <w:sym w:font="Symbol" w:char="F0B7"/>
      </w:r>
      <w:r w:rsidRPr="009C1694">
        <w:rPr>
          <w:rFonts w:ascii="Times New Roman" w:hAnsi="Times New Roman" w:cs="Times New Roman"/>
          <w:sz w:val="24"/>
          <w:szCs w:val="24"/>
          <w:lang w:val="en-US"/>
        </w:rPr>
        <w:t xml:space="preserve"> A 2008 Pew Research Center study defined the middle class as those with incomes between 75 percent and 150 percent of overall adjusted median income with income adjusted for household size using the square root of household size</w:t>
      </w:r>
      <w:r>
        <w:rPr>
          <w:rFonts w:ascii="Times New Roman" w:hAnsi="Times New Roman" w:cs="Times New Roman"/>
          <w:sz w:val="24"/>
          <w:szCs w:val="24"/>
          <w:lang w:val="en-US"/>
        </w:rPr>
        <w:t>.</w:t>
      </w:r>
      <w:r w:rsidRPr="009C1694">
        <w:rPr>
          <w:rFonts w:ascii="Times New Roman" w:hAnsi="Times New Roman" w:cs="Times New Roman"/>
          <w:sz w:val="24"/>
          <w:szCs w:val="24"/>
          <w:lang w:val="en-US"/>
        </w:rPr>
        <w:t xml:space="preserve"> (Taylor)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sym w:font="Symbol" w:char="F0B7"/>
      </w:r>
      <w:r w:rsidRPr="009C1694">
        <w:rPr>
          <w:rFonts w:ascii="Times New Roman" w:hAnsi="Times New Roman" w:cs="Times New Roman"/>
          <w:sz w:val="24"/>
          <w:szCs w:val="24"/>
          <w:lang w:val="en-US"/>
        </w:rPr>
        <w:t xml:space="preserve"> A January 2010 U.S. Department of Commerce Economics and Statistics Administration report constructed hypothetical budgets based on income at the 25th percentile, median and 75th percentile of the income distribution.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sym w:font="Symbol" w:char="F0B7"/>
      </w:r>
      <w:r w:rsidRPr="009C1694">
        <w:rPr>
          <w:rFonts w:ascii="Times New Roman" w:hAnsi="Times New Roman" w:cs="Times New Roman"/>
          <w:sz w:val="24"/>
          <w:szCs w:val="24"/>
          <w:lang w:val="en-US"/>
        </w:rPr>
        <w:t xml:space="preserve"> Robert Reich, a professor of Public Policy at the University of California-Berkeley and former Secretary of Labor, has suggested the middle class be defined as households making 50 percent higher and lower than the median</w:t>
      </w:r>
      <w:r>
        <w:rPr>
          <w:rFonts w:ascii="Times New Roman" w:hAnsi="Times New Roman" w:cs="Times New Roman"/>
          <w:sz w:val="24"/>
          <w:szCs w:val="24"/>
          <w:lang w:val="en-US"/>
        </w:rPr>
        <w:t>.</w:t>
      </w:r>
      <w:r w:rsidRPr="009C1694">
        <w:rPr>
          <w:rFonts w:ascii="Times New Roman" w:hAnsi="Times New Roman" w:cs="Times New Roman"/>
          <w:sz w:val="24"/>
          <w:szCs w:val="24"/>
          <w:lang w:val="en-US"/>
        </w:rPr>
        <w:t xml:space="preserve"> (Williams)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sym w:font="Symbol" w:char="F0B7"/>
      </w:r>
      <w:r w:rsidRPr="009C1694">
        <w:rPr>
          <w:rFonts w:ascii="Times New Roman" w:hAnsi="Times New Roman" w:cs="Times New Roman"/>
          <w:sz w:val="24"/>
          <w:szCs w:val="24"/>
          <w:lang w:val="en-US"/>
        </w:rPr>
        <w:t xml:space="preserve"> Aaron Pacitti, an assistant professor of economics at Siena College suggested that middle income should be defined as the middle of this middle, between 75 percent and 125 percent of the median. (Williams)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sym w:font="Symbol" w:char="F0B7"/>
      </w:r>
      <w:r w:rsidRPr="009C1694">
        <w:rPr>
          <w:rFonts w:ascii="Times New Roman" w:hAnsi="Times New Roman" w:cs="Times New Roman"/>
          <w:sz w:val="24"/>
          <w:szCs w:val="24"/>
          <w:lang w:val="en-US"/>
        </w:rPr>
        <w:t xml:space="preserve"> A 2012 Brookings Institute study defined middle class as having an income greater than 300 percent of</w:t>
      </w:r>
      <w:r>
        <w:rPr>
          <w:rFonts w:ascii="Times New Roman" w:hAnsi="Times New Roman" w:cs="Times New Roman"/>
          <w:sz w:val="24"/>
          <w:szCs w:val="24"/>
          <w:lang w:val="en-US"/>
        </w:rPr>
        <w:t xml:space="preserve"> the poverty line. (Sawhill)</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sym w:font="Symbol" w:char="F0B7"/>
      </w:r>
      <w:r w:rsidRPr="009C1694">
        <w:rPr>
          <w:rFonts w:ascii="Times New Roman" w:hAnsi="Times New Roman" w:cs="Times New Roman"/>
          <w:sz w:val="24"/>
          <w:szCs w:val="24"/>
          <w:lang w:val="en-US"/>
        </w:rPr>
        <w:t xml:space="preserve"> A 2012 Pew Research Center study defined the middle tier as all adults whose annual household income is two-thirds to double the national median with incomes adjusted for household size and then scaled to reflect a three person household. (Pew Research Center)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sym w:font="Symbol" w:char="F0B7"/>
      </w:r>
      <w:r w:rsidRPr="009C1694">
        <w:rPr>
          <w:rFonts w:ascii="Times New Roman" w:hAnsi="Times New Roman" w:cs="Times New Roman"/>
          <w:sz w:val="24"/>
          <w:szCs w:val="24"/>
          <w:lang w:val="en-US"/>
        </w:rPr>
        <w:t xml:space="preserve"> A 2013 policy memo from the Hamilton Project defined lower middle class as families with incomes between 100 and 250 percent of the federal poverty level. (Kearney)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sym w:font="Symbol" w:char="F0B7"/>
      </w:r>
      <w:r w:rsidRPr="009C1694">
        <w:rPr>
          <w:rFonts w:ascii="Times New Roman" w:hAnsi="Times New Roman" w:cs="Times New Roman"/>
          <w:sz w:val="24"/>
          <w:szCs w:val="24"/>
          <w:lang w:val="en-US"/>
        </w:rPr>
        <w:t xml:space="preserve"> In a 2012 working paper, Short and Smeeding define “people with moderate income” as those with resource to threshold ratios between 100 and 200 percent of the Supplemental Poverty Measure (Short, 2012). This study used a different measure of resources than has been used previously and is the resource measure used in this paper…</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 xml:space="preserve">VI. Changes in Middle Class Classifications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lang w:val="en-US"/>
        </w:rPr>
        <w:t xml:space="preserve">If we use the SPM rather than pre-tax cash income to classify middle class status, the number of people in the middle class increases from 96 million to 111 million. While this net change of approximately 15.5 million is relatively modest, almost 60 million people change status when the measure is changed.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sym w:font="Symbol" w:char="F0B7"/>
      </w:r>
      <w:r w:rsidRPr="009C1694">
        <w:rPr>
          <w:rFonts w:ascii="Times New Roman" w:hAnsi="Times New Roman" w:cs="Times New Roman"/>
          <w:sz w:val="24"/>
          <w:szCs w:val="24"/>
          <w:lang w:val="en-US"/>
        </w:rPr>
        <w:t xml:space="preserve"> 74 million people are classified as middle class by both definitions</w:t>
      </w:r>
      <w:r>
        <w:rPr>
          <w:rFonts w:ascii="Times New Roman" w:hAnsi="Times New Roman" w:cs="Times New Roman"/>
          <w:sz w:val="24"/>
          <w:szCs w:val="24"/>
          <w:lang w:val="en-US"/>
        </w:rPr>
        <w:t>.</w:t>
      </w:r>
      <w:r w:rsidRPr="009C1694">
        <w:rPr>
          <w:rFonts w:ascii="Times New Roman" w:hAnsi="Times New Roman" w:cs="Times New Roman"/>
          <w:sz w:val="24"/>
          <w:szCs w:val="24"/>
          <w:lang w:val="en-US"/>
        </w:rPr>
        <w:t xml:space="preserve">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sym w:font="Symbol" w:char="F0B7"/>
      </w:r>
      <w:r w:rsidRPr="009C1694">
        <w:rPr>
          <w:rFonts w:ascii="Times New Roman" w:hAnsi="Times New Roman" w:cs="Times New Roman"/>
          <w:sz w:val="24"/>
          <w:szCs w:val="24"/>
          <w:lang w:val="en-US"/>
        </w:rPr>
        <w:t xml:space="preserve"> 37 million people who are not classified as middle class using the pre-tax cash resource definition are middle class using the SPM definition o 18 million of these are below middle class using the pre-tax cash definition o 19 million are above middle class with the pre-tax cash measure</w:t>
      </w:r>
      <w:r>
        <w:rPr>
          <w:rFonts w:ascii="Times New Roman" w:hAnsi="Times New Roman" w:cs="Times New Roman"/>
          <w:sz w:val="24"/>
          <w:szCs w:val="24"/>
          <w:lang w:val="en-US"/>
        </w:rPr>
        <w:t>.</w:t>
      </w:r>
      <w:r w:rsidRPr="009C1694">
        <w:rPr>
          <w:rFonts w:ascii="Times New Roman" w:hAnsi="Times New Roman" w:cs="Times New Roman"/>
          <w:sz w:val="24"/>
          <w:szCs w:val="24"/>
          <w:lang w:val="en-US"/>
        </w:rPr>
        <w:t xml:space="preserve">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sym w:font="Symbol" w:char="F0B7"/>
      </w:r>
      <w:r w:rsidRPr="009C1694">
        <w:rPr>
          <w:rFonts w:ascii="Times New Roman" w:hAnsi="Times New Roman" w:cs="Times New Roman"/>
          <w:sz w:val="24"/>
          <w:szCs w:val="24"/>
          <w:lang w:val="en-US"/>
        </w:rPr>
        <w:t xml:space="preserve"> 22 million people who are classified as middle class using the pre-tax cash definition are not classified as middle class using the SPM definition o 13 million of these are b</w:t>
      </w:r>
      <w:r w:rsidR="0036518C">
        <w:rPr>
          <w:rFonts w:ascii="Times New Roman" w:hAnsi="Times New Roman" w:cs="Times New Roman"/>
          <w:sz w:val="24"/>
          <w:szCs w:val="24"/>
          <w:lang w:val="en-US"/>
        </w:rPr>
        <w:t>elow middle class using the SPM;</w:t>
      </w:r>
      <w:r w:rsidRPr="009C1694">
        <w:rPr>
          <w:rFonts w:ascii="Times New Roman" w:hAnsi="Times New Roman" w:cs="Times New Roman"/>
          <w:sz w:val="24"/>
          <w:szCs w:val="24"/>
          <w:lang w:val="en-US"/>
        </w:rPr>
        <w:t xml:space="preserve"> o 9 million are above middle class using the SPM. </w:t>
      </w:r>
    </w:p>
    <w:p w:rsidR="006D0F1E" w:rsidRPr="009C1694" w:rsidRDefault="006D0F1E" w:rsidP="006D0F1E">
      <w:pPr>
        <w:spacing w:line="240" w:lineRule="auto"/>
        <w:jc w:val="both"/>
        <w:rPr>
          <w:rFonts w:ascii="Times New Roman" w:hAnsi="Times New Roman" w:cs="Times New Roman"/>
          <w:sz w:val="24"/>
          <w:szCs w:val="24"/>
          <w:lang w:val="en-US"/>
        </w:rPr>
      </w:pPr>
      <w:r w:rsidRPr="009C1694">
        <w:rPr>
          <w:rFonts w:ascii="Times New Roman" w:hAnsi="Times New Roman" w:cs="Times New Roman"/>
          <w:sz w:val="24"/>
          <w:szCs w:val="24"/>
        </w:rPr>
        <w:sym w:font="Symbol" w:char="F0B7"/>
      </w:r>
      <w:r w:rsidRPr="009C1694">
        <w:rPr>
          <w:rFonts w:ascii="Times New Roman" w:hAnsi="Times New Roman" w:cs="Times New Roman"/>
          <w:sz w:val="24"/>
          <w:szCs w:val="24"/>
          <w:lang w:val="en-US"/>
        </w:rPr>
        <w:t xml:space="preserve"> 178 million are not classified as middle class in either measure. Table Four provides summary statistics for each of these six groups.</w:t>
      </w:r>
    </w:p>
    <w:p w:rsidR="006D0F1E" w:rsidRDefault="006D0F1E" w:rsidP="006D0F1E">
      <w:pPr>
        <w:spacing w:line="240" w:lineRule="auto"/>
        <w:jc w:val="both"/>
        <w:rPr>
          <w:lang w:val="en-US"/>
        </w:rPr>
      </w:pPr>
      <w:r w:rsidRPr="009C1694">
        <w:rPr>
          <w:noProof/>
          <w:lang w:eastAsia="es-ES"/>
        </w:rPr>
        <w:lastRenderedPageBreak/>
        <w:drawing>
          <wp:inline distT="0" distB="0" distL="0" distR="0" wp14:anchorId="0D75A670" wp14:editId="757ED46D">
            <wp:extent cx="5731510" cy="3017003"/>
            <wp:effectExtent l="0" t="0" r="254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3017003"/>
                    </a:xfrm>
                    <a:prstGeom prst="rect">
                      <a:avLst/>
                    </a:prstGeom>
                  </pic:spPr>
                </pic:pic>
              </a:graphicData>
            </a:graphic>
          </wp:inline>
        </w:drawing>
      </w:r>
    </w:p>
    <w:p w:rsidR="006D0F1E" w:rsidRDefault="006D0F1E" w:rsidP="006D0F1E">
      <w:pPr>
        <w:spacing w:line="240" w:lineRule="auto"/>
        <w:jc w:val="both"/>
        <w:rPr>
          <w:lang w:val="en-US"/>
        </w:rPr>
      </w:pPr>
      <w:r w:rsidRPr="009C1694">
        <w:rPr>
          <w:noProof/>
          <w:lang w:eastAsia="es-ES"/>
        </w:rPr>
        <w:drawing>
          <wp:inline distT="0" distB="0" distL="0" distR="0" wp14:anchorId="1DA84D37" wp14:editId="5CA6F4F2">
            <wp:extent cx="5731510" cy="4750540"/>
            <wp:effectExtent l="0" t="0" r="254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4750540"/>
                    </a:xfrm>
                    <a:prstGeom prst="rect">
                      <a:avLst/>
                    </a:prstGeom>
                  </pic:spPr>
                </pic:pic>
              </a:graphicData>
            </a:graphic>
          </wp:inline>
        </w:drawing>
      </w:r>
    </w:p>
    <w:p w:rsidR="006D0F1E" w:rsidRDefault="006D0F1E" w:rsidP="006D0F1E">
      <w:pPr>
        <w:spacing w:line="240" w:lineRule="auto"/>
        <w:jc w:val="both"/>
        <w:rPr>
          <w:lang w:val="en-US"/>
        </w:rPr>
      </w:pPr>
      <w:r w:rsidRPr="00112CEE">
        <w:rPr>
          <w:noProof/>
          <w:lang w:eastAsia="es-ES"/>
        </w:rPr>
        <w:lastRenderedPageBreak/>
        <w:drawing>
          <wp:inline distT="0" distB="0" distL="0" distR="0" wp14:anchorId="0C0FCA13" wp14:editId="54C7EC6E">
            <wp:extent cx="4848902" cy="5468113"/>
            <wp:effectExtent l="0" t="0" r="889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848902" cy="5468113"/>
                    </a:xfrm>
                    <a:prstGeom prst="rect">
                      <a:avLst/>
                    </a:prstGeom>
                  </pic:spPr>
                </pic:pic>
              </a:graphicData>
            </a:graphic>
          </wp:inline>
        </w:drawing>
      </w:r>
    </w:p>
    <w:p w:rsidR="006D0F1E" w:rsidRDefault="006D0F1E" w:rsidP="006D0F1E">
      <w:pPr>
        <w:spacing w:line="240" w:lineRule="auto"/>
        <w:jc w:val="both"/>
        <w:rPr>
          <w:lang w:val="en-US"/>
        </w:rPr>
      </w:pPr>
      <w:r w:rsidRPr="00112CEE">
        <w:rPr>
          <w:noProof/>
          <w:lang w:eastAsia="es-ES"/>
        </w:rPr>
        <w:drawing>
          <wp:inline distT="0" distB="0" distL="0" distR="0" wp14:anchorId="14C61447" wp14:editId="0E0492E1">
            <wp:extent cx="5731510" cy="2385067"/>
            <wp:effectExtent l="0" t="0" r="254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2385067"/>
                    </a:xfrm>
                    <a:prstGeom prst="rect">
                      <a:avLst/>
                    </a:prstGeom>
                  </pic:spPr>
                </pic:pic>
              </a:graphicData>
            </a:graphic>
          </wp:inline>
        </w:drawing>
      </w:r>
    </w:p>
    <w:p w:rsidR="006D0F1E" w:rsidRDefault="006D0F1E" w:rsidP="006D0F1E">
      <w:pPr>
        <w:spacing w:line="240" w:lineRule="auto"/>
        <w:jc w:val="both"/>
        <w:rPr>
          <w:lang w:val="en-US"/>
        </w:rPr>
      </w:pPr>
      <w:r w:rsidRPr="00112CEE">
        <w:rPr>
          <w:noProof/>
          <w:lang w:eastAsia="es-ES"/>
        </w:rPr>
        <w:lastRenderedPageBreak/>
        <w:drawing>
          <wp:inline distT="0" distB="0" distL="0" distR="0" wp14:anchorId="60838639" wp14:editId="30C1134C">
            <wp:extent cx="5731510" cy="1941733"/>
            <wp:effectExtent l="0" t="0" r="2540" b="190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1941733"/>
                    </a:xfrm>
                    <a:prstGeom prst="rect">
                      <a:avLst/>
                    </a:prstGeom>
                  </pic:spPr>
                </pic:pic>
              </a:graphicData>
            </a:graphic>
          </wp:inline>
        </w:drawing>
      </w:r>
    </w:p>
    <w:p w:rsidR="006D0F1E" w:rsidRPr="00E2730A" w:rsidRDefault="006D0F1E" w:rsidP="006D0F1E">
      <w:pPr>
        <w:spacing w:line="240" w:lineRule="auto"/>
        <w:jc w:val="both"/>
        <w:rPr>
          <w:rFonts w:ascii="Times New Roman" w:hAnsi="Times New Roman" w:cs="Times New Roman"/>
          <w:b/>
          <w:lang w:val="en-US"/>
        </w:rPr>
      </w:pPr>
      <w:r w:rsidRPr="00E2730A">
        <w:rPr>
          <w:rFonts w:ascii="Times New Roman" w:hAnsi="Times New Roman" w:cs="Times New Roman"/>
          <w:b/>
          <w:lang w:val="en-US"/>
        </w:rPr>
        <w:t>Factors Influencing Transitions Into and Out of Near Poverty: 2004-2012 - U.S. Census Bureau National Institutes of Health - December 20, 2013 (Updated February 2014)</w:t>
      </w:r>
    </w:p>
    <w:p w:rsidR="006D0F1E" w:rsidRDefault="006D0F1E" w:rsidP="006D0F1E">
      <w:pPr>
        <w:spacing w:line="240" w:lineRule="auto"/>
        <w:jc w:val="both"/>
        <w:rPr>
          <w:rFonts w:ascii="Times New Roman" w:hAnsi="Times New Roman" w:cs="Times New Roman"/>
          <w:b/>
          <w:lang w:val="en-US"/>
        </w:rPr>
      </w:pPr>
      <w:r w:rsidRPr="00E2730A">
        <w:rPr>
          <w:rFonts w:ascii="Times New Roman" w:hAnsi="Times New Roman" w:cs="Times New Roman"/>
          <w:b/>
          <w:lang w:val="en-US"/>
        </w:rPr>
        <w:t>(By Charles Hokayem Misty L. Heggeness - Presented at the 2014 American Economic Association Meetings)</w:t>
      </w:r>
    </w:p>
    <w:p w:rsidR="006D0F1E" w:rsidRDefault="006D0F1E" w:rsidP="006D0F1E">
      <w:pPr>
        <w:spacing w:line="240" w:lineRule="auto"/>
        <w:jc w:val="both"/>
        <w:rPr>
          <w:rFonts w:ascii="Times New Roman" w:hAnsi="Times New Roman" w:cs="Times New Roman"/>
          <w:b/>
          <w:lang w:val="en-US"/>
        </w:rPr>
      </w:pPr>
      <w:r w:rsidRPr="00E2730A">
        <w:rPr>
          <w:rFonts w:ascii="Times New Roman" w:hAnsi="Times New Roman" w:cs="Times New Roman"/>
          <w:b/>
          <w:noProof/>
          <w:lang w:eastAsia="es-ES"/>
        </w:rPr>
        <w:drawing>
          <wp:inline distT="0" distB="0" distL="0" distR="0" wp14:anchorId="7A0E153C" wp14:editId="09519BB5">
            <wp:extent cx="5731510" cy="4467639"/>
            <wp:effectExtent l="0" t="0" r="254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4467639"/>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b/>
          <w:lang w:val="en-US"/>
        </w:rPr>
      </w:pPr>
      <w:r w:rsidRPr="00E2730A">
        <w:rPr>
          <w:rFonts w:ascii="Times New Roman" w:hAnsi="Times New Roman" w:cs="Times New Roman"/>
          <w:b/>
          <w:noProof/>
          <w:lang w:eastAsia="es-ES"/>
        </w:rPr>
        <w:lastRenderedPageBreak/>
        <w:drawing>
          <wp:inline distT="0" distB="0" distL="0" distR="0" wp14:anchorId="1ACF1A71" wp14:editId="1636108F">
            <wp:extent cx="5729574" cy="3873500"/>
            <wp:effectExtent l="0" t="0" r="508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3874809"/>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b/>
          <w:lang w:val="en-US"/>
        </w:rPr>
      </w:pPr>
      <w:r w:rsidRPr="00E2730A">
        <w:rPr>
          <w:rFonts w:ascii="Times New Roman" w:hAnsi="Times New Roman" w:cs="Times New Roman"/>
          <w:b/>
          <w:noProof/>
          <w:lang w:eastAsia="es-ES"/>
        </w:rPr>
        <w:drawing>
          <wp:inline distT="0" distB="0" distL="0" distR="0" wp14:anchorId="3325F792" wp14:editId="529769AA">
            <wp:extent cx="5734031" cy="4578350"/>
            <wp:effectExtent l="0" t="0" r="63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4576337"/>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b/>
          <w:lang w:val="en-US"/>
        </w:rPr>
      </w:pPr>
      <w:r>
        <w:rPr>
          <w:rFonts w:ascii="Times New Roman" w:hAnsi="Times New Roman" w:cs="Times New Roman"/>
          <w:b/>
          <w:lang w:val="en-US"/>
        </w:rPr>
        <w:lastRenderedPageBreak/>
        <w:t>Pew Research Center - 2018</w:t>
      </w:r>
    </w:p>
    <w:p w:rsidR="006D0F1E" w:rsidRPr="008D14B3" w:rsidRDefault="006D0F1E" w:rsidP="006D0F1E">
      <w:pPr>
        <w:spacing w:line="240" w:lineRule="auto"/>
        <w:jc w:val="both"/>
        <w:rPr>
          <w:rFonts w:ascii="Times New Roman" w:hAnsi="Times New Roman" w:cs="Times New Roman"/>
          <w:u w:val="single"/>
          <w:lang w:val="en-US"/>
        </w:rPr>
      </w:pPr>
      <w:r w:rsidRPr="008D14B3">
        <w:rPr>
          <w:rFonts w:ascii="Times New Roman" w:hAnsi="Times New Roman" w:cs="Times New Roman"/>
          <w:u w:val="single"/>
          <w:lang w:val="en-US"/>
        </w:rPr>
        <w:t>Middle Class Fortunes in EEUU</w:t>
      </w:r>
    </w:p>
    <w:p w:rsidR="006D0F1E" w:rsidRPr="008D14B3" w:rsidRDefault="006D0F1E" w:rsidP="006D0F1E">
      <w:pPr>
        <w:spacing w:line="240" w:lineRule="auto"/>
        <w:jc w:val="both"/>
        <w:rPr>
          <w:rFonts w:ascii="Times New Roman" w:hAnsi="Times New Roman" w:cs="Times New Roman"/>
          <w:lang w:val="en-US"/>
        </w:rPr>
      </w:pPr>
      <w:r w:rsidRPr="008D14B3">
        <w:rPr>
          <w:rFonts w:ascii="Times New Roman" w:hAnsi="Times New Roman" w:cs="Times New Roman"/>
          <w:lang w:val="en-US"/>
        </w:rPr>
        <w:t>The American middle class is stable in size, but losing ground financially to upper-income families</w:t>
      </w:r>
      <w:r>
        <w:rPr>
          <w:rFonts w:ascii="Times New Roman" w:hAnsi="Times New Roman" w:cs="Times New Roman"/>
          <w:lang w:val="en-US"/>
        </w:rPr>
        <w:t>.</w:t>
      </w:r>
    </w:p>
    <w:p w:rsidR="006D0F1E" w:rsidRDefault="006D0F1E" w:rsidP="006D0F1E">
      <w:pPr>
        <w:spacing w:line="240" w:lineRule="auto"/>
        <w:jc w:val="both"/>
        <w:rPr>
          <w:rFonts w:ascii="Times New Roman" w:hAnsi="Times New Roman" w:cs="Times New Roman"/>
          <w:b/>
          <w:lang w:val="en-US"/>
        </w:rPr>
      </w:pPr>
      <w:r>
        <w:rPr>
          <w:noProof/>
          <w:lang w:eastAsia="es-ES"/>
        </w:rPr>
        <w:drawing>
          <wp:inline distT="0" distB="0" distL="0" distR="0" wp14:anchorId="15BD7F7E" wp14:editId="21D0CB5C">
            <wp:extent cx="3270250" cy="4248150"/>
            <wp:effectExtent l="0" t="0" r="6350" b="0"/>
            <wp:docPr id="53" name="Imagen 53" descr="Share of adults living in middle-income households is unchanged sinc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re of adults living in middle-income households is unchanged since 20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70250" cy="4248150"/>
                    </a:xfrm>
                    <a:prstGeom prst="rect">
                      <a:avLst/>
                    </a:prstGeom>
                    <a:noFill/>
                    <a:ln>
                      <a:noFill/>
                    </a:ln>
                  </pic:spPr>
                </pic:pic>
              </a:graphicData>
            </a:graphic>
          </wp:inline>
        </w:drawing>
      </w:r>
      <w:r>
        <w:rPr>
          <w:noProof/>
          <w:lang w:eastAsia="es-ES"/>
        </w:rPr>
        <w:drawing>
          <wp:inline distT="0" distB="0" distL="0" distR="0" wp14:anchorId="62163FF1" wp14:editId="0A9FF13F">
            <wp:extent cx="2165350" cy="4356100"/>
            <wp:effectExtent l="0" t="0" r="6350" b="6350"/>
            <wp:docPr id="54" name="Imagen 54" descr="Median income of the middle class in 2016 is about the same as in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dian income of the middle class in 2016 is about the same as in 200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65350" cy="4356100"/>
                    </a:xfrm>
                    <a:prstGeom prst="rect">
                      <a:avLst/>
                    </a:prstGeom>
                    <a:noFill/>
                    <a:ln>
                      <a:noFill/>
                    </a:ln>
                  </pic:spPr>
                </pic:pic>
              </a:graphicData>
            </a:graphic>
          </wp:inline>
        </w:drawing>
      </w:r>
    </w:p>
    <w:p w:rsidR="006D0F1E" w:rsidRDefault="006D0F1E" w:rsidP="006D0F1E">
      <w:pPr>
        <w:spacing w:line="240" w:lineRule="auto"/>
        <w:jc w:val="both"/>
        <w:rPr>
          <w:rFonts w:ascii="Times New Roman" w:hAnsi="Times New Roman" w:cs="Times New Roman"/>
          <w:u w:val="single"/>
          <w:lang w:val="en-US"/>
        </w:rPr>
      </w:pPr>
      <w:r>
        <w:rPr>
          <w:noProof/>
          <w:lang w:eastAsia="es-ES"/>
        </w:rPr>
        <w:drawing>
          <wp:inline distT="0" distB="0" distL="0" distR="0" wp14:anchorId="34F6B88E" wp14:editId="7813020A">
            <wp:extent cx="5581650" cy="2755900"/>
            <wp:effectExtent l="0" t="0" r="0" b="6350"/>
            <wp:docPr id="56" name="Imagen 56" descr="The Share of the Global Middle-Income Population Living in Asia &amp; South Pacific Rises from 2001 to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he Share of the Global Middle-Income Population Living in Asia &amp; South Pacific Rises from 2001 to 20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584308" cy="2757212"/>
                    </a:xfrm>
                    <a:prstGeom prst="rect">
                      <a:avLst/>
                    </a:prstGeom>
                    <a:noFill/>
                    <a:ln>
                      <a:noFill/>
                    </a:ln>
                  </pic:spPr>
                </pic:pic>
              </a:graphicData>
            </a:graphic>
          </wp:inline>
        </w:drawing>
      </w:r>
    </w:p>
    <w:p w:rsidR="006D0F1E" w:rsidRDefault="006D0F1E" w:rsidP="006D0F1E">
      <w:pPr>
        <w:spacing w:line="240" w:lineRule="auto"/>
        <w:jc w:val="both"/>
        <w:rPr>
          <w:rFonts w:ascii="Times New Roman" w:hAnsi="Times New Roman" w:cs="Times New Roman"/>
          <w:sz w:val="20"/>
          <w:szCs w:val="20"/>
          <w:lang w:val="en-US"/>
        </w:rPr>
      </w:pPr>
      <w:r w:rsidRPr="009565C9">
        <w:rPr>
          <w:rFonts w:ascii="Times New Roman" w:hAnsi="Times New Roman" w:cs="Times New Roman"/>
          <w:sz w:val="20"/>
          <w:szCs w:val="20"/>
          <w:lang w:val="en-US"/>
        </w:rPr>
        <w:t>The story of China is remarkable. Three decades after the introduction of economic reforms in 1978, the share of China’s population that is middle income stood at 18% in 2011-up by 15 percentage points from 3% in 2001. In absolute terms, 203 million people in China crossed the middle-income threshold of $10 per day from 2001 to 2011.</w:t>
      </w:r>
    </w:p>
    <w:p w:rsidR="006D0F1E" w:rsidRPr="009565C9" w:rsidRDefault="006D0F1E" w:rsidP="006D0F1E">
      <w:pPr>
        <w:spacing w:line="240" w:lineRule="auto"/>
        <w:jc w:val="both"/>
        <w:rPr>
          <w:rFonts w:ascii="Times New Roman" w:hAnsi="Times New Roman" w:cs="Times New Roman"/>
          <w:sz w:val="20"/>
          <w:szCs w:val="20"/>
          <w:lang w:val="en-US"/>
        </w:rPr>
      </w:pPr>
      <w:r w:rsidRPr="008D14B3">
        <w:rPr>
          <w:rFonts w:ascii="Times New Roman" w:hAnsi="Times New Roman" w:cs="Times New Roman"/>
          <w:u w:val="single"/>
          <w:lang w:val="en-US"/>
        </w:rPr>
        <w:lastRenderedPageBreak/>
        <w:t>Middle Class Fortunes in Western Europe</w:t>
      </w:r>
    </w:p>
    <w:p w:rsidR="006D0F1E" w:rsidRDefault="006D0F1E" w:rsidP="006D0F1E">
      <w:pPr>
        <w:spacing w:line="240" w:lineRule="auto"/>
        <w:jc w:val="both"/>
        <w:rPr>
          <w:rFonts w:ascii="Times New Roman" w:hAnsi="Times New Roman" w:cs="Times New Roman"/>
          <w:lang w:val="en-US"/>
        </w:rPr>
      </w:pPr>
      <w:r w:rsidRPr="008D14B3">
        <w:rPr>
          <w:rFonts w:ascii="Times New Roman" w:hAnsi="Times New Roman" w:cs="Times New Roman"/>
          <w:lang w:val="en-US"/>
        </w:rPr>
        <w:t>From 1991 to 2010, the middle class expands in France, the Netherlands and the United Kingdom, but, as in the United States, shrinks in Germany, Italy and Spain</w:t>
      </w:r>
    </w:p>
    <w:p w:rsidR="006D0F1E" w:rsidRPr="008D14B3" w:rsidRDefault="006D0F1E" w:rsidP="006D0F1E">
      <w:pPr>
        <w:spacing w:line="240" w:lineRule="auto"/>
        <w:jc w:val="both"/>
        <w:rPr>
          <w:rFonts w:ascii="Times New Roman" w:hAnsi="Times New Roman" w:cs="Times New Roman"/>
          <w:lang w:val="en-US"/>
        </w:rPr>
      </w:pPr>
      <w:r>
        <w:rPr>
          <w:noProof/>
          <w:lang w:eastAsia="es-ES"/>
        </w:rPr>
        <w:drawing>
          <wp:inline distT="0" distB="0" distL="0" distR="0" wp14:anchorId="0C422D67" wp14:editId="61D46DF5">
            <wp:extent cx="4000500" cy="3981450"/>
            <wp:effectExtent l="0" t="0" r="0" b="0"/>
            <wp:docPr id="57" name="Imagen 57" descr="http://www.pewresearch.org/wp-content/uploads/sites/2/2017/04/ST_2017.04.24_Western-Europe-Middle-Class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ewresearch.org/wp-content/uploads/sites/2/2017/04/ST_2017.04.24_Western-Europe-Middle-Class_0-01.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00500" cy="3981450"/>
                    </a:xfrm>
                    <a:prstGeom prst="rect">
                      <a:avLst/>
                    </a:prstGeom>
                    <a:noFill/>
                    <a:ln>
                      <a:noFill/>
                    </a:ln>
                  </pic:spPr>
                </pic:pic>
              </a:graphicData>
            </a:graphic>
          </wp:inline>
        </w:drawing>
      </w:r>
    </w:p>
    <w:p w:rsidR="006D0F1E" w:rsidRDefault="006D0F1E" w:rsidP="006D0F1E">
      <w:pPr>
        <w:spacing w:line="240" w:lineRule="auto"/>
        <w:jc w:val="both"/>
        <w:rPr>
          <w:rFonts w:ascii="Times New Roman" w:hAnsi="Times New Roman" w:cs="Times New Roman"/>
          <w:lang w:val="en-US"/>
        </w:rPr>
      </w:pPr>
      <w:r>
        <w:rPr>
          <w:noProof/>
          <w:lang w:eastAsia="es-ES"/>
        </w:rPr>
        <w:drawing>
          <wp:inline distT="0" distB="0" distL="0" distR="0" wp14:anchorId="2D8B29EB" wp14:editId="4ED3F503">
            <wp:extent cx="5727700" cy="3854450"/>
            <wp:effectExtent l="0" t="0" r="6350" b="0"/>
            <wp:docPr id="58" name="Imagen 58" descr="http://www.pewresearch.org/wp-content/uploads/sites/2/2017/04/ST_2017.04.24_Western-Europe-Middle-Class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ewresearch.org/wp-content/uploads/sites/2/2017/04/ST_2017.04.24_Western-Europe-Middle-Class_0-02.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31510" cy="3857014"/>
                    </a:xfrm>
                    <a:prstGeom prst="rect">
                      <a:avLst/>
                    </a:prstGeom>
                    <a:noFill/>
                    <a:ln>
                      <a:noFill/>
                    </a:ln>
                  </pic:spPr>
                </pic:pic>
              </a:graphicData>
            </a:graphic>
          </wp:inline>
        </w:drawing>
      </w:r>
    </w:p>
    <w:p w:rsidR="006D0F1E" w:rsidRDefault="006D0F1E" w:rsidP="006D0F1E">
      <w:pPr>
        <w:spacing w:line="240" w:lineRule="auto"/>
        <w:jc w:val="both"/>
        <w:rPr>
          <w:rFonts w:ascii="Times New Roman" w:hAnsi="Times New Roman" w:cs="Times New Roman"/>
          <w:lang w:val="en-US"/>
        </w:rPr>
      </w:pPr>
      <w:r>
        <w:rPr>
          <w:noProof/>
          <w:lang w:eastAsia="es-ES"/>
        </w:rPr>
        <w:lastRenderedPageBreak/>
        <w:drawing>
          <wp:inline distT="0" distB="0" distL="0" distR="0" wp14:anchorId="346B495C" wp14:editId="12EA1D06">
            <wp:extent cx="2660650" cy="4343400"/>
            <wp:effectExtent l="0" t="0" r="6350" b="0"/>
            <wp:docPr id="59" name="Imagen 59" descr="The middle class in the U.S. is smaller than in Western Eur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e middle class in the U.S. is smaller than in Western Europe"/>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60650" cy="4343400"/>
                    </a:xfrm>
                    <a:prstGeom prst="rect">
                      <a:avLst/>
                    </a:prstGeom>
                    <a:noFill/>
                    <a:ln>
                      <a:noFill/>
                    </a:ln>
                  </pic:spPr>
                </pic:pic>
              </a:graphicData>
            </a:graphic>
          </wp:inline>
        </w:drawing>
      </w:r>
      <w:r>
        <w:rPr>
          <w:noProof/>
          <w:lang w:eastAsia="es-ES"/>
        </w:rPr>
        <w:drawing>
          <wp:inline distT="0" distB="0" distL="0" distR="0" wp14:anchorId="3A683769" wp14:editId="4B2294E1">
            <wp:extent cx="2749550" cy="4279900"/>
            <wp:effectExtent l="0" t="0" r="0" b="6350"/>
            <wp:docPr id="60" name="Imagen 60" descr="http://www.pewresearch.org/wp-content/uploads/sites/2/2017/04/ST_2017.04.24_Western-Europe-Middle-Class_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ewresearch.org/wp-content/uploads/sites/2/2017/04/ST_2017.04.24_Western-Europe-Middle-Class_0-0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49550" cy="4279900"/>
                    </a:xfrm>
                    <a:prstGeom prst="rect">
                      <a:avLst/>
                    </a:prstGeom>
                    <a:noFill/>
                    <a:ln>
                      <a:noFill/>
                    </a:ln>
                  </pic:spPr>
                </pic:pic>
              </a:graphicData>
            </a:graphic>
          </wp:inline>
        </w:drawing>
      </w:r>
    </w:p>
    <w:p w:rsidR="006D0F1E" w:rsidRDefault="006D0F1E" w:rsidP="006D0F1E">
      <w:pPr>
        <w:spacing w:line="240" w:lineRule="auto"/>
        <w:jc w:val="both"/>
        <w:rPr>
          <w:rFonts w:ascii="Times New Roman" w:hAnsi="Times New Roman" w:cs="Times New Roman"/>
          <w:lang w:val="en-US"/>
        </w:rPr>
      </w:pPr>
      <w:r>
        <w:rPr>
          <w:noProof/>
          <w:lang w:eastAsia="es-ES"/>
        </w:rPr>
        <w:drawing>
          <wp:inline distT="0" distB="0" distL="0" distR="0" wp14:anchorId="08B65E7F" wp14:editId="5753F10C">
            <wp:extent cx="2838450" cy="3613150"/>
            <wp:effectExtent l="0" t="0" r="0" b="6350"/>
            <wp:docPr id="61" name="Imagen 61" descr="http://www.pewresearch.org/wp-content/uploads/sites/2/2017/04/ST_2017.04.24_Western-Europe-Middle-Class_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pewresearch.org/wp-content/uploads/sites/2/2017/04/ST_2017.04.24_Western-Europe-Middle-Class_0-03.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38450" cy="3613150"/>
                    </a:xfrm>
                    <a:prstGeom prst="rect">
                      <a:avLst/>
                    </a:prstGeom>
                    <a:noFill/>
                    <a:ln>
                      <a:noFill/>
                    </a:ln>
                  </pic:spPr>
                </pic:pic>
              </a:graphicData>
            </a:graphic>
          </wp:inline>
        </w:drawing>
      </w:r>
      <w:r>
        <w:rPr>
          <w:noProof/>
          <w:lang w:eastAsia="es-ES"/>
        </w:rPr>
        <w:drawing>
          <wp:inline distT="0" distB="0" distL="0" distR="0" wp14:anchorId="4A533B11" wp14:editId="760DCF9E">
            <wp:extent cx="2692400" cy="3644900"/>
            <wp:effectExtent l="0" t="0" r="0" b="0"/>
            <wp:docPr id="62" name="Imagen 62" descr="http://www.pewresearch.org/wp-content/uploads/sites/2/2017/04/ST_2017.04.24_Western-Europe-Middle-Class_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ewresearch.org/wp-content/uploads/sites/2/2017/04/ST_2017.04.24_Western-Europe-Middle-Class_0-06.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92400" cy="3644900"/>
                    </a:xfrm>
                    <a:prstGeom prst="rect">
                      <a:avLst/>
                    </a:prstGeom>
                    <a:noFill/>
                    <a:ln>
                      <a:noFill/>
                    </a:ln>
                  </pic:spPr>
                </pic:pic>
              </a:graphicData>
            </a:graphic>
          </wp:inline>
        </w:drawing>
      </w:r>
    </w:p>
    <w:p w:rsidR="006D0F1E" w:rsidRDefault="006D0F1E" w:rsidP="006D0F1E">
      <w:pPr>
        <w:spacing w:line="240" w:lineRule="auto"/>
        <w:jc w:val="both"/>
        <w:rPr>
          <w:rFonts w:ascii="Times New Roman" w:hAnsi="Times New Roman" w:cs="Times New Roman"/>
          <w:lang w:val="en-US"/>
        </w:rPr>
      </w:pPr>
    </w:p>
    <w:p w:rsidR="006D0F1E" w:rsidRDefault="006D0F1E" w:rsidP="006D0F1E">
      <w:pPr>
        <w:tabs>
          <w:tab w:val="left" w:pos="5910"/>
        </w:tabs>
        <w:spacing w:line="240" w:lineRule="auto"/>
        <w:jc w:val="both"/>
        <w:rPr>
          <w:rFonts w:ascii="Times New Roman" w:hAnsi="Times New Roman" w:cs="Times New Roman"/>
          <w:b/>
          <w:lang w:val="en-US"/>
        </w:rPr>
      </w:pPr>
    </w:p>
    <w:p w:rsidR="006D0F1E" w:rsidRPr="00E07C41" w:rsidRDefault="006D0F1E" w:rsidP="006D0F1E">
      <w:pPr>
        <w:tabs>
          <w:tab w:val="left" w:pos="5910"/>
        </w:tabs>
        <w:spacing w:line="240" w:lineRule="auto"/>
        <w:jc w:val="both"/>
        <w:rPr>
          <w:rFonts w:ascii="Times New Roman" w:hAnsi="Times New Roman" w:cs="Times New Roman"/>
          <w:b/>
          <w:lang w:val="en-US"/>
        </w:rPr>
      </w:pPr>
      <w:r w:rsidRPr="00E07C41">
        <w:rPr>
          <w:rFonts w:ascii="Times New Roman" w:hAnsi="Times New Roman" w:cs="Times New Roman"/>
          <w:b/>
          <w:lang w:val="en-US"/>
        </w:rPr>
        <w:lastRenderedPageBreak/>
        <w:t>Income and poverty in the United States - US Census Bureau</w:t>
      </w:r>
      <w:r w:rsidRPr="00E07C41">
        <w:rPr>
          <w:rFonts w:ascii="Times New Roman" w:hAnsi="Times New Roman" w:cs="Times New Roman"/>
          <w:b/>
          <w:lang w:val="en-US"/>
        </w:rPr>
        <w:tab/>
      </w:r>
    </w:p>
    <w:p w:rsidR="006D0F1E" w:rsidRDefault="006D0F1E" w:rsidP="006D0F1E">
      <w:pPr>
        <w:spacing w:line="240" w:lineRule="auto"/>
        <w:jc w:val="both"/>
        <w:rPr>
          <w:rFonts w:ascii="Times New Roman" w:hAnsi="Times New Roman" w:cs="Times New Roman"/>
          <w:sz w:val="24"/>
          <w:szCs w:val="24"/>
          <w:lang w:val="en-US"/>
        </w:rPr>
      </w:pPr>
      <w:r w:rsidRPr="00233782">
        <w:rPr>
          <w:rFonts w:ascii="Times New Roman" w:hAnsi="Times New Roman" w:cs="Times New Roman"/>
          <w:noProof/>
          <w:sz w:val="24"/>
          <w:szCs w:val="24"/>
          <w:lang w:eastAsia="es-ES"/>
        </w:rPr>
        <w:drawing>
          <wp:inline distT="0" distB="0" distL="0" distR="0" wp14:anchorId="0AE2D571" wp14:editId="3B22F90A">
            <wp:extent cx="5505450" cy="282575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510617" cy="2828402"/>
                    </a:xfrm>
                    <a:prstGeom prst="rect">
                      <a:avLst/>
                    </a:prstGeom>
                  </pic:spPr>
                </pic:pic>
              </a:graphicData>
            </a:graphic>
          </wp:inline>
        </w:drawing>
      </w:r>
    </w:p>
    <w:p w:rsidR="006D0F1E" w:rsidRPr="00F45A1A" w:rsidRDefault="006D0F1E" w:rsidP="006D0F1E">
      <w:pPr>
        <w:spacing w:line="240" w:lineRule="auto"/>
        <w:jc w:val="both"/>
        <w:rPr>
          <w:rFonts w:ascii="Times New Roman" w:hAnsi="Times New Roman" w:cs="Times New Roman"/>
          <w:sz w:val="24"/>
          <w:szCs w:val="24"/>
          <w:lang w:val="en-US"/>
        </w:rPr>
      </w:pPr>
      <w:r w:rsidRPr="00233782">
        <w:rPr>
          <w:rFonts w:ascii="Times New Roman" w:hAnsi="Times New Roman" w:cs="Times New Roman"/>
          <w:noProof/>
          <w:sz w:val="24"/>
          <w:szCs w:val="24"/>
          <w:lang w:eastAsia="es-ES"/>
        </w:rPr>
        <w:drawing>
          <wp:inline distT="0" distB="0" distL="0" distR="0" wp14:anchorId="47B8B5D2" wp14:editId="1424142E">
            <wp:extent cx="5731510" cy="4991190"/>
            <wp:effectExtent l="0" t="0" r="254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4991190"/>
                    </a:xfrm>
                    <a:prstGeom prst="rect">
                      <a:avLst/>
                    </a:prstGeom>
                  </pic:spPr>
                </pic:pic>
              </a:graphicData>
            </a:graphic>
          </wp:inline>
        </w:drawing>
      </w:r>
    </w:p>
    <w:p w:rsidR="006D0F1E" w:rsidRDefault="006D0F1E" w:rsidP="006D0F1E">
      <w:pPr>
        <w:rPr>
          <w:lang w:val="en-US"/>
        </w:rPr>
      </w:pPr>
    </w:p>
    <w:p w:rsidR="006D0F1E" w:rsidRDefault="006D0F1E" w:rsidP="006D0F1E">
      <w:pPr>
        <w:rPr>
          <w:lang w:val="en-US"/>
        </w:rPr>
      </w:pPr>
    </w:p>
    <w:p w:rsidR="006D0F1E" w:rsidRPr="00E07C41" w:rsidRDefault="006D0F1E" w:rsidP="006D0F1E">
      <w:pPr>
        <w:rPr>
          <w:rFonts w:ascii="Times New Roman" w:hAnsi="Times New Roman" w:cs="Times New Roman"/>
          <w:b/>
          <w:sz w:val="24"/>
          <w:szCs w:val="24"/>
          <w:lang w:val="en-US"/>
        </w:rPr>
      </w:pPr>
      <w:r w:rsidRPr="00E07C41">
        <w:rPr>
          <w:rFonts w:ascii="Times New Roman" w:hAnsi="Times New Roman" w:cs="Times New Roman"/>
          <w:b/>
          <w:sz w:val="24"/>
          <w:szCs w:val="24"/>
          <w:lang w:val="en-US"/>
        </w:rPr>
        <w:lastRenderedPageBreak/>
        <w:t>Income and living conditions in Europe - Edited by Anthony B. Atkinson and Eric Marlier - European Commission - 2010</w:t>
      </w:r>
    </w:p>
    <w:p w:rsidR="006D0F1E" w:rsidRDefault="006D0F1E" w:rsidP="006D0F1E">
      <w:pPr>
        <w:spacing w:line="240" w:lineRule="auto"/>
        <w:jc w:val="both"/>
        <w:rPr>
          <w:rFonts w:ascii="Times New Roman" w:hAnsi="Times New Roman" w:cs="Times New Roman"/>
          <w:lang w:val="en-US"/>
        </w:rPr>
      </w:pPr>
      <w:r w:rsidRPr="00AD6E62">
        <w:rPr>
          <w:rFonts w:ascii="Times New Roman" w:hAnsi="Times New Roman" w:cs="Times New Roman"/>
          <w:noProof/>
          <w:lang w:eastAsia="es-ES"/>
        </w:rPr>
        <w:drawing>
          <wp:inline distT="0" distB="0" distL="0" distR="0" wp14:anchorId="4726E8D9" wp14:editId="3ABFB941">
            <wp:extent cx="5726323" cy="1619250"/>
            <wp:effectExtent l="0" t="0" r="825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1620717"/>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17213D">
        <w:rPr>
          <w:rFonts w:ascii="Times New Roman" w:hAnsi="Times New Roman" w:cs="Times New Roman"/>
          <w:noProof/>
          <w:lang w:eastAsia="es-ES"/>
        </w:rPr>
        <w:drawing>
          <wp:inline distT="0" distB="0" distL="0" distR="0" wp14:anchorId="6832C615" wp14:editId="7EE5FACD">
            <wp:extent cx="5730438" cy="1193800"/>
            <wp:effectExtent l="0" t="0" r="381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1194023"/>
                    </a:xfrm>
                    <a:prstGeom prst="rect">
                      <a:avLst/>
                    </a:prstGeom>
                  </pic:spPr>
                </pic:pic>
              </a:graphicData>
            </a:graphic>
          </wp:inline>
        </w:drawing>
      </w:r>
    </w:p>
    <w:p w:rsidR="006D0F1E" w:rsidRPr="00E07C41" w:rsidRDefault="006D0F1E" w:rsidP="006D0F1E">
      <w:pPr>
        <w:spacing w:line="240" w:lineRule="auto"/>
        <w:jc w:val="both"/>
        <w:rPr>
          <w:rFonts w:ascii="Times New Roman" w:hAnsi="Times New Roman" w:cs="Times New Roman"/>
          <w:b/>
          <w:lang w:val="en-US"/>
        </w:rPr>
      </w:pPr>
      <w:r w:rsidRPr="00E07C41">
        <w:rPr>
          <w:rFonts w:ascii="Times New Roman" w:hAnsi="Times New Roman" w:cs="Times New Roman"/>
          <w:b/>
          <w:lang w:val="en-US"/>
        </w:rPr>
        <w:t>World Bank - Database</w:t>
      </w:r>
      <w:r>
        <w:rPr>
          <w:rFonts w:ascii="Times New Roman" w:hAnsi="Times New Roman" w:cs="Times New Roman"/>
          <w:b/>
          <w:lang w:val="en-US"/>
        </w:rPr>
        <w:t xml:space="preserve"> - Poverty &amp; Equity Brief</w:t>
      </w:r>
    </w:p>
    <w:p w:rsidR="006D0F1E" w:rsidRPr="00E07C41" w:rsidRDefault="006D0F1E" w:rsidP="006D0F1E">
      <w:pPr>
        <w:spacing w:line="240" w:lineRule="auto"/>
        <w:jc w:val="both"/>
        <w:rPr>
          <w:rFonts w:ascii="Times New Roman" w:hAnsi="Times New Roman" w:cs="Times New Roman"/>
          <w:b/>
          <w:lang w:val="en-US"/>
        </w:rPr>
      </w:pPr>
      <w:r w:rsidRPr="00E07C41">
        <w:rPr>
          <w:rFonts w:ascii="Times New Roman" w:hAnsi="Times New Roman" w:cs="Times New Roman"/>
          <w:b/>
          <w:lang w:val="en-US"/>
        </w:rPr>
        <w:t>China</w:t>
      </w:r>
    </w:p>
    <w:p w:rsidR="006D0F1E" w:rsidRDefault="006D0F1E" w:rsidP="006D0F1E">
      <w:pPr>
        <w:spacing w:line="240" w:lineRule="auto"/>
        <w:jc w:val="both"/>
        <w:rPr>
          <w:rFonts w:ascii="Times New Roman" w:hAnsi="Times New Roman" w:cs="Times New Roman"/>
          <w:lang w:val="en-US"/>
        </w:rPr>
      </w:pPr>
      <w:r w:rsidRPr="00E07C41">
        <w:rPr>
          <w:rFonts w:ascii="Times New Roman" w:hAnsi="Times New Roman" w:cs="Times New Roman"/>
          <w:noProof/>
          <w:lang w:eastAsia="es-ES"/>
        </w:rPr>
        <w:drawing>
          <wp:inline distT="0" distB="0" distL="0" distR="0" wp14:anchorId="57D38F3F" wp14:editId="6A2B38A1">
            <wp:extent cx="5727700" cy="4502150"/>
            <wp:effectExtent l="0" t="0" r="635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29187" cy="4503319"/>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E07C41">
        <w:rPr>
          <w:rFonts w:ascii="Times New Roman" w:hAnsi="Times New Roman" w:cs="Times New Roman"/>
          <w:noProof/>
          <w:lang w:eastAsia="es-ES"/>
        </w:rPr>
        <w:lastRenderedPageBreak/>
        <w:drawing>
          <wp:inline distT="0" distB="0" distL="0" distR="0" wp14:anchorId="1728630A" wp14:editId="036C355A">
            <wp:extent cx="5731510" cy="4701553"/>
            <wp:effectExtent l="0" t="0" r="2540" b="381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4701553"/>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rPr>
      </w:pPr>
      <w:r w:rsidRPr="00E6365C">
        <w:rPr>
          <w:rFonts w:ascii="Times New Roman" w:hAnsi="Times New Roman" w:cs="Times New Roman"/>
          <w:b/>
        </w:rPr>
        <w:t xml:space="preserve">Desigualdad global: elefantes y olas </w:t>
      </w:r>
      <w:r>
        <w:rPr>
          <w:rFonts w:ascii="Times New Roman" w:hAnsi="Times New Roman" w:cs="Times New Roman"/>
          <w:b/>
        </w:rPr>
        <w:t xml:space="preserve">- </w:t>
      </w:r>
      <w:r w:rsidRPr="00E6365C">
        <w:rPr>
          <w:rFonts w:ascii="Times New Roman" w:hAnsi="Times New Roman" w:cs="Times New Roman"/>
        </w:rPr>
        <w:t xml:space="preserve">(World Economic Forum - </w:t>
      </w:r>
      <w:r w:rsidRPr="00751623">
        <w:rPr>
          <w:rFonts w:ascii="Times New Roman" w:hAnsi="Times New Roman" w:cs="Times New Roman"/>
          <w:b/>
        </w:rPr>
        <w:t>11/1/17</w:t>
      </w:r>
      <w:r w:rsidRPr="00E6365C">
        <w:rPr>
          <w:rFonts w:ascii="Times New Roman" w:hAnsi="Times New Roman" w:cs="Times New Roman"/>
        </w:rPr>
        <w:t xml:space="preserve">) </w:t>
      </w:r>
    </w:p>
    <w:p w:rsidR="006D0F1E" w:rsidRPr="00751623" w:rsidRDefault="006D0F1E" w:rsidP="006D0F1E">
      <w:pPr>
        <w:spacing w:line="240" w:lineRule="auto"/>
        <w:jc w:val="both"/>
        <w:rPr>
          <w:rFonts w:ascii="Times New Roman" w:hAnsi="Times New Roman" w:cs="Times New Roman"/>
          <w:lang w:val="en-US"/>
        </w:rPr>
      </w:pPr>
      <w:r w:rsidRPr="00751623">
        <w:rPr>
          <w:rFonts w:ascii="Times New Roman" w:hAnsi="Times New Roman" w:cs="Times New Roman"/>
          <w:lang w:val="en-US"/>
        </w:rPr>
        <w:t>Global Inequality: a new approach for the age of glablization</w:t>
      </w:r>
    </w:p>
    <w:p w:rsidR="006D0F1E" w:rsidRPr="00E6365C" w:rsidRDefault="006D0F1E" w:rsidP="006D0F1E">
      <w:pPr>
        <w:spacing w:line="240" w:lineRule="auto"/>
        <w:jc w:val="both"/>
        <w:rPr>
          <w:rFonts w:ascii="Times New Roman" w:hAnsi="Times New Roman" w:cs="Times New Roman"/>
        </w:rPr>
      </w:pPr>
      <w:r w:rsidRPr="008B1147">
        <w:rPr>
          <w:rFonts w:ascii="Times New Roman" w:hAnsi="Times New Roman" w:cs="Times New Roman"/>
          <w:lang w:val="en-US"/>
        </w:rPr>
        <w:t xml:space="preserve"> </w:t>
      </w:r>
      <w:r>
        <w:rPr>
          <w:rFonts w:ascii="Times New Roman" w:hAnsi="Times New Roman" w:cs="Times New Roman"/>
        </w:rPr>
        <w:t>(“</w:t>
      </w:r>
      <w:r w:rsidRPr="00E6365C">
        <w:rPr>
          <w:rFonts w:ascii="Times New Roman" w:hAnsi="Times New Roman" w:cs="Times New Roman"/>
        </w:rPr>
        <w:t>Desigualdad global: un nuevo enfoque pa</w:t>
      </w:r>
      <w:r>
        <w:rPr>
          <w:rFonts w:ascii="Times New Roman" w:hAnsi="Times New Roman" w:cs="Times New Roman"/>
        </w:rPr>
        <w:t>ra la era de la globalización”)</w:t>
      </w:r>
    </w:p>
    <w:p w:rsidR="006D0F1E" w:rsidRPr="00751623" w:rsidRDefault="006D0F1E" w:rsidP="006D0F1E">
      <w:pPr>
        <w:spacing w:line="240" w:lineRule="auto"/>
        <w:jc w:val="both"/>
        <w:rPr>
          <w:rFonts w:ascii="Times New Roman" w:hAnsi="Times New Roman" w:cs="Times New Roman"/>
          <w:lang w:val="en-US"/>
        </w:rPr>
      </w:pPr>
      <w:r w:rsidRPr="00751623">
        <w:rPr>
          <w:rFonts w:ascii="Times New Roman" w:hAnsi="Times New Roman" w:cs="Times New Roman"/>
          <w:lang w:val="en-US"/>
        </w:rPr>
        <w:t>(</w:t>
      </w:r>
      <w:r w:rsidRPr="00E6365C">
        <w:rPr>
          <w:rFonts w:ascii="Times New Roman" w:hAnsi="Times New Roman" w:cs="Times New Roman"/>
          <w:lang w:val="en-US"/>
        </w:rPr>
        <w:t xml:space="preserve">Branko Milanovic, </w:t>
      </w:r>
      <w:r>
        <w:rPr>
          <w:rFonts w:ascii="Times New Roman" w:hAnsi="Times New Roman" w:cs="Times New Roman"/>
          <w:lang w:val="en-US"/>
        </w:rPr>
        <w:t>Harvard University Press, 2016)</w:t>
      </w:r>
    </w:p>
    <w:p w:rsidR="006D0F1E" w:rsidRPr="00E6365C"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E6365C">
        <w:rPr>
          <w:rFonts w:ascii="Times New Roman" w:eastAsia="Times New Roman" w:hAnsi="Times New Roman" w:cs="Times New Roman"/>
          <w:color w:val="141414"/>
          <w:sz w:val="24"/>
          <w:szCs w:val="24"/>
          <w:lang w:eastAsia="es-ES"/>
        </w:rPr>
        <w:t>Estamos en una era profundamente pesimista. Los movimientos antiglobalización y ultranacionalistas están en auge. La idea de progreso se encuentra en retroceso, crecen las desigualdades y los miembros de la próxima generación vivirán peor que sus padres. La mayor apertura económica que ha caracterizado la globalización parece haber entrado en decadencia mientras que el populismo y el nacionalismo siguen creciendo.</w:t>
      </w:r>
    </w:p>
    <w:p w:rsidR="006D0F1E" w:rsidRPr="00E6365C"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E6365C">
        <w:rPr>
          <w:rFonts w:ascii="Times New Roman" w:eastAsia="Times New Roman" w:hAnsi="Times New Roman" w:cs="Times New Roman"/>
          <w:color w:val="141414"/>
          <w:sz w:val="24"/>
          <w:szCs w:val="24"/>
          <w:lang w:eastAsia="es-ES"/>
        </w:rPr>
        <w:t xml:space="preserve">¿Es esto cierto? Desde una perspectiva global, las afirmaciones anteriores, bastante extendidas, son muy discutibles. El mundo no ha dejado de progresar incluso durante la Gran Recesión. Basta con consultar los datos de los últimos veinte años, que indican que la pobreza extrema y la mortalidad infantil se han reducido y la enseñanza primaria universal se ha generalizado. O simplemente observar el desarrollo experimentado en Asia Oriental. De hecho, el autor de este libro considera que </w:t>
      </w:r>
      <w:r w:rsidR="0036518C" w:rsidRPr="00E6365C">
        <w:rPr>
          <w:rFonts w:ascii="Times New Roman" w:eastAsia="Times New Roman" w:hAnsi="Times New Roman" w:cs="Times New Roman"/>
          <w:color w:val="141414"/>
          <w:sz w:val="24"/>
          <w:szCs w:val="24"/>
          <w:lang w:eastAsia="es-ES"/>
        </w:rPr>
        <w:t>las</w:t>
      </w:r>
      <w:r w:rsidRPr="00E6365C">
        <w:rPr>
          <w:rFonts w:ascii="Times New Roman" w:eastAsia="Times New Roman" w:hAnsi="Times New Roman" w:cs="Times New Roman"/>
          <w:color w:val="141414"/>
          <w:sz w:val="24"/>
          <w:szCs w:val="24"/>
          <w:lang w:eastAsia="es-ES"/>
        </w:rPr>
        <w:t xml:space="preserve"> últimas décadas constituyen probablemente el primer período desde la Revolución Industrial en que la desigualdad de ingresos se ha reducido a escala global. Según Gallup, en la actualidad los europeos, los japoneses y los estadounidenses se muestran pesimistas sobre las posibilidades de que mejore su calidad de vida, mientras que 14 de los 15 países cuya población es más optimista al respecto son </w:t>
      </w:r>
      <w:r w:rsidRPr="00E6365C">
        <w:rPr>
          <w:rFonts w:ascii="Times New Roman" w:eastAsia="Times New Roman" w:hAnsi="Times New Roman" w:cs="Times New Roman"/>
          <w:color w:val="141414"/>
          <w:sz w:val="24"/>
          <w:szCs w:val="24"/>
          <w:lang w:eastAsia="es-ES"/>
        </w:rPr>
        <w:lastRenderedPageBreak/>
        <w:t>africanos. El incremento de los flujos de capitales, bienes, servicios y personas ha generado grandes beneficios, pero estos no han sido bien distribuidos. ¿Quiénes son los ganadores y los perdedores de la globalización? Si esta se prolonga en el tiempo, ¿qué impacto cabrá esperar de ella? Para responder a estas preguntas, es preciso adoptar una perspectiva multidisciplinaria y global, basada en datos empíricos.</w:t>
      </w:r>
    </w:p>
    <w:p w:rsidR="006D0F1E" w:rsidRPr="00E6365C"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E6365C">
        <w:rPr>
          <w:rFonts w:ascii="Times New Roman" w:eastAsia="Times New Roman" w:hAnsi="Times New Roman" w:cs="Times New Roman"/>
          <w:color w:val="141414"/>
          <w:sz w:val="24"/>
          <w:szCs w:val="24"/>
          <w:lang w:eastAsia="es-ES"/>
        </w:rPr>
        <w:t>Branko Milanovic, economista serbio nacionalizado estadounidense, experto en desarrollo y desigualdad de ingresos, es la persona idónea para abordar esta tarea puesto que posee una gran experiencia en el tratamiento de datos globales sobre la desigualdad, tanto en el Banco Mundial como en el Luxembourg Income Study (LIS). En esta obra, Milanovic lleva a cabo un repaso de la historia de la desigualdad, que es un complemento perfecto de su libro anterior, titulado </w:t>
      </w:r>
      <w:r w:rsidRPr="00E6365C">
        <w:rPr>
          <w:rFonts w:ascii="Times New Roman" w:eastAsia="Times New Roman" w:hAnsi="Times New Roman" w:cs="Times New Roman"/>
          <w:i/>
          <w:iCs/>
          <w:color w:val="141414"/>
          <w:sz w:val="24"/>
          <w:szCs w:val="24"/>
          <w:lang w:eastAsia="es-ES"/>
        </w:rPr>
        <w:t>The Haves and the Have-Nots: A Brief and Idiosyncratic</w:t>
      </w:r>
      <w:r>
        <w:rPr>
          <w:rFonts w:ascii="Times New Roman" w:eastAsia="Times New Roman" w:hAnsi="Times New Roman" w:cs="Times New Roman"/>
          <w:i/>
          <w:iCs/>
          <w:color w:val="141414"/>
          <w:sz w:val="24"/>
          <w:szCs w:val="24"/>
          <w:lang w:eastAsia="es-ES"/>
        </w:rPr>
        <w:t xml:space="preserve"> History of Global Inequality (“</w:t>
      </w:r>
      <w:r w:rsidRPr="00E6365C">
        <w:rPr>
          <w:rFonts w:ascii="Times New Roman" w:eastAsia="Times New Roman" w:hAnsi="Times New Roman" w:cs="Times New Roman"/>
          <w:i/>
          <w:iCs/>
          <w:color w:val="141414"/>
          <w:sz w:val="24"/>
          <w:szCs w:val="24"/>
          <w:lang w:eastAsia="es-ES"/>
        </w:rPr>
        <w:t>Los que tienen y los que no tienen. Breve y particular his</w:t>
      </w:r>
      <w:r>
        <w:rPr>
          <w:rFonts w:ascii="Times New Roman" w:eastAsia="Times New Roman" w:hAnsi="Times New Roman" w:cs="Times New Roman"/>
          <w:i/>
          <w:iCs/>
          <w:color w:val="141414"/>
          <w:sz w:val="24"/>
          <w:szCs w:val="24"/>
          <w:lang w:eastAsia="es-ES"/>
        </w:rPr>
        <w:t>toria de la desigualdad global”)</w:t>
      </w:r>
      <w:r w:rsidRPr="00E6365C">
        <w:rPr>
          <w:rFonts w:ascii="Times New Roman" w:eastAsia="Times New Roman" w:hAnsi="Times New Roman" w:cs="Times New Roman"/>
          <w:i/>
          <w:iCs/>
          <w:color w:val="141414"/>
          <w:sz w:val="24"/>
          <w:szCs w:val="24"/>
          <w:lang w:eastAsia="es-ES"/>
        </w:rPr>
        <w:t>.</w:t>
      </w:r>
      <w:r w:rsidRPr="00E6365C">
        <w:rPr>
          <w:rFonts w:ascii="Times New Roman" w:eastAsia="Times New Roman" w:hAnsi="Times New Roman" w:cs="Times New Roman"/>
          <w:color w:val="141414"/>
          <w:sz w:val="24"/>
          <w:szCs w:val="24"/>
          <w:lang w:eastAsia="es-ES"/>
        </w:rPr>
        <w:t> Milanovic acompaña su análisis económico con un enfoque histórico y político. El resultado es una obra imprescindible para todos los lectores interesados en la materia, ya sean economistas, diseñadores de políticas públicas y, en general, todos aquellos que quieran entender cómo ha evolucionado la desigualdad de ingresos.</w:t>
      </w:r>
    </w:p>
    <w:p w:rsidR="006D0F1E" w:rsidRPr="00E6365C" w:rsidRDefault="006D0F1E" w:rsidP="006D0F1E">
      <w:pPr>
        <w:spacing w:before="100" w:beforeAutospacing="1" w:after="100" w:afterAutospacing="1" w:line="240" w:lineRule="auto"/>
        <w:jc w:val="both"/>
        <w:outlineLvl w:val="1"/>
        <w:rPr>
          <w:rFonts w:ascii="Times New Roman" w:eastAsia="Times New Roman" w:hAnsi="Times New Roman" w:cs="Times New Roman"/>
          <w:b/>
          <w:bCs/>
          <w:color w:val="141414"/>
          <w:sz w:val="24"/>
          <w:szCs w:val="24"/>
          <w:lang w:eastAsia="es-ES"/>
        </w:rPr>
      </w:pPr>
      <w:r w:rsidRPr="00E6365C">
        <w:rPr>
          <w:rFonts w:ascii="Times New Roman" w:eastAsia="Times New Roman" w:hAnsi="Times New Roman" w:cs="Times New Roman"/>
          <w:b/>
          <w:bCs/>
          <w:color w:val="141414"/>
          <w:sz w:val="24"/>
          <w:szCs w:val="24"/>
          <w:lang w:eastAsia="es-ES"/>
        </w:rPr>
        <w:t>La paradoja global del elefante</w:t>
      </w:r>
    </w:p>
    <w:p w:rsidR="006D0F1E" w:rsidRPr="00E6365C"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E6365C">
        <w:rPr>
          <w:rFonts w:ascii="Times New Roman" w:eastAsia="Times New Roman" w:hAnsi="Times New Roman" w:cs="Times New Roman"/>
          <w:i/>
          <w:iCs/>
          <w:color w:val="141414"/>
          <w:sz w:val="24"/>
          <w:szCs w:val="24"/>
          <w:lang w:eastAsia="es-ES"/>
        </w:rPr>
        <w:t>Global Inequality</w:t>
      </w:r>
      <w:r w:rsidRPr="00E6365C">
        <w:rPr>
          <w:rFonts w:ascii="Times New Roman" w:eastAsia="Times New Roman" w:hAnsi="Times New Roman" w:cs="Times New Roman"/>
          <w:color w:val="141414"/>
          <w:sz w:val="24"/>
          <w:szCs w:val="24"/>
          <w:lang w:eastAsia="es-ES"/>
        </w:rPr>
        <w:t xml:space="preserve"> se centra más en la desigualdad de ingresos que en la riqueza, y más en la desigualdad global que en la nacional. El libro comienza con el célebre diagrama del elefante, que muestra la evolución de los ingresos reales a escala global de 1988 a 2008, distribuidos en deciles, de más pobre a más rico. A simple vista, es fácil apreciar que el período de globalización que va desde aproximadamente la caída del Muro de Berlín hasta el estallido de la crisis financiera se caracteriza por a) la emergencia de </w:t>
      </w:r>
      <w:r>
        <w:rPr>
          <w:rFonts w:ascii="Times New Roman" w:eastAsia="Times New Roman" w:hAnsi="Times New Roman" w:cs="Times New Roman"/>
          <w:color w:val="141414"/>
          <w:sz w:val="24"/>
          <w:szCs w:val="24"/>
          <w:lang w:eastAsia="es-ES"/>
        </w:rPr>
        <w:t>lo que podría calificarse como “la nueva clase media mundial”</w:t>
      </w:r>
      <w:r w:rsidRPr="00E6365C">
        <w:rPr>
          <w:rFonts w:ascii="Times New Roman" w:eastAsia="Times New Roman" w:hAnsi="Times New Roman" w:cs="Times New Roman"/>
          <w:color w:val="141414"/>
          <w:sz w:val="24"/>
          <w:szCs w:val="24"/>
          <w:lang w:eastAsia="es-ES"/>
        </w:rPr>
        <w:t>; b) el estancamiento de los ingresos de las clases medias y trabajadoras de los países d</w:t>
      </w:r>
      <w:r>
        <w:rPr>
          <w:rFonts w:ascii="Times New Roman" w:eastAsia="Times New Roman" w:hAnsi="Times New Roman" w:cs="Times New Roman"/>
          <w:color w:val="141414"/>
          <w:sz w:val="24"/>
          <w:szCs w:val="24"/>
          <w:lang w:eastAsia="es-ES"/>
        </w:rPr>
        <w:t>esarrollados; c) el auge de la “plutocracia global”</w:t>
      </w:r>
      <w:r w:rsidRPr="00E6365C">
        <w:rPr>
          <w:rFonts w:ascii="Times New Roman" w:eastAsia="Times New Roman" w:hAnsi="Times New Roman" w:cs="Times New Roman"/>
          <w:color w:val="141414"/>
          <w:sz w:val="24"/>
          <w:szCs w:val="24"/>
          <w:lang w:eastAsia="es-ES"/>
        </w:rPr>
        <w:t>.</w:t>
      </w:r>
    </w:p>
    <w:p w:rsidR="006D0F1E" w:rsidRPr="00E6365C" w:rsidRDefault="006D0F1E" w:rsidP="006D0F1E">
      <w:pPr>
        <w:spacing w:after="0" w:line="240" w:lineRule="auto"/>
        <w:jc w:val="both"/>
        <w:rPr>
          <w:rFonts w:ascii="Times New Roman" w:eastAsia="Times New Roman" w:hAnsi="Times New Roman" w:cs="Times New Roman"/>
          <w:sz w:val="24"/>
          <w:szCs w:val="24"/>
          <w:lang w:eastAsia="es-ES"/>
        </w:rPr>
      </w:pPr>
      <w:r w:rsidRPr="00E6365C">
        <w:rPr>
          <w:rFonts w:ascii="Times New Roman" w:eastAsia="Times New Roman" w:hAnsi="Times New Roman" w:cs="Times New Roman"/>
          <w:noProof/>
          <w:sz w:val="24"/>
          <w:szCs w:val="24"/>
          <w:lang w:eastAsia="es-ES"/>
        </w:rPr>
        <w:drawing>
          <wp:inline distT="0" distB="0" distL="0" distR="0" wp14:anchorId="69477271" wp14:editId="74FE5474">
            <wp:extent cx="5765800" cy="3606800"/>
            <wp:effectExtent l="0" t="0" r="6350" b="0"/>
            <wp:docPr id="69" name="Imagen 6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5800" cy="3606800"/>
                    </a:xfrm>
                    <a:prstGeom prst="rect">
                      <a:avLst/>
                    </a:prstGeom>
                    <a:noFill/>
                    <a:ln>
                      <a:noFill/>
                    </a:ln>
                  </pic:spPr>
                </pic:pic>
              </a:graphicData>
            </a:graphic>
          </wp:inline>
        </w:drawing>
      </w:r>
    </w:p>
    <w:p w:rsidR="006D0F1E" w:rsidRPr="00E6365C"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E6365C">
        <w:rPr>
          <w:rFonts w:ascii="Times New Roman" w:eastAsia="Times New Roman" w:hAnsi="Times New Roman" w:cs="Times New Roman"/>
          <w:color w:val="141414"/>
          <w:sz w:val="24"/>
          <w:szCs w:val="24"/>
          <w:lang w:eastAsia="es-ES"/>
        </w:rPr>
        <w:lastRenderedPageBreak/>
        <w:t>Este período es, probablemente, el de mayor globalización de la historia (salvo en movilidad laboral), en que el comercio ha crecido a un ritmo muy superior al PIB mundial y los flujos de capitales internacionales se han incrementado de forma muy considerable, incluyendo las inversiones extranjeras directas. Esta mayor apertura, unida al cambio tecnológico, que beneficia a quienes disponen de más capacidades, ha propiciado grandes cambios en el reparto de los ingresos. Los grandes ganadores han sido los que ocupan el bloque central de la distribución de los ingresos mundiales (percentiles 45 a 65), que en el período 1988-2011 han duplicado sus ingresos. Estos se encuentran principalmente en China y, en menor medida, en las principales urbes de los países asiáticos en vías de desarrollo (Vietnam, Tailandia), aunque todavía están muy lejos de la tradicional clase media occidental. Buena parte de ellos eran campesinos que han emigrado a las ciudades para trabajar en fábricas y talleres. Algunas de las grandes incógnitas son si este proceso proseguirá ahora que China se halla más cerca de la media global de ingresos y si los países del Asia meridional o del África subsahariana serán capaces de emular al Imperio del Centro.</w:t>
      </w:r>
    </w:p>
    <w:p w:rsidR="006D0F1E" w:rsidRPr="00E6365C" w:rsidRDefault="006D0F1E" w:rsidP="006D0F1E">
      <w:pPr>
        <w:spacing w:after="0" w:line="240" w:lineRule="auto"/>
        <w:jc w:val="both"/>
        <w:rPr>
          <w:rFonts w:ascii="Times New Roman" w:eastAsia="Times New Roman" w:hAnsi="Times New Roman" w:cs="Times New Roman"/>
          <w:sz w:val="24"/>
          <w:szCs w:val="24"/>
          <w:lang w:eastAsia="es-ES"/>
        </w:rPr>
      </w:pPr>
      <w:r w:rsidRPr="00E6365C">
        <w:rPr>
          <w:rFonts w:ascii="Times New Roman" w:eastAsia="Times New Roman" w:hAnsi="Times New Roman" w:cs="Times New Roman"/>
          <w:noProof/>
          <w:sz w:val="24"/>
          <w:szCs w:val="24"/>
          <w:lang w:eastAsia="es-ES"/>
        </w:rPr>
        <w:drawing>
          <wp:inline distT="0" distB="0" distL="0" distR="0" wp14:anchorId="5BFAEC90" wp14:editId="4452250E">
            <wp:extent cx="5715000" cy="3346450"/>
            <wp:effectExtent l="0" t="0" r="0" b="6350"/>
            <wp:docPr id="70" name="Imagen 7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15000" cy="3346450"/>
                    </a:xfrm>
                    <a:prstGeom prst="rect">
                      <a:avLst/>
                    </a:prstGeom>
                    <a:noFill/>
                    <a:ln>
                      <a:noFill/>
                    </a:ln>
                  </pic:spPr>
                </pic:pic>
              </a:graphicData>
            </a:graphic>
          </wp:inline>
        </w:drawing>
      </w:r>
    </w:p>
    <w:p w:rsidR="006D0F1E" w:rsidRPr="00E6365C"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E6365C">
        <w:rPr>
          <w:rFonts w:ascii="Times New Roman" w:eastAsia="Times New Roman" w:hAnsi="Times New Roman" w:cs="Times New Roman"/>
          <w:color w:val="141414"/>
          <w:sz w:val="24"/>
          <w:szCs w:val="24"/>
          <w:lang w:eastAsia="es-ES"/>
        </w:rPr>
        <w:t>Por su parte, las clases medias y trabajadoras de los países occidentales (percentiles 80 a 95) han visto cómo sus ingresos se congelaban, pese a las ganancias en productividad. Serían los famosos perdedores de la globalización, cada vez más célebres a raíz del triunfo de Trump, de la victoria de los partidarios del </w:t>
      </w:r>
      <w:r w:rsidRPr="00E6365C">
        <w:rPr>
          <w:rFonts w:ascii="Times New Roman" w:eastAsia="Times New Roman" w:hAnsi="Times New Roman" w:cs="Times New Roman"/>
          <w:i/>
          <w:iCs/>
          <w:color w:val="141414"/>
          <w:sz w:val="24"/>
          <w:szCs w:val="24"/>
          <w:lang w:eastAsia="es-ES"/>
        </w:rPr>
        <w:t>brexit</w:t>
      </w:r>
      <w:r w:rsidRPr="00E6365C">
        <w:rPr>
          <w:rFonts w:ascii="Times New Roman" w:eastAsia="Times New Roman" w:hAnsi="Times New Roman" w:cs="Times New Roman"/>
          <w:color w:val="141414"/>
          <w:sz w:val="24"/>
          <w:szCs w:val="24"/>
          <w:lang w:eastAsia="es-ES"/>
        </w:rPr>
        <w:t> y del auge del nativismo en Europa. En este caso, los críticos de Milanovic señalan que la curva del elefante está muy condicionada por las experiencias de Japón y de los estados pertenecientes al espacio postsoviético, y que el estancamiento de los ingresos no es tan agudo. Otra crítica plausible es que Milanovic no abunda en la injusticia intergeneracional de las sociedades occidentales, con la que los jóvenes salen perdiendo mucho más que sus padres y abuelos.</w:t>
      </w:r>
    </w:p>
    <w:p w:rsidR="006D0F1E" w:rsidRPr="00E6365C"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E6365C">
        <w:rPr>
          <w:rFonts w:ascii="Times New Roman" w:eastAsia="Times New Roman" w:hAnsi="Times New Roman" w:cs="Times New Roman"/>
          <w:color w:val="141414"/>
          <w:sz w:val="24"/>
          <w:szCs w:val="24"/>
          <w:lang w:eastAsia="es-ES"/>
        </w:rPr>
        <w:t>Por último, el autor señala a los súper ricos como los otros grandes beneficiados del proceso de glo</w:t>
      </w:r>
      <w:r>
        <w:rPr>
          <w:rFonts w:ascii="Times New Roman" w:eastAsia="Times New Roman" w:hAnsi="Times New Roman" w:cs="Times New Roman"/>
          <w:color w:val="141414"/>
          <w:sz w:val="24"/>
          <w:szCs w:val="24"/>
          <w:lang w:eastAsia="es-ES"/>
        </w:rPr>
        <w:t>balización. No se trataría del “top 1%”</w:t>
      </w:r>
      <w:r w:rsidRPr="00E6365C">
        <w:rPr>
          <w:rFonts w:ascii="Times New Roman" w:eastAsia="Times New Roman" w:hAnsi="Times New Roman" w:cs="Times New Roman"/>
          <w:color w:val="141414"/>
          <w:sz w:val="24"/>
          <w:szCs w:val="24"/>
          <w:lang w:eastAsia="es-ES"/>
        </w:rPr>
        <w:t xml:space="preserve"> mundial, unos 70 millones de personas que incluyen el 12% de la población estadounidense, pues estos habrían incrementado sustancialmente sus ingresos entre 1988 y 2008, pero habrían sufrido la crisis de 2008 a 2011, </w:t>
      </w:r>
      <w:r>
        <w:rPr>
          <w:rFonts w:ascii="Times New Roman" w:eastAsia="Times New Roman" w:hAnsi="Times New Roman" w:cs="Times New Roman"/>
          <w:color w:val="141414"/>
          <w:sz w:val="24"/>
          <w:szCs w:val="24"/>
          <w:lang w:eastAsia="es-ES"/>
        </w:rPr>
        <w:lastRenderedPageBreak/>
        <w:t>sino de los “plutócratas globales”</w:t>
      </w:r>
      <w:r w:rsidRPr="00E6365C">
        <w:rPr>
          <w:rFonts w:ascii="Times New Roman" w:eastAsia="Times New Roman" w:hAnsi="Times New Roman" w:cs="Times New Roman"/>
          <w:color w:val="141414"/>
          <w:sz w:val="24"/>
          <w:szCs w:val="24"/>
          <w:lang w:eastAsia="es-ES"/>
        </w:rPr>
        <w:t>, billonarios que se han visto beneficiados por la mayor apertura económica y el progreso tecnológico.</w:t>
      </w:r>
    </w:p>
    <w:p w:rsidR="006D0F1E" w:rsidRPr="00E6365C" w:rsidRDefault="006D0F1E" w:rsidP="006D0F1E">
      <w:pPr>
        <w:spacing w:before="100" w:beforeAutospacing="1" w:after="100" w:afterAutospacing="1" w:line="240" w:lineRule="auto"/>
        <w:jc w:val="both"/>
        <w:outlineLvl w:val="1"/>
        <w:rPr>
          <w:rFonts w:ascii="Times New Roman" w:eastAsia="Times New Roman" w:hAnsi="Times New Roman" w:cs="Times New Roman"/>
          <w:b/>
          <w:bCs/>
          <w:color w:val="141414"/>
          <w:sz w:val="24"/>
          <w:szCs w:val="24"/>
          <w:lang w:eastAsia="es-ES"/>
        </w:rPr>
      </w:pPr>
      <w:r w:rsidRPr="00E6365C">
        <w:rPr>
          <w:rFonts w:ascii="Times New Roman" w:eastAsia="Times New Roman" w:hAnsi="Times New Roman" w:cs="Times New Roman"/>
          <w:b/>
          <w:bCs/>
          <w:color w:val="141414"/>
          <w:sz w:val="24"/>
          <w:szCs w:val="24"/>
          <w:lang w:eastAsia="es-ES"/>
        </w:rPr>
        <w:t>Las olas de Kuznets</w:t>
      </w:r>
    </w:p>
    <w:p w:rsidR="006D0F1E" w:rsidRPr="00E6365C"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E6365C">
        <w:rPr>
          <w:rFonts w:ascii="Times New Roman" w:eastAsia="Times New Roman" w:hAnsi="Times New Roman" w:cs="Times New Roman"/>
          <w:color w:val="141414"/>
          <w:sz w:val="24"/>
          <w:szCs w:val="24"/>
          <w:lang w:eastAsia="es-ES"/>
        </w:rPr>
        <w:t>Mientras la desigualdad en los ingresos se ha reducido a escala global gracias a una mayor convergencia entre las economías emergentes y las de los países desarrollados, a escala nacional la desigualdad se ha incrementado sustancialmente. La otra gran novedad que aporta el libro es la reinterpretación de la hipótesis del economista Simon Kuznets. La curva de Kuznets indica que la desigualdad es baja cuando los niveles de desarrollo son reducidos, se incrementa en los períodos de industrialización y disminuye a medida que los países alcanzan la madurez económica, especialmente a raíz de las mejoras en la expansión de la educación. Esta teoría se ha visto desacreditada con el paso del tiempo, pero Milanovic ahora la reinterpreta al considerar que la desigualdad tiende a fluir en ciclos, de modo que este pro</w:t>
      </w:r>
      <w:r>
        <w:rPr>
          <w:rFonts w:ascii="Times New Roman" w:eastAsia="Times New Roman" w:hAnsi="Times New Roman" w:cs="Times New Roman"/>
          <w:color w:val="141414"/>
          <w:sz w:val="24"/>
          <w:szCs w:val="24"/>
          <w:lang w:eastAsia="es-ES"/>
        </w:rPr>
        <w:t>ceso se produciría a través de “olas de Kuznets”</w:t>
      </w:r>
      <w:r w:rsidRPr="00E6365C">
        <w:rPr>
          <w:rFonts w:ascii="Times New Roman" w:eastAsia="Times New Roman" w:hAnsi="Times New Roman" w:cs="Times New Roman"/>
          <w:color w:val="141414"/>
          <w:sz w:val="24"/>
          <w:szCs w:val="24"/>
          <w:lang w:eastAsia="es-ES"/>
        </w:rPr>
        <w:t>. Piketty considera que, sin grandes medidas colectivas, las economías modernas se caracterizan por un alto grado de desigualdad. Solo acontecimientos inusuales explicarían la reducción de la desigualdad durante el período de 1918 a 1980, como las dos guerras mundiales y el esfuerzo impositivo para financiarlas, la Gran Depresión o el triunfo del comunismo en buena parte del globo. Por su parte, Milanovic no considera este período de reducción de la desigualdad como un mero accidente, pues sostiene que los últimos cinco siglos pueden explicarse por las olas de Kuznets. Las fuerzas que incrementan la igualdad pueden ser malignas (guerras y epidemias) y benignas (la presión política a favor de un mayor bienestar, el envejecimiento de la población y una mayor expansión de la educación), mientras que las que aumentan la desigualdad son principalmente la tecnología, la baja imposición y la movilidad de tales.</w:t>
      </w:r>
    </w:p>
    <w:p w:rsidR="006D0F1E" w:rsidRPr="00E6365C"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E6365C">
        <w:rPr>
          <w:rFonts w:ascii="Times New Roman" w:eastAsia="Times New Roman" w:hAnsi="Times New Roman" w:cs="Times New Roman"/>
          <w:color w:val="141414"/>
          <w:sz w:val="24"/>
          <w:szCs w:val="24"/>
          <w:lang w:eastAsia="es-ES"/>
        </w:rPr>
        <w:t>Así pues, el incremento de la desigualdad durante un ciclo tendrá como resultado inevitable su reducción durante el siguiente, como el movimiento de una ola. Milanovic sostiene que la actual ola de Kuznets en los países desarrollados está impulsada principalmente por la revolución tecnológica y por la globalización, fenómenos que están muy imbricados entre ellos. Ambos han facilitado la transferencia de mano de obra, propia del paso de unas economías industriales más homogéneas a unas economías más basadas en servicios heterogéneos. Esto socava el poder de negociación de los trabajadores occidentales, cuyos puestos de trabajos pueden ser reemplazados fácilmente por la tecnología o bien trasladarse a países menos desarrollados. Ello se ve agravado por el menor poder político de las clases medias y trabajadoras de los países desarrollados, que no son capaces de evitar la elusión fiscal de las clases altas. Considera que en los Estados Unidos y en el resto del mundo occidental seguirá aumentando la desigualdad de ingresos a medio plazo, hasta que una nueva ola de Kuznets sustituya el ciclo actual.</w:t>
      </w:r>
    </w:p>
    <w:p w:rsidR="006D0F1E" w:rsidRPr="00E6365C"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E6365C">
        <w:rPr>
          <w:rFonts w:ascii="Times New Roman" w:eastAsia="Times New Roman" w:hAnsi="Times New Roman" w:cs="Times New Roman"/>
          <w:color w:val="141414"/>
          <w:sz w:val="24"/>
          <w:szCs w:val="24"/>
          <w:lang w:eastAsia="es-ES"/>
        </w:rPr>
        <w:t>El resto del libro es de menor interés, aunque proporciona visiones interesantes sobre algunos fenómenos actuales y dibuja escenarios de futuro. Un ejemplo de ello es la crisis migratoria. Milanovic sostiene que el lugar de nacimiento (la nacionalidad y el nivel de renta de los padres) explica más del 60% de la variabilidad de las rentas globales. Si se considera que solo el 3% de la población mundial reside en un país distinto al de nacimiento, ello supone un incentivo</w:t>
      </w:r>
      <w:r>
        <w:rPr>
          <w:rFonts w:ascii="Times New Roman" w:eastAsia="Times New Roman" w:hAnsi="Times New Roman" w:cs="Times New Roman"/>
          <w:color w:val="141414"/>
          <w:sz w:val="24"/>
          <w:szCs w:val="24"/>
          <w:lang w:eastAsia="es-ES"/>
        </w:rPr>
        <w:t xml:space="preserve"> para la emigración, ya que la “prima de ciudadanía”</w:t>
      </w:r>
      <w:r w:rsidRPr="00E6365C">
        <w:rPr>
          <w:rFonts w:ascii="Times New Roman" w:eastAsia="Times New Roman" w:hAnsi="Times New Roman" w:cs="Times New Roman"/>
          <w:color w:val="141414"/>
          <w:sz w:val="24"/>
          <w:szCs w:val="24"/>
          <w:lang w:eastAsia="es-ES"/>
        </w:rPr>
        <w:t xml:space="preserve"> se situaría en los Estados Unidos en el 9.200% y en Suecia en el 7.200%. Este es uno de los muchos ejemplos que recoge el libro para ilustrar que las fuerzas que impulsan el incremento y la distribución de ingresos cada vez son más globales. Sin embargo, la capacidad de influir sobre estos factores </w:t>
      </w:r>
      <w:r w:rsidRPr="00E6365C">
        <w:rPr>
          <w:rFonts w:ascii="Times New Roman" w:eastAsia="Times New Roman" w:hAnsi="Times New Roman" w:cs="Times New Roman"/>
          <w:color w:val="141414"/>
          <w:sz w:val="24"/>
          <w:szCs w:val="24"/>
          <w:lang w:eastAsia="es-ES"/>
        </w:rPr>
        <w:lastRenderedPageBreak/>
        <w:t>desde la política sigue residiendo básicamente en el ámbito nacional. Esta es una paradoja más de la globalización.</w:t>
      </w:r>
    </w:p>
    <w:p w:rsidR="006D0F1E" w:rsidRPr="005D0906" w:rsidRDefault="006D0F1E" w:rsidP="006D0F1E">
      <w:pPr>
        <w:spacing w:before="100" w:beforeAutospacing="1" w:after="100" w:afterAutospacing="1" w:line="240" w:lineRule="auto"/>
        <w:jc w:val="both"/>
        <w:rPr>
          <w:rFonts w:ascii="Times New Roman" w:eastAsia="Times New Roman" w:hAnsi="Times New Roman" w:cs="Times New Roman"/>
          <w:b/>
          <w:iCs/>
          <w:color w:val="141414"/>
          <w:sz w:val="24"/>
          <w:szCs w:val="24"/>
          <w:lang w:val="en-US" w:eastAsia="es-ES"/>
        </w:rPr>
      </w:pPr>
      <w:r w:rsidRPr="0081687B">
        <w:rPr>
          <w:rFonts w:ascii="Times New Roman" w:eastAsia="Times New Roman" w:hAnsi="Times New Roman" w:cs="Times New Roman"/>
          <w:b/>
          <w:iCs/>
          <w:color w:val="141414"/>
          <w:sz w:val="24"/>
          <w:szCs w:val="24"/>
          <w:lang w:eastAsia="es-ES"/>
        </w:rPr>
        <w:t xml:space="preserve">Growing Unequal? </w:t>
      </w:r>
      <w:r w:rsidRPr="005D0906">
        <w:rPr>
          <w:rFonts w:ascii="Times New Roman" w:eastAsia="Times New Roman" w:hAnsi="Times New Roman" w:cs="Times New Roman"/>
          <w:b/>
          <w:iCs/>
          <w:color w:val="141414"/>
          <w:sz w:val="24"/>
          <w:szCs w:val="24"/>
          <w:lang w:val="en-US" w:eastAsia="es-ES"/>
        </w:rPr>
        <w:t>Income distribution and poverty in OECD countries</w:t>
      </w:r>
      <w:r>
        <w:rPr>
          <w:rFonts w:ascii="Times New Roman" w:eastAsia="Times New Roman" w:hAnsi="Times New Roman" w:cs="Times New Roman"/>
          <w:b/>
          <w:iCs/>
          <w:color w:val="141414"/>
          <w:sz w:val="24"/>
          <w:szCs w:val="24"/>
          <w:lang w:val="en-US" w:eastAsia="es-ES"/>
        </w:rPr>
        <w:t xml:space="preserve"> - 2008</w:t>
      </w:r>
    </w:p>
    <w:p w:rsidR="006D0F1E"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5D0906">
        <w:rPr>
          <w:rFonts w:ascii="Times New Roman" w:eastAsia="Times New Roman" w:hAnsi="Times New Roman" w:cs="Times New Roman"/>
          <w:noProof/>
          <w:color w:val="141414"/>
          <w:sz w:val="24"/>
          <w:szCs w:val="24"/>
          <w:lang w:eastAsia="es-ES"/>
        </w:rPr>
        <w:drawing>
          <wp:inline distT="0" distB="0" distL="0" distR="0" wp14:anchorId="1E6474A3" wp14:editId="0EDB4FEF">
            <wp:extent cx="5734050" cy="3073400"/>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3072039"/>
                    </a:xfrm>
                    <a:prstGeom prst="rect">
                      <a:avLst/>
                    </a:prstGeom>
                  </pic:spPr>
                </pic:pic>
              </a:graphicData>
            </a:graphic>
          </wp:inline>
        </w:drawing>
      </w:r>
    </w:p>
    <w:p w:rsidR="006D0F1E"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r w:rsidRPr="005D0906">
        <w:rPr>
          <w:rFonts w:ascii="Times New Roman" w:eastAsia="Times New Roman" w:hAnsi="Times New Roman" w:cs="Times New Roman"/>
          <w:noProof/>
          <w:color w:val="141414"/>
          <w:sz w:val="24"/>
          <w:szCs w:val="24"/>
          <w:lang w:eastAsia="es-ES"/>
        </w:rPr>
        <w:drawing>
          <wp:inline distT="0" distB="0" distL="0" distR="0" wp14:anchorId="0E963894" wp14:editId="34053472">
            <wp:extent cx="5732474" cy="4718050"/>
            <wp:effectExtent l="0" t="0" r="1905" b="635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2474" cy="4718050"/>
                    </a:xfrm>
                    <a:prstGeom prst="rect">
                      <a:avLst/>
                    </a:prstGeom>
                  </pic:spPr>
                </pic:pic>
              </a:graphicData>
            </a:graphic>
          </wp:inline>
        </w:drawing>
      </w:r>
    </w:p>
    <w:p w:rsidR="006D0F1E"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p>
    <w:p w:rsidR="006D0F1E" w:rsidRPr="00E6365C" w:rsidRDefault="006D0F1E" w:rsidP="006D0F1E">
      <w:pPr>
        <w:spacing w:before="100" w:beforeAutospacing="1" w:after="100" w:afterAutospacing="1" w:line="240" w:lineRule="auto"/>
        <w:jc w:val="both"/>
        <w:rPr>
          <w:rFonts w:ascii="Times New Roman" w:eastAsia="Times New Roman" w:hAnsi="Times New Roman" w:cs="Times New Roman"/>
          <w:color w:val="141414"/>
          <w:sz w:val="24"/>
          <w:szCs w:val="24"/>
          <w:lang w:eastAsia="es-ES"/>
        </w:rPr>
      </w:pPr>
    </w:p>
    <w:p w:rsidR="006D0F1E" w:rsidRDefault="006D0F1E" w:rsidP="006D0F1E">
      <w:pPr>
        <w:spacing w:line="240" w:lineRule="auto"/>
        <w:jc w:val="both"/>
        <w:rPr>
          <w:rFonts w:ascii="Times New Roman" w:hAnsi="Times New Roman" w:cs="Times New Roman"/>
        </w:rPr>
      </w:pPr>
      <w:r w:rsidRPr="005D0906">
        <w:rPr>
          <w:rFonts w:ascii="Times New Roman" w:hAnsi="Times New Roman" w:cs="Times New Roman"/>
          <w:noProof/>
          <w:lang w:eastAsia="es-ES"/>
        </w:rPr>
        <w:drawing>
          <wp:inline distT="0" distB="0" distL="0" distR="0" wp14:anchorId="46B9D979" wp14:editId="62D8CB8D">
            <wp:extent cx="5727700" cy="6883400"/>
            <wp:effectExtent l="0" t="0" r="635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6887979"/>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b/>
        </w:rPr>
      </w:pPr>
    </w:p>
    <w:p w:rsidR="006D0F1E" w:rsidRDefault="006D0F1E" w:rsidP="006D0F1E">
      <w:pPr>
        <w:spacing w:line="240" w:lineRule="auto"/>
        <w:jc w:val="both"/>
        <w:rPr>
          <w:rFonts w:ascii="Times New Roman" w:hAnsi="Times New Roman" w:cs="Times New Roman"/>
          <w:b/>
        </w:rPr>
      </w:pPr>
    </w:p>
    <w:p w:rsidR="006D0F1E" w:rsidRDefault="006D0F1E" w:rsidP="006D0F1E">
      <w:pPr>
        <w:spacing w:line="240" w:lineRule="auto"/>
        <w:jc w:val="both"/>
        <w:rPr>
          <w:rFonts w:ascii="Times New Roman" w:hAnsi="Times New Roman" w:cs="Times New Roman"/>
          <w:b/>
        </w:rPr>
      </w:pPr>
    </w:p>
    <w:p w:rsidR="006D0F1E" w:rsidRDefault="006D0F1E" w:rsidP="006D0F1E">
      <w:pPr>
        <w:spacing w:line="240" w:lineRule="auto"/>
        <w:jc w:val="both"/>
        <w:rPr>
          <w:rFonts w:ascii="Times New Roman" w:hAnsi="Times New Roman" w:cs="Times New Roman"/>
          <w:b/>
        </w:rPr>
      </w:pPr>
    </w:p>
    <w:p w:rsidR="006D0F1E" w:rsidRPr="00713646" w:rsidRDefault="006D0F1E" w:rsidP="006D0F1E">
      <w:pPr>
        <w:spacing w:line="240" w:lineRule="auto"/>
        <w:jc w:val="both"/>
        <w:rPr>
          <w:rFonts w:ascii="Times New Roman" w:hAnsi="Times New Roman" w:cs="Times New Roman"/>
          <w:b/>
        </w:rPr>
      </w:pPr>
      <w:r>
        <w:rPr>
          <w:rFonts w:ascii="Times New Roman" w:hAnsi="Times New Roman" w:cs="Times New Roman"/>
          <w:b/>
        </w:rPr>
        <w:lastRenderedPageBreak/>
        <w:t>OECD Data - 2</w:t>
      </w:r>
      <w:r w:rsidRPr="00713646">
        <w:rPr>
          <w:rFonts w:ascii="Times New Roman" w:hAnsi="Times New Roman" w:cs="Times New Roman"/>
          <w:b/>
        </w:rPr>
        <w:t>018</w:t>
      </w:r>
    </w:p>
    <w:p w:rsidR="006D0F1E" w:rsidRDefault="006D0F1E" w:rsidP="006D0F1E">
      <w:pPr>
        <w:spacing w:line="240" w:lineRule="auto"/>
        <w:jc w:val="both"/>
        <w:rPr>
          <w:rFonts w:ascii="Times New Roman" w:hAnsi="Times New Roman" w:cs="Times New Roman"/>
        </w:rPr>
      </w:pPr>
      <w:r w:rsidRPr="00713646">
        <w:rPr>
          <w:rFonts w:ascii="Times New Roman" w:hAnsi="Times New Roman" w:cs="Times New Roman"/>
          <w:noProof/>
          <w:lang w:eastAsia="es-ES"/>
        </w:rPr>
        <w:drawing>
          <wp:inline distT="0" distB="0" distL="0" distR="0" wp14:anchorId="3205BCD6" wp14:editId="212A24B4">
            <wp:extent cx="5731649" cy="4140200"/>
            <wp:effectExtent l="0" t="0" r="254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414010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rPr>
      </w:pPr>
      <w:r w:rsidRPr="00713646">
        <w:rPr>
          <w:rFonts w:ascii="Times New Roman" w:hAnsi="Times New Roman" w:cs="Times New Roman"/>
          <w:noProof/>
          <w:lang w:eastAsia="es-ES"/>
        </w:rPr>
        <w:drawing>
          <wp:inline distT="0" distB="0" distL="0" distR="0" wp14:anchorId="68CEC164" wp14:editId="5EDDF56A">
            <wp:extent cx="5727700" cy="3867150"/>
            <wp:effectExtent l="0" t="0" r="635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869722"/>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rPr>
        <w:sectPr w:rsidR="006D0F1E" w:rsidSect="009720E1">
          <w:pgSz w:w="11906" w:h="16838"/>
          <w:pgMar w:top="1440" w:right="1440" w:bottom="1440" w:left="1440" w:header="709" w:footer="709" w:gutter="0"/>
          <w:cols w:space="708"/>
          <w:docGrid w:linePitch="360"/>
        </w:sectPr>
      </w:pPr>
    </w:p>
    <w:p w:rsidR="006D0F1E" w:rsidRDefault="006D0F1E" w:rsidP="006D0F1E">
      <w:pPr>
        <w:spacing w:line="240" w:lineRule="auto"/>
        <w:jc w:val="both"/>
        <w:rPr>
          <w:rFonts w:ascii="Times New Roman" w:hAnsi="Times New Roman" w:cs="Times New Roman"/>
        </w:rPr>
      </w:pPr>
      <w:r w:rsidRPr="00713646">
        <w:rPr>
          <w:rFonts w:ascii="Times New Roman" w:hAnsi="Times New Roman" w:cs="Times New Roman"/>
          <w:noProof/>
          <w:lang w:eastAsia="es-ES"/>
        </w:rPr>
        <w:lastRenderedPageBreak/>
        <w:drawing>
          <wp:inline distT="0" distB="0" distL="0" distR="0" wp14:anchorId="041CC66B" wp14:editId="5EF4A15B">
            <wp:extent cx="7143749" cy="4572000"/>
            <wp:effectExtent l="0" t="0" r="635"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7146159" cy="4573542"/>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rPr>
      </w:pPr>
      <w:r w:rsidRPr="00516FE0">
        <w:rPr>
          <w:rFonts w:ascii="Times New Roman" w:hAnsi="Times New Roman" w:cs="Times New Roman"/>
          <w:noProof/>
          <w:lang w:eastAsia="es-ES"/>
        </w:rPr>
        <w:drawing>
          <wp:inline distT="0" distB="0" distL="0" distR="0" wp14:anchorId="69DEF985" wp14:editId="2A175EE0">
            <wp:extent cx="5941235" cy="952500"/>
            <wp:effectExtent l="0" t="0" r="254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941235" cy="95250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rPr>
      </w:pPr>
      <w:r w:rsidRPr="00516FE0">
        <w:rPr>
          <w:rFonts w:ascii="Times New Roman" w:hAnsi="Times New Roman" w:cs="Times New Roman"/>
          <w:noProof/>
          <w:lang w:eastAsia="es-ES"/>
        </w:rPr>
        <w:lastRenderedPageBreak/>
        <w:drawing>
          <wp:inline distT="0" distB="0" distL="0" distR="0" wp14:anchorId="5D9F7F01" wp14:editId="4AD83C14">
            <wp:extent cx="7219950" cy="443865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7219950" cy="443865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rPr>
      </w:pPr>
      <w:r w:rsidRPr="00516FE0">
        <w:rPr>
          <w:rFonts w:ascii="Times New Roman" w:hAnsi="Times New Roman" w:cs="Times New Roman"/>
          <w:noProof/>
          <w:lang w:eastAsia="es-ES"/>
        </w:rPr>
        <w:drawing>
          <wp:inline distT="0" distB="0" distL="0" distR="0" wp14:anchorId="6485A8A0" wp14:editId="76A2E866">
            <wp:extent cx="5930122" cy="984250"/>
            <wp:effectExtent l="0" t="0" r="0" b="635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986487"/>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rPr>
        <w:sectPr w:rsidR="006D0F1E" w:rsidSect="009720E1">
          <w:pgSz w:w="16838" w:h="11906" w:orient="landscape"/>
          <w:pgMar w:top="1440" w:right="1440" w:bottom="1440" w:left="1440" w:header="709" w:footer="709" w:gutter="0"/>
          <w:cols w:space="708"/>
          <w:docGrid w:linePitch="360"/>
        </w:sectPr>
      </w:pPr>
    </w:p>
    <w:p w:rsidR="006D0F1E" w:rsidRPr="00045128" w:rsidRDefault="006D0F1E" w:rsidP="006D0F1E">
      <w:pPr>
        <w:spacing w:line="240" w:lineRule="auto"/>
        <w:jc w:val="both"/>
        <w:rPr>
          <w:rFonts w:ascii="Times New Roman" w:hAnsi="Times New Roman" w:cs="Times New Roman"/>
          <w:lang w:val="en-US"/>
        </w:rPr>
      </w:pPr>
      <w:r w:rsidRPr="00045128">
        <w:rPr>
          <w:rFonts w:ascii="Times New Roman" w:hAnsi="Times New Roman" w:cs="Times New Roman"/>
          <w:b/>
          <w:lang w:val="en-US"/>
        </w:rPr>
        <w:lastRenderedPageBreak/>
        <w:t>Distributional National Accounts: Methods and Estimates for the United States - Data Appendix</w:t>
      </w:r>
      <w:r>
        <w:rPr>
          <w:rFonts w:ascii="Times New Roman" w:hAnsi="Times New Roman" w:cs="Times New Roman"/>
          <w:b/>
          <w:lang w:val="en-US"/>
        </w:rPr>
        <w:t xml:space="preserve"> (</w:t>
      </w:r>
      <w:r w:rsidRPr="00045128">
        <w:rPr>
          <w:rFonts w:ascii="Times New Roman" w:hAnsi="Times New Roman" w:cs="Times New Roman"/>
          <w:lang w:val="en-US"/>
        </w:rPr>
        <w:t xml:space="preserve">November 10, </w:t>
      </w:r>
      <w:r w:rsidRPr="007C5D5A">
        <w:rPr>
          <w:rFonts w:ascii="Times New Roman" w:hAnsi="Times New Roman" w:cs="Times New Roman"/>
          <w:b/>
          <w:lang w:val="en-US"/>
        </w:rPr>
        <w:t>2017</w:t>
      </w:r>
      <w:r>
        <w:rPr>
          <w:rFonts w:ascii="Times New Roman" w:hAnsi="Times New Roman" w:cs="Times New Roman"/>
          <w:lang w:val="en-US"/>
        </w:rPr>
        <w:t>)</w:t>
      </w:r>
    </w:p>
    <w:p w:rsidR="006D0F1E" w:rsidRPr="00045128" w:rsidRDefault="006D0F1E" w:rsidP="006D0F1E">
      <w:pPr>
        <w:spacing w:line="240" w:lineRule="auto"/>
        <w:jc w:val="both"/>
        <w:rPr>
          <w:rFonts w:ascii="Times New Roman" w:hAnsi="Times New Roman" w:cs="Times New Roman"/>
          <w:lang w:val="en-US"/>
        </w:rPr>
      </w:pPr>
      <w:r>
        <w:rPr>
          <w:rFonts w:ascii="Times New Roman" w:hAnsi="Times New Roman" w:cs="Times New Roman"/>
          <w:lang w:val="en-US"/>
        </w:rPr>
        <w:t xml:space="preserve">(By </w:t>
      </w:r>
      <w:r w:rsidRPr="00045128">
        <w:rPr>
          <w:rFonts w:ascii="Times New Roman" w:hAnsi="Times New Roman" w:cs="Times New Roman"/>
          <w:lang w:val="en-US"/>
        </w:rPr>
        <w:t>Thomas Pike</w:t>
      </w:r>
      <w:r>
        <w:rPr>
          <w:rFonts w:ascii="Times New Roman" w:hAnsi="Times New Roman" w:cs="Times New Roman"/>
          <w:lang w:val="en-US"/>
        </w:rPr>
        <w:t xml:space="preserve">tty (Paris School of Economics) - </w:t>
      </w:r>
      <w:r w:rsidRPr="00045128">
        <w:rPr>
          <w:rFonts w:ascii="Times New Roman" w:hAnsi="Times New Roman" w:cs="Times New Roman"/>
          <w:lang w:val="en-US"/>
        </w:rPr>
        <w:t>Emman</w:t>
      </w:r>
      <w:r>
        <w:rPr>
          <w:rFonts w:ascii="Times New Roman" w:hAnsi="Times New Roman" w:cs="Times New Roman"/>
          <w:lang w:val="en-US"/>
        </w:rPr>
        <w:t xml:space="preserve">uel Saez (UC Berkeley and NBER) - </w:t>
      </w:r>
      <w:r w:rsidRPr="00045128">
        <w:rPr>
          <w:rFonts w:ascii="Times New Roman" w:hAnsi="Times New Roman" w:cs="Times New Roman"/>
          <w:lang w:val="en-US"/>
        </w:rPr>
        <w:t>Gabriel Zucman (UC Berkeley and NBER)</w:t>
      </w:r>
      <w:r w:rsidR="00844212">
        <w:rPr>
          <w:rFonts w:ascii="Times New Roman" w:hAnsi="Times New Roman" w:cs="Times New Roman"/>
          <w:lang w:val="en-US"/>
        </w:rPr>
        <w:t>)</w:t>
      </w:r>
    </w:p>
    <w:p w:rsidR="006D0F1E" w:rsidRDefault="006D0F1E" w:rsidP="006D0F1E">
      <w:pPr>
        <w:spacing w:line="240" w:lineRule="auto"/>
        <w:jc w:val="both"/>
        <w:rPr>
          <w:rFonts w:ascii="Times New Roman" w:hAnsi="Times New Roman" w:cs="Times New Roman"/>
        </w:rPr>
      </w:pPr>
      <w:r w:rsidRPr="0081687B">
        <w:rPr>
          <w:rFonts w:ascii="Times New Roman" w:hAnsi="Times New Roman" w:cs="Times New Roman"/>
          <w:noProof/>
          <w:lang w:eastAsia="es-ES"/>
        </w:rPr>
        <w:drawing>
          <wp:inline distT="0" distB="0" distL="0" distR="0" wp14:anchorId="62BA8EEF" wp14:editId="2A0A46A9">
            <wp:extent cx="5941783" cy="3810000"/>
            <wp:effectExtent l="0" t="0" r="1905"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3600" cy="3811165"/>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81687B">
        <w:rPr>
          <w:rFonts w:ascii="Times New Roman" w:hAnsi="Times New Roman" w:cs="Times New Roman"/>
          <w:noProof/>
          <w:lang w:eastAsia="es-ES"/>
        </w:rPr>
        <w:drawing>
          <wp:inline distT="0" distB="0" distL="0" distR="0" wp14:anchorId="67458115" wp14:editId="7075EB9A">
            <wp:extent cx="4768850" cy="901700"/>
            <wp:effectExtent l="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4772691" cy="902426"/>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DC3654">
        <w:rPr>
          <w:rFonts w:ascii="Times New Roman" w:hAnsi="Times New Roman" w:cs="Times New Roman"/>
          <w:noProof/>
          <w:lang w:eastAsia="es-ES"/>
        </w:rPr>
        <w:drawing>
          <wp:inline distT="0" distB="0" distL="0" distR="0" wp14:anchorId="76DC5F24" wp14:editId="7F3ACD01">
            <wp:extent cx="5726097" cy="2419350"/>
            <wp:effectExtent l="0" t="0" r="8255"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2421637"/>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DC3654">
        <w:rPr>
          <w:rFonts w:ascii="Times New Roman" w:hAnsi="Times New Roman" w:cs="Times New Roman"/>
          <w:noProof/>
          <w:lang w:eastAsia="es-ES"/>
        </w:rPr>
        <w:drawing>
          <wp:inline distT="0" distB="0" distL="0" distR="0" wp14:anchorId="0DD792FB" wp14:editId="222E6527">
            <wp:extent cx="5712036" cy="361950"/>
            <wp:effectExtent l="0" t="0" r="3175"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63184"/>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6C22BF">
        <w:rPr>
          <w:rFonts w:ascii="Times New Roman" w:hAnsi="Times New Roman" w:cs="Times New Roman"/>
          <w:noProof/>
          <w:lang w:eastAsia="es-ES"/>
        </w:rPr>
        <w:lastRenderedPageBreak/>
        <w:drawing>
          <wp:inline distT="0" distB="0" distL="0" distR="0" wp14:anchorId="68EB44F5" wp14:editId="24C16943">
            <wp:extent cx="5731510" cy="3746500"/>
            <wp:effectExtent l="0" t="0" r="2540" b="635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374650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6C22BF">
        <w:rPr>
          <w:rFonts w:ascii="Times New Roman" w:hAnsi="Times New Roman" w:cs="Times New Roman"/>
          <w:noProof/>
          <w:lang w:eastAsia="es-ES"/>
        </w:rPr>
        <w:drawing>
          <wp:inline distT="0" distB="0" distL="0" distR="0" wp14:anchorId="2AEFE54A" wp14:editId="503C1954">
            <wp:extent cx="5727700" cy="4787900"/>
            <wp:effectExtent l="0" t="0" r="635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4791085"/>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r w:rsidRPr="00AF47EC">
        <w:rPr>
          <w:rFonts w:ascii="Times New Roman" w:hAnsi="Times New Roman" w:cs="Times New Roman"/>
          <w:noProof/>
          <w:lang w:eastAsia="es-ES"/>
        </w:rPr>
        <w:drawing>
          <wp:inline distT="0" distB="0" distL="0" distR="0" wp14:anchorId="2CA4965D" wp14:editId="41294860">
            <wp:extent cx="5731510" cy="3447415"/>
            <wp:effectExtent l="0" t="0" r="2540" b="635"/>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447415"/>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r w:rsidRPr="00AF47EC">
        <w:rPr>
          <w:rFonts w:ascii="Times New Roman" w:hAnsi="Times New Roman" w:cs="Times New Roman"/>
          <w:noProof/>
          <w:lang w:eastAsia="es-ES"/>
        </w:rPr>
        <w:drawing>
          <wp:inline distT="0" distB="0" distL="0" distR="0" wp14:anchorId="67CA5580" wp14:editId="583F0C68">
            <wp:extent cx="5731510" cy="3184525"/>
            <wp:effectExtent l="0" t="0" r="254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3184525"/>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r w:rsidRPr="00AF47EC">
        <w:rPr>
          <w:rFonts w:ascii="Times New Roman" w:hAnsi="Times New Roman" w:cs="Times New Roman"/>
          <w:noProof/>
          <w:lang w:eastAsia="es-ES"/>
        </w:rPr>
        <w:drawing>
          <wp:inline distT="0" distB="0" distL="0" distR="0" wp14:anchorId="05CBC3C2" wp14:editId="75219203">
            <wp:extent cx="5731510" cy="3642995"/>
            <wp:effectExtent l="0" t="0" r="254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3642995"/>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r w:rsidRPr="00AF47EC">
        <w:rPr>
          <w:rFonts w:ascii="Times New Roman" w:hAnsi="Times New Roman" w:cs="Times New Roman"/>
          <w:noProof/>
          <w:lang w:eastAsia="es-ES"/>
        </w:rPr>
        <w:drawing>
          <wp:inline distT="0" distB="0" distL="0" distR="0" wp14:anchorId="23EB6132" wp14:editId="17FC886B">
            <wp:extent cx="5731510" cy="3474085"/>
            <wp:effectExtent l="0" t="0" r="254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3474085"/>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r w:rsidRPr="00B80E39">
        <w:rPr>
          <w:rFonts w:ascii="Times New Roman" w:hAnsi="Times New Roman" w:cs="Times New Roman"/>
          <w:noProof/>
          <w:lang w:eastAsia="es-ES"/>
        </w:rPr>
        <w:lastRenderedPageBreak/>
        <w:drawing>
          <wp:inline distT="0" distB="0" distL="0" distR="0" wp14:anchorId="4E0A2EC3" wp14:editId="77B0CA06">
            <wp:extent cx="5731510" cy="3709561"/>
            <wp:effectExtent l="0" t="0" r="2540" b="571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3709561"/>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B80E39">
        <w:rPr>
          <w:rFonts w:ascii="Times New Roman" w:hAnsi="Times New Roman" w:cs="Times New Roman"/>
          <w:noProof/>
          <w:lang w:eastAsia="es-ES"/>
        </w:rPr>
        <w:drawing>
          <wp:inline distT="0" distB="0" distL="0" distR="0" wp14:anchorId="54434A8E" wp14:editId="34900586">
            <wp:extent cx="5731510" cy="3778143"/>
            <wp:effectExtent l="0" t="0" r="254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778143"/>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B80E39">
        <w:rPr>
          <w:rFonts w:ascii="Times New Roman" w:hAnsi="Times New Roman" w:cs="Times New Roman"/>
          <w:noProof/>
          <w:lang w:eastAsia="es-ES"/>
        </w:rPr>
        <w:lastRenderedPageBreak/>
        <w:drawing>
          <wp:inline distT="0" distB="0" distL="0" distR="0" wp14:anchorId="1430BAA7" wp14:editId="2C754B65">
            <wp:extent cx="5731510" cy="3731605"/>
            <wp:effectExtent l="0" t="0" r="2540" b="254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731605"/>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006D53">
        <w:rPr>
          <w:rFonts w:ascii="Times New Roman" w:hAnsi="Times New Roman" w:cs="Times New Roman"/>
          <w:noProof/>
          <w:lang w:eastAsia="es-ES"/>
        </w:rPr>
        <w:drawing>
          <wp:inline distT="0" distB="0" distL="0" distR="0" wp14:anchorId="2ADA3A68" wp14:editId="10FF8405">
            <wp:extent cx="5731510" cy="3705274"/>
            <wp:effectExtent l="0" t="0" r="2540" b="9525"/>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705274"/>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006D53">
        <w:rPr>
          <w:rFonts w:ascii="Times New Roman" w:hAnsi="Times New Roman" w:cs="Times New Roman"/>
          <w:noProof/>
          <w:lang w:eastAsia="es-ES"/>
        </w:rPr>
        <w:lastRenderedPageBreak/>
        <w:drawing>
          <wp:inline distT="0" distB="0" distL="0" distR="0" wp14:anchorId="35787E4C" wp14:editId="6A91F236">
            <wp:extent cx="5731510" cy="3745689"/>
            <wp:effectExtent l="0" t="0" r="2540" b="762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3745689"/>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006D53">
        <w:rPr>
          <w:rFonts w:ascii="Times New Roman" w:hAnsi="Times New Roman" w:cs="Times New Roman"/>
          <w:noProof/>
          <w:lang w:eastAsia="es-ES"/>
        </w:rPr>
        <w:drawing>
          <wp:inline distT="0" distB="0" distL="0" distR="0" wp14:anchorId="7C060231" wp14:editId="0D8F0651">
            <wp:extent cx="5731510" cy="3730993"/>
            <wp:effectExtent l="0" t="0" r="2540" b="3175"/>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3730993"/>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006D53">
        <w:rPr>
          <w:rFonts w:ascii="Times New Roman" w:hAnsi="Times New Roman" w:cs="Times New Roman"/>
          <w:noProof/>
          <w:lang w:eastAsia="es-ES"/>
        </w:rPr>
        <w:lastRenderedPageBreak/>
        <w:drawing>
          <wp:inline distT="0" distB="0" distL="0" distR="0" wp14:anchorId="42F21649" wp14:editId="5C4DC596">
            <wp:extent cx="5731510" cy="3730993"/>
            <wp:effectExtent l="0" t="0" r="2540" b="3175"/>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730993"/>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006D53">
        <w:rPr>
          <w:rFonts w:ascii="Times New Roman" w:hAnsi="Times New Roman" w:cs="Times New Roman"/>
          <w:noProof/>
          <w:lang w:eastAsia="es-ES"/>
        </w:rPr>
        <w:drawing>
          <wp:inline distT="0" distB="0" distL="0" distR="0" wp14:anchorId="2EA1E7E1" wp14:editId="14497B28">
            <wp:extent cx="5731510" cy="3691803"/>
            <wp:effectExtent l="0" t="0" r="2540" b="444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3691803"/>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006D53">
        <w:rPr>
          <w:rFonts w:ascii="Times New Roman" w:hAnsi="Times New Roman" w:cs="Times New Roman"/>
          <w:noProof/>
          <w:lang w:eastAsia="es-ES"/>
        </w:rPr>
        <w:lastRenderedPageBreak/>
        <w:drawing>
          <wp:inline distT="0" distB="0" distL="0" distR="0" wp14:anchorId="62066DE5" wp14:editId="2BB2C528">
            <wp:extent cx="5731510" cy="3719970"/>
            <wp:effectExtent l="0" t="0" r="254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371997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006D53">
        <w:rPr>
          <w:rFonts w:ascii="Times New Roman" w:hAnsi="Times New Roman" w:cs="Times New Roman"/>
          <w:noProof/>
          <w:lang w:eastAsia="es-ES"/>
        </w:rPr>
        <w:drawing>
          <wp:inline distT="0" distB="0" distL="0" distR="0" wp14:anchorId="044256A4" wp14:editId="00029385">
            <wp:extent cx="5731510" cy="3721195"/>
            <wp:effectExtent l="0" t="0" r="254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3721195"/>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r w:rsidRPr="0081687B">
        <w:rPr>
          <w:rFonts w:ascii="Times New Roman" w:hAnsi="Times New Roman" w:cs="Times New Roman"/>
          <w:noProof/>
          <w:lang w:eastAsia="es-ES"/>
        </w:rPr>
        <w:lastRenderedPageBreak/>
        <w:drawing>
          <wp:inline distT="0" distB="0" distL="0" distR="0" wp14:anchorId="7DE202CB" wp14:editId="62922FC3">
            <wp:extent cx="5731510" cy="3731605"/>
            <wp:effectExtent l="0" t="0" r="2540" b="254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3731605"/>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81687B">
        <w:rPr>
          <w:rFonts w:ascii="Times New Roman" w:hAnsi="Times New Roman" w:cs="Times New Roman"/>
          <w:noProof/>
          <w:lang w:eastAsia="es-ES"/>
        </w:rPr>
        <w:drawing>
          <wp:inline distT="0" distB="0" distL="0" distR="0" wp14:anchorId="1D3F49F2" wp14:editId="2004974B">
            <wp:extent cx="5731510" cy="3756711"/>
            <wp:effectExtent l="0" t="0" r="254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3756711"/>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81687B">
        <w:rPr>
          <w:rFonts w:ascii="Times New Roman" w:hAnsi="Times New Roman" w:cs="Times New Roman"/>
          <w:noProof/>
          <w:lang w:eastAsia="es-ES"/>
        </w:rPr>
        <w:lastRenderedPageBreak/>
        <w:drawing>
          <wp:inline distT="0" distB="0" distL="0" distR="0" wp14:anchorId="6B2CCB92" wp14:editId="308A8A24">
            <wp:extent cx="5731510" cy="3740178"/>
            <wp:effectExtent l="0" t="0" r="254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3740178"/>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9475EE">
        <w:rPr>
          <w:rFonts w:ascii="Times New Roman" w:hAnsi="Times New Roman" w:cs="Times New Roman"/>
          <w:noProof/>
          <w:lang w:eastAsia="es-ES"/>
        </w:rPr>
        <w:drawing>
          <wp:inline distT="0" distB="0" distL="0" distR="0" wp14:anchorId="4DE24259" wp14:editId="7C181DCE">
            <wp:extent cx="5731510" cy="3717521"/>
            <wp:effectExtent l="0" t="0" r="254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3717521"/>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9475EE">
        <w:rPr>
          <w:rFonts w:ascii="Times New Roman" w:hAnsi="Times New Roman" w:cs="Times New Roman"/>
          <w:noProof/>
          <w:lang w:eastAsia="es-ES"/>
        </w:rPr>
        <w:lastRenderedPageBreak/>
        <w:drawing>
          <wp:inline distT="0" distB="0" distL="0" distR="0" wp14:anchorId="443C60FF" wp14:editId="5B61E589">
            <wp:extent cx="5731510" cy="3738953"/>
            <wp:effectExtent l="0" t="0" r="254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3738953"/>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9475EE">
        <w:rPr>
          <w:rFonts w:ascii="Times New Roman" w:hAnsi="Times New Roman" w:cs="Times New Roman"/>
          <w:noProof/>
          <w:lang w:eastAsia="es-ES"/>
        </w:rPr>
        <w:drawing>
          <wp:inline distT="0" distB="0" distL="0" distR="0" wp14:anchorId="55AF9CDF" wp14:editId="4D220AA0">
            <wp:extent cx="5731510" cy="3706499"/>
            <wp:effectExtent l="0" t="0" r="2540" b="8255"/>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3706499"/>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9475EE">
        <w:rPr>
          <w:rFonts w:ascii="Times New Roman" w:hAnsi="Times New Roman" w:cs="Times New Roman"/>
          <w:noProof/>
          <w:lang w:eastAsia="es-ES"/>
        </w:rPr>
        <w:lastRenderedPageBreak/>
        <w:drawing>
          <wp:inline distT="0" distB="0" distL="0" distR="0" wp14:anchorId="2DFE8061" wp14:editId="178FE46E">
            <wp:extent cx="5731510" cy="3699763"/>
            <wp:effectExtent l="0" t="0" r="254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3699763"/>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9475EE">
        <w:rPr>
          <w:rFonts w:ascii="Times New Roman" w:hAnsi="Times New Roman" w:cs="Times New Roman"/>
          <w:noProof/>
          <w:lang w:eastAsia="es-ES"/>
        </w:rPr>
        <w:drawing>
          <wp:inline distT="0" distB="0" distL="0" distR="0" wp14:anchorId="063B059D" wp14:editId="21530D9C">
            <wp:extent cx="5731510" cy="3715684"/>
            <wp:effectExtent l="0" t="0" r="254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3715684"/>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9475EE">
        <w:rPr>
          <w:rFonts w:ascii="Times New Roman" w:hAnsi="Times New Roman" w:cs="Times New Roman"/>
          <w:noProof/>
          <w:lang w:eastAsia="es-ES"/>
        </w:rPr>
        <w:lastRenderedPageBreak/>
        <w:drawing>
          <wp:inline distT="0" distB="0" distL="0" distR="0" wp14:anchorId="0A3DEEA5" wp14:editId="04F8E2AC">
            <wp:extent cx="5731510" cy="3691190"/>
            <wp:effectExtent l="0" t="0" r="2540" b="508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369119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9475EE">
        <w:rPr>
          <w:rFonts w:ascii="Times New Roman" w:hAnsi="Times New Roman" w:cs="Times New Roman"/>
          <w:noProof/>
          <w:lang w:eastAsia="es-ES"/>
        </w:rPr>
        <w:drawing>
          <wp:inline distT="0" distB="0" distL="0" distR="0" wp14:anchorId="5B1C92D6" wp14:editId="7239F7FA">
            <wp:extent cx="5731510" cy="3757936"/>
            <wp:effectExtent l="0" t="0" r="254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3757936"/>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9475EE">
        <w:rPr>
          <w:rFonts w:ascii="Times New Roman" w:hAnsi="Times New Roman" w:cs="Times New Roman"/>
          <w:noProof/>
          <w:lang w:eastAsia="es-ES"/>
        </w:rPr>
        <w:lastRenderedPageBreak/>
        <w:drawing>
          <wp:inline distT="0" distB="0" distL="0" distR="0" wp14:anchorId="34EB22AA" wp14:editId="3B9D9C84">
            <wp:extent cx="5731510" cy="3717521"/>
            <wp:effectExtent l="0" t="0" r="254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3717521"/>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9475EE">
        <w:rPr>
          <w:rFonts w:ascii="Times New Roman" w:hAnsi="Times New Roman" w:cs="Times New Roman"/>
          <w:noProof/>
          <w:lang w:eastAsia="es-ES"/>
        </w:rPr>
        <w:drawing>
          <wp:inline distT="0" distB="0" distL="0" distR="0" wp14:anchorId="288A35BE" wp14:editId="593C7FEE">
            <wp:extent cx="5731510" cy="3715684"/>
            <wp:effectExtent l="0" t="0" r="254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3715684"/>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9475EE">
        <w:rPr>
          <w:rFonts w:ascii="Times New Roman" w:hAnsi="Times New Roman" w:cs="Times New Roman"/>
          <w:noProof/>
          <w:lang w:eastAsia="es-ES"/>
        </w:rPr>
        <w:lastRenderedPageBreak/>
        <w:drawing>
          <wp:inline distT="0" distB="0" distL="0" distR="0" wp14:anchorId="0104B95D" wp14:editId="2D47C77A">
            <wp:extent cx="5731510" cy="3722420"/>
            <wp:effectExtent l="0" t="0" r="2540" b="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372242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DC3654">
        <w:rPr>
          <w:rFonts w:ascii="Times New Roman" w:hAnsi="Times New Roman" w:cs="Times New Roman"/>
          <w:noProof/>
          <w:lang w:eastAsia="es-ES"/>
        </w:rPr>
        <w:drawing>
          <wp:inline distT="0" distB="0" distL="0" distR="0" wp14:anchorId="35BC70FC" wp14:editId="1947347A">
            <wp:extent cx="5731510" cy="3712010"/>
            <wp:effectExtent l="0" t="0" r="2540" b="3175"/>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371201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DC3654">
        <w:rPr>
          <w:rFonts w:ascii="Times New Roman" w:hAnsi="Times New Roman" w:cs="Times New Roman"/>
          <w:noProof/>
          <w:lang w:eastAsia="es-ES"/>
        </w:rPr>
        <w:lastRenderedPageBreak/>
        <w:drawing>
          <wp:inline distT="0" distB="0" distL="0" distR="0" wp14:anchorId="5BB4DBAC" wp14:editId="445C4DE5">
            <wp:extent cx="5731510" cy="3729768"/>
            <wp:effectExtent l="0" t="0" r="2540" b="4445"/>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3729768"/>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DC3654">
        <w:rPr>
          <w:rFonts w:ascii="Times New Roman" w:hAnsi="Times New Roman" w:cs="Times New Roman"/>
          <w:noProof/>
          <w:lang w:eastAsia="es-ES"/>
        </w:rPr>
        <w:drawing>
          <wp:inline distT="0" distB="0" distL="0" distR="0" wp14:anchorId="24252010" wp14:editId="3F4BBF6F">
            <wp:extent cx="5731510" cy="3697314"/>
            <wp:effectExtent l="0" t="0" r="254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3697314"/>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DC3654">
        <w:rPr>
          <w:rFonts w:ascii="Times New Roman" w:hAnsi="Times New Roman" w:cs="Times New Roman"/>
          <w:noProof/>
          <w:lang w:eastAsia="es-ES"/>
        </w:rPr>
        <w:lastRenderedPageBreak/>
        <w:drawing>
          <wp:inline distT="0" distB="0" distL="0" distR="0" wp14:anchorId="57FBD2F3" wp14:editId="72D89502">
            <wp:extent cx="5731510" cy="3705274"/>
            <wp:effectExtent l="0" t="0" r="2540" b="9525"/>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3705274"/>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DC3654">
        <w:rPr>
          <w:rFonts w:ascii="Times New Roman" w:hAnsi="Times New Roman" w:cs="Times New Roman"/>
          <w:noProof/>
          <w:lang w:eastAsia="es-ES"/>
        </w:rPr>
        <w:drawing>
          <wp:inline distT="0" distB="0" distL="0" distR="0" wp14:anchorId="79D95AAB" wp14:editId="22785686">
            <wp:extent cx="5731510" cy="3754874"/>
            <wp:effectExtent l="0" t="0" r="254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3754874"/>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B80E39">
        <w:rPr>
          <w:rFonts w:ascii="Times New Roman" w:hAnsi="Times New Roman" w:cs="Times New Roman"/>
          <w:noProof/>
          <w:lang w:eastAsia="es-ES"/>
        </w:rPr>
        <w:lastRenderedPageBreak/>
        <w:drawing>
          <wp:inline distT="0" distB="0" distL="0" distR="0" wp14:anchorId="7D9C04A7" wp14:editId="656B80CA">
            <wp:extent cx="5731510" cy="3696089"/>
            <wp:effectExtent l="0" t="0" r="254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3696089"/>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B80E39">
        <w:rPr>
          <w:rFonts w:ascii="Times New Roman" w:hAnsi="Times New Roman" w:cs="Times New Roman"/>
          <w:noProof/>
          <w:lang w:eastAsia="es-ES"/>
        </w:rPr>
        <w:drawing>
          <wp:inline distT="0" distB="0" distL="0" distR="0" wp14:anchorId="6838A49D" wp14:editId="60101611">
            <wp:extent cx="5731510" cy="3776306"/>
            <wp:effectExtent l="0" t="0" r="254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3776306"/>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B80E39">
        <w:rPr>
          <w:rFonts w:ascii="Times New Roman" w:hAnsi="Times New Roman" w:cs="Times New Roman"/>
          <w:noProof/>
          <w:lang w:eastAsia="es-ES"/>
        </w:rPr>
        <w:lastRenderedPageBreak/>
        <w:drawing>
          <wp:inline distT="0" distB="0" distL="0" distR="0" wp14:anchorId="642B6DC1" wp14:editId="711E6E4F">
            <wp:extent cx="5731510" cy="3670371"/>
            <wp:effectExtent l="0" t="0" r="2540" b="635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3670371"/>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r w:rsidRPr="00B80E39">
        <w:rPr>
          <w:rFonts w:ascii="Times New Roman" w:hAnsi="Times New Roman" w:cs="Times New Roman"/>
          <w:noProof/>
          <w:lang w:eastAsia="es-ES"/>
        </w:rPr>
        <w:drawing>
          <wp:inline distT="0" distB="0" distL="0" distR="0" wp14:anchorId="377ACDCD" wp14:editId="7D360A1C">
            <wp:extent cx="5731510" cy="3685067"/>
            <wp:effectExtent l="0" t="0" r="254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3685067"/>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lang w:val="en-US"/>
        </w:rPr>
      </w:pPr>
    </w:p>
    <w:p w:rsidR="006D0F1E" w:rsidRDefault="006D0F1E" w:rsidP="006D0F1E">
      <w:pPr>
        <w:spacing w:line="240" w:lineRule="auto"/>
        <w:jc w:val="both"/>
        <w:rPr>
          <w:rFonts w:ascii="Times New Roman" w:hAnsi="Times New Roman" w:cs="Times New Roman"/>
        </w:rPr>
      </w:pPr>
    </w:p>
    <w:p w:rsidR="006D0F1E" w:rsidRDefault="006D0F1E" w:rsidP="006D0F1E">
      <w:pPr>
        <w:spacing w:line="240" w:lineRule="auto"/>
        <w:jc w:val="both"/>
        <w:rPr>
          <w:rFonts w:ascii="Times New Roman" w:hAnsi="Times New Roman" w:cs="Times New Roman"/>
        </w:rPr>
      </w:pPr>
    </w:p>
    <w:p w:rsidR="006D0F1E" w:rsidRPr="00BC67BF" w:rsidRDefault="006D0F1E" w:rsidP="006D0F1E">
      <w:pPr>
        <w:spacing w:line="240" w:lineRule="auto"/>
        <w:jc w:val="both"/>
        <w:rPr>
          <w:rFonts w:ascii="Times New Roman" w:hAnsi="Times New Roman" w:cs="Times New Roman"/>
        </w:rPr>
      </w:pPr>
      <w:r w:rsidRPr="006C0D1F">
        <w:rPr>
          <w:rFonts w:ascii="Times New Roman" w:hAnsi="Times New Roman" w:cs="Times New Roman"/>
          <w:b/>
        </w:rPr>
        <w:lastRenderedPageBreak/>
        <w:t>Las clases medias en Europa: status y poder en el siglo XXI</w:t>
      </w:r>
      <w:r>
        <w:rPr>
          <w:rFonts w:ascii="Times New Roman" w:hAnsi="Times New Roman" w:cs="Times New Roman"/>
        </w:rPr>
        <w:t xml:space="preserve"> (</w:t>
      </w:r>
      <w:r w:rsidRPr="00BC67BF">
        <w:rPr>
          <w:rFonts w:ascii="Times New Roman" w:hAnsi="Times New Roman" w:cs="Times New Roman"/>
        </w:rPr>
        <w:t>societàmutamentopolitica, issn 2038-3150</w:t>
      </w:r>
      <w:r>
        <w:rPr>
          <w:rFonts w:ascii="Times New Roman" w:hAnsi="Times New Roman" w:cs="Times New Roman"/>
        </w:rPr>
        <w:t xml:space="preserve">, vol. 4, n. 7, pp. 29-45, </w:t>
      </w:r>
      <w:r w:rsidRPr="007C5D5A">
        <w:rPr>
          <w:rFonts w:ascii="Times New Roman" w:hAnsi="Times New Roman" w:cs="Times New Roman"/>
          <w:b/>
        </w:rPr>
        <w:t>2013</w:t>
      </w:r>
      <w:r>
        <w:rPr>
          <w:rFonts w:ascii="Times New Roman" w:hAnsi="Times New Roman" w:cs="Times New Roman"/>
        </w:rPr>
        <w:t xml:space="preserve"> - www.fupress.com/smp -</w:t>
      </w:r>
      <w:r w:rsidRPr="00BC67BF">
        <w:rPr>
          <w:rFonts w:ascii="Times New Roman" w:hAnsi="Times New Roman" w:cs="Times New Roman"/>
        </w:rPr>
        <w:t xml:space="preserve"> © Firenze University Press</w:t>
      </w:r>
      <w:r>
        <w:rPr>
          <w:rFonts w:ascii="Times New Roman" w:hAnsi="Times New Roman" w:cs="Times New Roman"/>
        </w:rPr>
        <w:t>)</w:t>
      </w:r>
    </w:p>
    <w:p w:rsidR="006D0F1E" w:rsidRPr="00BC67BF" w:rsidRDefault="006D0F1E" w:rsidP="006D0F1E">
      <w:pPr>
        <w:spacing w:line="240" w:lineRule="auto"/>
        <w:jc w:val="both"/>
        <w:rPr>
          <w:rFonts w:ascii="Times New Roman" w:hAnsi="Times New Roman" w:cs="Times New Roman"/>
        </w:rPr>
      </w:pPr>
      <w:r>
        <w:rPr>
          <w:rFonts w:ascii="Times New Roman" w:hAnsi="Times New Roman" w:cs="Times New Roman"/>
        </w:rPr>
        <w:t xml:space="preserve">(Por </w:t>
      </w:r>
      <w:r w:rsidRPr="00BC67BF">
        <w:rPr>
          <w:rFonts w:ascii="Times New Roman" w:hAnsi="Times New Roman" w:cs="Times New Roman"/>
        </w:rPr>
        <w:t>Antonio Alaminos</w:t>
      </w:r>
      <w:r>
        <w:rPr>
          <w:rFonts w:ascii="Times New Roman" w:hAnsi="Times New Roman" w:cs="Times New Roman"/>
        </w:rPr>
        <w:t>)</w:t>
      </w:r>
    </w:p>
    <w:p w:rsidR="006D0F1E" w:rsidRDefault="006D0F1E" w:rsidP="006D0F1E">
      <w:pPr>
        <w:spacing w:line="240" w:lineRule="auto"/>
        <w:jc w:val="both"/>
        <w:rPr>
          <w:rFonts w:ascii="Times New Roman" w:hAnsi="Times New Roman" w:cs="Times New Roman"/>
          <w:lang w:val="en-US"/>
        </w:rPr>
      </w:pPr>
      <w:r w:rsidRPr="00BC67BF">
        <w:rPr>
          <w:rFonts w:ascii="Times New Roman" w:hAnsi="Times New Roman" w:cs="Times New Roman"/>
          <w:noProof/>
          <w:lang w:eastAsia="es-ES"/>
        </w:rPr>
        <w:drawing>
          <wp:inline distT="0" distB="0" distL="0" distR="0" wp14:anchorId="1D2ECFCE" wp14:editId="27E6E096">
            <wp:extent cx="4667901" cy="6268325"/>
            <wp:effectExtent l="0" t="0" r="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4667901" cy="6268325"/>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6D0F1E" w:rsidRPr="00BC67BF"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Para determinar la estructura de status en las sociedades europeas vamos a emplear los datos procedentes de cuatro encue</w:t>
      </w:r>
      <w:r>
        <w:rPr>
          <w:rFonts w:ascii="Times New Roman" w:hAnsi="Times New Roman" w:cs="Times New Roman"/>
          <w:sz w:val="24"/>
          <w:szCs w:val="24"/>
        </w:rPr>
        <w:t>stas de ámbito europeo (Eurobaró</w:t>
      </w:r>
      <w:r w:rsidRPr="00BC67BF">
        <w:rPr>
          <w:rFonts w:ascii="Times New Roman" w:hAnsi="Times New Roman" w:cs="Times New Roman"/>
          <w:sz w:val="24"/>
          <w:szCs w:val="24"/>
        </w:rPr>
        <w:t xml:space="preserve">metros). Dos de ellas corresponden al año 2009 (EB71.1 y EB71.3) y las otras dos al año 2012 (EB77.2 y EB77.4). En ellas se ha incluido un escalamiento de posicionamiento social subjetivo. Con un formato gráfico Cantril, mide las posiciones sociales entre (1), la posición social más baja y (10), </w:t>
      </w:r>
      <w:r>
        <w:rPr>
          <w:rFonts w:ascii="Times New Roman" w:hAnsi="Times New Roman" w:cs="Times New Roman"/>
          <w:sz w:val="24"/>
          <w:szCs w:val="24"/>
        </w:rPr>
        <w:t>la posición social más elevada</w:t>
      </w:r>
      <w:r w:rsidRPr="00BC67BF">
        <w:rPr>
          <w:rFonts w:ascii="Times New Roman" w:hAnsi="Times New Roman" w:cs="Times New Roman"/>
          <w:sz w:val="24"/>
          <w:szCs w:val="24"/>
        </w:rPr>
        <w:t xml:space="preserve">. La no respuesta parcial es bastante reducida a este tipo de pregunta. Partiendo de dichos datos es factible, de una forma aproximada y siempre dentro de </w:t>
      </w:r>
      <w:r w:rsidRPr="00BC67BF">
        <w:rPr>
          <w:rFonts w:ascii="Times New Roman" w:hAnsi="Times New Roman" w:cs="Times New Roman"/>
          <w:sz w:val="24"/>
          <w:szCs w:val="24"/>
        </w:rPr>
        <w:lastRenderedPageBreak/>
        <w:t>las limitaciones consideradas para el método, establecer las transformaciones en la estructura de estatus subjetivo.</w:t>
      </w:r>
    </w:p>
    <w:p w:rsidR="006D0F1E"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 xml:space="preserve">Análisis </w:t>
      </w:r>
    </w:p>
    <w:p w:rsidR="006D0F1E"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 xml:space="preserve">En ese sentido, una de las primeras cuestiones a responder es en qué modo la crisis económica actual ha impactado en la estructura social. Para considerar el cambio producido por el impacto de la crisis en la estructura social, procedemos a comparar el status medio por país en 2009 y 2012. El análisis de varianza nos permite identificar aquellos cambios que son estadísticamente significativos de aquellos otros que no lo son. Se aprecia un cambio significativo en la mayoría de los países con la excepción de cuatro países: Eslovaquia, Chequia, Hungría y Lituania. Entre los países que experimentan un cambio significativo se aprecia un proceso de movilidad ascendente, desde la percepción de estatus subjetivo, de menor a mayor grado en Italia, Irlanda, Finlandia, Malta, Luxemburgo, Alemania Oeste, Dinamarca, Estonia, Letonia, Austria, Rumania, Suecia, Alemania Este, Eslovenia y Holanda. En el caso de Italia la diferencia de status es mínima con un 0,12 (expresa un 1,3% de movilidad ascendente global). En el extremo de mayor movilidad ascendente se encuentra Holanda, donde la movilidad media de 0,81 (con un 9% de movilidad ascendente global). Para el conjunto de los países, el caso de Italia es posiblemente el más sorprendente, al estar viviendo una situación de crisis. En la tabla podemos apreciar para cada país europeo cómo se producen tendencias divergentes. Para un grupo de países se observa un ascenso social medio, mientras que para otras sociedades se refleja un descenso social medio. </w:t>
      </w:r>
    </w:p>
    <w:p w:rsidR="006D0F1E"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 xml:space="preserve">En conjunto, la posición social media europea ha ascendido en la crisis. No obstante, ese ascenso y descenso medio en la estructura de status expresa realidades diferentes en términos de clases sociales. Los gráficos siguientes muestran la distribución de la estructura de status subjetivos en el año 2009 mediante una línea continua y la situación en el año 2012 expresado mediante una línea discontinua. Recordemos que los cambios medios son estadísticamente significativos (&gt; 0.01). Los escalamientos pares encuentran el centro entre dos posiciones. En este caso, entre 1 y 10, el centro se encontraría entre las posiciones 5 y 6. No obstante, al igual que en otros escalamientos pares, como autoubicación ideológica, la tendencia cognitiva general es a percibir el 5 como el centro natural de la escala. Es algo que podemos observar en este caso. El 5 es la referencia de posición de clase media-media. Posiciones superiores o inferiores expresan referencias a posiciones sociales de clase media alta o media baja. La correlación entre posicionamientos de estatus y los escalamientos de clase de Goldthorpe y Treiman así lo validan. </w:t>
      </w:r>
    </w:p>
    <w:p w:rsidR="006D0F1E"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 xml:space="preserve">Es interesante destacar la noción de tiempo. Los cambios que vamos a comentar se producen en un lapso de tiempo realmente breve, desde la lógica temporal de las sociedades. En algunos casos, las modificaciones en la estructura de estatus expresan un auténtico “terremoto social”. Un colapso que produce consecuencias evidentes. </w:t>
      </w:r>
    </w:p>
    <w:p w:rsidR="006D0F1E" w:rsidRPr="00992FD7"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En Portugal se observa un descenso notable en las clases medias altas, así como en las clases medias bajas. Existe un desfondamiento social en la estructura de status con una caída generalizada. Es decir, las clases medias altas no se concentran en la imagen de clase social media-media. Por el contrario,</w:t>
      </w:r>
      <w:r>
        <w:rPr>
          <w:rFonts w:ascii="Times New Roman" w:hAnsi="Times New Roman" w:cs="Times New Roman"/>
          <w:sz w:val="24"/>
          <w:szCs w:val="24"/>
        </w:rPr>
        <w:t xml:space="preserve"> la</w:t>
      </w:r>
      <w:r w:rsidRPr="00BC67BF">
        <w:rPr>
          <w:rFonts w:ascii="Times New Roman" w:hAnsi="Times New Roman" w:cs="Times New Roman"/>
          <w:sz w:val="24"/>
          <w:szCs w:val="24"/>
        </w:rPr>
        <w:t xml:space="preserve"> </w:t>
      </w:r>
      <w:r w:rsidRPr="00992FD7">
        <w:rPr>
          <w:rFonts w:ascii="Times New Roman" w:hAnsi="Times New Roman" w:cs="Times New Roman"/>
          <w:sz w:val="24"/>
          <w:szCs w:val="24"/>
        </w:rPr>
        <w:t>autoimagen de estatus expresa un cambio de nivel en conjunto.</w:t>
      </w:r>
      <w:r>
        <w:rPr>
          <w:rFonts w:ascii="Times New Roman" w:hAnsi="Times New Roman" w:cs="Times New Roman"/>
          <w:sz w:val="24"/>
          <w:szCs w:val="24"/>
        </w:rPr>
        <w:t xml:space="preserve"> Un fenómeno </w:t>
      </w:r>
      <w:r w:rsidRPr="00992FD7">
        <w:rPr>
          <w:rFonts w:ascii="Times New Roman" w:hAnsi="Times New Roman" w:cs="Times New Roman"/>
          <w:sz w:val="24"/>
          <w:szCs w:val="24"/>
        </w:rPr>
        <w:t>diferente se aprecia para el caso español. L</w:t>
      </w:r>
      <w:r>
        <w:rPr>
          <w:rFonts w:ascii="Times New Roman" w:hAnsi="Times New Roman" w:cs="Times New Roman"/>
          <w:sz w:val="24"/>
          <w:szCs w:val="24"/>
        </w:rPr>
        <w:t xml:space="preserve">a sociedad española refleja ese </w:t>
      </w:r>
      <w:r w:rsidRPr="00992FD7">
        <w:rPr>
          <w:rFonts w:ascii="Times New Roman" w:hAnsi="Times New Roman" w:cs="Times New Roman"/>
          <w:sz w:val="24"/>
          <w:szCs w:val="24"/>
        </w:rPr>
        <w:t>descenso de las clases medias altas, pero a dif</w:t>
      </w:r>
      <w:r>
        <w:rPr>
          <w:rFonts w:ascii="Times New Roman" w:hAnsi="Times New Roman" w:cs="Times New Roman"/>
          <w:sz w:val="24"/>
          <w:szCs w:val="24"/>
        </w:rPr>
        <w:t xml:space="preserve">erencia de Portugal o Bulgaria, </w:t>
      </w:r>
      <w:r w:rsidRPr="00992FD7">
        <w:rPr>
          <w:rFonts w:ascii="Times New Roman" w:hAnsi="Times New Roman" w:cs="Times New Roman"/>
          <w:sz w:val="24"/>
          <w:szCs w:val="24"/>
        </w:rPr>
        <w:t>tienden a contenerse (al menos a efectos de autopercepción) en las c</w:t>
      </w:r>
      <w:r>
        <w:rPr>
          <w:rFonts w:ascii="Times New Roman" w:hAnsi="Times New Roman" w:cs="Times New Roman"/>
          <w:sz w:val="24"/>
          <w:szCs w:val="24"/>
        </w:rPr>
        <w:t>l</w:t>
      </w:r>
      <w:r w:rsidRPr="00992FD7">
        <w:rPr>
          <w:rFonts w:ascii="Times New Roman" w:hAnsi="Times New Roman" w:cs="Times New Roman"/>
          <w:sz w:val="24"/>
          <w:szCs w:val="24"/>
        </w:rPr>
        <w:t>ases medias-medias</w:t>
      </w:r>
      <w:r>
        <w:rPr>
          <w:rFonts w:ascii="Times New Roman" w:hAnsi="Times New Roman" w:cs="Times New Roman"/>
          <w:sz w:val="24"/>
          <w:szCs w:val="24"/>
        </w:rPr>
        <w:t>.</w:t>
      </w:r>
    </w:p>
    <w:p w:rsidR="006D0F1E"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 xml:space="preserve">Este apuntamiento que se aprecia en la posición 5 así lo expresa. La sociedad española muestra fuertes resistencias a abandonar posiciones sociales que asocian a un logro vital. Las </w:t>
      </w:r>
      <w:r w:rsidRPr="00BC67BF">
        <w:rPr>
          <w:rFonts w:ascii="Times New Roman" w:hAnsi="Times New Roman" w:cs="Times New Roman"/>
          <w:sz w:val="24"/>
          <w:szCs w:val="24"/>
        </w:rPr>
        <w:lastRenderedPageBreak/>
        <w:t>clases medias bajas también expresan un descenso notable, si bien contenido por el apuntamiento señalado. Es difícil, sin un recorrido mayor de datos, saber hasta qué punto esta resistencia al descenso social de la sociedad española es consecuencia objetiva de los mecanismos de protección social existentes (al menos hasta su desmantelamiento, efectuado por gobierno de derechas del Partido Popular durante el año 2012) o subjetiva, por el daño a la identidad social que puede suponer para determinados grupos sociales el reconocer su descenso de clase. La incorporación de una mayor trayectoria temporal permitirá delimitar ambas causas con una mayor precisión. Bulgaria es la sociedad con un comportamiento equivalente a Portugal, donde se aprecia un descenso generalizado en la estructura de estatus, sin apuntamientos en la clase media. Francia muestra un desplazamiento descendente en la estructura de status muy parecido al español, si bien bastante menos extremo en sus rasgos principales. El descenso de la clase media alta, la concentración en la clase media-media y el descenso de la clase media-baja es menos drástico que en el caso español. Grecia y la república de Chipre muestran una tendencia semejante a Francia, con el matiz de que la “clase baja” (posiciones 1 y 2) no muestran el descenso que si se aprecia en España, Francia, Portugal o Bulgaria</w:t>
      </w:r>
      <w:r w:rsidR="00844212">
        <w:rPr>
          <w:rFonts w:ascii="Times New Roman" w:hAnsi="Times New Roman" w:cs="Times New Roman"/>
          <w:sz w:val="24"/>
          <w:szCs w:val="24"/>
        </w:rPr>
        <w:t>. En el caso de Polonia o Gran B</w:t>
      </w:r>
      <w:r w:rsidRPr="00BC67BF">
        <w:rPr>
          <w:rFonts w:ascii="Times New Roman" w:hAnsi="Times New Roman" w:cs="Times New Roman"/>
          <w:sz w:val="24"/>
          <w:szCs w:val="24"/>
        </w:rPr>
        <w:t xml:space="preserve">retaña, el descenso de las clases medias altas se concentra en la clase media-media, y no se produce un descenso en las clases medias bajas. De hecho, en el caso de Gran Bretaña se aprecia una mejora de status en las clases bajas, si bien en Polonia las clases bajas no experimentan cambios significativos. En el caso de Bélgica, se aprecia un descenso en las clases altas, pero con un reforzamiento en las clases medias (5-6) y un cierto retroceso en las clases bajas. </w:t>
      </w:r>
    </w:p>
    <w:p w:rsidR="006D0F1E"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 xml:space="preserve">Como podemos apreciar, la movilidad social descendente global, es compatible con diferentes estructuras de estatus donde, en algunos casos, se asocia con un reforzamiento de las clases medias e incluso un mejoramiento en las posiciones sociales más bajas. Los casos más radicales son sin lugar a dudas, Portugal, España y Bulgaria donde la discontinuidad en la estructura de estatus es enorme. </w:t>
      </w:r>
    </w:p>
    <w:p w:rsidR="006D0F1E"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 xml:space="preserve">Frente a los países que han experimentado descenso social, se encuentra otro grupo de países que por el contrario han mejorado a pesar de la crisis. Holanda, Suecia y Dinamarca muestran estructuras de estatus dónde predominan las clases medias altas (su moda se encuentra en la posición 7 en 2012). Especialmente para el caso de Holanda y Suecia. En estas sociedades se ha producido un movimiento ascendente generalizado, que refuerza aún más su posición como sociedades más enriquecidas de la Unión europea. En los tres países se produce un crecimiento en las clases altas. En el resto de los países se producen también movimientos sociales ascendentes. El apuntamiento en la estructura de estatus (moda en 2012) se encuentra en la posición 6 para países como Finlandia o Italia. El ascenso conlleva aparejado un reforzamiento de las clases medias-medias, como es el caso de Rumania o Malta. Pero también el ascenso de las clases bajas o medias bajas es especialmente notable en Rumania, Eslovenia, Letonia, Malta o Alemania del Este. En general, la pauta de ascenso social afecta a las clases medias bajas y medias altas, en la mayoría de las sociedades, con especificidades de crecimiento en las clases altas en Holanda, Suecia y Dinamarca y de movilidad ascendente en las clases bajas en algunas sociedades postcomunistas. </w:t>
      </w:r>
    </w:p>
    <w:p w:rsidR="006D0F1E"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 xml:space="preserve">Existe asimismo un grupo de países donde la movilidad, considerada entre los años 2009 y 2012, no es significativa en términos estadísticos. Estos son países postcomunistas: Lituania, Hungría, República Checa y Eslovaquia. Se aprecia un estancamiento con indicios de movilidad descendente. Sin embargo, esta tendencia no es estadísticamente significativa. </w:t>
      </w:r>
    </w:p>
    <w:p w:rsidR="006D0F1E"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 xml:space="preserve">La crisis económica no ha impactado de forma igual en las estructuras sociales europeas. En algunas de ellas se mantiene una dinámica de descenso social acusado, mientras que en otras </w:t>
      </w:r>
      <w:r w:rsidRPr="00BC67BF">
        <w:rPr>
          <w:rFonts w:ascii="Times New Roman" w:hAnsi="Times New Roman" w:cs="Times New Roman"/>
          <w:sz w:val="24"/>
          <w:szCs w:val="24"/>
        </w:rPr>
        <w:lastRenderedPageBreak/>
        <w:t xml:space="preserve">se aprecian avances de ascenso social, tanto en clases medias como en clases medias bajas. Un tercer grupo de países, formado especialmente por países postcomunistas, permanecen estancados sin avances o retrocesos notables. </w:t>
      </w:r>
    </w:p>
    <w:p w:rsidR="006D0F1E" w:rsidRDefault="006D0F1E" w:rsidP="006D0F1E">
      <w:pPr>
        <w:spacing w:line="240" w:lineRule="auto"/>
        <w:jc w:val="both"/>
        <w:rPr>
          <w:rFonts w:ascii="Times New Roman" w:hAnsi="Times New Roman" w:cs="Times New Roman"/>
          <w:sz w:val="24"/>
          <w:szCs w:val="24"/>
        </w:rPr>
      </w:pPr>
      <w:r w:rsidRPr="00BC67BF">
        <w:rPr>
          <w:rFonts w:ascii="Times New Roman" w:hAnsi="Times New Roman" w:cs="Times New Roman"/>
          <w:sz w:val="24"/>
          <w:szCs w:val="24"/>
        </w:rPr>
        <w:t>Además del efecto especializado de la crisis en los diferentes países de la Unión Europea, son dos los efectos evidentes: a) se han acentuado las diferencias sociales internas dentro de algunos países y b) se ha incrementado la desigualdad entre países de la UE. La crisis ha incrementado la desigualdad entre las sociedades europeas. Este cambio en la estructura de status tiene un efecto directo sobre el empoderamiento de los ciudadanos. Especialmente en la medida que el estatus está asociado a la noción de poder. Para comprobar esta asociación entre clase social, estatus y poder se ha especificado un modelo estructural con dos partes. Una explicativa que estudia la relación entre clase social, status y poder. La segunda considera dos modelos de medición, determinando la variable latente Poder mediante las indicadoras de alienación política y alienación económica. La variable latente Clase Social se construye directamente sobre la ocupación del individuo</w:t>
      </w:r>
      <w:r>
        <w:rPr>
          <w:rFonts w:ascii="Times New Roman" w:hAnsi="Times New Roman" w:cs="Times New Roman"/>
          <w:sz w:val="24"/>
          <w:szCs w:val="24"/>
        </w:rPr>
        <w:t>…</w:t>
      </w:r>
    </w:p>
    <w:p w:rsidR="006D0F1E" w:rsidRPr="00844212" w:rsidRDefault="006D0F1E" w:rsidP="006D0F1E">
      <w:pPr>
        <w:spacing w:line="240" w:lineRule="auto"/>
        <w:jc w:val="both"/>
        <w:rPr>
          <w:rFonts w:ascii="Times New Roman" w:hAnsi="Times New Roman" w:cs="Times New Roman"/>
          <w:b/>
          <w:sz w:val="24"/>
          <w:szCs w:val="24"/>
          <w:lang w:val="en-US"/>
        </w:rPr>
      </w:pPr>
      <w:r w:rsidRPr="00807DE9">
        <w:rPr>
          <w:rFonts w:ascii="Times New Roman" w:hAnsi="Times New Roman" w:cs="Times New Roman"/>
          <w:b/>
          <w:sz w:val="24"/>
          <w:szCs w:val="24"/>
          <w:lang w:val="en-US"/>
        </w:rPr>
        <w:t>Europe’s disappearing middle class? - Evidence from the world of work</w:t>
      </w:r>
      <w:r>
        <w:rPr>
          <w:rFonts w:ascii="Times New Roman" w:hAnsi="Times New Roman" w:cs="Times New Roman"/>
          <w:sz w:val="24"/>
          <w:szCs w:val="24"/>
          <w:lang w:val="en-US"/>
        </w:rPr>
        <w:t xml:space="preserve"> </w:t>
      </w:r>
      <w:r w:rsidRPr="00844212">
        <w:rPr>
          <w:rFonts w:ascii="Times New Roman" w:hAnsi="Times New Roman" w:cs="Times New Roman"/>
          <w:b/>
          <w:sz w:val="24"/>
          <w:szCs w:val="24"/>
          <w:lang w:val="en-US"/>
        </w:rPr>
        <w:t>- International Labour Office - Edward Elgar Publishing, Inc. - 2016</w:t>
      </w:r>
    </w:p>
    <w:p w:rsidR="006D0F1E" w:rsidRDefault="006D0F1E" w:rsidP="006D0F1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07DE9">
        <w:rPr>
          <w:rFonts w:ascii="Times New Roman" w:hAnsi="Times New Roman" w:cs="Times New Roman"/>
          <w:sz w:val="24"/>
          <w:szCs w:val="24"/>
          <w:lang w:val="en-US"/>
        </w:rPr>
        <w:t>Edited by Daniel Vaughan-Whitehead</w:t>
      </w:r>
      <w:r>
        <w:rPr>
          <w:rFonts w:ascii="Times New Roman" w:hAnsi="Times New Roman" w:cs="Times New Roman"/>
          <w:sz w:val="24"/>
          <w:szCs w:val="24"/>
          <w:lang w:val="en-US"/>
        </w:rPr>
        <w:t>)</w:t>
      </w:r>
    </w:p>
    <w:p w:rsidR="006D0F1E" w:rsidRDefault="006D0F1E" w:rsidP="006D0F1E">
      <w:pPr>
        <w:pStyle w:val="Pa6"/>
        <w:spacing w:before="280"/>
        <w:jc w:val="both"/>
        <w:rPr>
          <w:rFonts w:ascii="Times New Roman" w:hAnsi="Times New Roman" w:cs="Times New Roman"/>
          <w:b/>
          <w:bCs/>
          <w:color w:val="000000"/>
          <w:lang w:val="en-US"/>
        </w:rPr>
      </w:pPr>
      <w:r w:rsidRPr="00807DE9">
        <w:rPr>
          <w:rFonts w:ascii="Times New Roman" w:hAnsi="Times New Roman" w:cs="Times New Roman"/>
          <w:b/>
          <w:bCs/>
          <w:color w:val="000000"/>
          <w:lang w:val="en-US"/>
        </w:rPr>
        <w:t>The link between polarization and the middle class</w:t>
      </w:r>
    </w:p>
    <w:p w:rsidR="00844212" w:rsidRPr="00844212" w:rsidRDefault="00844212" w:rsidP="00844212">
      <w:pPr>
        <w:rPr>
          <w:lang w:val="en-US"/>
        </w:rPr>
      </w:pPr>
    </w:p>
    <w:p w:rsidR="006D0F1E" w:rsidRDefault="006D0F1E" w:rsidP="006D0F1E">
      <w:pPr>
        <w:spacing w:line="240" w:lineRule="auto"/>
        <w:jc w:val="both"/>
        <w:rPr>
          <w:rFonts w:ascii="Times New Roman" w:hAnsi="Times New Roman" w:cs="Times New Roman"/>
          <w:color w:val="000000"/>
          <w:sz w:val="24"/>
          <w:szCs w:val="24"/>
          <w:lang w:val="en-US"/>
        </w:rPr>
      </w:pPr>
      <w:r w:rsidRPr="00807DE9">
        <w:rPr>
          <w:rFonts w:ascii="Times New Roman" w:hAnsi="Times New Roman" w:cs="Times New Roman"/>
          <w:color w:val="000000"/>
          <w:sz w:val="24"/>
          <w:szCs w:val="24"/>
          <w:lang w:val="en-US"/>
        </w:rPr>
        <w:t>The experts’ findings make a direct link between increased income inequalities and the ero</w:t>
      </w:r>
      <w:r w:rsidRPr="00807DE9">
        <w:rPr>
          <w:rFonts w:ascii="Times New Roman" w:hAnsi="Times New Roman" w:cs="Times New Roman"/>
          <w:color w:val="000000"/>
          <w:sz w:val="24"/>
          <w:szCs w:val="24"/>
          <w:lang w:val="en-US"/>
        </w:rPr>
        <w:softHyphen/>
        <w:t>sion of middle income groups, and confirm the need to tackle inequalities also by looking at what is happening to the “middle class”. The figure below shows a direct correlation (as shown by the red line and by a R-squared or coefficient of determination of 0.71 for 2011) between the level of income inequalities and the size of the core middle class. The volume also finds a direct correlation between the trends of these two indicators over time. On this basis, we can predict that the increase in inequalities documented recently by several international organizations (OECD, IMF, ILO and EC) must have been accompanied by an erosion of the middle class.</w:t>
      </w:r>
    </w:p>
    <w:p w:rsidR="006D0F1E" w:rsidRDefault="006D0F1E" w:rsidP="006D0F1E">
      <w:pPr>
        <w:spacing w:line="240" w:lineRule="auto"/>
        <w:jc w:val="both"/>
        <w:rPr>
          <w:rFonts w:ascii="Times New Roman" w:hAnsi="Times New Roman" w:cs="Times New Roman"/>
          <w:color w:val="000000"/>
          <w:sz w:val="24"/>
          <w:szCs w:val="24"/>
          <w:lang w:val="en-US"/>
        </w:rPr>
      </w:pPr>
      <w:r w:rsidRPr="00807DE9">
        <w:rPr>
          <w:rFonts w:ascii="Times New Roman" w:hAnsi="Times New Roman" w:cs="Times New Roman"/>
          <w:color w:val="000000"/>
          <w:sz w:val="24"/>
          <w:szCs w:val="24"/>
          <w:lang w:val="en-US"/>
        </w:rPr>
        <w:t>Another relationship emerges from the data, one between the decline in the middle class and its original size. The size of the core middle class in Europe varies considerably from country to country, from 23 per cent in Latvia to 40 per cent in Denmark (2011). A com</w:t>
      </w:r>
      <w:r w:rsidRPr="00807DE9">
        <w:rPr>
          <w:rFonts w:ascii="Times New Roman" w:hAnsi="Times New Roman" w:cs="Times New Roman"/>
          <w:color w:val="000000"/>
          <w:sz w:val="24"/>
          <w:szCs w:val="24"/>
          <w:lang w:val="en-US"/>
        </w:rPr>
        <w:softHyphen/>
        <w:t xml:space="preserve">parison of EU countries shows a more substantial middle </w:t>
      </w:r>
      <w:r>
        <w:rPr>
          <w:rFonts w:ascii="Times New Roman" w:hAnsi="Times New Roman" w:cs="Times New Roman"/>
          <w:color w:val="000000"/>
          <w:sz w:val="24"/>
          <w:szCs w:val="24"/>
          <w:lang w:val="en-US"/>
        </w:rPr>
        <w:t>class in the Nordic countries -Denmark and Sweden-</w:t>
      </w:r>
      <w:r w:rsidRPr="00807DE9">
        <w:rPr>
          <w:rFonts w:ascii="Times New Roman" w:hAnsi="Times New Roman" w:cs="Times New Roman"/>
          <w:color w:val="000000"/>
          <w:sz w:val="24"/>
          <w:szCs w:val="24"/>
          <w:lang w:val="en-US"/>
        </w:rPr>
        <w:t xml:space="preserve"> and a smaller middle class in both the south (Greece and Spain) and in central and eastern Europe</w:t>
      </w:r>
      <w:r>
        <w:rPr>
          <w:rFonts w:ascii="Times New Roman" w:hAnsi="Times New Roman" w:cs="Times New Roman"/>
          <w:color w:val="000000"/>
          <w:sz w:val="24"/>
          <w:szCs w:val="24"/>
          <w:lang w:val="en-US"/>
        </w:rPr>
        <w:t xml:space="preserve"> (Estonia, Latvia and Lithuania</w:t>
      </w:r>
      <w:r w:rsidRPr="00807DE9">
        <w:rPr>
          <w:rFonts w:ascii="Times New Roman" w:hAnsi="Times New Roman" w:cs="Times New Roman"/>
          <w:color w:val="000000"/>
          <w:sz w:val="24"/>
          <w:szCs w:val="24"/>
          <w:lang w:val="en-US"/>
        </w:rPr>
        <w:t>).</w:t>
      </w:r>
    </w:p>
    <w:p w:rsidR="006D0F1E" w:rsidRDefault="006D0F1E" w:rsidP="006D0F1E">
      <w:pPr>
        <w:spacing w:line="240" w:lineRule="auto"/>
        <w:jc w:val="both"/>
        <w:rPr>
          <w:rFonts w:ascii="Times New Roman" w:hAnsi="Times New Roman" w:cs="Times New Roman"/>
          <w:sz w:val="24"/>
          <w:szCs w:val="24"/>
          <w:lang w:val="en-US"/>
        </w:rPr>
      </w:pPr>
      <w:r w:rsidRPr="00807DE9">
        <w:rPr>
          <w:rFonts w:ascii="Times New Roman" w:hAnsi="Times New Roman" w:cs="Times New Roman"/>
          <w:noProof/>
          <w:sz w:val="24"/>
          <w:szCs w:val="24"/>
          <w:lang w:eastAsia="es-ES"/>
        </w:rPr>
        <w:lastRenderedPageBreak/>
        <w:drawing>
          <wp:inline distT="0" distB="0" distL="0" distR="0" wp14:anchorId="5F42B0A8" wp14:editId="1C8018E4">
            <wp:extent cx="5731510" cy="3770795"/>
            <wp:effectExtent l="0" t="0" r="2540" b="127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3770795"/>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24"/>
          <w:szCs w:val="24"/>
          <w:lang w:val="en-US"/>
        </w:rPr>
      </w:pPr>
      <w:r w:rsidRPr="00807DE9">
        <w:rPr>
          <w:rFonts w:ascii="Times New Roman" w:hAnsi="Times New Roman" w:cs="Times New Roman"/>
          <w:noProof/>
          <w:sz w:val="24"/>
          <w:szCs w:val="24"/>
          <w:lang w:eastAsia="es-ES"/>
        </w:rPr>
        <w:drawing>
          <wp:inline distT="0" distB="0" distL="0" distR="0" wp14:anchorId="79479FF7" wp14:editId="4BD0CF53">
            <wp:extent cx="5731510" cy="2702872"/>
            <wp:effectExtent l="0" t="0" r="2540" b="254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2702872"/>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24"/>
          <w:szCs w:val="24"/>
          <w:lang w:val="en-US"/>
        </w:rPr>
      </w:pPr>
      <w:r w:rsidRPr="004C7B87">
        <w:rPr>
          <w:rFonts w:ascii="Times New Roman" w:hAnsi="Times New Roman" w:cs="Times New Roman"/>
          <w:noProof/>
          <w:sz w:val="24"/>
          <w:szCs w:val="24"/>
          <w:lang w:eastAsia="es-ES"/>
        </w:rPr>
        <w:drawing>
          <wp:inline distT="0" distB="0" distL="0" distR="0" wp14:anchorId="24AE8217" wp14:editId="55C16526">
            <wp:extent cx="5731510" cy="1483702"/>
            <wp:effectExtent l="0" t="0" r="2540" b="254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1483702"/>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24"/>
          <w:szCs w:val="24"/>
          <w:lang w:val="en-US"/>
        </w:rPr>
      </w:pPr>
    </w:p>
    <w:p w:rsidR="006D0F1E" w:rsidRDefault="006D0F1E" w:rsidP="006D0F1E">
      <w:pPr>
        <w:spacing w:line="240" w:lineRule="auto"/>
        <w:jc w:val="both"/>
        <w:rPr>
          <w:rFonts w:ascii="Times New Roman" w:hAnsi="Times New Roman" w:cs="Times New Roman"/>
          <w:sz w:val="24"/>
          <w:szCs w:val="24"/>
          <w:lang w:val="en-US"/>
        </w:rPr>
      </w:pPr>
    </w:p>
    <w:p w:rsidR="006D0F1E" w:rsidRDefault="006D0F1E" w:rsidP="006D0F1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Inequalities: what is happening to middle-income groups?</w:t>
      </w:r>
    </w:p>
    <w:p w:rsidR="006D0F1E" w:rsidRPr="004C7B87" w:rsidRDefault="006D0F1E" w:rsidP="006D0F1E">
      <w:pPr>
        <w:spacing w:line="240" w:lineRule="auto"/>
        <w:jc w:val="both"/>
        <w:rPr>
          <w:rFonts w:ascii="Times New Roman" w:hAnsi="Times New Roman" w:cs="Times New Roman"/>
          <w:sz w:val="24"/>
          <w:szCs w:val="24"/>
          <w:lang w:val="en-US"/>
        </w:rPr>
      </w:pPr>
      <w:r w:rsidRPr="004C7B87">
        <w:rPr>
          <w:rFonts w:ascii="Times New Roman" w:hAnsi="Times New Roman" w:cs="Times New Roman"/>
          <w:sz w:val="24"/>
          <w:szCs w:val="24"/>
          <w:lang w:val="en-US"/>
        </w:rPr>
        <w:t>Before the Crisis, a Slow Erosio</w:t>
      </w:r>
      <w:r>
        <w:rPr>
          <w:rFonts w:ascii="Times New Roman" w:hAnsi="Times New Roman" w:cs="Times New Roman"/>
          <w:sz w:val="24"/>
          <w:szCs w:val="24"/>
          <w:lang w:val="en-US"/>
        </w:rPr>
        <w:t xml:space="preserve">n of the Middle Class alongside </w:t>
      </w:r>
      <w:r w:rsidRPr="004C7B87">
        <w:rPr>
          <w:rFonts w:ascii="Times New Roman" w:hAnsi="Times New Roman" w:cs="Times New Roman"/>
          <w:sz w:val="24"/>
          <w:szCs w:val="24"/>
          <w:lang w:val="en-US"/>
        </w:rPr>
        <w:t>Increased Polarization</w:t>
      </w:r>
    </w:p>
    <w:p w:rsidR="006D0F1E" w:rsidRDefault="006D0F1E" w:rsidP="006D0F1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the first period -</w:t>
      </w:r>
      <w:r w:rsidRPr="004C7B87">
        <w:rPr>
          <w:rFonts w:ascii="Times New Roman" w:hAnsi="Times New Roman" w:cs="Times New Roman"/>
          <w:sz w:val="24"/>
          <w:szCs w:val="24"/>
          <w:lang w:val="en-US"/>
        </w:rPr>
        <w:t>that is, before the financial cri</w:t>
      </w:r>
      <w:r>
        <w:rPr>
          <w:rFonts w:ascii="Times New Roman" w:hAnsi="Times New Roman" w:cs="Times New Roman"/>
          <w:sz w:val="24"/>
          <w:szCs w:val="24"/>
          <w:lang w:val="en-US"/>
        </w:rPr>
        <w:t xml:space="preserve">sis- ten countries experienced </w:t>
      </w:r>
      <w:r w:rsidRPr="004C7B87">
        <w:rPr>
          <w:rFonts w:ascii="Times New Roman" w:hAnsi="Times New Roman" w:cs="Times New Roman"/>
          <w:sz w:val="24"/>
          <w:szCs w:val="24"/>
          <w:lang w:val="en-US"/>
        </w:rPr>
        <w:t>an increase in the size of their core</w:t>
      </w:r>
      <w:r>
        <w:rPr>
          <w:rFonts w:ascii="Times New Roman" w:hAnsi="Times New Roman" w:cs="Times New Roman"/>
          <w:sz w:val="24"/>
          <w:szCs w:val="24"/>
          <w:lang w:val="en-US"/>
        </w:rPr>
        <w:t xml:space="preserve"> middle class (see Figure 1.2), </w:t>
      </w:r>
      <w:r w:rsidRPr="004C7B87">
        <w:rPr>
          <w:rFonts w:ascii="Times New Roman" w:hAnsi="Times New Roman" w:cs="Times New Roman"/>
          <w:sz w:val="24"/>
          <w:szCs w:val="24"/>
          <w:lang w:val="en-US"/>
        </w:rPr>
        <w:t>especially among some relatively rec</w:t>
      </w:r>
      <w:r>
        <w:rPr>
          <w:rFonts w:ascii="Times New Roman" w:hAnsi="Times New Roman" w:cs="Times New Roman"/>
          <w:sz w:val="24"/>
          <w:szCs w:val="24"/>
          <w:lang w:val="en-US"/>
        </w:rPr>
        <w:t xml:space="preserve">ent European Union (EU) members </w:t>
      </w:r>
      <w:r w:rsidRPr="004C7B87">
        <w:rPr>
          <w:rFonts w:ascii="Times New Roman" w:hAnsi="Times New Roman" w:cs="Times New Roman"/>
          <w:sz w:val="24"/>
          <w:szCs w:val="24"/>
          <w:lang w:val="en-US"/>
        </w:rPr>
        <w:t>from Central and Eastern Europe, such as Lithuania, Estonia, Hungary</w:t>
      </w:r>
      <w:r>
        <w:rPr>
          <w:rFonts w:ascii="Times New Roman" w:hAnsi="Times New Roman" w:cs="Times New Roman"/>
          <w:sz w:val="24"/>
          <w:szCs w:val="24"/>
          <w:lang w:val="en-US"/>
        </w:rPr>
        <w:t xml:space="preserve"> </w:t>
      </w:r>
      <w:r w:rsidRPr="004C7B87">
        <w:rPr>
          <w:rFonts w:ascii="Times New Roman" w:hAnsi="Times New Roman" w:cs="Times New Roman"/>
          <w:sz w:val="24"/>
          <w:szCs w:val="24"/>
          <w:lang w:val="en-US"/>
        </w:rPr>
        <w:t>and the Czech Republic and also som</w:t>
      </w:r>
      <w:r>
        <w:rPr>
          <w:rFonts w:ascii="Times New Roman" w:hAnsi="Times New Roman" w:cs="Times New Roman"/>
          <w:sz w:val="24"/>
          <w:szCs w:val="24"/>
          <w:lang w:val="en-US"/>
        </w:rPr>
        <w:t xml:space="preserve">e older members of the EU, such </w:t>
      </w:r>
      <w:r w:rsidRPr="004C7B87">
        <w:rPr>
          <w:rFonts w:ascii="Times New Roman" w:hAnsi="Times New Roman" w:cs="Times New Roman"/>
          <w:sz w:val="24"/>
          <w:szCs w:val="24"/>
          <w:lang w:val="en-US"/>
        </w:rPr>
        <w:t>as Spain, France and Belgium. Three coun</w:t>
      </w:r>
      <w:r>
        <w:rPr>
          <w:rFonts w:ascii="Times New Roman" w:hAnsi="Times New Roman" w:cs="Times New Roman"/>
          <w:sz w:val="24"/>
          <w:szCs w:val="24"/>
          <w:lang w:val="en-US"/>
        </w:rPr>
        <w:t xml:space="preserve">tries experienced a stable core </w:t>
      </w:r>
      <w:r w:rsidRPr="004C7B87">
        <w:rPr>
          <w:rFonts w:ascii="Times New Roman" w:hAnsi="Times New Roman" w:cs="Times New Roman"/>
          <w:sz w:val="24"/>
          <w:szCs w:val="24"/>
          <w:lang w:val="en-US"/>
        </w:rPr>
        <w:t>middle class, while 13 countries had experienced an erosion of th</w:t>
      </w:r>
      <w:r>
        <w:rPr>
          <w:rFonts w:ascii="Times New Roman" w:hAnsi="Times New Roman" w:cs="Times New Roman"/>
          <w:sz w:val="24"/>
          <w:szCs w:val="24"/>
          <w:lang w:val="en-US"/>
        </w:rPr>
        <w:t xml:space="preserve">eir core </w:t>
      </w:r>
      <w:r w:rsidRPr="004C7B87">
        <w:rPr>
          <w:rFonts w:ascii="Times New Roman" w:hAnsi="Times New Roman" w:cs="Times New Roman"/>
          <w:sz w:val="24"/>
          <w:szCs w:val="24"/>
          <w:lang w:val="en-US"/>
        </w:rPr>
        <w:t xml:space="preserve">middle class between 2004 and 2006. The </w:t>
      </w:r>
      <w:r>
        <w:rPr>
          <w:rFonts w:ascii="Times New Roman" w:hAnsi="Times New Roman" w:cs="Times New Roman"/>
          <w:sz w:val="24"/>
          <w:szCs w:val="24"/>
          <w:lang w:val="en-US"/>
        </w:rPr>
        <w:t xml:space="preserve">most significant erosion was in </w:t>
      </w:r>
      <w:r w:rsidRPr="004C7B87">
        <w:rPr>
          <w:rFonts w:ascii="Times New Roman" w:hAnsi="Times New Roman" w:cs="Times New Roman"/>
          <w:sz w:val="24"/>
          <w:szCs w:val="24"/>
          <w:lang w:val="en-US"/>
        </w:rPr>
        <w:t xml:space="preserve">Germany, the Netherlands, Greece, </w:t>
      </w:r>
      <w:r>
        <w:rPr>
          <w:rFonts w:ascii="Times New Roman" w:hAnsi="Times New Roman" w:cs="Times New Roman"/>
          <w:sz w:val="24"/>
          <w:szCs w:val="24"/>
          <w:lang w:val="en-US"/>
        </w:rPr>
        <w:t xml:space="preserve">Luxembourg, Denmark, Latvia and </w:t>
      </w:r>
      <w:r w:rsidRPr="004C7B87">
        <w:rPr>
          <w:rFonts w:ascii="Times New Roman" w:hAnsi="Times New Roman" w:cs="Times New Roman"/>
          <w:sz w:val="24"/>
          <w:szCs w:val="24"/>
          <w:lang w:val="en-US"/>
        </w:rPr>
        <w:t>the United Kingdom. While this was acco</w:t>
      </w:r>
      <w:r>
        <w:rPr>
          <w:rFonts w:ascii="Times New Roman" w:hAnsi="Times New Roman" w:cs="Times New Roman"/>
          <w:sz w:val="24"/>
          <w:szCs w:val="24"/>
          <w:lang w:val="en-US"/>
        </w:rPr>
        <w:t xml:space="preserve">mpanied by a growth of the size </w:t>
      </w:r>
      <w:r w:rsidRPr="004C7B87">
        <w:rPr>
          <w:rFonts w:ascii="Times New Roman" w:hAnsi="Times New Roman" w:cs="Times New Roman"/>
          <w:sz w:val="24"/>
          <w:szCs w:val="24"/>
          <w:lang w:val="en-US"/>
        </w:rPr>
        <w:t>of the bottom group, it also led to an incre</w:t>
      </w:r>
      <w:r>
        <w:rPr>
          <w:rFonts w:ascii="Times New Roman" w:hAnsi="Times New Roman" w:cs="Times New Roman"/>
          <w:sz w:val="24"/>
          <w:szCs w:val="24"/>
          <w:lang w:val="en-US"/>
        </w:rPr>
        <w:t xml:space="preserve">ase of the upper group, showing </w:t>
      </w:r>
      <w:r w:rsidRPr="004C7B87">
        <w:rPr>
          <w:rFonts w:ascii="Times New Roman" w:hAnsi="Times New Roman" w:cs="Times New Roman"/>
          <w:sz w:val="24"/>
          <w:szCs w:val="24"/>
          <w:lang w:val="en-US"/>
        </w:rPr>
        <w:t>increased polarization.</w:t>
      </w:r>
    </w:p>
    <w:p w:rsidR="006D0F1E" w:rsidRPr="004C7B87" w:rsidRDefault="006D0F1E" w:rsidP="006D0F1E">
      <w:pPr>
        <w:spacing w:line="240" w:lineRule="auto"/>
        <w:jc w:val="both"/>
        <w:rPr>
          <w:rFonts w:ascii="Times New Roman" w:hAnsi="Times New Roman" w:cs="Times New Roman"/>
          <w:sz w:val="24"/>
          <w:szCs w:val="24"/>
          <w:lang w:val="en-US"/>
        </w:rPr>
      </w:pPr>
      <w:r w:rsidRPr="004C7B87">
        <w:rPr>
          <w:rFonts w:ascii="Times New Roman" w:hAnsi="Times New Roman" w:cs="Times New Roman"/>
          <w:noProof/>
          <w:sz w:val="24"/>
          <w:szCs w:val="24"/>
          <w:lang w:eastAsia="es-ES"/>
        </w:rPr>
        <w:drawing>
          <wp:inline distT="0" distB="0" distL="0" distR="0" wp14:anchorId="775256DE" wp14:editId="2CDB6A5A">
            <wp:extent cx="5728688" cy="4870450"/>
            <wp:effectExtent l="0" t="0" r="5715" b="635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4872849"/>
                    </a:xfrm>
                    <a:prstGeom prst="rect">
                      <a:avLst/>
                    </a:prstGeom>
                  </pic:spPr>
                </pic:pic>
              </a:graphicData>
            </a:graphic>
          </wp:inline>
        </w:drawing>
      </w:r>
    </w:p>
    <w:p w:rsidR="006D0F1E" w:rsidRPr="004C7B87" w:rsidRDefault="006D0F1E" w:rsidP="006D0F1E">
      <w:pPr>
        <w:spacing w:line="240" w:lineRule="auto"/>
        <w:jc w:val="both"/>
        <w:rPr>
          <w:rFonts w:ascii="Times New Roman" w:hAnsi="Times New Roman" w:cs="Times New Roman"/>
          <w:sz w:val="24"/>
          <w:szCs w:val="24"/>
          <w:lang w:val="en-US"/>
        </w:rPr>
      </w:pPr>
      <w:r w:rsidRPr="004C7B87">
        <w:rPr>
          <w:rFonts w:ascii="Times New Roman" w:hAnsi="Times New Roman" w:cs="Times New Roman"/>
          <w:sz w:val="24"/>
          <w:szCs w:val="24"/>
          <w:lang w:val="en-US"/>
        </w:rPr>
        <w:t>A typology can be drawn according t</w:t>
      </w:r>
      <w:r>
        <w:rPr>
          <w:rFonts w:ascii="Times New Roman" w:hAnsi="Times New Roman" w:cs="Times New Roman"/>
          <w:sz w:val="24"/>
          <w:szCs w:val="24"/>
          <w:lang w:val="en-US"/>
        </w:rPr>
        <w:t xml:space="preserve">o the patterns of the different </w:t>
      </w:r>
      <w:r w:rsidRPr="004C7B87">
        <w:rPr>
          <w:rFonts w:ascii="Times New Roman" w:hAnsi="Times New Roman" w:cs="Times New Roman"/>
          <w:sz w:val="24"/>
          <w:szCs w:val="24"/>
          <w:lang w:val="en-US"/>
        </w:rPr>
        <w:t>income groups’ evolution.</w:t>
      </w:r>
    </w:p>
    <w:p w:rsidR="006D0F1E" w:rsidRDefault="006D0F1E" w:rsidP="006D0F1E">
      <w:pPr>
        <w:spacing w:line="240" w:lineRule="auto"/>
        <w:jc w:val="both"/>
        <w:rPr>
          <w:rFonts w:ascii="Times New Roman" w:hAnsi="Times New Roman" w:cs="Times New Roman"/>
          <w:sz w:val="24"/>
          <w:szCs w:val="24"/>
          <w:lang w:val="en-US"/>
        </w:rPr>
      </w:pPr>
      <w:r w:rsidRPr="004C7B87">
        <w:rPr>
          <w:rFonts w:ascii="Times New Roman" w:hAnsi="Times New Roman" w:cs="Times New Roman"/>
          <w:sz w:val="24"/>
          <w:szCs w:val="24"/>
          <w:lang w:val="en-US"/>
        </w:rPr>
        <w:t>An increase in the size of the middle clas</w:t>
      </w:r>
      <w:r>
        <w:rPr>
          <w:rFonts w:ascii="Times New Roman" w:hAnsi="Times New Roman" w:cs="Times New Roman"/>
          <w:sz w:val="24"/>
          <w:szCs w:val="24"/>
          <w:lang w:val="en-US"/>
        </w:rPr>
        <w:t xml:space="preserve">s seems to be correlated with a </w:t>
      </w:r>
      <w:r w:rsidRPr="004C7B87">
        <w:rPr>
          <w:rFonts w:ascii="Times New Roman" w:hAnsi="Times New Roman" w:cs="Times New Roman"/>
          <w:sz w:val="24"/>
          <w:szCs w:val="24"/>
          <w:lang w:val="en-US"/>
        </w:rPr>
        <w:t>decrease in polarization for countries such as Lithuania, Estonia, Poland,</w:t>
      </w:r>
      <w:r>
        <w:rPr>
          <w:rFonts w:ascii="Times New Roman" w:hAnsi="Times New Roman" w:cs="Times New Roman"/>
          <w:sz w:val="24"/>
          <w:szCs w:val="24"/>
          <w:lang w:val="en-US"/>
        </w:rPr>
        <w:t xml:space="preserve"> </w:t>
      </w:r>
      <w:r w:rsidRPr="004C7B87">
        <w:rPr>
          <w:rFonts w:ascii="Times New Roman" w:hAnsi="Times New Roman" w:cs="Times New Roman"/>
          <w:sz w:val="24"/>
          <w:szCs w:val="24"/>
          <w:lang w:val="en-US"/>
        </w:rPr>
        <w:t xml:space="preserve">Spain, France, Hungary and Cyprus, with a </w:t>
      </w:r>
      <w:r>
        <w:rPr>
          <w:rFonts w:ascii="Times New Roman" w:hAnsi="Times New Roman" w:cs="Times New Roman"/>
          <w:sz w:val="24"/>
          <w:szCs w:val="24"/>
          <w:lang w:val="en-US"/>
        </w:rPr>
        <w:t xml:space="preserve">decline in the size of both the </w:t>
      </w:r>
      <w:r w:rsidRPr="004C7B87">
        <w:rPr>
          <w:rFonts w:ascii="Times New Roman" w:hAnsi="Times New Roman" w:cs="Times New Roman"/>
          <w:sz w:val="24"/>
          <w:szCs w:val="24"/>
          <w:lang w:val="en-US"/>
        </w:rPr>
        <w:t xml:space="preserve">richest and </w:t>
      </w:r>
      <w:r>
        <w:rPr>
          <w:rFonts w:ascii="Times New Roman" w:hAnsi="Times New Roman" w:cs="Times New Roman"/>
          <w:sz w:val="24"/>
          <w:szCs w:val="24"/>
          <w:lang w:val="en-US"/>
        </w:rPr>
        <w:t xml:space="preserve">the poorest classes (a case of “decreased inequalities” in the </w:t>
      </w:r>
      <w:r w:rsidRPr="004C7B87">
        <w:rPr>
          <w:rFonts w:ascii="Times New Roman" w:hAnsi="Times New Roman" w:cs="Times New Roman"/>
          <w:sz w:val="24"/>
          <w:szCs w:val="24"/>
          <w:lang w:val="en-US"/>
        </w:rPr>
        <w:t>typology of Table 1.2). Polarization and sl</w:t>
      </w:r>
      <w:r>
        <w:rPr>
          <w:rFonts w:ascii="Times New Roman" w:hAnsi="Times New Roman" w:cs="Times New Roman"/>
          <w:sz w:val="24"/>
          <w:szCs w:val="24"/>
          <w:lang w:val="en-US"/>
        </w:rPr>
        <w:t xml:space="preserve">ight erosion of the core middle </w:t>
      </w:r>
      <w:r w:rsidRPr="004C7B87">
        <w:rPr>
          <w:rFonts w:ascii="Times New Roman" w:hAnsi="Times New Roman" w:cs="Times New Roman"/>
          <w:sz w:val="24"/>
          <w:szCs w:val="24"/>
          <w:lang w:val="en-US"/>
        </w:rPr>
        <w:t>class also characterized the average for Europe in Figure 1.1.</w:t>
      </w:r>
    </w:p>
    <w:p w:rsidR="006D0F1E" w:rsidRPr="004C7B87" w:rsidRDefault="006D0F1E" w:rsidP="006D0F1E">
      <w:pPr>
        <w:spacing w:line="240" w:lineRule="auto"/>
        <w:jc w:val="both"/>
        <w:rPr>
          <w:rFonts w:ascii="Times New Roman" w:hAnsi="Times New Roman" w:cs="Times New Roman"/>
          <w:sz w:val="24"/>
          <w:szCs w:val="24"/>
          <w:lang w:val="en-US"/>
        </w:rPr>
      </w:pPr>
      <w:r w:rsidRPr="002A6435">
        <w:rPr>
          <w:rFonts w:ascii="Times New Roman" w:hAnsi="Times New Roman" w:cs="Times New Roman"/>
          <w:noProof/>
          <w:sz w:val="24"/>
          <w:szCs w:val="24"/>
          <w:lang w:eastAsia="es-ES"/>
        </w:rPr>
        <w:lastRenderedPageBreak/>
        <w:drawing>
          <wp:inline distT="0" distB="0" distL="0" distR="0" wp14:anchorId="788BC127" wp14:editId="247DF9CB">
            <wp:extent cx="5731202" cy="5734050"/>
            <wp:effectExtent l="0" t="0" r="3175"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5734358"/>
                    </a:xfrm>
                    <a:prstGeom prst="rect">
                      <a:avLst/>
                    </a:prstGeom>
                  </pic:spPr>
                </pic:pic>
              </a:graphicData>
            </a:graphic>
          </wp:inline>
        </w:drawing>
      </w:r>
    </w:p>
    <w:p w:rsidR="006D0F1E" w:rsidRPr="004C7B87" w:rsidRDefault="006D0F1E" w:rsidP="006D0F1E">
      <w:pPr>
        <w:spacing w:line="240" w:lineRule="auto"/>
        <w:jc w:val="both"/>
        <w:rPr>
          <w:rFonts w:ascii="Times New Roman" w:hAnsi="Times New Roman" w:cs="Times New Roman"/>
          <w:sz w:val="24"/>
          <w:szCs w:val="24"/>
          <w:lang w:val="en-US"/>
        </w:rPr>
      </w:pPr>
      <w:r w:rsidRPr="004C7B87">
        <w:rPr>
          <w:rFonts w:ascii="Times New Roman" w:hAnsi="Times New Roman" w:cs="Times New Roman"/>
          <w:sz w:val="24"/>
          <w:szCs w:val="24"/>
          <w:lang w:val="en-US"/>
        </w:rPr>
        <w:t>By contrast, a decrease in the size of the midd</w:t>
      </w:r>
      <w:r>
        <w:rPr>
          <w:rFonts w:ascii="Times New Roman" w:hAnsi="Times New Roman" w:cs="Times New Roman"/>
          <w:sz w:val="24"/>
          <w:szCs w:val="24"/>
          <w:lang w:val="en-US"/>
        </w:rPr>
        <w:t xml:space="preserve">le class seems to be correlated </w:t>
      </w:r>
      <w:r w:rsidRPr="004C7B87">
        <w:rPr>
          <w:rFonts w:ascii="Times New Roman" w:hAnsi="Times New Roman" w:cs="Times New Roman"/>
          <w:sz w:val="24"/>
          <w:szCs w:val="24"/>
          <w:lang w:val="en-US"/>
        </w:rPr>
        <w:t>with an increased ‘polarization’</w:t>
      </w:r>
      <w:r>
        <w:rPr>
          <w:rFonts w:ascii="Times New Roman" w:hAnsi="Times New Roman" w:cs="Times New Roman"/>
          <w:sz w:val="24"/>
          <w:szCs w:val="24"/>
          <w:lang w:val="en-US"/>
        </w:rPr>
        <w:t xml:space="preserve"> for countries such as Germany, </w:t>
      </w:r>
      <w:r w:rsidRPr="004C7B87">
        <w:rPr>
          <w:rFonts w:ascii="Times New Roman" w:hAnsi="Times New Roman" w:cs="Times New Roman"/>
          <w:sz w:val="24"/>
          <w:szCs w:val="24"/>
          <w:lang w:val="en-US"/>
        </w:rPr>
        <w:t>the Netherlands, Greece, Luxembourg</w:t>
      </w:r>
      <w:r>
        <w:rPr>
          <w:rFonts w:ascii="Times New Roman" w:hAnsi="Times New Roman" w:cs="Times New Roman"/>
          <w:sz w:val="24"/>
          <w:szCs w:val="24"/>
          <w:lang w:val="en-US"/>
        </w:rPr>
        <w:t xml:space="preserve"> and the United Kingdom. We can </w:t>
      </w:r>
      <w:r w:rsidRPr="004C7B87">
        <w:rPr>
          <w:rFonts w:ascii="Times New Roman" w:hAnsi="Times New Roman" w:cs="Times New Roman"/>
          <w:sz w:val="24"/>
          <w:szCs w:val="24"/>
          <w:lang w:val="en-US"/>
        </w:rPr>
        <w:t>observe that for these countries the decrease in</w:t>
      </w:r>
      <w:r>
        <w:rPr>
          <w:rFonts w:ascii="Times New Roman" w:hAnsi="Times New Roman" w:cs="Times New Roman"/>
          <w:sz w:val="24"/>
          <w:szCs w:val="24"/>
          <w:lang w:val="en-US"/>
        </w:rPr>
        <w:t xml:space="preserve"> the middle class is associated </w:t>
      </w:r>
      <w:r w:rsidRPr="004C7B87">
        <w:rPr>
          <w:rFonts w:ascii="Times New Roman" w:hAnsi="Times New Roman" w:cs="Times New Roman"/>
          <w:sz w:val="24"/>
          <w:szCs w:val="24"/>
          <w:lang w:val="en-US"/>
        </w:rPr>
        <w:t xml:space="preserve">with an increase in the size of the bottom and upper classes. </w:t>
      </w:r>
      <w:r>
        <w:rPr>
          <w:rFonts w:ascii="Times New Roman" w:hAnsi="Times New Roman" w:cs="Times New Roman"/>
          <w:sz w:val="24"/>
          <w:szCs w:val="24"/>
          <w:lang w:val="en-US"/>
        </w:rPr>
        <w:t xml:space="preserve">The </w:t>
      </w:r>
      <w:r w:rsidRPr="004C7B87">
        <w:rPr>
          <w:rFonts w:ascii="Times New Roman" w:hAnsi="Times New Roman" w:cs="Times New Roman"/>
          <w:sz w:val="24"/>
          <w:szCs w:val="24"/>
          <w:lang w:val="en-US"/>
        </w:rPr>
        <w:t>chapter on the United Kingdom confirms how high ine</w:t>
      </w:r>
      <w:r>
        <w:rPr>
          <w:rFonts w:ascii="Times New Roman" w:hAnsi="Times New Roman" w:cs="Times New Roman"/>
          <w:sz w:val="24"/>
          <w:szCs w:val="24"/>
          <w:lang w:val="en-US"/>
        </w:rPr>
        <w:t xml:space="preserve">quality appeared </w:t>
      </w:r>
      <w:r w:rsidRPr="004C7B87">
        <w:rPr>
          <w:rFonts w:ascii="Times New Roman" w:hAnsi="Times New Roman" w:cs="Times New Roman"/>
          <w:sz w:val="24"/>
          <w:szCs w:val="24"/>
          <w:lang w:val="en-US"/>
        </w:rPr>
        <w:t>well before the crisis, with implications for the middle class.</w:t>
      </w:r>
    </w:p>
    <w:p w:rsidR="006D0F1E" w:rsidRDefault="006D0F1E" w:rsidP="006D0F1E">
      <w:pPr>
        <w:spacing w:line="240" w:lineRule="auto"/>
        <w:jc w:val="both"/>
        <w:rPr>
          <w:rFonts w:ascii="Times New Roman" w:hAnsi="Times New Roman" w:cs="Times New Roman"/>
          <w:sz w:val="24"/>
          <w:szCs w:val="24"/>
          <w:lang w:val="en-US"/>
        </w:rPr>
      </w:pPr>
      <w:r w:rsidRPr="004C7B87">
        <w:rPr>
          <w:rFonts w:ascii="Times New Roman" w:hAnsi="Times New Roman" w:cs="Times New Roman"/>
          <w:sz w:val="24"/>
          <w:szCs w:val="24"/>
          <w:lang w:val="en-US"/>
        </w:rPr>
        <w:t>There does seem to be a direct relationsh</w:t>
      </w:r>
      <w:r>
        <w:rPr>
          <w:rFonts w:ascii="Times New Roman" w:hAnsi="Times New Roman" w:cs="Times New Roman"/>
          <w:sz w:val="24"/>
          <w:szCs w:val="24"/>
          <w:lang w:val="en-US"/>
        </w:rPr>
        <w:t xml:space="preserve">ip between polarization and the </w:t>
      </w:r>
      <w:r w:rsidRPr="004C7B87">
        <w:rPr>
          <w:rFonts w:ascii="Times New Roman" w:hAnsi="Times New Roman" w:cs="Times New Roman"/>
          <w:sz w:val="24"/>
          <w:szCs w:val="24"/>
          <w:lang w:val="en-US"/>
        </w:rPr>
        <w:t>middle class, the middle class inversely reflecting</w:t>
      </w:r>
      <w:r>
        <w:rPr>
          <w:rFonts w:ascii="Times New Roman" w:hAnsi="Times New Roman" w:cs="Times New Roman"/>
          <w:sz w:val="24"/>
          <w:szCs w:val="24"/>
          <w:lang w:val="en-US"/>
        </w:rPr>
        <w:t xml:space="preserve"> the evolution of inequalities. </w:t>
      </w:r>
      <w:r w:rsidRPr="004C7B87">
        <w:rPr>
          <w:rFonts w:ascii="Times New Roman" w:hAnsi="Times New Roman" w:cs="Times New Roman"/>
          <w:sz w:val="24"/>
          <w:szCs w:val="24"/>
          <w:lang w:val="en-US"/>
        </w:rPr>
        <w:t>Figure 1.3 clearly shows a direct correlat</w:t>
      </w:r>
      <w:r>
        <w:rPr>
          <w:rFonts w:ascii="Times New Roman" w:hAnsi="Times New Roman" w:cs="Times New Roman"/>
          <w:sz w:val="24"/>
          <w:szCs w:val="24"/>
          <w:lang w:val="en-US"/>
        </w:rPr>
        <w:t xml:space="preserve">ion (as shown by the trend line </w:t>
      </w:r>
      <w:r w:rsidRPr="004C7B87">
        <w:rPr>
          <w:rFonts w:ascii="Times New Roman" w:hAnsi="Times New Roman" w:cs="Times New Roman"/>
          <w:sz w:val="24"/>
          <w:szCs w:val="24"/>
          <w:lang w:val="en-US"/>
        </w:rPr>
        <w:t>and by an R2 of 0.70 for the period 2004–06) bet</w:t>
      </w:r>
      <w:r>
        <w:rPr>
          <w:rFonts w:ascii="Times New Roman" w:hAnsi="Times New Roman" w:cs="Times New Roman"/>
          <w:sz w:val="24"/>
          <w:szCs w:val="24"/>
          <w:lang w:val="en-US"/>
        </w:rPr>
        <w:t xml:space="preserve">ween the trends in inequalities </w:t>
      </w:r>
      <w:r w:rsidRPr="004C7B87">
        <w:rPr>
          <w:rFonts w:ascii="Times New Roman" w:hAnsi="Times New Roman" w:cs="Times New Roman"/>
          <w:sz w:val="24"/>
          <w:szCs w:val="24"/>
          <w:lang w:val="en-US"/>
        </w:rPr>
        <w:t>and the size of the middle class. On this</w:t>
      </w:r>
      <w:r>
        <w:rPr>
          <w:rFonts w:ascii="Times New Roman" w:hAnsi="Times New Roman" w:cs="Times New Roman"/>
          <w:sz w:val="24"/>
          <w:szCs w:val="24"/>
          <w:lang w:val="en-US"/>
        </w:rPr>
        <w:t xml:space="preserve"> basis, we can predict that the </w:t>
      </w:r>
      <w:r w:rsidRPr="004C7B87">
        <w:rPr>
          <w:rFonts w:ascii="Times New Roman" w:hAnsi="Times New Roman" w:cs="Times New Roman"/>
          <w:sz w:val="24"/>
          <w:szCs w:val="24"/>
          <w:lang w:val="en-US"/>
        </w:rPr>
        <w:t>recent increase in inequalities in developed cou</w:t>
      </w:r>
      <w:r>
        <w:rPr>
          <w:rFonts w:ascii="Times New Roman" w:hAnsi="Times New Roman" w:cs="Times New Roman"/>
          <w:sz w:val="24"/>
          <w:szCs w:val="24"/>
          <w:lang w:val="en-US"/>
        </w:rPr>
        <w:t xml:space="preserve">ntries - but also elsewhere- </w:t>
      </w:r>
      <w:r w:rsidRPr="004C7B87">
        <w:rPr>
          <w:rFonts w:ascii="Times New Roman" w:hAnsi="Times New Roman" w:cs="Times New Roman"/>
          <w:sz w:val="24"/>
          <w:szCs w:val="24"/>
          <w:lang w:val="en-US"/>
        </w:rPr>
        <w:t>described recently by several international</w:t>
      </w:r>
      <w:r>
        <w:rPr>
          <w:rFonts w:ascii="Times New Roman" w:hAnsi="Times New Roman" w:cs="Times New Roman"/>
          <w:sz w:val="24"/>
          <w:szCs w:val="24"/>
          <w:lang w:val="en-US"/>
        </w:rPr>
        <w:t xml:space="preserve"> organizations (OECD, IMF, ILO) </w:t>
      </w:r>
      <w:r w:rsidRPr="004C7B87">
        <w:rPr>
          <w:rFonts w:ascii="Times New Roman" w:hAnsi="Times New Roman" w:cs="Times New Roman"/>
          <w:sz w:val="24"/>
          <w:szCs w:val="24"/>
          <w:lang w:val="en-US"/>
        </w:rPr>
        <w:t>must have been accompanied by an erosio</w:t>
      </w:r>
      <w:r>
        <w:rPr>
          <w:rFonts w:ascii="Times New Roman" w:hAnsi="Times New Roman" w:cs="Times New Roman"/>
          <w:sz w:val="24"/>
          <w:szCs w:val="24"/>
          <w:lang w:val="en-US"/>
        </w:rPr>
        <w:t xml:space="preserve">n of the middle class, although </w:t>
      </w:r>
      <w:r w:rsidRPr="004C7B87">
        <w:rPr>
          <w:rFonts w:ascii="Times New Roman" w:hAnsi="Times New Roman" w:cs="Times New Roman"/>
          <w:sz w:val="24"/>
          <w:szCs w:val="24"/>
          <w:lang w:val="en-US"/>
        </w:rPr>
        <w:t>to date this aspect has remained relatively</w:t>
      </w:r>
      <w:r>
        <w:rPr>
          <w:rFonts w:ascii="Times New Roman" w:hAnsi="Times New Roman" w:cs="Times New Roman"/>
          <w:sz w:val="24"/>
          <w:szCs w:val="24"/>
          <w:lang w:val="en-US"/>
        </w:rPr>
        <w:t xml:space="preserve"> unexplored, with the debate on </w:t>
      </w:r>
      <w:r w:rsidRPr="004C7B87">
        <w:rPr>
          <w:rFonts w:ascii="Times New Roman" w:hAnsi="Times New Roman" w:cs="Times New Roman"/>
          <w:sz w:val="24"/>
          <w:szCs w:val="24"/>
          <w:lang w:val="en-US"/>
        </w:rPr>
        <w:t>inequalities focusing more on the lowest and the highest income groups</w:t>
      </w:r>
      <w:r>
        <w:rPr>
          <w:rFonts w:ascii="Times New Roman" w:hAnsi="Times New Roman" w:cs="Times New Roman"/>
          <w:sz w:val="24"/>
          <w:szCs w:val="24"/>
          <w:lang w:val="en-US"/>
        </w:rPr>
        <w:t>…</w:t>
      </w:r>
    </w:p>
    <w:p w:rsidR="006D0F1E" w:rsidRDefault="006D0F1E" w:rsidP="006D0F1E">
      <w:pPr>
        <w:spacing w:line="240" w:lineRule="auto"/>
        <w:jc w:val="both"/>
        <w:rPr>
          <w:rFonts w:ascii="Times New Roman" w:hAnsi="Times New Roman" w:cs="Times New Roman"/>
          <w:sz w:val="24"/>
          <w:szCs w:val="24"/>
          <w:lang w:val="en-US"/>
        </w:rPr>
      </w:pPr>
      <w:r w:rsidRPr="002A6435">
        <w:rPr>
          <w:rFonts w:ascii="Times New Roman" w:hAnsi="Times New Roman" w:cs="Times New Roman"/>
          <w:noProof/>
          <w:sz w:val="24"/>
          <w:szCs w:val="24"/>
          <w:lang w:eastAsia="es-ES"/>
        </w:rPr>
        <w:lastRenderedPageBreak/>
        <w:drawing>
          <wp:inline distT="0" distB="0" distL="0" distR="0" wp14:anchorId="0FE4A7B5" wp14:editId="52027EC1">
            <wp:extent cx="5727700" cy="3168650"/>
            <wp:effectExtent l="0" t="0" r="635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3170758"/>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24"/>
          <w:szCs w:val="24"/>
          <w:lang w:val="en-US"/>
        </w:rPr>
      </w:pPr>
      <w:r w:rsidRPr="002A6435">
        <w:rPr>
          <w:rFonts w:ascii="Times New Roman" w:hAnsi="Times New Roman" w:cs="Times New Roman"/>
          <w:noProof/>
          <w:sz w:val="24"/>
          <w:szCs w:val="24"/>
          <w:lang w:eastAsia="es-ES"/>
        </w:rPr>
        <w:drawing>
          <wp:inline distT="0" distB="0" distL="0" distR="0" wp14:anchorId="44C58E33" wp14:editId="69ED1D6E">
            <wp:extent cx="4749800" cy="5499100"/>
            <wp:effectExtent l="0" t="0" r="0" b="635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4753638" cy="5503543"/>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24"/>
          <w:szCs w:val="24"/>
          <w:lang w:val="en-US"/>
        </w:rPr>
      </w:pPr>
      <w:r w:rsidRPr="002A6435">
        <w:rPr>
          <w:rFonts w:ascii="Times New Roman" w:hAnsi="Times New Roman" w:cs="Times New Roman"/>
          <w:noProof/>
          <w:sz w:val="24"/>
          <w:szCs w:val="24"/>
          <w:lang w:eastAsia="es-ES"/>
        </w:rPr>
        <w:lastRenderedPageBreak/>
        <w:drawing>
          <wp:inline distT="0" distB="0" distL="0" distR="0" wp14:anchorId="488EFC2C" wp14:editId="306CFD73">
            <wp:extent cx="5727700" cy="3016250"/>
            <wp:effectExtent l="0" t="0" r="635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3018256"/>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24"/>
          <w:szCs w:val="24"/>
          <w:lang w:val="en-US"/>
        </w:rPr>
      </w:pPr>
      <w:r w:rsidRPr="002A6435">
        <w:rPr>
          <w:rFonts w:ascii="Times New Roman" w:hAnsi="Times New Roman" w:cs="Times New Roman"/>
          <w:noProof/>
          <w:sz w:val="24"/>
          <w:szCs w:val="24"/>
          <w:lang w:eastAsia="es-ES"/>
        </w:rPr>
        <w:drawing>
          <wp:inline distT="0" distB="0" distL="0" distR="0" wp14:anchorId="6043F9F8" wp14:editId="2AD98D17">
            <wp:extent cx="4368800" cy="5657850"/>
            <wp:effectExtent l="0" t="0" r="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4372585" cy="5662752"/>
                    </a:xfrm>
                    <a:prstGeom prst="rect">
                      <a:avLst/>
                    </a:prstGeom>
                  </pic:spPr>
                </pic:pic>
              </a:graphicData>
            </a:graphic>
          </wp:inline>
        </w:drawing>
      </w:r>
    </w:p>
    <w:p w:rsidR="006D0F1E" w:rsidRPr="002A6435" w:rsidRDefault="006D0F1E" w:rsidP="006D0F1E">
      <w:pPr>
        <w:spacing w:line="240" w:lineRule="auto"/>
        <w:jc w:val="both"/>
        <w:rPr>
          <w:rFonts w:ascii="Times New Roman" w:hAnsi="Times New Roman" w:cs="Times New Roman"/>
          <w:sz w:val="24"/>
          <w:szCs w:val="24"/>
          <w:lang w:val="en-US"/>
        </w:rPr>
      </w:pPr>
      <w:r w:rsidRPr="002A6435">
        <w:rPr>
          <w:rFonts w:ascii="Times New Roman" w:hAnsi="Times New Roman" w:cs="Times New Roman"/>
          <w:sz w:val="24"/>
          <w:szCs w:val="24"/>
          <w:lang w:val="en-US"/>
        </w:rPr>
        <w:lastRenderedPageBreak/>
        <w:t>Effects of the Crisis: A Reductio</w:t>
      </w:r>
      <w:r>
        <w:rPr>
          <w:rFonts w:ascii="Times New Roman" w:hAnsi="Times New Roman" w:cs="Times New Roman"/>
          <w:sz w:val="24"/>
          <w:szCs w:val="24"/>
          <w:lang w:val="en-US"/>
        </w:rPr>
        <w:t xml:space="preserve">n of the Middle Class (Size and </w:t>
      </w:r>
      <w:r w:rsidRPr="002A6435">
        <w:rPr>
          <w:rFonts w:ascii="Times New Roman" w:hAnsi="Times New Roman" w:cs="Times New Roman"/>
          <w:sz w:val="24"/>
          <w:szCs w:val="24"/>
          <w:lang w:val="en-US"/>
        </w:rPr>
        <w:t>Share in Total Income)</w:t>
      </w:r>
    </w:p>
    <w:p w:rsidR="006D0F1E" w:rsidRPr="002A6435" w:rsidRDefault="006D0F1E" w:rsidP="006D0F1E">
      <w:pPr>
        <w:spacing w:line="240" w:lineRule="auto"/>
        <w:jc w:val="both"/>
        <w:rPr>
          <w:rFonts w:ascii="Times New Roman" w:hAnsi="Times New Roman" w:cs="Times New Roman"/>
          <w:sz w:val="24"/>
          <w:szCs w:val="24"/>
          <w:lang w:val="en-US"/>
        </w:rPr>
      </w:pPr>
      <w:r w:rsidRPr="002A6435">
        <w:rPr>
          <w:rFonts w:ascii="Times New Roman" w:hAnsi="Times New Roman" w:cs="Times New Roman"/>
          <w:sz w:val="24"/>
          <w:szCs w:val="24"/>
          <w:lang w:val="en-US"/>
        </w:rPr>
        <w:t>The crisis has halted or accelerated a number of trends concerning income</w:t>
      </w:r>
      <w:r>
        <w:rPr>
          <w:rFonts w:ascii="Times New Roman" w:hAnsi="Times New Roman" w:cs="Times New Roman"/>
          <w:sz w:val="24"/>
          <w:szCs w:val="24"/>
          <w:lang w:val="en-US"/>
        </w:rPr>
        <w:t xml:space="preserve"> </w:t>
      </w:r>
      <w:r w:rsidRPr="002A6435">
        <w:rPr>
          <w:rFonts w:ascii="Times New Roman" w:hAnsi="Times New Roman" w:cs="Times New Roman"/>
          <w:sz w:val="24"/>
          <w:szCs w:val="24"/>
          <w:lang w:val="en-US"/>
        </w:rPr>
        <w:t>groups. While Figure 1.5 shows a numbe</w:t>
      </w:r>
      <w:r>
        <w:rPr>
          <w:rFonts w:ascii="Times New Roman" w:hAnsi="Times New Roman" w:cs="Times New Roman"/>
          <w:sz w:val="24"/>
          <w:szCs w:val="24"/>
          <w:lang w:val="en-US"/>
        </w:rPr>
        <w:t xml:space="preserve">r of European countries with an </w:t>
      </w:r>
      <w:r w:rsidRPr="002A6435">
        <w:rPr>
          <w:rFonts w:ascii="Times New Roman" w:hAnsi="Times New Roman" w:cs="Times New Roman"/>
          <w:sz w:val="24"/>
          <w:szCs w:val="24"/>
          <w:lang w:val="en-US"/>
        </w:rPr>
        <w:t>increasing core middle class before the cri</w:t>
      </w:r>
      <w:r>
        <w:rPr>
          <w:rFonts w:ascii="Times New Roman" w:hAnsi="Times New Roman" w:cs="Times New Roman"/>
          <w:sz w:val="24"/>
          <w:szCs w:val="24"/>
          <w:lang w:val="en-US"/>
        </w:rPr>
        <w:t xml:space="preserve">sis, this scenario is no longer </w:t>
      </w:r>
      <w:r w:rsidRPr="002A6435">
        <w:rPr>
          <w:rFonts w:ascii="Times New Roman" w:hAnsi="Times New Roman" w:cs="Times New Roman"/>
          <w:sz w:val="24"/>
          <w:szCs w:val="24"/>
          <w:lang w:val="en-US"/>
        </w:rPr>
        <w:t>present after the crisis. The difficulties of exi</w:t>
      </w:r>
      <w:r>
        <w:rPr>
          <w:rFonts w:ascii="Times New Roman" w:hAnsi="Times New Roman" w:cs="Times New Roman"/>
          <w:sz w:val="24"/>
          <w:szCs w:val="24"/>
          <w:lang w:val="en-US"/>
        </w:rPr>
        <w:t xml:space="preserve">ting from the economic slowdown </w:t>
      </w:r>
      <w:r w:rsidRPr="002A6435">
        <w:rPr>
          <w:rFonts w:ascii="Times New Roman" w:hAnsi="Times New Roman" w:cs="Times New Roman"/>
          <w:sz w:val="24"/>
          <w:szCs w:val="24"/>
          <w:lang w:val="en-US"/>
        </w:rPr>
        <w:t>and some adverse labour market dev</w:t>
      </w:r>
      <w:r>
        <w:rPr>
          <w:rFonts w:ascii="Times New Roman" w:hAnsi="Times New Roman" w:cs="Times New Roman"/>
          <w:sz w:val="24"/>
          <w:szCs w:val="24"/>
          <w:lang w:val="en-US"/>
        </w:rPr>
        <w:t xml:space="preserve">elopments (lower participation, </w:t>
      </w:r>
      <w:r w:rsidRPr="002A6435">
        <w:rPr>
          <w:rFonts w:ascii="Times New Roman" w:hAnsi="Times New Roman" w:cs="Times New Roman"/>
          <w:sz w:val="24"/>
          <w:szCs w:val="24"/>
          <w:lang w:val="en-US"/>
        </w:rPr>
        <w:t>increased unemployme</w:t>
      </w:r>
      <w:r>
        <w:rPr>
          <w:rFonts w:ascii="Times New Roman" w:hAnsi="Times New Roman" w:cs="Times New Roman"/>
          <w:sz w:val="24"/>
          <w:szCs w:val="24"/>
          <w:lang w:val="en-US"/>
        </w:rPr>
        <w:t xml:space="preserve">nt) have affected middle-income groups. There is </w:t>
      </w:r>
      <w:r w:rsidRPr="002A6435">
        <w:rPr>
          <w:rFonts w:ascii="Times New Roman" w:hAnsi="Times New Roman" w:cs="Times New Roman"/>
          <w:sz w:val="24"/>
          <w:szCs w:val="24"/>
          <w:lang w:val="en-US"/>
        </w:rPr>
        <w:t>thus a halt in the progress of the middle clas</w:t>
      </w:r>
      <w:r>
        <w:rPr>
          <w:rFonts w:ascii="Times New Roman" w:hAnsi="Times New Roman" w:cs="Times New Roman"/>
          <w:sz w:val="24"/>
          <w:szCs w:val="24"/>
          <w:lang w:val="en-US"/>
        </w:rPr>
        <w:t xml:space="preserve">s in most countries. Figure 1.2 </w:t>
      </w:r>
      <w:r w:rsidRPr="002A6435">
        <w:rPr>
          <w:rFonts w:ascii="Times New Roman" w:hAnsi="Times New Roman" w:cs="Times New Roman"/>
          <w:sz w:val="24"/>
          <w:szCs w:val="24"/>
          <w:lang w:val="en-US"/>
        </w:rPr>
        <w:t>shows 19 countries that experienced a de</w:t>
      </w:r>
      <w:r>
        <w:rPr>
          <w:rFonts w:ascii="Times New Roman" w:hAnsi="Times New Roman" w:cs="Times New Roman"/>
          <w:sz w:val="24"/>
          <w:szCs w:val="24"/>
          <w:lang w:val="en-US"/>
        </w:rPr>
        <w:t>cline in the size of their core middle class in 2008-</w:t>
      </w:r>
      <w:r w:rsidRPr="002A6435">
        <w:rPr>
          <w:rFonts w:ascii="Times New Roman" w:hAnsi="Times New Roman" w:cs="Times New Roman"/>
          <w:sz w:val="24"/>
          <w:szCs w:val="24"/>
          <w:lang w:val="en-US"/>
        </w:rPr>
        <w:t>11, while it remai</w:t>
      </w:r>
      <w:r>
        <w:rPr>
          <w:rFonts w:ascii="Times New Roman" w:hAnsi="Times New Roman" w:cs="Times New Roman"/>
          <w:sz w:val="24"/>
          <w:szCs w:val="24"/>
          <w:lang w:val="en-US"/>
        </w:rPr>
        <w:t xml:space="preserve">ned stable in two countries and </w:t>
      </w:r>
      <w:r w:rsidRPr="002A6435">
        <w:rPr>
          <w:rFonts w:ascii="Times New Roman" w:hAnsi="Times New Roman" w:cs="Times New Roman"/>
          <w:sz w:val="24"/>
          <w:szCs w:val="24"/>
          <w:lang w:val="en-US"/>
        </w:rPr>
        <w:t xml:space="preserve">increased slightly in only five countries. </w:t>
      </w:r>
      <w:r>
        <w:rPr>
          <w:rFonts w:ascii="Times New Roman" w:hAnsi="Times New Roman" w:cs="Times New Roman"/>
          <w:sz w:val="24"/>
          <w:szCs w:val="24"/>
          <w:lang w:val="en-US"/>
        </w:rPr>
        <w:t xml:space="preserve">Even countries where the middle </w:t>
      </w:r>
      <w:r w:rsidRPr="002A6435">
        <w:rPr>
          <w:rFonts w:ascii="Times New Roman" w:hAnsi="Times New Roman" w:cs="Times New Roman"/>
          <w:sz w:val="24"/>
          <w:szCs w:val="24"/>
          <w:lang w:val="en-US"/>
        </w:rPr>
        <w:t>class had rapidly grown before the crisis have</w:t>
      </w:r>
      <w:r>
        <w:rPr>
          <w:rFonts w:ascii="Times New Roman" w:hAnsi="Times New Roman" w:cs="Times New Roman"/>
          <w:sz w:val="24"/>
          <w:szCs w:val="24"/>
          <w:lang w:val="en-US"/>
        </w:rPr>
        <w:t xml:space="preserve"> experienced a rapid fall, such </w:t>
      </w:r>
      <w:r w:rsidRPr="002A6435">
        <w:rPr>
          <w:rFonts w:ascii="Times New Roman" w:hAnsi="Times New Roman" w:cs="Times New Roman"/>
          <w:sz w:val="24"/>
          <w:szCs w:val="24"/>
          <w:lang w:val="en-US"/>
        </w:rPr>
        <w:t xml:space="preserve">as Estonia, Spain and Cyprus. Other </w:t>
      </w:r>
      <w:r>
        <w:rPr>
          <w:rFonts w:ascii="Times New Roman" w:hAnsi="Times New Roman" w:cs="Times New Roman"/>
          <w:sz w:val="24"/>
          <w:szCs w:val="24"/>
          <w:lang w:val="en-US"/>
        </w:rPr>
        <w:t xml:space="preserve">European countries continued to </w:t>
      </w:r>
      <w:r w:rsidRPr="002A6435">
        <w:rPr>
          <w:rFonts w:ascii="Times New Roman" w:hAnsi="Times New Roman" w:cs="Times New Roman"/>
          <w:sz w:val="24"/>
          <w:szCs w:val="24"/>
          <w:lang w:val="en-US"/>
        </w:rPr>
        <w:t>experience the erosion of their middle cl</w:t>
      </w:r>
      <w:r>
        <w:rPr>
          <w:rFonts w:ascii="Times New Roman" w:hAnsi="Times New Roman" w:cs="Times New Roman"/>
          <w:sz w:val="24"/>
          <w:szCs w:val="24"/>
          <w:lang w:val="en-US"/>
        </w:rPr>
        <w:t xml:space="preserve">ass, such as Greece, the United </w:t>
      </w:r>
      <w:r w:rsidRPr="002A6435">
        <w:rPr>
          <w:rFonts w:ascii="Times New Roman" w:hAnsi="Times New Roman" w:cs="Times New Roman"/>
          <w:sz w:val="24"/>
          <w:szCs w:val="24"/>
          <w:lang w:val="en-US"/>
        </w:rPr>
        <w:t>Kingdom and Germany. Countries that were s</w:t>
      </w:r>
      <w:r>
        <w:rPr>
          <w:rFonts w:ascii="Times New Roman" w:hAnsi="Times New Roman" w:cs="Times New Roman"/>
          <w:sz w:val="24"/>
          <w:szCs w:val="24"/>
          <w:lang w:val="en-US"/>
        </w:rPr>
        <w:t>till registering an increase in their core middle class in 2004-</w:t>
      </w:r>
      <w:r w:rsidRPr="002A6435">
        <w:rPr>
          <w:rFonts w:ascii="Times New Roman" w:hAnsi="Times New Roman" w:cs="Times New Roman"/>
          <w:sz w:val="24"/>
          <w:szCs w:val="24"/>
          <w:lang w:val="en-US"/>
        </w:rPr>
        <w:t>06, such as the Czech Republic, France an</w:t>
      </w:r>
      <w:r>
        <w:rPr>
          <w:rFonts w:ascii="Times New Roman" w:hAnsi="Times New Roman" w:cs="Times New Roman"/>
          <w:sz w:val="24"/>
          <w:szCs w:val="24"/>
          <w:lang w:val="en-US"/>
        </w:rPr>
        <w:t xml:space="preserve">d </w:t>
      </w:r>
      <w:r w:rsidRPr="002A6435">
        <w:rPr>
          <w:rFonts w:ascii="Times New Roman" w:hAnsi="Times New Roman" w:cs="Times New Roman"/>
          <w:sz w:val="24"/>
          <w:szCs w:val="24"/>
          <w:lang w:val="en-US"/>
        </w:rPr>
        <w:t>Sweden, expe</w:t>
      </w:r>
      <w:r>
        <w:rPr>
          <w:rFonts w:ascii="Times New Roman" w:hAnsi="Times New Roman" w:cs="Times New Roman"/>
          <w:sz w:val="24"/>
          <w:szCs w:val="24"/>
          <w:lang w:val="en-US"/>
        </w:rPr>
        <w:t>rienced a reverse trend in 2008-</w:t>
      </w:r>
      <w:r w:rsidRPr="002A6435">
        <w:rPr>
          <w:rFonts w:ascii="Times New Roman" w:hAnsi="Times New Roman" w:cs="Times New Roman"/>
          <w:sz w:val="24"/>
          <w:szCs w:val="24"/>
          <w:lang w:val="en-US"/>
        </w:rPr>
        <w:t>11.</w:t>
      </w:r>
    </w:p>
    <w:p w:rsidR="006D0F1E" w:rsidRDefault="006D0F1E" w:rsidP="006D0F1E">
      <w:pPr>
        <w:spacing w:line="240" w:lineRule="auto"/>
        <w:jc w:val="both"/>
        <w:rPr>
          <w:rFonts w:ascii="Times New Roman" w:hAnsi="Times New Roman" w:cs="Times New Roman"/>
          <w:sz w:val="24"/>
          <w:szCs w:val="24"/>
          <w:lang w:val="en-US"/>
        </w:rPr>
      </w:pPr>
      <w:r w:rsidRPr="002A6435">
        <w:rPr>
          <w:rFonts w:ascii="Times New Roman" w:hAnsi="Times New Roman" w:cs="Times New Roman"/>
          <w:sz w:val="24"/>
          <w:szCs w:val="24"/>
          <w:lang w:val="en-US"/>
        </w:rPr>
        <w:t>Figure 1.6 presents an overview of national t</w:t>
      </w:r>
      <w:r>
        <w:rPr>
          <w:rFonts w:ascii="Times New Roman" w:hAnsi="Times New Roman" w:cs="Times New Roman"/>
          <w:sz w:val="24"/>
          <w:szCs w:val="24"/>
          <w:lang w:val="en-US"/>
        </w:rPr>
        <w:t xml:space="preserve">rends in the size of the middle </w:t>
      </w:r>
      <w:r w:rsidRPr="002A6435">
        <w:rPr>
          <w:rFonts w:ascii="Times New Roman" w:hAnsi="Times New Roman" w:cs="Times New Roman"/>
          <w:sz w:val="24"/>
          <w:szCs w:val="24"/>
          <w:lang w:val="en-US"/>
        </w:rPr>
        <w:t>cla</w:t>
      </w:r>
      <w:r>
        <w:rPr>
          <w:rFonts w:ascii="Times New Roman" w:hAnsi="Times New Roman" w:cs="Times New Roman"/>
          <w:sz w:val="24"/>
          <w:szCs w:val="24"/>
          <w:lang w:val="en-US"/>
        </w:rPr>
        <w:t xml:space="preserve">ss and also in the middle-class </w:t>
      </w:r>
      <w:r w:rsidRPr="002A6435">
        <w:rPr>
          <w:rFonts w:ascii="Times New Roman" w:hAnsi="Times New Roman" w:cs="Times New Roman"/>
          <w:sz w:val="24"/>
          <w:szCs w:val="24"/>
          <w:lang w:val="en-US"/>
        </w:rPr>
        <w:t>share in t</w:t>
      </w:r>
      <w:r>
        <w:rPr>
          <w:rFonts w:ascii="Times New Roman" w:hAnsi="Times New Roman" w:cs="Times New Roman"/>
          <w:sz w:val="24"/>
          <w:szCs w:val="24"/>
          <w:lang w:val="en-US"/>
        </w:rPr>
        <w:t xml:space="preserve">otal household income. It first </w:t>
      </w:r>
      <w:r w:rsidRPr="002A6435">
        <w:rPr>
          <w:rFonts w:ascii="Times New Roman" w:hAnsi="Times New Roman" w:cs="Times New Roman"/>
          <w:sz w:val="24"/>
          <w:szCs w:val="24"/>
          <w:lang w:val="en-US"/>
        </w:rPr>
        <w:t>shows that the number of countries that</w:t>
      </w:r>
      <w:r>
        <w:rPr>
          <w:rFonts w:ascii="Times New Roman" w:hAnsi="Times New Roman" w:cs="Times New Roman"/>
          <w:sz w:val="24"/>
          <w:szCs w:val="24"/>
          <w:lang w:val="en-US"/>
        </w:rPr>
        <w:t xml:space="preserve"> experienced a decrease in both </w:t>
      </w:r>
      <w:r w:rsidRPr="002A6435">
        <w:rPr>
          <w:rFonts w:ascii="Times New Roman" w:hAnsi="Times New Roman" w:cs="Times New Roman"/>
          <w:sz w:val="24"/>
          <w:szCs w:val="24"/>
          <w:lang w:val="en-US"/>
        </w:rPr>
        <w:t>indicators were much more numerous in t</w:t>
      </w:r>
      <w:r>
        <w:rPr>
          <w:rFonts w:ascii="Times New Roman" w:hAnsi="Times New Roman" w:cs="Times New Roman"/>
          <w:sz w:val="24"/>
          <w:szCs w:val="24"/>
          <w:lang w:val="en-US"/>
        </w:rPr>
        <w:t>he 2008-11 period than in 2004-</w:t>
      </w:r>
      <w:r w:rsidRPr="002A6435">
        <w:rPr>
          <w:rFonts w:ascii="Times New Roman" w:hAnsi="Times New Roman" w:cs="Times New Roman"/>
          <w:sz w:val="24"/>
          <w:szCs w:val="24"/>
          <w:lang w:val="en-US"/>
        </w:rPr>
        <w:t>06. This was typically the case of the U</w:t>
      </w:r>
      <w:r>
        <w:rPr>
          <w:rFonts w:ascii="Times New Roman" w:hAnsi="Times New Roman" w:cs="Times New Roman"/>
          <w:sz w:val="24"/>
          <w:szCs w:val="24"/>
          <w:lang w:val="en-US"/>
        </w:rPr>
        <w:t xml:space="preserve">nited Kingdom, Spain, Lithuania </w:t>
      </w:r>
      <w:r w:rsidRPr="002A6435">
        <w:rPr>
          <w:rFonts w:ascii="Times New Roman" w:hAnsi="Times New Roman" w:cs="Times New Roman"/>
          <w:sz w:val="24"/>
          <w:szCs w:val="24"/>
          <w:lang w:val="en-US"/>
        </w:rPr>
        <w:t>and Estonia, but also Slovenia and Sweden.</w:t>
      </w:r>
      <w:r>
        <w:rPr>
          <w:rFonts w:ascii="Times New Roman" w:hAnsi="Times New Roman" w:cs="Times New Roman"/>
          <w:sz w:val="24"/>
          <w:szCs w:val="24"/>
          <w:lang w:val="en-US"/>
        </w:rPr>
        <w:t xml:space="preserve"> In fact, almost all countries </w:t>
      </w:r>
      <w:r w:rsidRPr="002A6435">
        <w:rPr>
          <w:rFonts w:ascii="Times New Roman" w:hAnsi="Times New Roman" w:cs="Times New Roman"/>
          <w:sz w:val="24"/>
          <w:szCs w:val="24"/>
          <w:lang w:val="en-US"/>
        </w:rPr>
        <w:t>have shifted towards the bottom left quar</w:t>
      </w:r>
      <w:r>
        <w:rPr>
          <w:rFonts w:ascii="Times New Roman" w:hAnsi="Times New Roman" w:cs="Times New Roman"/>
          <w:sz w:val="24"/>
          <w:szCs w:val="24"/>
          <w:lang w:val="en-US"/>
        </w:rPr>
        <w:t xml:space="preserve">ter in Figure 1.6, showing that </w:t>
      </w:r>
      <w:r w:rsidRPr="002A6435">
        <w:rPr>
          <w:rFonts w:ascii="Times New Roman" w:hAnsi="Times New Roman" w:cs="Times New Roman"/>
          <w:sz w:val="24"/>
          <w:szCs w:val="24"/>
          <w:lang w:val="en-US"/>
        </w:rPr>
        <w:t>they have experienced a decrease in both the</w:t>
      </w:r>
      <w:r>
        <w:rPr>
          <w:rFonts w:ascii="Times New Roman" w:hAnsi="Times New Roman" w:cs="Times New Roman"/>
          <w:sz w:val="24"/>
          <w:szCs w:val="24"/>
          <w:lang w:val="en-US"/>
        </w:rPr>
        <w:t xml:space="preserve"> size of their middle class and </w:t>
      </w:r>
      <w:r w:rsidRPr="002A6435">
        <w:rPr>
          <w:rFonts w:ascii="Times New Roman" w:hAnsi="Times New Roman" w:cs="Times New Roman"/>
          <w:sz w:val="24"/>
          <w:szCs w:val="24"/>
          <w:lang w:val="en-US"/>
        </w:rPr>
        <w:t>the share of total income going to the mi</w:t>
      </w:r>
      <w:r>
        <w:rPr>
          <w:rFonts w:ascii="Times New Roman" w:hAnsi="Times New Roman" w:cs="Times New Roman"/>
          <w:sz w:val="24"/>
          <w:szCs w:val="24"/>
          <w:lang w:val="en-US"/>
        </w:rPr>
        <w:t xml:space="preserve">ddle class. Moreover, even when </w:t>
      </w:r>
      <w:r w:rsidRPr="002A6435">
        <w:rPr>
          <w:rFonts w:ascii="Times New Roman" w:hAnsi="Times New Roman" w:cs="Times New Roman"/>
          <w:sz w:val="24"/>
          <w:szCs w:val="24"/>
          <w:lang w:val="en-US"/>
        </w:rPr>
        <w:t>there was a progression it was very smal</w:t>
      </w:r>
      <w:r>
        <w:rPr>
          <w:rFonts w:ascii="Times New Roman" w:hAnsi="Times New Roman" w:cs="Times New Roman"/>
          <w:sz w:val="24"/>
          <w:szCs w:val="24"/>
          <w:lang w:val="en-US"/>
        </w:rPr>
        <w:t xml:space="preserve">l, as in Romania, Portugal, the </w:t>
      </w:r>
      <w:r w:rsidRPr="002A6435">
        <w:rPr>
          <w:rFonts w:ascii="Times New Roman" w:hAnsi="Times New Roman" w:cs="Times New Roman"/>
          <w:sz w:val="24"/>
          <w:szCs w:val="24"/>
          <w:lang w:val="en-US"/>
        </w:rPr>
        <w:t>Czech Republic and the Netherlands.</w:t>
      </w:r>
    </w:p>
    <w:p w:rsidR="009720E1" w:rsidRDefault="009720E1" w:rsidP="006D0F1E">
      <w:pPr>
        <w:spacing w:line="240" w:lineRule="auto"/>
        <w:jc w:val="both"/>
        <w:rPr>
          <w:rFonts w:ascii="Times New Roman" w:hAnsi="Times New Roman" w:cs="Times New Roman"/>
          <w:sz w:val="24"/>
          <w:szCs w:val="24"/>
          <w:lang w:val="en-US"/>
        </w:rPr>
      </w:pPr>
    </w:p>
    <w:p w:rsidR="006D0F1E" w:rsidRPr="002A6435" w:rsidRDefault="006D0F1E" w:rsidP="006D0F1E">
      <w:pPr>
        <w:spacing w:line="240" w:lineRule="auto"/>
        <w:jc w:val="both"/>
        <w:rPr>
          <w:rFonts w:ascii="Times New Roman" w:hAnsi="Times New Roman" w:cs="Times New Roman"/>
          <w:sz w:val="24"/>
          <w:szCs w:val="24"/>
          <w:lang w:val="en-US"/>
        </w:rPr>
      </w:pPr>
      <w:r w:rsidRPr="00327ECE">
        <w:rPr>
          <w:rFonts w:ascii="Times New Roman" w:hAnsi="Times New Roman" w:cs="Times New Roman"/>
          <w:noProof/>
          <w:sz w:val="24"/>
          <w:szCs w:val="24"/>
          <w:lang w:eastAsia="es-ES"/>
        </w:rPr>
        <w:drawing>
          <wp:inline distT="0" distB="0" distL="0" distR="0" wp14:anchorId="770677B4" wp14:editId="4E2B381D">
            <wp:extent cx="5731510" cy="4042410"/>
            <wp:effectExtent l="0" t="0" r="254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4042410"/>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24"/>
          <w:szCs w:val="24"/>
          <w:lang w:val="en-US"/>
        </w:rPr>
      </w:pPr>
      <w:r w:rsidRPr="002A6435">
        <w:rPr>
          <w:rFonts w:ascii="Times New Roman" w:hAnsi="Times New Roman" w:cs="Times New Roman"/>
          <w:sz w:val="24"/>
          <w:szCs w:val="24"/>
          <w:lang w:val="en-US"/>
        </w:rPr>
        <w:lastRenderedPageBreak/>
        <w:t>The chapter on the United Kingdom co</w:t>
      </w:r>
      <w:r>
        <w:rPr>
          <w:rFonts w:ascii="Times New Roman" w:hAnsi="Times New Roman" w:cs="Times New Roman"/>
          <w:sz w:val="24"/>
          <w:szCs w:val="24"/>
          <w:lang w:val="en-US"/>
        </w:rPr>
        <w:t xml:space="preserve">nfirms that the distribution of </w:t>
      </w:r>
      <w:r w:rsidRPr="002A6435">
        <w:rPr>
          <w:rFonts w:ascii="Times New Roman" w:hAnsi="Times New Roman" w:cs="Times New Roman"/>
          <w:sz w:val="24"/>
          <w:szCs w:val="24"/>
          <w:lang w:val="en-US"/>
        </w:rPr>
        <w:t>households moved to the left with an inc</w:t>
      </w:r>
      <w:r>
        <w:rPr>
          <w:rFonts w:ascii="Times New Roman" w:hAnsi="Times New Roman" w:cs="Times New Roman"/>
          <w:sz w:val="24"/>
          <w:szCs w:val="24"/>
          <w:lang w:val="en-US"/>
        </w:rPr>
        <w:t xml:space="preserve">reased concentration around the </w:t>
      </w:r>
      <w:r w:rsidRPr="002A6435">
        <w:rPr>
          <w:rFonts w:ascii="Times New Roman" w:hAnsi="Times New Roman" w:cs="Times New Roman"/>
          <w:sz w:val="24"/>
          <w:szCs w:val="24"/>
          <w:lang w:val="en-US"/>
        </w:rPr>
        <w:t xml:space="preserve">lower part </w:t>
      </w:r>
      <w:r>
        <w:rPr>
          <w:rFonts w:ascii="Times New Roman" w:hAnsi="Times New Roman" w:cs="Times New Roman"/>
          <w:sz w:val="24"/>
          <w:szCs w:val="24"/>
          <w:lang w:val="en-US"/>
        </w:rPr>
        <w:t xml:space="preserve">of the core middle-income </w:t>
      </w:r>
      <w:r w:rsidRPr="002A6435">
        <w:rPr>
          <w:rFonts w:ascii="Times New Roman" w:hAnsi="Times New Roman" w:cs="Times New Roman"/>
          <w:sz w:val="24"/>
          <w:szCs w:val="24"/>
          <w:lang w:val="en-US"/>
        </w:rPr>
        <w:t>ban</w:t>
      </w:r>
      <w:r>
        <w:rPr>
          <w:rFonts w:ascii="Times New Roman" w:hAnsi="Times New Roman" w:cs="Times New Roman"/>
          <w:sz w:val="24"/>
          <w:szCs w:val="24"/>
          <w:lang w:val="en-US"/>
        </w:rPr>
        <w:t>d with a majority of households being centred around 70-</w:t>
      </w:r>
      <w:r w:rsidRPr="002A6435">
        <w:rPr>
          <w:rFonts w:ascii="Times New Roman" w:hAnsi="Times New Roman" w:cs="Times New Roman"/>
          <w:sz w:val="24"/>
          <w:szCs w:val="24"/>
          <w:lang w:val="en-US"/>
        </w:rPr>
        <w:t>80 per c</w:t>
      </w:r>
      <w:r>
        <w:rPr>
          <w:rFonts w:ascii="Times New Roman" w:hAnsi="Times New Roman" w:cs="Times New Roman"/>
          <w:sz w:val="24"/>
          <w:szCs w:val="24"/>
          <w:lang w:val="en-US"/>
        </w:rPr>
        <w:t xml:space="preserve">ent of median household income. </w:t>
      </w:r>
      <w:r w:rsidRPr="002A6435">
        <w:rPr>
          <w:rFonts w:ascii="Times New Roman" w:hAnsi="Times New Roman" w:cs="Times New Roman"/>
          <w:sz w:val="24"/>
          <w:szCs w:val="24"/>
          <w:lang w:val="en-US"/>
        </w:rPr>
        <w:t>The above results are confirmed by a rece</w:t>
      </w:r>
      <w:r>
        <w:rPr>
          <w:rFonts w:ascii="Times New Roman" w:hAnsi="Times New Roman" w:cs="Times New Roman"/>
          <w:sz w:val="24"/>
          <w:szCs w:val="24"/>
          <w:lang w:val="en-US"/>
        </w:rPr>
        <w:t>nt OECD (2015) conclusion, that “</w:t>
      </w:r>
      <w:r w:rsidRPr="002A6435">
        <w:rPr>
          <w:rFonts w:ascii="Times New Roman" w:hAnsi="Times New Roman" w:cs="Times New Roman"/>
          <w:sz w:val="24"/>
          <w:szCs w:val="24"/>
          <w:lang w:val="en-US"/>
        </w:rPr>
        <w:t>uncertainty and fears of social decline and exclusion hav</w:t>
      </w:r>
      <w:r>
        <w:rPr>
          <w:rFonts w:ascii="Times New Roman" w:hAnsi="Times New Roman" w:cs="Times New Roman"/>
          <w:sz w:val="24"/>
          <w:szCs w:val="24"/>
          <w:lang w:val="en-US"/>
        </w:rPr>
        <w:t>e reached the middle class in many societies”</w:t>
      </w:r>
      <w:r w:rsidRPr="002A6435">
        <w:rPr>
          <w:rFonts w:ascii="Times New Roman" w:hAnsi="Times New Roman" w:cs="Times New Roman"/>
          <w:sz w:val="24"/>
          <w:szCs w:val="24"/>
          <w:lang w:val="en-US"/>
        </w:rPr>
        <w:t>. It is thus im</w:t>
      </w:r>
      <w:r>
        <w:rPr>
          <w:rFonts w:ascii="Times New Roman" w:hAnsi="Times New Roman" w:cs="Times New Roman"/>
          <w:sz w:val="24"/>
          <w:szCs w:val="24"/>
          <w:lang w:val="en-US"/>
        </w:rPr>
        <w:t xml:space="preserve">portant to identify the drivers </w:t>
      </w:r>
      <w:r w:rsidRPr="002A6435">
        <w:rPr>
          <w:rFonts w:ascii="Times New Roman" w:hAnsi="Times New Roman" w:cs="Times New Roman"/>
          <w:sz w:val="24"/>
          <w:szCs w:val="24"/>
          <w:lang w:val="en-US"/>
        </w:rPr>
        <w:t>of such adverse developments</w:t>
      </w:r>
      <w:r>
        <w:rPr>
          <w:rFonts w:ascii="Times New Roman" w:hAnsi="Times New Roman" w:cs="Times New Roman"/>
          <w:sz w:val="24"/>
          <w:szCs w:val="24"/>
          <w:lang w:val="en-US"/>
        </w:rPr>
        <w:t xml:space="preserve">… </w:t>
      </w:r>
    </w:p>
    <w:p w:rsidR="009720E1" w:rsidRDefault="009720E1" w:rsidP="006D0F1E">
      <w:pPr>
        <w:spacing w:line="240" w:lineRule="auto"/>
        <w:jc w:val="both"/>
        <w:rPr>
          <w:rFonts w:ascii="Times New Roman" w:hAnsi="Times New Roman" w:cs="Times New Roman"/>
          <w:sz w:val="24"/>
          <w:szCs w:val="24"/>
          <w:lang w:val="en-US"/>
        </w:rPr>
      </w:pPr>
    </w:p>
    <w:p w:rsidR="006D0F1E" w:rsidRDefault="006D0F1E" w:rsidP="006D0F1E">
      <w:pPr>
        <w:spacing w:line="240" w:lineRule="auto"/>
        <w:jc w:val="both"/>
        <w:rPr>
          <w:rFonts w:ascii="Times New Roman" w:hAnsi="Times New Roman" w:cs="Times New Roman"/>
          <w:sz w:val="24"/>
          <w:szCs w:val="24"/>
          <w:lang w:val="en-US"/>
        </w:rPr>
      </w:pPr>
      <w:r w:rsidRPr="00327ECE">
        <w:rPr>
          <w:rFonts w:ascii="Times New Roman" w:hAnsi="Times New Roman" w:cs="Times New Roman"/>
          <w:noProof/>
          <w:sz w:val="24"/>
          <w:szCs w:val="24"/>
          <w:lang w:eastAsia="es-ES"/>
        </w:rPr>
        <w:drawing>
          <wp:inline distT="0" distB="0" distL="0" distR="0" wp14:anchorId="6B1496F6" wp14:editId="0FF040D3">
            <wp:extent cx="5727604" cy="4235450"/>
            <wp:effectExtent l="0" t="0" r="6985" b="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4238338"/>
                    </a:xfrm>
                    <a:prstGeom prst="rect">
                      <a:avLst/>
                    </a:prstGeom>
                  </pic:spPr>
                </pic:pic>
              </a:graphicData>
            </a:graphic>
          </wp:inline>
        </w:drawing>
      </w:r>
    </w:p>
    <w:p w:rsidR="006D0F1E" w:rsidRPr="00684EAF" w:rsidRDefault="006D0F1E" w:rsidP="006D0F1E">
      <w:pPr>
        <w:spacing w:line="240" w:lineRule="auto"/>
        <w:jc w:val="both"/>
        <w:rPr>
          <w:rFonts w:ascii="Times New Roman" w:hAnsi="Times New Roman" w:cs="Times New Roman"/>
          <w:sz w:val="24"/>
          <w:szCs w:val="24"/>
          <w:lang w:val="en-US"/>
        </w:rPr>
      </w:pPr>
      <w:r w:rsidRPr="00684EAF">
        <w:rPr>
          <w:rFonts w:ascii="Times New Roman" w:hAnsi="Times New Roman" w:cs="Times New Roman"/>
          <w:sz w:val="24"/>
          <w:szCs w:val="24"/>
          <w:lang w:val="en-US"/>
        </w:rPr>
        <w:t>Wages and Incomes</w:t>
      </w:r>
    </w:p>
    <w:p w:rsidR="006D0F1E" w:rsidRPr="00684EAF" w:rsidRDefault="006D0F1E" w:rsidP="006D0F1E">
      <w:pPr>
        <w:spacing w:line="240" w:lineRule="auto"/>
        <w:jc w:val="both"/>
        <w:rPr>
          <w:rFonts w:ascii="Times New Roman" w:hAnsi="Times New Roman" w:cs="Times New Roman"/>
          <w:sz w:val="24"/>
          <w:szCs w:val="24"/>
          <w:lang w:val="en-US"/>
        </w:rPr>
      </w:pPr>
      <w:r w:rsidRPr="00684EAF">
        <w:rPr>
          <w:rFonts w:ascii="Times New Roman" w:hAnsi="Times New Roman" w:cs="Times New Roman"/>
          <w:sz w:val="24"/>
          <w:szCs w:val="24"/>
          <w:lang w:val="en-US"/>
        </w:rPr>
        <w:t xml:space="preserve">The evolution of wages is certainly a major </w:t>
      </w:r>
      <w:r>
        <w:rPr>
          <w:rFonts w:ascii="Times New Roman" w:hAnsi="Times New Roman" w:cs="Times New Roman"/>
          <w:sz w:val="24"/>
          <w:szCs w:val="24"/>
          <w:lang w:val="en-US"/>
        </w:rPr>
        <w:t xml:space="preserve">factor explaining the long-term </w:t>
      </w:r>
      <w:r w:rsidRPr="00684EAF">
        <w:rPr>
          <w:rFonts w:ascii="Times New Roman" w:hAnsi="Times New Roman" w:cs="Times New Roman"/>
          <w:sz w:val="24"/>
          <w:szCs w:val="24"/>
          <w:lang w:val="en-US"/>
        </w:rPr>
        <w:t xml:space="preserve">development of the middle class. While </w:t>
      </w:r>
      <w:r>
        <w:rPr>
          <w:rFonts w:ascii="Times New Roman" w:hAnsi="Times New Roman" w:cs="Times New Roman"/>
          <w:sz w:val="24"/>
          <w:szCs w:val="24"/>
          <w:lang w:val="en-US"/>
        </w:rPr>
        <w:t xml:space="preserve">households in the bottom </w:t>
      </w:r>
      <w:r w:rsidRPr="00684EAF">
        <w:rPr>
          <w:rFonts w:ascii="Times New Roman" w:hAnsi="Times New Roman" w:cs="Times New Roman"/>
          <w:sz w:val="24"/>
          <w:szCs w:val="24"/>
          <w:lang w:val="en-US"/>
        </w:rPr>
        <w:t xml:space="preserve">class often depend strongly on social transfers </w:t>
      </w:r>
      <w:r>
        <w:rPr>
          <w:rFonts w:ascii="Times New Roman" w:hAnsi="Times New Roman" w:cs="Times New Roman"/>
          <w:sz w:val="24"/>
          <w:szCs w:val="24"/>
          <w:lang w:val="en-US"/>
        </w:rPr>
        <w:t xml:space="preserve">because they do not participate </w:t>
      </w:r>
      <w:r w:rsidRPr="00684EAF">
        <w:rPr>
          <w:rFonts w:ascii="Times New Roman" w:hAnsi="Times New Roman" w:cs="Times New Roman"/>
          <w:sz w:val="24"/>
          <w:szCs w:val="24"/>
          <w:lang w:val="en-US"/>
        </w:rPr>
        <w:t xml:space="preserve">in the labour market and the top </w:t>
      </w:r>
      <w:r>
        <w:rPr>
          <w:rFonts w:ascii="Times New Roman" w:hAnsi="Times New Roman" w:cs="Times New Roman"/>
          <w:sz w:val="24"/>
          <w:szCs w:val="24"/>
          <w:lang w:val="en-US"/>
        </w:rPr>
        <w:t xml:space="preserve">largely benefits from financial </w:t>
      </w:r>
      <w:r w:rsidRPr="00684EAF">
        <w:rPr>
          <w:rFonts w:ascii="Times New Roman" w:hAnsi="Times New Roman" w:cs="Times New Roman"/>
          <w:sz w:val="24"/>
          <w:szCs w:val="24"/>
          <w:lang w:val="en-US"/>
        </w:rPr>
        <w:t>income, households in the middle</w:t>
      </w:r>
      <w:r>
        <w:rPr>
          <w:rFonts w:ascii="Times New Roman" w:hAnsi="Times New Roman" w:cs="Times New Roman"/>
          <w:sz w:val="24"/>
          <w:szCs w:val="24"/>
          <w:lang w:val="en-US"/>
        </w:rPr>
        <w:t xml:space="preserve"> class acquire their well-being based on </w:t>
      </w:r>
      <w:r w:rsidRPr="00684EAF">
        <w:rPr>
          <w:rFonts w:ascii="Times New Roman" w:hAnsi="Times New Roman" w:cs="Times New Roman"/>
          <w:sz w:val="24"/>
          <w:szCs w:val="24"/>
          <w:lang w:val="en-US"/>
        </w:rPr>
        <w:t>their wages. The chapter on the Netherland</w:t>
      </w:r>
      <w:r>
        <w:rPr>
          <w:rFonts w:ascii="Times New Roman" w:hAnsi="Times New Roman" w:cs="Times New Roman"/>
          <w:sz w:val="24"/>
          <w:szCs w:val="24"/>
          <w:lang w:val="en-US"/>
        </w:rPr>
        <w:t xml:space="preserve">s, for instance, highlights how </w:t>
      </w:r>
      <w:r w:rsidRPr="00684EAF">
        <w:rPr>
          <w:rFonts w:ascii="Times New Roman" w:hAnsi="Times New Roman" w:cs="Times New Roman"/>
          <w:sz w:val="24"/>
          <w:szCs w:val="24"/>
          <w:lang w:val="en-US"/>
        </w:rPr>
        <w:t>income from earnings is not only by far t</w:t>
      </w:r>
      <w:r>
        <w:rPr>
          <w:rFonts w:ascii="Times New Roman" w:hAnsi="Times New Roman" w:cs="Times New Roman"/>
          <w:sz w:val="24"/>
          <w:szCs w:val="24"/>
          <w:lang w:val="en-US"/>
        </w:rPr>
        <w:t xml:space="preserve">he most important category, but </w:t>
      </w:r>
      <w:r w:rsidRPr="00684EAF">
        <w:rPr>
          <w:rFonts w:ascii="Times New Roman" w:hAnsi="Times New Roman" w:cs="Times New Roman"/>
          <w:sz w:val="24"/>
          <w:szCs w:val="24"/>
          <w:lang w:val="en-US"/>
        </w:rPr>
        <w:t>also directly responsible for the contrasting evolution of the middle class.</w:t>
      </w:r>
    </w:p>
    <w:p w:rsidR="006D0F1E" w:rsidRDefault="006D0F1E" w:rsidP="006D0F1E">
      <w:pPr>
        <w:spacing w:line="240" w:lineRule="auto"/>
        <w:jc w:val="both"/>
        <w:rPr>
          <w:rFonts w:ascii="Times New Roman" w:hAnsi="Times New Roman" w:cs="Times New Roman"/>
          <w:sz w:val="24"/>
          <w:szCs w:val="24"/>
          <w:lang w:val="en-US"/>
        </w:rPr>
      </w:pPr>
      <w:r w:rsidRPr="00684EAF">
        <w:rPr>
          <w:rFonts w:ascii="Times New Roman" w:hAnsi="Times New Roman" w:cs="Times New Roman"/>
          <w:sz w:val="24"/>
          <w:szCs w:val="24"/>
          <w:lang w:val="en-US"/>
        </w:rPr>
        <w:t>While before the crisis most countrie</w:t>
      </w:r>
      <w:r>
        <w:rPr>
          <w:rFonts w:ascii="Times New Roman" w:hAnsi="Times New Roman" w:cs="Times New Roman"/>
          <w:sz w:val="24"/>
          <w:szCs w:val="24"/>
          <w:lang w:val="en-US"/>
        </w:rPr>
        <w:t xml:space="preserve">s were experiencing a growth in </w:t>
      </w:r>
      <w:r w:rsidRPr="00684EAF">
        <w:rPr>
          <w:rFonts w:ascii="Times New Roman" w:hAnsi="Times New Roman" w:cs="Times New Roman"/>
          <w:sz w:val="24"/>
          <w:szCs w:val="24"/>
          <w:lang w:val="en-US"/>
        </w:rPr>
        <w:t>m</w:t>
      </w:r>
      <w:r>
        <w:rPr>
          <w:rFonts w:ascii="Times New Roman" w:hAnsi="Times New Roman" w:cs="Times New Roman"/>
          <w:sz w:val="24"/>
          <w:szCs w:val="24"/>
          <w:lang w:val="en-US"/>
        </w:rPr>
        <w:t>edian income within each class -</w:t>
      </w:r>
      <w:r w:rsidRPr="00684EAF">
        <w:rPr>
          <w:rFonts w:ascii="Times New Roman" w:hAnsi="Times New Roman" w:cs="Times New Roman"/>
          <w:sz w:val="24"/>
          <w:szCs w:val="24"/>
          <w:lang w:val="en-US"/>
        </w:rPr>
        <w:t>and in parti</w:t>
      </w:r>
      <w:r>
        <w:rPr>
          <w:rFonts w:ascii="Times New Roman" w:hAnsi="Times New Roman" w:cs="Times New Roman"/>
          <w:sz w:val="24"/>
          <w:szCs w:val="24"/>
          <w:lang w:val="en-US"/>
        </w:rPr>
        <w:t>cular within the ‘middle-class’ income groups-</w:t>
      </w:r>
      <w:r w:rsidRPr="00684EAF">
        <w:rPr>
          <w:rFonts w:ascii="Times New Roman" w:hAnsi="Times New Roman" w:cs="Times New Roman"/>
          <w:sz w:val="24"/>
          <w:szCs w:val="24"/>
          <w:lang w:val="en-US"/>
        </w:rPr>
        <w:t xml:space="preserve"> this progression w</w:t>
      </w:r>
      <w:r>
        <w:rPr>
          <w:rFonts w:ascii="Times New Roman" w:hAnsi="Times New Roman" w:cs="Times New Roman"/>
          <w:sz w:val="24"/>
          <w:szCs w:val="24"/>
          <w:lang w:val="en-US"/>
        </w:rPr>
        <w:t xml:space="preserve">as halted by the crisis, with a </w:t>
      </w:r>
      <w:r w:rsidRPr="00684EAF">
        <w:rPr>
          <w:rFonts w:ascii="Times New Roman" w:hAnsi="Times New Roman" w:cs="Times New Roman"/>
          <w:sz w:val="24"/>
          <w:szCs w:val="24"/>
          <w:lang w:val="en-US"/>
        </w:rPr>
        <w:t xml:space="preserve">majority of countries experiencing first a </w:t>
      </w:r>
      <w:r>
        <w:rPr>
          <w:rFonts w:ascii="Times New Roman" w:hAnsi="Times New Roman" w:cs="Times New Roman"/>
          <w:sz w:val="24"/>
          <w:szCs w:val="24"/>
          <w:lang w:val="en-US"/>
        </w:rPr>
        <w:t xml:space="preserve">decline in the median income </w:t>
      </w:r>
      <w:r w:rsidRPr="00684EAF">
        <w:rPr>
          <w:rFonts w:ascii="Times New Roman" w:hAnsi="Times New Roman" w:cs="Times New Roman"/>
          <w:sz w:val="24"/>
          <w:szCs w:val="24"/>
          <w:lang w:val="en-US"/>
        </w:rPr>
        <w:t>(see Figure 1.9) (which identifies the diff</w:t>
      </w:r>
      <w:r>
        <w:rPr>
          <w:rFonts w:ascii="Times New Roman" w:hAnsi="Times New Roman" w:cs="Times New Roman"/>
          <w:sz w:val="24"/>
          <w:szCs w:val="24"/>
          <w:lang w:val="en-US"/>
        </w:rPr>
        <w:t xml:space="preserve">erent income groups with regard </w:t>
      </w:r>
      <w:r w:rsidRPr="00684EAF">
        <w:rPr>
          <w:rFonts w:ascii="Times New Roman" w:hAnsi="Times New Roman" w:cs="Times New Roman"/>
          <w:sz w:val="24"/>
          <w:szCs w:val="24"/>
          <w:lang w:val="en-US"/>
        </w:rPr>
        <w:t xml:space="preserve">to that median) and then a fall in the </w:t>
      </w:r>
      <w:r>
        <w:rPr>
          <w:rFonts w:ascii="Times New Roman" w:hAnsi="Times New Roman" w:cs="Times New Roman"/>
          <w:sz w:val="24"/>
          <w:szCs w:val="24"/>
          <w:lang w:val="en-US"/>
        </w:rPr>
        <w:t xml:space="preserve">median income within each class </w:t>
      </w:r>
      <w:r w:rsidRPr="00684EAF">
        <w:rPr>
          <w:rFonts w:ascii="Times New Roman" w:hAnsi="Times New Roman" w:cs="Times New Roman"/>
          <w:sz w:val="24"/>
          <w:szCs w:val="24"/>
          <w:lang w:val="en-US"/>
        </w:rPr>
        <w:t>(Figures 1.10a and 1.10b).</w:t>
      </w:r>
    </w:p>
    <w:p w:rsidR="006D0F1E" w:rsidRPr="00684EAF" w:rsidRDefault="006D0F1E" w:rsidP="006D0F1E">
      <w:pPr>
        <w:spacing w:line="240" w:lineRule="auto"/>
        <w:jc w:val="both"/>
        <w:rPr>
          <w:rFonts w:ascii="Times New Roman" w:hAnsi="Times New Roman" w:cs="Times New Roman"/>
          <w:sz w:val="24"/>
          <w:szCs w:val="24"/>
          <w:lang w:val="en-US"/>
        </w:rPr>
      </w:pPr>
      <w:r w:rsidRPr="00684EAF">
        <w:rPr>
          <w:rFonts w:ascii="Times New Roman" w:hAnsi="Times New Roman" w:cs="Times New Roman"/>
          <w:noProof/>
          <w:sz w:val="24"/>
          <w:szCs w:val="24"/>
          <w:lang w:eastAsia="es-ES"/>
        </w:rPr>
        <w:lastRenderedPageBreak/>
        <w:drawing>
          <wp:inline distT="0" distB="0" distL="0" distR="0" wp14:anchorId="0EF39009" wp14:editId="30E95148">
            <wp:extent cx="5735171" cy="2548218"/>
            <wp:effectExtent l="0" t="0" r="0" b="508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2546591"/>
                    </a:xfrm>
                    <a:prstGeom prst="rect">
                      <a:avLst/>
                    </a:prstGeom>
                  </pic:spPr>
                </pic:pic>
              </a:graphicData>
            </a:graphic>
          </wp:inline>
        </w:drawing>
      </w:r>
    </w:p>
    <w:p w:rsidR="006D0F1E" w:rsidRDefault="006D0F1E" w:rsidP="006D0F1E">
      <w:pPr>
        <w:spacing w:line="240" w:lineRule="auto"/>
        <w:jc w:val="both"/>
        <w:rPr>
          <w:rFonts w:ascii="Times New Roman" w:hAnsi="Times New Roman" w:cs="Times New Roman"/>
          <w:sz w:val="24"/>
          <w:szCs w:val="24"/>
          <w:lang w:val="en-US"/>
        </w:rPr>
      </w:pPr>
      <w:r w:rsidRPr="00684EAF">
        <w:rPr>
          <w:rFonts w:ascii="Times New Roman" w:hAnsi="Times New Roman" w:cs="Times New Roman"/>
          <w:noProof/>
          <w:sz w:val="24"/>
          <w:szCs w:val="24"/>
          <w:lang w:eastAsia="es-ES"/>
        </w:rPr>
        <w:drawing>
          <wp:inline distT="0" distB="0" distL="0" distR="0" wp14:anchorId="01E010D9" wp14:editId="0BF31892">
            <wp:extent cx="5735171" cy="5983941"/>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5980121"/>
                    </a:xfrm>
                    <a:prstGeom prst="rect">
                      <a:avLst/>
                    </a:prstGeom>
                  </pic:spPr>
                </pic:pic>
              </a:graphicData>
            </a:graphic>
          </wp:inline>
        </w:drawing>
      </w:r>
    </w:p>
    <w:p w:rsidR="006D0F1E" w:rsidRPr="00684EAF" w:rsidRDefault="006D0F1E" w:rsidP="006D0F1E">
      <w:pPr>
        <w:spacing w:line="240" w:lineRule="auto"/>
        <w:jc w:val="both"/>
        <w:rPr>
          <w:rFonts w:ascii="Times New Roman" w:hAnsi="Times New Roman" w:cs="Times New Roman"/>
          <w:sz w:val="24"/>
          <w:szCs w:val="24"/>
          <w:lang w:val="en-US"/>
        </w:rPr>
      </w:pPr>
      <w:r w:rsidRPr="00684EAF">
        <w:rPr>
          <w:rFonts w:ascii="Times New Roman" w:hAnsi="Times New Roman" w:cs="Times New Roman"/>
          <w:sz w:val="24"/>
          <w:szCs w:val="24"/>
          <w:lang w:val="en-US"/>
        </w:rPr>
        <w:lastRenderedPageBreak/>
        <w:t xml:space="preserve">At the same time, the erosion of median incomes </w:t>
      </w:r>
      <w:r>
        <w:rPr>
          <w:rFonts w:ascii="Times New Roman" w:hAnsi="Times New Roman" w:cs="Times New Roman"/>
          <w:sz w:val="24"/>
          <w:szCs w:val="24"/>
          <w:lang w:val="en-US"/>
        </w:rPr>
        <w:t xml:space="preserve">occurred mainly after </w:t>
      </w:r>
      <w:r w:rsidRPr="00684EAF">
        <w:rPr>
          <w:rFonts w:ascii="Times New Roman" w:hAnsi="Times New Roman" w:cs="Times New Roman"/>
          <w:sz w:val="24"/>
          <w:szCs w:val="24"/>
          <w:lang w:val="en-US"/>
        </w:rPr>
        <w:t>the crisis in countries such as Ireland and Greece</w:t>
      </w:r>
      <w:r>
        <w:rPr>
          <w:rFonts w:ascii="Times New Roman" w:hAnsi="Times New Roman" w:cs="Times New Roman"/>
          <w:sz w:val="24"/>
          <w:szCs w:val="24"/>
          <w:lang w:val="en-US"/>
        </w:rPr>
        <w:t xml:space="preserve"> and affected mainly low-income </w:t>
      </w:r>
      <w:r w:rsidRPr="00684EAF">
        <w:rPr>
          <w:rFonts w:ascii="Times New Roman" w:hAnsi="Times New Roman" w:cs="Times New Roman"/>
          <w:sz w:val="24"/>
          <w:szCs w:val="24"/>
          <w:lang w:val="en-US"/>
        </w:rPr>
        <w:t>groups, while in Germany it starte</w:t>
      </w:r>
      <w:r>
        <w:rPr>
          <w:rFonts w:ascii="Times New Roman" w:hAnsi="Times New Roman" w:cs="Times New Roman"/>
          <w:sz w:val="24"/>
          <w:szCs w:val="24"/>
          <w:lang w:val="en-US"/>
        </w:rPr>
        <w:t xml:space="preserve">d before the crisis for low and middle-income </w:t>
      </w:r>
      <w:r w:rsidRPr="00684EAF">
        <w:rPr>
          <w:rFonts w:ascii="Times New Roman" w:hAnsi="Times New Roman" w:cs="Times New Roman"/>
          <w:sz w:val="24"/>
          <w:szCs w:val="24"/>
          <w:lang w:val="en-US"/>
        </w:rPr>
        <w:t xml:space="preserve">groups (Figure 1.10a). The </w:t>
      </w:r>
      <w:r>
        <w:rPr>
          <w:rFonts w:ascii="Times New Roman" w:hAnsi="Times New Roman" w:cs="Times New Roman"/>
          <w:sz w:val="24"/>
          <w:szCs w:val="24"/>
          <w:lang w:val="en-US"/>
        </w:rPr>
        <w:t xml:space="preserve">Netherlands is characterized by </w:t>
      </w:r>
      <w:r w:rsidRPr="00684EAF">
        <w:rPr>
          <w:rFonts w:ascii="Times New Roman" w:hAnsi="Times New Roman" w:cs="Times New Roman"/>
          <w:sz w:val="24"/>
          <w:szCs w:val="24"/>
          <w:lang w:val="en-US"/>
        </w:rPr>
        <w:t>a massive lon</w:t>
      </w:r>
      <w:r>
        <w:rPr>
          <w:rFonts w:ascii="Times New Roman" w:hAnsi="Times New Roman" w:cs="Times New Roman"/>
          <w:sz w:val="24"/>
          <w:szCs w:val="24"/>
          <w:lang w:val="en-US"/>
        </w:rPr>
        <w:t xml:space="preserve">g-term </w:t>
      </w:r>
      <w:r w:rsidRPr="00684EAF">
        <w:rPr>
          <w:rFonts w:ascii="Times New Roman" w:hAnsi="Times New Roman" w:cs="Times New Roman"/>
          <w:sz w:val="24"/>
          <w:szCs w:val="24"/>
          <w:lang w:val="en-US"/>
        </w:rPr>
        <w:t>stagnation of real inc</w:t>
      </w:r>
      <w:r>
        <w:rPr>
          <w:rFonts w:ascii="Times New Roman" w:hAnsi="Times New Roman" w:cs="Times New Roman"/>
          <w:sz w:val="24"/>
          <w:szCs w:val="24"/>
          <w:lang w:val="en-US"/>
        </w:rPr>
        <w:t xml:space="preserve">omes, especially at the bottom, </w:t>
      </w:r>
      <w:r w:rsidRPr="00684EAF">
        <w:rPr>
          <w:rFonts w:ascii="Times New Roman" w:hAnsi="Times New Roman" w:cs="Times New Roman"/>
          <w:sz w:val="24"/>
          <w:szCs w:val="24"/>
          <w:lang w:val="en-US"/>
        </w:rPr>
        <w:t>which combined with growth at the top has led to increased inequality.</w:t>
      </w:r>
    </w:p>
    <w:p w:rsidR="006D0F1E" w:rsidRPr="00684EAF" w:rsidRDefault="006D0F1E" w:rsidP="006D0F1E">
      <w:pPr>
        <w:spacing w:line="240" w:lineRule="auto"/>
        <w:jc w:val="both"/>
        <w:rPr>
          <w:rFonts w:ascii="Times New Roman" w:hAnsi="Times New Roman" w:cs="Times New Roman"/>
          <w:sz w:val="24"/>
          <w:szCs w:val="24"/>
          <w:lang w:val="en-US"/>
        </w:rPr>
      </w:pPr>
      <w:r w:rsidRPr="00684EAF">
        <w:rPr>
          <w:rFonts w:ascii="Times New Roman" w:hAnsi="Times New Roman" w:cs="Times New Roman"/>
          <w:sz w:val="24"/>
          <w:szCs w:val="24"/>
          <w:lang w:val="en-US"/>
        </w:rPr>
        <w:t>The United Kingdom has been characteri</w:t>
      </w:r>
      <w:r>
        <w:rPr>
          <w:rFonts w:ascii="Times New Roman" w:hAnsi="Times New Roman" w:cs="Times New Roman"/>
          <w:sz w:val="24"/>
          <w:szCs w:val="24"/>
          <w:lang w:val="en-US"/>
        </w:rPr>
        <w:t xml:space="preserve">zed by falling and stagnant pay </w:t>
      </w:r>
      <w:r w:rsidRPr="00684EAF">
        <w:rPr>
          <w:rFonts w:ascii="Times New Roman" w:hAnsi="Times New Roman" w:cs="Times New Roman"/>
          <w:sz w:val="24"/>
          <w:szCs w:val="24"/>
          <w:lang w:val="en-US"/>
        </w:rPr>
        <w:t>levels, allied with low productivity growth and the ab</w:t>
      </w:r>
      <w:r>
        <w:rPr>
          <w:rFonts w:ascii="Times New Roman" w:hAnsi="Times New Roman" w:cs="Times New Roman"/>
          <w:sz w:val="24"/>
          <w:szCs w:val="24"/>
          <w:lang w:val="en-US"/>
        </w:rPr>
        <w:t xml:space="preserve">sence of appropriate </w:t>
      </w:r>
      <w:r w:rsidRPr="00684EAF">
        <w:rPr>
          <w:rFonts w:ascii="Times New Roman" w:hAnsi="Times New Roman" w:cs="Times New Roman"/>
          <w:sz w:val="24"/>
          <w:szCs w:val="24"/>
          <w:lang w:val="en-US"/>
        </w:rPr>
        <w:t>institutional levers to boost pay and product</w:t>
      </w:r>
      <w:r>
        <w:rPr>
          <w:rFonts w:ascii="Times New Roman" w:hAnsi="Times New Roman" w:cs="Times New Roman"/>
          <w:sz w:val="24"/>
          <w:szCs w:val="24"/>
          <w:lang w:val="en-US"/>
        </w:rPr>
        <w:t xml:space="preserve">ivity, such as support of trade </w:t>
      </w:r>
      <w:r w:rsidRPr="00684EAF">
        <w:rPr>
          <w:rFonts w:ascii="Times New Roman" w:hAnsi="Times New Roman" w:cs="Times New Roman"/>
          <w:sz w:val="24"/>
          <w:szCs w:val="24"/>
          <w:lang w:val="en-US"/>
        </w:rPr>
        <w:t>unions and worker voice in pay determinat</w:t>
      </w:r>
      <w:r>
        <w:rPr>
          <w:rFonts w:ascii="Times New Roman" w:hAnsi="Times New Roman" w:cs="Times New Roman"/>
          <w:sz w:val="24"/>
          <w:szCs w:val="24"/>
          <w:lang w:val="en-US"/>
        </w:rPr>
        <w:t xml:space="preserve">ion. This trend started already </w:t>
      </w:r>
      <w:r w:rsidRPr="00684EAF">
        <w:rPr>
          <w:rFonts w:ascii="Times New Roman" w:hAnsi="Times New Roman" w:cs="Times New Roman"/>
          <w:sz w:val="24"/>
          <w:szCs w:val="24"/>
          <w:lang w:val="en-US"/>
        </w:rPr>
        <w:t>in 2002 and is the longest period of fallin</w:t>
      </w:r>
      <w:r>
        <w:rPr>
          <w:rFonts w:ascii="Times New Roman" w:hAnsi="Times New Roman" w:cs="Times New Roman"/>
          <w:sz w:val="24"/>
          <w:szCs w:val="24"/>
          <w:lang w:val="en-US"/>
        </w:rPr>
        <w:t xml:space="preserve">g real wages since wage records </w:t>
      </w:r>
      <w:r w:rsidRPr="00684EAF">
        <w:rPr>
          <w:rFonts w:ascii="Times New Roman" w:hAnsi="Times New Roman" w:cs="Times New Roman"/>
          <w:sz w:val="24"/>
          <w:szCs w:val="24"/>
          <w:lang w:val="en-US"/>
        </w:rPr>
        <w:t>began in 1964 (Taylor et al. 2014). By con</w:t>
      </w:r>
      <w:r>
        <w:rPr>
          <w:rFonts w:ascii="Times New Roman" w:hAnsi="Times New Roman" w:cs="Times New Roman"/>
          <w:sz w:val="24"/>
          <w:szCs w:val="24"/>
          <w:lang w:val="en-US"/>
        </w:rPr>
        <w:t xml:space="preserve">trast the rise in median income </w:t>
      </w:r>
      <w:r w:rsidRPr="00684EAF">
        <w:rPr>
          <w:rFonts w:ascii="Times New Roman" w:hAnsi="Times New Roman" w:cs="Times New Roman"/>
          <w:sz w:val="24"/>
          <w:szCs w:val="24"/>
          <w:lang w:val="en-US"/>
        </w:rPr>
        <w:t>before the crisis was high in some central</w:t>
      </w:r>
      <w:r>
        <w:rPr>
          <w:rFonts w:ascii="Times New Roman" w:hAnsi="Times New Roman" w:cs="Times New Roman"/>
          <w:sz w:val="24"/>
          <w:szCs w:val="24"/>
          <w:lang w:val="en-US"/>
        </w:rPr>
        <w:t xml:space="preserve"> and eastern European countries </w:t>
      </w:r>
      <w:r w:rsidRPr="00684EAF">
        <w:rPr>
          <w:rFonts w:ascii="Times New Roman" w:hAnsi="Times New Roman" w:cs="Times New Roman"/>
          <w:sz w:val="24"/>
          <w:szCs w:val="24"/>
          <w:lang w:val="en-US"/>
        </w:rPr>
        <w:t>that experienced rapid growth, such as the t</w:t>
      </w:r>
      <w:r>
        <w:rPr>
          <w:rFonts w:ascii="Times New Roman" w:hAnsi="Times New Roman" w:cs="Times New Roman"/>
          <w:sz w:val="24"/>
          <w:szCs w:val="24"/>
          <w:lang w:val="en-US"/>
        </w:rPr>
        <w:t xml:space="preserve">hree Baltic states, Poland, the </w:t>
      </w:r>
      <w:r w:rsidRPr="00684EAF">
        <w:rPr>
          <w:rFonts w:ascii="Times New Roman" w:hAnsi="Times New Roman" w:cs="Times New Roman"/>
          <w:sz w:val="24"/>
          <w:szCs w:val="24"/>
          <w:lang w:val="en-US"/>
        </w:rPr>
        <w:t>Czech Republic and Slovakia.</w:t>
      </w:r>
    </w:p>
    <w:p w:rsidR="006D0F1E" w:rsidRPr="00684EAF" w:rsidRDefault="006D0F1E" w:rsidP="006D0F1E">
      <w:pPr>
        <w:spacing w:line="240" w:lineRule="auto"/>
        <w:jc w:val="both"/>
        <w:rPr>
          <w:rFonts w:ascii="Times New Roman" w:hAnsi="Times New Roman" w:cs="Times New Roman"/>
          <w:sz w:val="24"/>
          <w:szCs w:val="24"/>
          <w:lang w:val="en-US"/>
        </w:rPr>
      </w:pPr>
      <w:r w:rsidRPr="00684EAF">
        <w:rPr>
          <w:rFonts w:ascii="Times New Roman" w:hAnsi="Times New Roman" w:cs="Times New Roman"/>
          <w:sz w:val="24"/>
          <w:szCs w:val="24"/>
          <w:lang w:val="en-US"/>
        </w:rPr>
        <w:t>The declining wage share that is affect</w:t>
      </w:r>
      <w:r>
        <w:rPr>
          <w:rFonts w:ascii="Times New Roman" w:hAnsi="Times New Roman" w:cs="Times New Roman"/>
          <w:sz w:val="24"/>
          <w:szCs w:val="24"/>
          <w:lang w:val="en-US"/>
        </w:rPr>
        <w:t xml:space="preserve">ing many European countries has </w:t>
      </w:r>
      <w:r w:rsidRPr="00684EAF">
        <w:rPr>
          <w:rFonts w:ascii="Times New Roman" w:hAnsi="Times New Roman" w:cs="Times New Roman"/>
          <w:sz w:val="24"/>
          <w:szCs w:val="24"/>
          <w:lang w:val="en-US"/>
        </w:rPr>
        <w:t>thus had an impact on the middle class. The</w:t>
      </w:r>
      <w:r>
        <w:rPr>
          <w:rFonts w:ascii="Times New Roman" w:hAnsi="Times New Roman" w:cs="Times New Roman"/>
          <w:sz w:val="24"/>
          <w:szCs w:val="24"/>
          <w:lang w:val="en-US"/>
        </w:rPr>
        <w:t xml:space="preserve"> wage share decline observed in </w:t>
      </w:r>
      <w:r w:rsidRPr="00684EAF">
        <w:rPr>
          <w:rFonts w:ascii="Times New Roman" w:hAnsi="Times New Roman" w:cs="Times New Roman"/>
          <w:sz w:val="24"/>
          <w:szCs w:val="24"/>
          <w:lang w:val="en-US"/>
        </w:rPr>
        <w:t>most European countries (ILO 2014) precis</w:t>
      </w:r>
      <w:r>
        <w:rPr>
          <w:rFonts w:ascii="Times New Roman" w:hAnsi="Times New Roman" w:cs="Times New Roman"/>
          <w:sz w:val="24"/>
          <w:szCs w:val="24"/>
          <w:lang w:val="en-US"/>
        </w:rPr>
        <w:t>ely reflects the increasing gap between rising productivity -</w:t>
      </w:r>
      <w:r w:rsidRPr="00684EAF">
        <w:rPr>
          <w:rFonts w:ascii="Times New Roman" w:hAnsi="Times New Roman" w:cs="Times New Roman"/>
          <w:sz w:val="24"/>
          <w:szCs w:val="24"/>
          <w:lang w:val="en-US"/>
        </w:rPr>
        <w:t xml:space="preserve">to which the middle </w:t>
      </w:r>
      <w:r>
        <w:rPr>
          <w:rFonts w:ascii="Times New Roman" w:hAnsi="Times New Roman" w:cs="Times New Roman"/>
          <w:sz w:val="24"/>
          <w:szCs w:val="24"/>
          <w:lang w:val="en-US"/>
        </w:rPr>
        <w:t>class has contributed a lot-</w:t>
      </w:r>
      <w:r w:rsidRPr="00684EAF">
        <w:rPr>
          <w:rFonts w:ascii="Times New Roman" w:hAnsi="Times New Roman" w:cs="Times New Roman"/>
          <w:sz w:val="24"/>
          <w:szCs w:val="24"/>
          <w:lang w:val="en-US"/>
        </w:rPr>
        <w:t xml:space="preserve"> and wage increases that have failed </w:t>
      </w:r>
      <w:r>
        <w:rPr>
          <w:rFonts w:ascii="Times New Roman" w:hAnsi="Times New Roman" w:cs="Times New Roman"/>
          <w:sz w:val="24"/>
          <w:szCs w:val="24"/>
          <w:lang w:val="en-US"/>
        </w:rPr>
        <w:t xml:space="preserve">to catch up. Mechanisms such as </w:t>
      </w:r>
      <w:r w:rsidRPr="00684EAF">
        <w:rPr>
          <w:rFonts w:ascii="Times New Roman" w:hAnsi="Times New Roman" w:cs="Times New Roman"/>
          <w:sz w:val="24"/>
          <w:szCs w:val="24"/>
          <w:lang w:val="en-US"/>
        </w:rPr>
        <w:t>collective ba</w:t>
      </w:r>
      <w:r>
        <w:rPr>
          <w:rFonts w:ascii="Times New Roman" w:hAnsi="Times New Roman" w:cs="Times New Roman"/>
          <w:sz w:val="24"/>
          <w:szCs w:val="24"/>
          <w:lang w:val="en-US"/>
        </w:rPr>
        <w:t>rgaining but also pay systems -</w:t>
      </w:r>
      <w:r w:rsidRPr="00684EAF">
        <w:rPr>
          <w:rFonts w:ascii="Times New Roman" w:hAnsi="Times New Roman" w:cs="Times New Roman"/>
          <w:sz w:val="24"/>
          <w:szCs w:val="24"/>
          <w:lang w:val="en-US"/>
        </w:rPr>
        <w:t>for in</w:t>
      </w:r>
      <w:r>
        <w:rPr>
          <w:rFonts w:ascii="Times New Roman" w:hAnsi="Times New Roman" w:cs="Times New Roman"/>
          <w:sz w:val="24"/>
          <w:szCs w:val="24"/>
          <w:lang w:val="en-US"/>
        </w:rPr>
        <w:t xml:space="preserve">stance, related to productivity- </w:t>
      </w:r>
      <w:r w:rsidRPr="00684EAF">
        <w:rPr>
          <w:rFonts w:ascii="Times New Roman" w:hAnsi="Times New Roman" w:cs="Times New Roman"/>
          <w:sz w:val="24"/>
          <w:szCs w:val="24"/>
          <w:lang w:val="en-US"/>
        </w:rPr>
        <w:t xml:space="preserve">can </w:t>
      </w:r>
      <w:r>
        <w:rPr>
          <w:rFonts w:ascii="Times New Roman" w:hAnsi="Times New Roman" w:cs="Times New Roman"/>
          <w:sz w:val="24"/>
          <w:szCs w:val="24"/>
          <w:lang w:val="en-US"/>
        </w:rPr>
        <w:t>only help to restore that link.</w:t>
      </w:r>
    </w:p>
    <w:p w:rsidR="006D0F1E" w:rsidRDefault="006D0F1E" w:rsidP="006D0F1E">
      <w:pPr>
        <w:spacing w:line="240" w:lineRule="auto"/>
        <w:jc w:val="both"/>
        <w:rPr>
          <w:rFonts w:ascii="Times New Roman" w:hAnsi="Times New Roman" w:cs="Times New Roman"/>
          <w:sz w:val="24"/>
          <w:szCs w:val="24"/>
          <w:lang w:val="en-US"/>
        </w:rPr>
      </w:pPr>
      <w:r w:rsidRPr="00684EAF">
        <w:rPr>
          <w:rFonts w:ascii="Times New Roman" w:hAnsi="Times New Roman" w:cs="Times New Roman"/>
          <w:sz w:val="24"/>
          <w:szCs w:val="24"/>
          <w:lang w:val="en-US"/>
        </w:rPr>
        <w:t>Figure 1.10b confirms that with the</w:t>
      </w:r>
      <w:r>
        <w:rPr>
          <w:rFonts w:ascii="Times New Roman" w:hAnsi="Times New Roman" w:cs="Times New Roman"/>
          <w:sz w:val="24"/>
          <w:szCs w:val="24"/>
          <w:lang w:val="en-US"/>
        </w:rPr>
        <w:t xml:space="preserve"> crisis, median income declined </w:t>
      </w:r>
      <w:r w:rsidRPr="00684EAF">
        <w:rPr>
          <w:rFonts w:ascii="Times New Roman" w:hAnsi="Times New Roman" w:cs="Times New Roman"/>
          <w:sz w:val="24"/>
          <w:szCs w:val="24"/>
          <w:lang w:val="en-US"/>
        </w:rPr>
        <w:t>in almost all countries within all class</w:t>
      </w:r>
      <w:r>
        <w:rPr>
          <w:rFonts w:ascii="Times New Roman" w:hAnsi="Times New Roman" w:cs="Times New Roman"/>
          <w:sz w:val="24"/>
          <w:szCs w:val="24"/>
          <w:lang w:val="en-US"/>
        </w:rPr>
        <w:t xml:space="preserve">es, including the middle class, </w:t>
      </w:r>
      <w:r w:rsidRPr="00684EAF">
        <w:rPr>
          <w:rFonts w:ascii="Times New Roman" w:hAnsi="Times New Roman" w:cs="Times New Roman"/>
          <w:sz w:val="24"/>
          <w:szCs w:val="24"/>
          <w:lang w:val="en-US"/>
        </w:rPr>
        <w:t>although the lowest income classes were o</w:t>
      </w:r>
      <w:r>
        <w:rPr>
          <w:rFonts w:ascii="Times New Roman" w:hAnsi="Times New Roman" w:cs="Times New Roman"/>
          <w:sz w:val="24"/>
          <w:szCs w:val="24"/>
          <w:lang w:val="en-US"/>
        </w:rPr>
        <w:t xml:space="preserve">ften hurt more. In Figure 1.10b </w:t>
      </w:r>
      <w:r w:rsidRPr="00684EAF">
        <w:rPr>
          <w:rFonts w:ascii="Times New Roman" w:hAnsi="Times New Roman" w:cs="Times New Roman"/>
          <w:sz w:val="24"/>
          <w:szCs w:val="24"/>
          <w:lang w:val="en-US"/>
        </w:rPr>
        <w:t xml:space="preserve">all classes in 15 countries experienced a fall </w:t>
      </w:r>
      <w:r>
        <w:rPr>
          <w:rFonts w:ascii="Times New Roman" w:hAnsi="Times New Roman" w:cs="Times New Roman"/>
          <w:sz w:val="24"/>
          <w:szCs w:val="24"/>
          <w:lang w:val="en-US"/>
        </w:rPr>
        <w:t xml:space="preserve">in median income. Middle-income </w:t>
      </w:r>
      <w:r w:rsidRPr="00684EAF">
        <w:rPr>
          <w:rFonts w:ascii="Times New Roman" w:hAnsi="Times New Roman" w:cs="Times New Roman"/>
          <w:sz w:val="24"/>
          <w:szCs w:val="24"/>
          <w:lang w:val="en-US"/>
        </w:rPr>
        <w:t xml:space="preserve">groups were thus not protected </w:t>
      </w:r>
      <w:r>
        <w:rPr>
          <w:rFonts w:ascii="Times New Roman" w:hAnsi="Times New Roman" w:cs="Times New Roman"/>
          <w:sz w:val="24"/>
          <w:szCs w:val="24"/>
          <w:lang w:val="en-US"/>
        </w:rPr>
        <w:t xml:space="preserve">from this decline; their median </w:t>
      </w:r>
      <w:r w:rsidRPr="00684EAF">
        <w:rPr>
          <w:rFonts w:ascii="Times New Roman" w:hAnsi="Times New Roman" w:cs="Times New Roman"/>
          <w:sz w:val="24"/>
          <w:szCs w:val="24"/>
          <w:lang w:val="en-US"/>
        </w:rPr>
        <w:t>income al</w:t>
      </w:r>
      <w:r>
        <w:rPr>
          <w:rFonts w:ascii="Times New Roman" w:hAnsi="Times New Roman" w:cs="Times New Roman"/>
          <w:sz w:val="24"/>
          <w:szCs w:val="24"/>
          <w:lang w:val="en-US"/>
        </w:rPr>
        <w:t xml:space="preserve">so fell in more than two-thirds </w:t>
      </w:r>
      <w:r w:rsidRPr="00684EAF">
        <w:rPr>
          <w:rFonts w:ascii="Times New Roman" w:hAnsi="Times New Roman" w:cs="Times New Roman"/>
          <w:sz w:val="24"/>
          <w:szCs w:val="24"/>
          <w:lang w:val="en-US"/>
        </w:rPr>
        <w:t>of the European countries under</w:t>
      </w:r>
      <w:r>
        <w:rPr>
          <w:rFonts w:ascii="Times New Roman" w:hAnsi="Times New Roman" w:cs="Times New Roman"/>
          <w:sz w:val="24"/>
          <w:szCs w:val="24"/>
          <w:lang w:val="en-US"/>
        </w:rPr>
        <w:t xml:space="preserve"> </w:t>
      </w:r>
      <w:r w:rsidRPr="00684EAF">
        <w:rPr>
          <w:rFonts w:ascii="Times New Roman" w:hAnsi="Times New Roman" w:cs="Times New Roman"/>
          <w:sz w:val="24"/>
          <w:szCs w:val="24"/>
          <w:lang w:val="en-US"/>
        </w:rPr>
        <w:t xml:space="preserve">examination (Figure 1.10b). The most </w:t>
      </w:r>
      <w:r>
        <w:rPr>
          <w:rFonts w:ascii="Times New Roman" w:hAnsi="Times New Roman" w:cs="Times New Roman"/>
          <w:sz w:val="24"/>
          <w:szCs w:val="24"/>
          <w:lang w:val="en-US"/>
        </w:rPr>
        <w:t>severe income fall was observed in Iceland (-</w:t>
      </w:r>
      <w:r w:rsidRPr="00684EAF">
        <w:rPr>
          <w:rFonts w:ascii="Times New Roman" w:hAnsi="Times New Roman" w:cs="Times New Roman"/>
          <w:sz w:val="24"/>
          <w:szCs w:val="24"/>
          <w:lang w:val="en-US"/>
        </w:rPr>
        <w:t xml:space="preserve">15 per cent for all classes </w:t>
      </w:r>
      <w:r>
        <w:rPr>
          <w:rFonts w:ascii="Times New Roman" w:hAnsi="Times New Roman" w:cs="Times New Roman"/>
          <w:sz w:val="24"/>
          <w:szCs w:val="24"/>
          <w:lang w:val="en-US"/>
        </w:rPr>
        <w:t xml:space="preserve">following the collapse of their </w:t>
      </w:r>
      <w:r w:rsidRPr="00684EAF">
        <w:rPr>
          <w:rFonts w:ascii="Times New Roman" w:hAnsi="Times New Roman" w:cs="Times New Roman"/>
          <w:sz w:val="24"/>
          <w:szCs w:val="24"/>
          <w:lang w:val="en-US"/>
        </w:rPr>
        <w:t>economy during the financial crisis), but also</w:t>
      </w:r>
      <w:r>
        <w:rPr>
          <w:rFonts w:ascii="Times New Roman" w:hAnsi="Times New Roman" w:cs="Times New Roman"/>
          <w:sz w:val="24"/>
          <w:szCs w:val="24"/>
          <w:lang w:val="en-US"/>
        </w:rPr>
        <w:t xml:space="preserve"> in the Baltic states. The high </w:t>
      </w:r>
      <w:r w:rsidRPr="00684EAF">
        <w:rPr>
          <w:rFonts w:ascii="Times New Roman" w:hAnsi="Times New Roman" w:cs="Times New Roman"/>
          <w:sz w:val="24"/>
          <w:szCs w:val="24"/>
          <w:lang w:val="en-US"/>
        </w:rPr>
        <w:t>percentage decrease in income can be explai</w:t>
      </w:r>
      <w:r>
        <w:rPr>
          <w:rFonts w:ascii="Times New Roman" w:hAnsi="Times New Roman" w:cs="Times New Roman"/>
          <w:sz w:val="24"/>
          <w:szCs w:val="24"/>
          <w:lang w:val="en-US"/>
        </w:rPr>
        <w:t xml:space="preserve">ned by jobs lost in the crisis, </w:t>
      </w:r>
      <w:r w:rsidRPr="00684EAF">
        <w:rPr>
          <w:rFonts w:ascii="Times New Roman" w:hAnsi="Times New Roman" w:cs="Times New Roman"/>
          <w:sz w:val="24"/>
          <w:szCs w:val="24"/>
          <w:lang w:val="en-US"/>
        </w:rPr>
        <w:t xml:space="preserve">especially among the bottom income groups. But </w:t>
      </w:r>
      <w:r>
        <w:rPr>
          <w:rFonts w:ascii="Times New Roman" w:hAnsi="Times New Roman" w:cs="Times New Roman"/>
          <w:sz w:val="24"/>
          <w:szCs w:val="24"/>
          <w:lang w:val="en-US"/>
        </w:rPr>
        <w:t xml:space="preserve">the middle-income </w:t>
      </w:r>
      <w:r w:rsidRPr="00684EAF">
        <w:rPr>
          <w:rFonts w:ascii="Times New Roman" w:hAnsi="Times New Roman" w:cs="Times New Roman"/>
          <w:sz w:val="24"/>
          <w:szCs w:val="24"/>
          <w:lang w:val="en-US"/>
        </w:rPr>
        <w:t>groups have also been affected. The c</w:t>
      </w:r>
      <w:r>
        <w:rPr>
          <w:rFonts w:ascii="Times New Roman" w:hAnsi="Times New Roman" w:cs="Times New Roman"/>
          <w:sz w:val="24"/>
          <w:szCs w:val="24"/>
          <w:lang w:val="en-US"/>
        </w:rPr>
        <w:t xml:space="preserve">hapter on the United Kingdom in </w:t>
      </w:r>
      <w:r w:rsidRPr="00684EAF">
        <w:rPr>
          <w:rFonts w:ascii="Times New Roman" w:hAnsi="Times New Roman" w:cs="Times New Roman"/>
          <w:sz w:val="24"/>
          <w:szCs w:val="24"/>
          <w:lang w:val="en-US"/>
        </w:rPr>
        <w:t>this volume shows how polarization se</w:t>
      </w:r>
      <w:r>
        <w:rPr>
          <w:rFonts w:ascii="Times New Roman" w:hAnsi="Times New Roman" w:cs="Times New Roman"/>
          <w:sz w:val="24"/>
          <w:szCs w:val="24"/>
          <w:lang w:val="en-US"/>
        </w:rPr>
        <w:t xml:space="preserve">ems to have been accompanied by </w:t>
      </w:r>
      <w:r w:rsidRPr="00684EAF">
        <w:rPr>
          <w:rFonts w:ascii="Times New Roman" w:hAnsi="Times New Roman" w:cs="Times New Roman"/>
          <w:sz w:val="24"/>
          <w:szCs w:val="24"/>
          <w:lang w:val="en-US"/>
        </w:rPr>
        <w:t>a collapse of middle wages and incomes</w:t>
      </w:r>
      <w:r>
        <w:rPr>
          <w:rFonts w:ascii="Times New Roman" w:hAnsi="Times New Roman" w:cs="Times New Roman"/>
          <w:sz w:val="24"/>
          <w:szCs w:val="24"/>
          <w:lang w:val="en-US"/>
        </w:rPr>
        <w:t>…</w:t>
      </w:r>
    </w:p>
    <w:p w:rsidR="006D0F1E" w:rsidRDefault="006D0F1E" w:rsidP="006D0F1E">
      <w:pPr>
        <w:spacing w:line="240" w:lineRule="auto"/>
        <w:jc w:val="both"/>
        <w:rPr>
          <w:rFonts w:ascii="Times New Roman" w:hAnsi="Times New Roman" w:cs="Times New Roman"/>
          <w:sz w:val="24"/>
          <w:szCs w:val="24"/>
          <w:lang w:val="en-US"/>
        </w:rPr>
      </w:pPr>
      <w:r w:rsidRPr="00955ABB">
        <w:rPr>
          <w:rFonts w:ascii="Times New Roman" w:hAnsi="Times New Roman" w:cs="Times New Roman"/>
          <w:sz w:val="24"/>
          <w:szCs w:val="24"/>
          <w:lang w:val="en-US"/>
        </w:rPr>
        <w:t>Income seems to have contributed to general middle class trend</w:t>
      </w:r>
      <w:r>
        <w:rPr>
          <w:rFonts w:ascii="Times New Roman" w:hAnsi="Times New Roman" w:cs="Times New Roman"/>
          <w:sz w:val="24"/>
          <w:szCs w:val="24"/>
          <w:lang w:val="en-US"/>
        </w:rPr>
        <w:t xml:space="preserve">s. Not </w:t>
      </w:r>
      <w:r w:rsidRPr="00955ABB">
        <w:rPr>
          <w:rFonts w:ascii="Times New Roman" w:hAnsi="Times New Roman" w:cs="Times New Roman"/>
          <w:sz w:val="24"/>
          <w:szCs w:val="24"/>
          <w:lang w:val="en-US"/>
        </w:rPr>
        <w:t>only has the size of the middle class bee</w:t>
      </w:r>
      <w:r>
        <w:rPr>
          <w:rFonts w:ascii="Times New Roman" w:hAnsi="Times New Roman" w:cs="Times New Roman"/>
          <w:sz w:val="24"/>
          <w:szCs w:val="24"/>
          <w:lang w:val="en-US"/>
        </w:rPr>
        <w:t xml:space="preserve">n eroded, but the median income </w:t>
      </w:r>
      <w:r w:rsidRPr="00955ABB">
        <w:rPr>
          <w:rFonts w:ascii="Times New Roman" w:hAnsi="Times New Roman" w:cs="Times New Roman"/>
          <w:sz w:val="24"/>
          <w:szCs w:val="24"/>
          <w:lang w:val="en-US"/>
        </w:rPr>
        <w:t>around which we define middle class groups</w:t>
      </w:r>
      <w:r w:rsidR="0036518C">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has also been declining, which </w:t>
      </w:r>
      <w:r w:rsidRPr="00955ABB">
        <w:rPr>
          <w:rFonts w:ascii="Times New Roman" w:hAnsi="Times New Roman" w:cs="Times New Roman"/>
          <w:sz w:val="24"/>
          <w:szCs w:val="24"/>
          <w:lang w:val="en-US"/>
        </w:rPr>
        <w:t>highlights a</w:t>
      </w:r>
      <w:r>
        <w:rPr>
          <w:rFonts w:ascii="Times New Roman" w:hAnsi="Times New Roman" w:cs="Times New Roman"/>
          <w:sz w:val="24"/>
          <w:szCs w:val="24"/>
          <w:lang w:val="en-US"/>
        </w:rPr>
        <w:t xml:space="preserve"> general loss for middle-income groups (see Figures 1.10a and </w:t>
      </w:r>
      <w:r w:rsidRPr="00955ABB">
        <w:rPr>
          <w:rFonts w:ascii="Times New Roman" w:hAnsi="Times New Roman" w:cs="Times New Roman"/>
          <w:sz w:val="24"/>
          <w:szCs w:val="24"/>
          <w:lang w:val="en-US"/>
        </w:rPr>
        <w:t>1.10b). This also explains our previous resul</w:t>
      </w:r>
      <w:r>
        <w:rPr>
          <w:rFonts w:ascii="Times New Roman" w:hAnsi="Times New Roman" w:cs="Times New Roman"/>
          <w:sz w:val="24"/>
          <w:szCs w:val="24"/>
          <w:lang w:val="en-US"/>
        </w:rPr>
        <w:t xml:space="preserve">ts indicating a declining share </w:t>
      </w:r>
      <w:r w:rsidRPr="00955ABB">
        <w:rPr>
          <w:rFonts w:ascii="Times New Roman" w:hAnsi="Times New Roman" w:cs="Times New Roman"/>
          <w:sz w:val="24"/>
          <w:szCs w:val="24"/>
          <w:lang w:val="en-US"/>
        </w:rPr>
        <w:t>in total household income</w:t>
      </w:r>
      <w:r>
        <w:rPr>
          <w:rFonts w:ascii="Times New Roman" w:hAnsi="Times New Roman" w:cs="Times New Roman"/>
          <w:sz w:val="24"/>
          <w:szCs w:val="24"/>
          <w:lang w:val="en-US"/>
        </w:rPr>
        <w:t>..</w:t>
      </w:r>
      <w:r w:rsidRPr="00955ABB">
        <w:rPr>
          <w:rFonts w:ascii="Times New Roman" w:hAnsi="Times New Roman" w:cs="Times New Roman"/>
          <w:sz w:val="24"/>
          <w:szCs w:val="24"/>
          <w:lang w:val="en-US"/>
        </w:rPr>
        <w:t>.</w:t>
      </w:r>
    </w:p>
    <w:p w:rsidR="009720E1" w:rsidRDefault="009720E1" w:rsidP="002805E4">
      <w:pPr>
        <w:shd w:val="clear" w:color="auto" w:fill="FFFFFF"/>
        <w:spacing w:after="0" w:line="240" w:lineRule="auto"/>
        <w:jc w:val="both"/>
        <w:textAlignment w:val="baseline"/>
        <w:rPr>
          <w:rFonts w:ascii="Times New Roman" w:hAnsi="Times New Roman" w:cs="Times New Roman"/>
          <w:sz w:val="24"/>
          <w:szCs w:val="24"/>
          <w:lang w:val="en-US"/>
        </w:rPr>
      </w:pPr>
    </w:p>
    <w:p w:rsidR="009720E1" w:rsidRDefault="009720E1" w:rsidP="002805E4">
      <w:pPr>
        <w:shd w:val="clear" w:color="auto" w:fill="FFFFFF"/>
        <w:spacing w:after="0" w:line="240" w:lineRule="auto"/>
        <w:jc w:val="both"/>
        <w:textAlignment w:val="baseline"/>
        <w:rPr>
          <w:rFonts w:ascii="Times New Roman" w:hAnsi="Times New Roman" w:cs="Times New Roman"/>
          <w:sz w:val="24"/>
          <w:szCs w:val="24"/>
          <w:lang w:val="en-US"/>
        </w:rPr>
      </w:pPr>
    </w:p>
    <w:p w:rsidR="009720E1" w:rsidRDefault="009720E1" w:rsidP="002805E4">
      <w:pPr>
        <w:shd w:val="clear" w:color="auto" w:fill="FFFFFF"/>
        <w:spacing w:after="0" w:line="240" w:lineRule="auto"/>
        <w:jc w:val="both"/>
        <w:textAlignment w:val="baseline"/>
        <w:rPr>
          <w:rFonts w:ascii="Times New Roman" w:hAnsi="Times New Roman" w:cs="Times New Roman"/>
          <w:sz w:val="24"/>
          <w:szCs w:val="24"/>
          <w:lang w:val="en-US"/>
        </w:rPr>
      </w:pPr>
    </w:p>
    <w:p w:rsidR="009720E1" w:rsidRDefault="009720E1" w:rsidP="002805E4">
      <w:pPr>
        <w:shd w:val="clear" w:color="auto" w:fill="FFFFFF"/>
        <w:spacing w:after="0" w:line="240" w:lineRule="auto"/>
        <w:jc w:val="both"/>
        <w:textAlignment w:val="baseline"/>
        <w:rPr>
          <w:rFonts w:ascii="Times New Roman" w:hAnsi="Times New Roman" w:cs="Times New Roman"/>
          <w:sz w:val="24"/>
          <w:szCs w:val="24"/>
          <w:lang w:val="en-US"/>
        </w:rPr>
      </w:pPr>
    </w:p>
    <w:p w:rsidR="009720E1" w:rsidRDefault="009720E1" w:rsidP="002805E4">
      <w:pPr>
        <w:shd w:val="clear" w:color="auto" w:fill="FFFFFF"/>
        <w:spacing w:after="0" w:line="240" w:lineRule="auto"/>
        <w:jc w:val="both"/>
        <w:textAlignment w:val="baseline"/>
        <w:rPr>
          <w:rFonts w:ascii="Times New Roman" w:hAnsi="Times New Roman" w:cs="Times New Roman"/>
          <w:sz w:val="24"/>
          <w:szCs w:val="24"/>
          <w:lang w:val="en-US"/>
        </w:rPr>
      </w:pPr>
    </w:p>
    <w:p w:rsidR="009720E1" w:rsidRDefault="009720E1" w:rsidP="002805E4">
      <w:pPr>
        <w:shd w:val="clear" w:color="auto" w:fill="FFFFFF"/>
        <w:spacing w:after="0" w:line="240" w:lineRule="auto"/>
        <w:jc w:val="both"/>
        <w:textAlignment w:val="baseline"/>
        <w:rPr>
          <w:rFonts w:ascii="Times New Roman" w:hAnsi="Times New Roman" w:cs="Times New Roman"/>
          <w:sz w:val="24"/>
          <w:szCs w:val="24"/>
          <w:lang w:val="en-US"/>
        </w:rPr>
      </w:pPr>
    </w:p>
    <w:p w:rsidR="009720E1" w:rsidRDefault="009720E1" w:rsidP="002805E4">
      <w:pPr>
        <w:shd w:val="clear" w:color="auto" w:fill="FFFFFF"/>
        <w:spacing w:after="0" w:line="240" w:lineRule="auto"/>
        <w:jc w:val="both"/>
        <w:textAlignment w:val="baseline"/>
        <w:rPr>
          <w:rFonts w:ascii="Times New Roman" w:hAnsi="Times New Roman" w:cs="Times New Roman"/>
          <w:sz w:val="24"/>
          <w:szCs w:val="24"/>
          <w:lang w:val="en-US"/>
        </w:rPr>
      </w:pPr>
    </w:p>
    <w:p w:rsidR="009720E1" w:rsidRDefault="009720E1" w:rsidP="002805E4">
      <w:pPr>
        <w:shd w:val="clear" w:color="auto" w:fill="FFFFFF"/>
        <w:spacing w:after="0" w:line="240" w:lineRule="auto"/>
        <w:jc w:val="both"/>
        <w:textAlignment w:val="baseline"/>
        <w:rPr>
          <w:rFonts w:ascii="Times New Roman" w:hAnsi="Times New Roman" w:cs="Times New Roman"/>
          <w:sz w:val="24"/>
          <w:szCs w:val="24"/>
          <w:lang w:val="en-US"/>
        </w:rPr>
      </w:pPr>
    </w:p>
    <w:p w:rsidR="009720E1" w:rsidRDefault="009720E1" w:rsidP="002805E4">
      <w:pPr>
        <w:shd w:val="clear" w:color="auto" w:fill="FFFFFF"/>
        <w:spacing w:after="0" w:line="240" w:lineRule="auto"/>
        <w:jc w:val="both"/>
        <w:textAlignment w:val="baseline"/>
        <w:rPr>
          <w:rFonts w:ascii="Times New Roman" w:hAnsi="Times New Roman" w:cs="Times New Roman"/>
          <w:sz w:val="24"/>
          <w:szCs w:val="24"/>
          <w:lang w:val="en-US"/>
        </w:rPr>
      </w:pPr>
    </w:p>
    <w:p w:rsidR="009720E1" w:rsidRDefault="009720E1" w:rsidP="002805E4">
      <w:pPr>
        <w:shd w:val="clear" w:color="auto" w:fill="FFFFFF"/>
        <w:spacing w:after="0" w:line="240" w:lineRule="auto"/>
        <w:jc w:val="both"/>
        <w:textAlignment w:val="baseline"/>
        <w:rPr>
          <w:rFonts w:ascii="Times New Roman" w:hAnsi="Times New Roman" w:cs="Times New Roman"/>
          <w:sz w:val="24"/>
          <w:szCs w:val="24"/>
          <w:lang w:val="en-US"/>
        </w:rPr>
      </w:pPr>
    </w:p>
    <w:p w:rsidR="009720E1" w:rsidRDefault="009720E1" w:rsidP="002805E4">
      <w:pPr>
        <w:shd w:val="clear" w:color="auto" w:fill="FFFFFF"/>
        <w:spacing w:after="0" w:line="240" w:lineRule="auto"/>
        <w:jc w:val="both"/>
        <w:textAlignment w:val="baseline"/>
        <w:rPr>
          <w:rFonts w:ascii="Times New Roman" w:hAnsi="Times New Roman" w:cs="Times New Roman"/>
          <w:sz w:val="24"/>
          <w:szCs w:val="24"/>
          <w:lang w:val="en-US"/>
        </w:rPr>
      </w:pPr>
    </w:p>
    <w:p w:rsidR="008F0C3B" w:rsidRDefault="009720E1" w:rsidP="002805E4">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 </w:t>
      </w:r>
      <w:r w:rsidR="00752E12" w:rsidRPr="00752E12">
        <w:rPr>
          <w:rFonts w:ascii="Times New Roman" w:eastAsia="Times New Roman" w:hAnsi="Times New Roman" w:cs="Times New Roman"/>
          <w:b/>
          <w:sz w:val="24"/>
          <w:szCs w:val="24"/>
        </w:rPr>
        <w:t>La ley de los grandes números (intento</w:t>
      </w:r>
      <w:r w:rsidR="00752E12">
        <w:rPr>
          <w:rFonts w:ascii="Times New Roman" w:eastAsia="Times New Roman" w:hAnsi="Times New Roman" w:cs="Times New Roman"/>
          <w:b/>
          <w:sz w:val="24"/>
          <w:szCs w:val="24"/>
        </w:rPr>
        <w:t xml:space="preserve"> </w:t>
      </w:r>
      <w:r w:rsidR="00752E12" w:rsidRPr="00752E12">
        <w:rPr>
          <w:rFonts w:ascii="Times New Roman" w:eastAsia="Times New Roman" w:hAnsi="Times New Roman" w:cs="Times New Roman"/>
          <w:b/>
          <w:sz w:val="24"/>
          <w:szCs w:val="24"/>
        </w:rPr>
        <w:t>de dem</w:t>
      </w:r>
      <w:r w:rsidR="00752E12">
        <w:rPr>
          <w:rFonts w:ascii="Times New Roman" w:eastAsia="Times New Roman" w:hAnsi="Times New Roman" w:cs="Times New Roman"/>
          <w:b/>
          <w:sz w:val="24"/>
          <w:szCs w:val="24"/>
        </w:rPr>
        <w:t>ostración del “proceso involutivo” de la clase media en los EEUU y la UE, en favor de la ampliación de la clase media en China</w:t>
      </w:r>
      <w:r w:rsidR="00752E12" w:rsidRPr="00752E12">
        <w:rPr>
          <w:rFonts w:ascii="Times New Roman" w:eastAsia="Times New Roman" w:hAnsi="Times New Roman" w:cs="Times New Roman"/>
          <w:b/>
          <w:sz w:val="24"/>
          <w:szCs w:val="24"/>
        </w:rPr>
        <w:t>)</w:t>
      </w:r>
    </w:p>
    <w:p w:rsidR="00B567A4" w:rsidRDefault="00B567A4" w:rsidP="002805E4">
      <w:pPr>
        <w:shd w:val="clear" w:color="auto" w:fill="FFFFFF"/>
        <w:spacing w:after="0" w:line="240" w:lineRule="auto"/>
        <w:jc w:val="both"/>
        <w:textAlignment w:val="baseline"/>
        <w:rPr>
          <w:rFonts w:ascii="Times New Roman" w:eastAsia="Times New Roman" w:hAnsi="Times New Roman" w:cs="Times New Roman"/>
          <w:b/>
          <w:sz w:val="24"/>
          <w:szCs w:val="24"/>
        </w:rPr>
      </w:pPr>
    </w:p>
    <w:p w:rsidR="00B567A4" w:rsidRPr="00B567A4" w:rsidRDefault="00B567A4" w:rsidP="002805E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567A4">
        <w:rPr>
          <w:rFonts w:ascii="Times New Roman" w:eastAsia="Times New Roman" w:hAnsi="Times New Roman" w:cs="Times New Roman"/>
          <w:sz w:val="24"/>
          <w:szCs w:val="24"/>
          <w:u w:val="single"/>
        </w:rPr>
        <w:t>Cálculos comparativos</w:t>
      </w:r>
    </w:p>
    <w:p w:rsidR="00752E12" w:rsidRDefault="00752E12" w:rsidP="002805E4">
      <w:pPr>
        <w:shd w:val="clear" w:color="auto" w:fill="FFFFFF"/>
        <w:spacing w:after="0" w:line="240" w:lineRule="auto"/>
        <w:jc w:val="both"/>
        <w:textAlignment w:val="baseline"/>
        <w:rPr>
          <w:rFonts w:ascii="Times New Roman" w:eastAsia="Times New Roman" w:hAnsi="Times New Roman" w:cs="Times New Roman"/>
          <w:b/>
          <w:sz w:val="24"/>
          <w:szCs w:val="24"/>
        </w:rPr>
      </w:pPr>
    </w:p>
    <w:p w:rsidR="00752E12" w:rsidRDefault="00752E12" w:rsidP="002805E4">
      <w:pPr>
        <w:shd w:val="clear" w:color="auto" w:fill="FFFFFF"/>
        <w:spacing w:after="0" w:line="240" w:lineRule="auto"/>
        <w:jc w:val="both"/>
        <w:textAlignment w:val="baseline"/>
        <w:rPr>
          <w:rFonts w:ascii="Times New Roman" w:eastAsia="Times New Roman" w:hAnsi="Times New Roman" w:cs="Times New Roman"/>
          <w:sz w:val="24"/>
          <w:szCs w:val="24"/>
        </w:rPr>
      </w:pPr>
      <w:r w:rsidRPr="008A291D">
        <w:rPr>
          <w:rFonts w:ascii="Times New Roman" w:eastAsia="Times New Roman" w:hAnsi="Times New Roman" w:cs="Times New Roman"/>
          <w:b/>
          <w:sz w:val="24"/>
          <w:szCs w:val="24"/>
        </w:rPr>
        <w:t>China</w:t>
      </w:r>
      <w:r>
        <w:rPr>
          <w:rFonts w:ascii="Times New Roman" w:eastAsia="Times New Roman" w:hAnsi="Times New Roman" w:cs="Times New Roman"/>
          <w:sz w:val="24"/>
          <w:szCs w:val="24"/>
        </w:rPr>
        <w:t xml:space="preserve"> pasó de 38,3 millones de personas de clase media en 2001, a 283 millones de personas de clase media en 2011, y a 373,9 millones de personas de clase media en 2015.</w:t>
      </w:r>
    </w:p>
    <w:p w:rsidR="00752E12" w:rsidRDefault="00752E12" w:rsidP="002805E4">
      <w:pPr>
        <w:shd w:val="clear" w:color="auto" w:fill="FFFFFF"/>
        <w:spacing w:after="0" w:line="240" w:lineRule="auto"/>
        <w:jc w:val="both"/>
        <w:textAlignment w:val="baseline"/>
        <w:rPr>
          <w:rFonts w:ascii="Times New Roman" w:eastAsia="Times New Roman" w:hAnsi="Times New Roman" w:cs="Times New Roman"/>
          <w:sz w:val="24"/>
          <w:szCs w:val="24"/>
        </w:rPr>
      </w:pPr>
    </w:p>
    <w:p w:rsidR="00752E12" w:rsidRDefault="001263C5" w:rsidP="002805E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Evolución</w:t>
      </w:r>
      <w:r w:rsidR="008B3585">
        <w:rPr>
          <w:rFonts w:ascii="Times New Roman" w:eastAsia="Times New Roman" w:hAnsi="Times New Roman" w:cs="Times New Roman"/>
          <w:sz w:val="24"/>
          <w:szCs w:val="24"/>
        </w:rPr>
        <w:t xml:space="preserve"> 2015-2001</w:t>
      </w:r>
    </w:p>
    <w:p w:rsidR="008B3585" w:rsidRDefault="008B3585" w:rsidP="002805E4">
      <w:pPr>
        <w:shd w:val="clear" w:color="auto" w:fill="FFFFFF"/>
        <w:spacing w:after="0" w:line="240" w:lineRule="auto"/>
        <w:jc w:val="both"/>
        <w:textAlignment w:val="baseline"/>
        <w:rPr>
          <w:rFonts w:ascii="Times New Roman" w:eastAsia="Times New Roman" w:hAnsi="Times New Roman" w:cs="Times New Roman"/>
          <w:sz w:val="24"/>
          <w:szCs w:val="24"/>
        </w:rPr>
      </w:pPr>
    </w:p>
    <w:p w:rsidR="008B3585" w:rsidRDefault="008B3585" w:rsidP="002805E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millones de personas: 976% en 14 años.</w:t>
      </w:r>
    </w:p>
    <w:p w:rsidR="008B3585" w:rsidRDefault="008B3585" w:rsidP="002805E4">
      <w:pPr>
        <w:shd w:val="clear" w:color="auto" w:fill="FFFFFF"/>
        <w:spacing w:after="0" w:line="240" w:lineRule="auto"/>
        <w:jc w:val="both"/>
        <w:textAlignment w:val="baseline"/>
        <w:rPr>
          <w:rFonts w:ascii="Times New Roman" w:eastAsia="Times New Roman" w:hAnsi="Times New Roman" w:cs="Times New Roman"/>
          <w:sz w:val="24"/>
          <w:szCs w:val="24"/>
        </w:rPr>
      </w:pPr>
    </w:p>
    <w:p w:rsidR="008B3585" w:rsidRDefault="008B3585" w:rsidP="002805E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porcentaje sobre población</w:t>
      </w:r>
      <w:r w:rsidR="008A291D">
        <w:rPr>
          <w:rFonts w:ascii="Times New Roman" w:eastAsia="Times New Roman" w:hAnsi="Times New Roman" w:cs="Times New Roman"/>
          <w:sz w:val="24"/>
          <w:szCs w:val="24"/>
        </w:rPr>
        <w:t xml:space="preserve"> total</w:t>
      </w:r>
      <w:r>
        <w:rPr>
          <w:rFonts w:ascii="Times New Roman" w:eastAsia="Times New Roman" w:hAnsi="Times New Roman" w:cs="Times New Roman"/>
          <w:sz w:val="24"/>
          <w:szCs w:val="24"/>
        </w:rPr>
        <w:t>: 907% en 14 años</w:t>
      </w:r>
      <w:r w:rsidR="00B567A4">
        <w:rPr>
          <w:rFonts w:ascii="Times New Roman" w:eastAsia="Times New Roman" w:hAnsi="Times New Roman" w:cs="Times New Roman"/>
          <w:sz w:val="24"/>
          <w:szCs w:val="24"/>
        </w:rPr>
        <w:t>.</w:t>
      </w:r>
    </w:p>
    <w:p w:rsidR="008B3585" w:rsidRDefault="008B3585" w:rsidP="002805E4">
      <w:pPr>
        <w:shd w:val="clear" w:color="auto" w:fill="FFFFFF"/>
        <w:spacing w:after="0" w:line="240" w:lineRule="auto"/>
        <w:jc w:val="both"/>
        <w:textAlignment w:val="baseline"/>
        <w:rPr>
          <w:rFonts w:ascii="Times New Roman" w:eastAsia="Times New Roman" w:hAnsi="Times New Roman" w:cs="Times New Roman"/>
          <w:sz w:val="24"/>
          <w:szCs w:val="24"/>
        </w:rPr>
      </w:pPr>
    </w:p>
    <w:p w:rsidR="008B3585" w:rsidRDefault="008B3585" w:rsidP="002805E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Un incremento de 335,6 millones de personas de clase media en 14 años.</w:t>
      </w:r>
    </w:p>
    <w:p w:rsidR="008B3585" w:rsidRDefault="008B3585" w:rsidP="002805E4">
      <w:pPr>
        <w:shd w:val="clear" w:color="auto" w:fill="FFFFFF"/>
        <w:spacing w:after="0" w:line="240" w:lineRule="auto"/>
        <w:jc w:val="both"/>
        <w:textAlignment w:val="baseline"/>
        <w:rPr>
          <w:rFonts w:ascii="Times New Roman" w:eastAsia="Times New Roman" w:hAnsi="Times New Roman" w:cs="Times New Roman"/>
          <w:sz w:val="24"/>
          <w:szCs w:val="24"/>
        </w:rPr>
      </w:pPr>
    </w:p>
    <w:p w:rsidR="008B3585" w:rsidRDefault="008B3585" w:rsidP="002805E4">
      <w:pPr>
        <w:shd w:val="clear" w:color="auto" w:fill="FFFFFF"/>
        <w:spacing w:after="0" w:line="240" w:lineRule="auto"/>
        <w:jc w:val="both"/>
        <w:textAlignment w:val="baseline"/>
        <w:rPr>
          <w:rFonts w:ascii="Times New Roman" w:eastAsia="Times New Roman" w:hAnsi="Times New Roman" w:cs="Times New Roman"/>
          <w:sz w:val="24"/>
          <w:szCs w:val="24"/>
        </w:rPr>
      </w:pPr>
      <w:r w:rsidRPr="008A291D">
        <w:rPr>
          <w:rFonts w:ascii="Times New Roman" w:eastAsia="Times New Roman" w:hAnsi="Times New Roman" w:cs="Times New Roman"/>
          <w:b/>
          <w:sz w:val="24"/>
          <w:szCs w:val="24"/>
        </w:rPr>
        <w:t>Estados Unidos</w:t>
      </w:r>
      <w:r>
        <w:rPr>
          <w:rFonts w:ascii="Times New Roman" w:eastAsia="Times New Roman" w:hAnsi="Times New Roman" w:cs="Times New Roman"/>
          <w:sz w:val="24"/>
          <w:szCs w:val="24"/>
        </w:rPr>
        <w:t xml:space="preserve"> pasó de 82,5 millones de personas de clase media en 1981, a 82,9 millones de personas de clase media en 1991, a 122,4 millones de personas de clase media en 2011, y a 95,5 millones de personas de clase media en 2015.</w:t>
      </w:r>
    </w:p>
    <w:p w:rsidR="008B3585" w:rsidRDefault="008B3585" w:rsidP="002805E4">
      <w:pPr>
        <w:shd w:val="clear" w:color="auto" w:fill="FFFFFF"/>
        <w:spacing w:after="0" w:line="240" w:lineRule="auto"/>
        <w:jc w:val="both"/>
        <w:textAlignment w:val="baseline"/>
        <w:rPr>
          <w:rFonts w:ascii="Times New Roman" w:eastAsia="Times New Roman" w:hAnsi="Times New Roman" w:cs="Times New Roman"/>
          <w:sz w:val="24"/>
          <w:szCs w:val="24"/>
        </w:rPr>
      </w:pPr>
    </w:p>
    <w:p w:rsidR="008B3585" w:rsidRDefault="001263C5" w:rsidP="008B358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Evolución</w:t>
      </w:r>
      <w:r w:rsidR="008B3585">
        <w:rPr>
          <w:rFonts w:ascii="Times New Roman" w:eastAsia="Times New Roman" w:hAnsi="Times New Roman" w:cs="Times New Roman"/>
          <w:sz w:val="24"/>
          <w:szCs w:val="24"/>
        </w:rPr>
        <w:t xml:space="preserve"> 2015-1991</w:t>
      </w:r>
    </w:p>
    <w:p w:rsidR="008B3585" w:rsidRDefault="008B3585" w:rsidP="008B3585">
      <w:pPr>
        <w:shd w:val="clear" w:color="auto" w:fill="FFFFFF"/>
        <w:spacing w:after="0" w:line="240" w:lineRule="auto"/>
        <w:jc w:val="both"/>
        <w:textAlignment w:val="baseline"/>
        <w:rPr>
          <w:rFonts w:ascii="Times New Roman" w:eastAsia="Times New Roman" w:hAnsi="Times New Roman" w:cs="Times New Roman"/>
          <w:sz w:val="24"/>
          <w:szCs w:val="24"/>
        </w:rPr>
      </w:pPr>
    </w:p>
    <w:p w:rsidR="008B3585" w:rsidRDefault="008B3585" w:rsidP="008B358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mil</w:t>
      </w:r>
      <w:r w:rsidR="005C7330">
        <w:rPr>
          <w:rFonts w:ascii="Times New Roman" w:eastAsia="Times New Roman" w:hAnsi="Times New Roman" w:cs="Times New Roman"/>
          <w:sz w:val="24"/>
          <w:szCs w:val="24"/>
        </w:rPr>
        <w:t>lones de personas: 15,20 % en 24</w:t>
      </w:r>
      <w:r>
        <w:rPr>
          <w:rFonts w:ascii="Times New Roman" w:eastAsia="Times New Roman" w:hAnsi="Times New Roman" w:cs="Times New Roman"/>
          <w:sz w:val="24"/>
          <w:szCs w:val="24"/>
        </w:rPr>
        <w:t xml:space="preserve"> años.</w:t>
      </w:r>
    </w:p>
    <w:p w:rsidR="008B3585" w:rsidRDefault="008B3585" w:rsidP="008B3585">
      <w:pPr>
        <w:shd w:val="clear" w:color="auto" w:fill="FFFFFF"/>
        <w:spacing w:after="0" w:line="240" w:lineRule="auto"/>
        <w:jc w:val="both"/>
        <w:textAlignment w:val="baseline"/>
        <w:rPr>
          <w:rFonts w:ascii="Times New Roman" w:eastAsia="Times New Roman" w:hAnsi="Times New Roman" w:cs="Times New Roman"/>
          <w:sz w:val="24"/>
          <w:szCs w:val="24"/>
        </w:rPr>
      </w:pPr>
    </w:p>
    <w:p w:rsidR="008B3585" w:rsidRDefault="008B3585" w:rsidP="008B358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porcentaje sobre población</w:t>
      </w:r>
      <w:r w:rsidR="008A291D">
        <w:rPr>
          <w:rFonts w:ascii="Times New Roman" w:eastAsia="Times New Roman" w:hAnsi="Times New Roman" w:cs="Times New Roman"/>
          <w:sz w:val="24"/>
          <w:szCs w:val="24"/>
        </w:rPr>
        <w:t xml:space="preserve"> adulta</w:t>
      </w:r>
      <w:r w:rsidR="00D402A9">
        <w:rPr>
          <w:rFonts w:ascii="Times New Roman" w:eastAsia="Times New Roman" w:hAnsi="Times New Roman" w:cs="Times New Roman"/>
          <w:sz w:val="24"/>
          <w:szCs w:val="24"/>
        </w:rPr>
        <w:t xml:space="preserve">: decreció </w:t>
      </w:r>
      <w:r w:rsidR="005C7330">
        <w:rPr>
          <w:rFonts w:ascii="Times New Roman" w:eastAsia="Times New Roman" w:hAnsi="Times New Roman" w:cs="Times New Roman"/>
          <w:sz w:val="24"/>
          <w:szCs w:val="24"/>
        </w:rPr>
        <w:t>6</w:t>
      </w:r>
      <w:r w:rsidR="00D402A9">
        <w:rPr>
          <w:rFonts w:ascii="Times New Roman" w:eastAsia="Times New Roman" w:hAnsi="Times New Roman" w:cs="Times New Roman"/>
          <w:sz w:val="24"/>
          <w:szCs w:val="24"/>
        </w:rPr>
        <w:t xml:space="preserve"> puntos</w:t>
      </w:r>
      <w:r w:rsidR="005C7330">
        <w:rPr>
          <w:rFonts w:ascii="Times New Roman" w:eastAsia="Times New Roman" w:hAnsi="Times New Roman" w:cs="Times New Roman"/>
          <w:sz w:val="24"/>
          <w:szCs w:val="24"/>
        </w:rPr>
        <w:t xml:space="preserve"> en 24</w:t>
      </w:r>
      <w:r>
        <w:rPr>
          <w:rFonts w:ascii="Times New Roman" w:eastAsia="Times New Roman" w:hAnsi="Times New Roman" w:cs="Times New Roman"/>
          <w:sz w:val="24"/>
          <w:szCs w:val="24"/>
        </w:rPr>
        <w:t xml:space="preserve"> años</w:t>
      </w:r>
    </w:p>
    <w:p w:rsidR="008B3585" w:rsidRDefault="008B3585" w:rsidP="008B3585">
      <w:pPr>
        <w:shd w:val="clear" w:color="auto" w:fill="FFFFFF"/>
        <w:spacing w:after="0" w:line="240" w:lineRule="auto"/>
        <w:jc w:val="both"/>
        <w:textAlignment w:val="baseline"/>
        <w:rPr>
          <w:rFonts w:ascii="Times New Roman" w:eastAsia="Times New Roman" w:hAnsi="Times New Roman" w:cs="Times New Roman"/>
          <w:sz w:val="24"/>
          <w:szCs w:val="24"/>
        </w:rPr>
      </w:pPr>
    </w:p>
    <w:p w:rsidR="008B3585" w:rsidRDefault="008A291D" w:rsidP="008B358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Un incremento de 12,6</w:t>
      </w:r>
      <w:r w:rsidR="008B3585">
        <w:rPr>
          <w:rFonts w:ascii="Times New Roman" w:eastAsia="Times New Roman" w:hAnsi="Times New Roman" w:cs="Times New Roman"/>
          <w:sz w:val="24"/>
          <w:szCs w:val="24"/>
        </w:rPr>
        <w:t xml:space="preserve"> millones </w:t>
      </w:r>
      <w:r w:rsidR="005C7330">
        <w:rPr>
          <w:rFonts w:ascii="Times New Roman" w:eastAsia="Times New Roman" w:hAnsi="Times New Roman" w:cs="Times New Roman"/>
          <w:sz w:val="24"/>
          <w:szCs w:val="24"/>
        </w:rPr>
        <w:t>de personas de clase media en 24</w:t>
      </w:r>
      <w:r w:rsidR="008B3585">
        <w:rPr>
          <w:rFonts w:ascii="Times New Roman" w:eastAsia="Times New Roman" w:hAnsi="Times New Roman" w:cs="Times New Roman"/>
          <w:sz w:val="24"/>
          <w:szCs w:val="24"/>
        </w:rPr>
        <w:t xml:space="preserve"> años.</w:t>
      </w:r>
    </w:p>
    <w:p w:rsidR="008A291D" w:rsidRDefault="008A291D" w:rsidP="008B3585">
      <w:pPr>
        <w:shd w:val="clear" w:color="auto" w:fill="FFFFFF"/>
        <w:spacing w:after="0" w:line="240" w:lineRule="auto"/>
        <w:jc w:val="both"/>
        <w:textAlignment w:val="baseline"/>
        <w:rPr>
          <w:rFonts w:ascii="Times New Roman" w:eastAsia="Times New Roman" w:hAnsi="Times New Roman" w:cs="Times New Roman"/>
          <w:sz w:val="24"/>
          <w:szCs w:val="24"/>
        </w:rPr>
      </w:pPr>
    </w:p>
    <w:p w:rsidR="008A291D" w:rsidRDefault="008A291D" w:rsidP="008B358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 </w:t>
      </w:r>
      <w:r w:rsidRPr="00AD499D">
        <w:rPr>
          <w:rFonts w:ascii="Times New Roman" w:eastAsia="Times New Roman" w:hAnsi="Times New Roman" w:cs="Times New Roman"/>
          <w:b/>
          <w:sz w:val="24"/>
          <w:szCs w:val="24"/>
        </w:rPr>
        <w:t>Unión Europea</w:t>
      </w:r>
      <w:r>
        <w:rPr>
          <w:rFonts w:ascii="Times New Roman" w:eastAsia="Times New Roman" w:hAnsi="Times New Roman" w:cs="Times New Roman"/>
          <w:sz w:val="24"/>
          <w:szCs w:val="24"/>
        </w:rPr>
        <w:t xml:space="preserve"> pasó de 166 millones de personas de clase media en 2001, a 105</w:t>
      </w:r>
      <w:r w:rsidR="00D402A9">
        <w:rPr>
          <w:rFonts w:ascii="Times New Roman" w:eastAsia="Times New Roman" w:hAnsi="Times New Roman" w:cs="Times New Roman"/>
          <w:sz w:val="24"/>
          <w:szCs w:val="24"/>
        </w:rPr>
        <w:t>,9</w:t>
      </w:r>
      <w:r>
        <w:rPr>
          <w:rFonts w:ascii="Times New Roman" w:eastAsia="Times New Roman" w:hAnsi="Times New Roman" w:cs="Times New Roman"/>
          <w:sz w:val="24"/>
          <w:szCs w:val="24"/>
        </w:rPr>
        <w:t xml:space="preserve"> millones de personas de clase media en 2011, y a 94,4 millones de personas de clase media en 2017.</w:t>
      </w:r>
    </w:p>
    <w:p w:rsidR="008A291D" w:rsidRDefault="008A291D" w:rsidP="008B3585">
      <w:pPr>
        <w:shd w:val="clear" w:color="auto" w:fill="FFFFFF"/>
        <w:spacing w:after="0" w:line="240" w:lineRule="auto"/>
        <w:jc w:val="both"/>
        <w:textAlignment w:val="baseline"/>
        <w:rPr>
          <w:rFonts w:ascii="Times New Roman" w:eastAsia="Times New Roman" w:hAnsi="Times New Roman" w:cs="Times New Roman"/>
          <w:sz w:val="24"/>
          <w:szCs w:val="24"/>
        </w:rPr>
      </w:pPr>
    </w:p>
    <w:p w:rsidR="008A291D" w:rsidRDefault="001263C5" w:rsidP="008A291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Evolución</w:t>
      </w:r>
      <w:r w:rsidR="008A291D">
        <w:rPr>
          <w:rFonts w:ascii="Times New Roman" w:eastAsia="Times New Roman" w:hAnsi="Times New Roman" w:cs="Times New Roman"/>
          <w:sz w:val="24"/>
          <w:szCs w:val="24"/>
        </w:rPr>
        <w:t xml:space="preserve"> 2017-2001</w:t>
      </w:r>
    </w:p>
    <w:p w:rsidR="008A291D" w:rsidRDefault="008A291D" w:rsidP="008A291D">
      <w:pPr>
        <w:shd w:val="clear" w:color="auto" w:fill="FFFFFF"/>
        <w:spacing w:after="0" w:line="240" w:lineRule="auto"/>
        <w:jc w:val="both"/>
        <w:textAlignment w:val="baseline"/>
        <w:rPr>
          <w:rFonts w:ascii="Times New Roman" w:eastAsia="Times New Roman" w:hAnsi="Times New Roman" w:cs="Times New Roman"/>
          <w:sz w:val="24"/>
          <w:szCs w:val="24"/>
        </w:rPr>
      </w:pPr>
    </w:p>
    <w:p w:rsidR="008A291D" w:rsidRDefault="008A291D" w:rsidP="008A291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millon</w:t>
      </w:r>
      <w:r w:rsidR="00D402A9">
        <w:rPr>
          <w:rFonts w:ascii="Times New Roman" w:eastAsia="Times New Roman" w:hAnsi="Times New Roman" w:cs="Times New Roman"/>
          <w:sz w:val="24"/>
          <w:szCs w:val="24"/>
        </w:rPr>
        <w:t>es de personas: decreció un 47,23</w:t>
      </w:r>
      <w:r>
        <w:rPr>
          <w:rFonts w:ascii="Times New Roman" w:eastAsia="Times New Roman" w:hAnsi="Times New Roman" w:cs="Times New Roman"/>
          <w:sz w:val="24"/>
          <w:szCs w:val="24"/>
        </w:rPr>
        <w:t>% en 16 años.</w:t>
      </w:r>
    </w:p>
    <w:p w:rsidR="008A291D" w:rsidRDefault="008A291D" w:rsidP="008A291D">
      <w:pPr>
        <w:shd w:val="clear" w:color="auto" w:fill="FFFFFF"/>
        <w:spacing w:after="0" w:line="240" w:lineRule="auto"/>
        <w:jc w:val="both"/>
        <w:textAlignment w:val="baseline"/>
        <w:rPr>
          <w:rFonts w:ascii="Times New Roman" w:eastAsia="Times New Roman" w:hAnsi="Times New Roman" w:cs="Times New Roman"/>
          <w:sz w:val="24"/>
          <w:szCs w:val="24"/>
        </w:rPr>
      </w:pPr>
    </w:p>
    <w:p w:rsidR="008A291D" w:rsidRDefault="008A291D" w:rsidP="008A291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porcentaje sobr</w:t>
      </w:r>
      <w:r w:rsidR="00D402A9">
        <w:rPr>
          <w:rFonts w:ascii="Times New Roman" w:eastAsia="Times New Roman" w:hAnsi="Times New Roman" w:cs="Times New Roman"/>
          <w:sz w:val="24"/>
          <w:szCs w:val="24"/>
        </w:rPr>
        <w:t>e población: decreció 15,6 puntos</w:t>
      </w:r>
      <w:r>
        <w:rPr>
          <w:rFonts w:ascii="Times New Roman" w:eastAsia="Times New Roman" w:hAnsi="Times New Roman" w:cs="Times New Roman"/>
          <w:sz w:val="24"/>
          <w:szCs w:val="24"/>
        </w:rPr>
        <w:t xml:space="preserve"> 16 años</w:t>
      </w:r>
    </w:p>
    <w:p w:rsidR="008A291D" w:rsidRDefault="008A291D" w:rsidP="008A291D">
      <w:pPr>
        <w:shd w:val="clear" w:color="auto" w:fill="FFFFFF"/>
        <w:spacing w:after="0" w:line="240" w:lineRule="auto"/>
        <w:jc w:val="both"/>
        <w:textAlignment w:val="baseline"/>
        <w:rPr>
          <w:rFonts w:ascii="Times New Roman" w:eastAsia="Times New Roman" w:hAnsi="Times New Roman" w:cs="Times New Roman"/>
          <w:sz w:val="24"/>
          <w:szCs w:val="24"/>
        </w:rPr>
      </w:pPr>
    </w:p>
    <w:p w:rsidR="008A291D" w:rsidRDefault="008A291D" w:rsidP="008A291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Una reducción de 71,6 millones de personas de clase media en 16 años.</w:t>
      </w:r>
    </w:p>
    <w:p w:rsidR="008A291D" w:rsidRDefault="008A291D" w:rsidP="008A291D">
      <w:pPr>
        <w:shd w:val="clear" w:color="auto" w:fill="FFFFFF"/>
        <w:spacing w:after="0" w:line="240" w:lineRule="auto"/>
        <w:jc w:val="both"/>
        <w:textAlignment w:val="baseline"/>
        <w:rPr>
          <w:rFonts w:ascii="Times New Roman" w:eastAsia="Times New Roman" w:hAnsi="Times New Roman" w:cs="Times New Roman"/>
          <w:sz w:val="24"/>
          <w:szCs w:val="24"/>
        </w:rPr>
      </w:pPr>
    </w:p>
    <w:p w:rsidR="008A291D" w:rsidRDefault="003D2344" w:rsidP="008A291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Se utilizan diferentes años</w:t>
      </w:r>
      <w:r w:rsidR="00B567A4">
        <w:rPr>
          <w:rFonts w:ascii="Times New Roman" w:eastAsia="Times New Roman" w:hAnsi="Times New Roman" w:cs="Times New Roman"/>
          <w:sz w:val="24"/>
          <w:szCs w:val="24"/>
        </w:rPr>
        <w:t xml:space="preserve"> de referencia (los m</w:t>
      </w:r>
      <w:r w:rsidR="00AD499D">
        <w:rPr>
          <w:rFonts w:ascii="Times New Roman" w:eastAsia="Times New Roman" w:hAnsi="Times New Roman" w:cs="Times New Roman"/>
          <w:sz w:val="24"/>
          <w:szCs w:val="24"/>
        </w:rPr>
        <w:t>ás asemejables</w:t>
      </w:r>
      <w:r>
        <w:rPr>
          <w:rFonts w:ascii="Times New Roman" w:eastAsia="Times New Roman" w:hAnsi="Times New Roman" w:cs="Times New Roman"/>
          <w:sz w:val="24"/>
          <w:szCs w:val="24"/>
        </w:rPr>
        <w:t>) ante la imposibilidad de obtener información homogénea y completa, de las</w:t>
      </w:r>
      <w:r w:rsidR="00AD499D">
        <w:rPr>
          <w:rFonts w:ascii="Times New Roman" w:eastAsia="Times New Roman" w:hAnsi="Times New Roman" w:cs="Times New Roman"/>
          <w:sz w:val="24"/>
          <w:szCs w:val="24"/>
        </w:rPr>
        <w:t xml:space="preserve"> distintas</w:t>
      </w:r>
      <w:r>
        <w:rPr>
          <w:rFonts w:ascii="Times New Roman" w:eastAsia="Times New Roman" w:hAnsi="Times New Roman" w:cs="Times New Roman"/>
          <w:sz w:val="24"/>
          <w:szCs w:val="24"/>
        </w:rPr>
        <w:t xml:space="preserve"> fuentes consultadas.</w:t>
      </w:r>
    </w:p>
    <w:p w:rsidR="00B567A4" w:rsidRDefault="00B567A4" w:rsidP="008A291D">
      <w:pPr>
        <w:shd w:val="clear" w:color="auto" w:fill="FFFFFF"/>
        <w:spacing w:after="0" w:line="240" w:lineRule="auto"/>
        <w:jc w:val="both"/>
        <w:textAlignment w:val="baseline"/>
        <w:rPr>
          <w:rFonts w:ascii="Times New Roman" w:eastAsia="Times New Roman" w:hAnsi="Times New Roman" w:cs="Times New Roman"/>
          <w:sz w:val="24"/>
          <w:szCs w:val="24"/>
        </w:rPr>
      </w:pPr>
    </w:p>
    <w:p w:rsidR="00B567A4" w:rsidRPr="00B567A4" w:rsidRDefault="001263C5" w:rsidP="008A291D">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Base de datos</w:t>
      </w:r>
      <w:r w:rsidR="00AC42F7">
        <w:rPr>
          <w:rFonts w:ascii="Times New Roman" w:eastAsia="Times New Roman" w:hAnsi="Times New Roman" w:cs="Times New Roman"/>
          <w:sz w:val="24"/>
          <w:szCs w:val="24"/>
          <w:u w:val="single"/>
        </w:rPr>
        <w:t xml:space="preserve"> sobre población</w:t>
      </w:r>
      <w:r w:rsidR="000D5686">
        <w:rPr>
          <w:rFonts w:ascii="Times New Roman" w:eastAsia="Times New Roman" w:hAnsi="Times New Roman" w:cs="Times New Roman"/>
          <w:sz w:val="24"/>
          <w:szCs w:val="24"/>
          <w:u w:val="single"/>
        </w:rPr>
        <w:t xml:space="preserve"> total y población activa</w:t>
      </w:r>
    </w:p>
    <w:p w:rsidR="00B567A4" w:rsidRDefault="00B567A4" w:rsidP="008A291D">
      <w:pPr>
        <w:shd w:val="clear" w:color="auto" w:fill="FFFFFF"/>
        <w:spacing w:after="0" w:line="240" w:lineRule="auto"/>
        <w:jc w:val="both"/>
        <w:textAlignment w:val="baseline"/>
        <w:rPr>
          <w:rFonts w:ascii="Times New Roman" w:eastAsia="Times New Roman" w:hAnsi="Times New Roman" w:cs="Times New Roman"/>
          <w:sz w:val="24"/>
          <w:szCs w:val="24"/>
        </w:rPr>
      </w:pPr>
    </w:p>
    <w:p w:rsidR="00B567A4" w:rsidRDefault="00B567A4" w:rsidP="008A291D">
      <w:pPr>
        <w:shd w:val="clear" w:color="auto" w:fill="FFFFFF"/>
        <w:spacing w:after="0" w:line="240" w:lineRule="auto"/>
        <w:jc w:val="both"/>
        <w:textAlignment w:val="baseline"/>
        <w:rPr>
          <w:rFonts w:ascii="Times New Roman" w:eastAsia="Times New Roman" w:hAnsi="Times New Roman" w:cs="Times New Roman"/>
          <w:sz w:val="24"/>
          <w:szCs w:val="24"/>
        </w:rPr>
      </w:pPr>
      <w:r w:rsidRPr="001263C5">
        <w:rPr>
          <w:rFonts w:ascii="Times New Roman" w:eastAsia="Times New Roman" w:hAnsi="Times New Roman" w:cs="Times New Roman"/>
          <w:b/>
          <w:sz w:val="24"/>
          <w:szCs w:val="24"/>
        </w:rPr>
        <w:t>China</w:t>
      </w:r>
      <w:r>
        <w:rPr>
          <w:rFonts w:ascii="Times New Roman" w:eastAsia="Times New Roman" w:hAnsi="Times New Roman" w:cs="Times New Roman"/>
          <w:sz w:val="24"/>
          <w:szCs w:val="24"/>
        </w:rPr>
        <w:t xml:space="preserve"> - Fuente: China Statistical Yearbook</w:t>
      </w:r>
    </w:p>
    <w:p w:rsidR="00B567A4" w:rsidRDefault="00B567A4" w:rsidP="008A291D">
      <w:pPr>
        <w:shd w:val="clear" w:color="auto" w:fill="FFFFFF"/>
        <w:spacing w:after="0" w:line="240" w:lineRule="auto"/>
        <w:jc w:val="both"/>
        <w:textAlignment w:val="baseline"/>
        <w:rPr>
          <w:rFonts w:ascii="Times New Roman" w:eastAsia="Times New Roman" w:hAnsi="Times New Roman" w:cs="Times New Roman"/>
          <w:sz w:val="24"/>
          <w:szCs w:val="24"/>
        </w:rPr>
      </w:pPr>
    </w:p>
    <w:p w:rsidR="00B567A4" w:rsidRDefault="00B567A4" w:rsidP="008A291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año 2001: 1.276,3 millones de personas</w:t>
      </w:r>
      <w:r w:rsidR="001263C5">
        <w:rPr>
          <w:rFonts w:ascii="Times New Roman" w:eastAsia="Times New Roman" w:hAnsi="Times New Roman" w:cs="Times New Roman"/>
          <w:sz w:val="24"/>
          <w:szCs w:val="24"/>
        </w:rPr>
        <w:t>.</w:t>
      </w:r>
    </w:p>
    <w:p w:rsidR="00B567A4" w:rsidRDefault="00B567A4" w:rsidP="008A291D">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B567A4" w:rsidP="008A291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año</w:t>
      </w:r>
      <w:r w:rsidR="001263C5">
        <w:rPr>
          <w:rFonts w:ascii="Times New Roman" w:eastAsia="Times New Roman" w:hAnsi="Times New Roman" w:cs="Times New Roman"/>
          <w:sz w:val="24"/>
          <w:szCs w:val="24"/>
        </w:rPr>
        <w:t xml:space="preserve"> 2011: 1.347,4 millones de perso</w:t>
      </w:r>
      <w:r>
        <w:rPr>
          <w:rFonts w:ascii="Times New Roman" w:eastAsia="Times New Roman" w:hAnsi="Times New Roman" w:cs="Times New Roman"/>
          <w:sz w:val="24"/>
          <w:szCs w:val="24"/>
        </w:rPr>
        <w:t>nas</w:t>
      </w:r>
      <w:r w:rsidR="001263C5">
        <w:rPr>
          <w:rFonts w:ascii="Times New Roman" w:eastAsia="Times New Roman" w:hAnsi="Times New Roman" w:cs="Times New Roman"/>
          <w:sz w:val="24"/>
          <w:szCs w:val="24"/>
        </w:rPr>
        <w:t>.</w:t>
      </w:r>
    </w:p>
    <w:p w:rsidR="001263C5" w:rsidRDefault="001263C5" w:rsidP="008A291D">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1263C5" w:rsidP="008A291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año 2015: 1.374,1 millones de personas.</w:t>
      </w:r>
    </w:p>
    <w:p w:rsidR="001263C5" w:rsidRDefault="001263C5" w:rsidP="008A291D">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activa año 2001: 738,8 millones de personas.</w:t>
      </w: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activa año 2011: 786,0 millones de personas.</w:t>
      </w: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activa año 2015: 800,9 millones de personas.</w:t>
      </w: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AD499D" w:rsidP="001263C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b/>
          <w:sz w:val="24"/>
          <w:szCs w:val="24"/>
        </w:rPr>
        <w:t>Estados Unidos</w:t>
      </w:r>
      <w:r w:rsidR="001263C5">
        <w:rPr>
          <w:rFonts w:ascii="Times New Roman" w:eastAsia="Times New Roman" w:hAnsi="Times New Roman" w:cs="Times New Roman"/>
          <w:sz w:val="24"/>
          <w:szCs w:val="24"/>
        </w:rPr>
        <w:t xml:space="preserve"> - Fuente:</w:t>
      </w:r>
      <w:r>
        <w:rPr>
          <w:rFonts w:ascii="Times New Roman" w:eastAsia="Times New Roman" w:hAnsi="Times New Roman" w:cs="Times New Roman"/>
          <w:sz w:val="24"/>
          <w:szCs w:val="24"/>
        </w:rPr>
        <w:t xml:space="preserve"> </w:t>
      </w:r>
      <w:r w:rsidR="001263C5">
        <w:rPr>
          <w:rFonts w:ascii="Times New Roman" w:eastAsia="Times New Roman" w:hAnsi="Times New Roman" w:cs="Times New Roman"/>
          <w:sz w:val="24"/>
          <w:szCs w:val="24"/>
        </w:rPr>
        <w:t>US Census Bureau</w:t>
      </w:r>
      <w:r>
        <w:rPr>
          <w:rFonts w:ascii="Times New Roman" w:eastAsia="Times New Roman" w:hAnsi="Times New Roman" w:cs="Times New Roman"/>
          <w:sz w:val="24"/>
          <w:szCs w:val="24"/>
        </w:rPr>
        <w:t>, Banco Mundial</w:t>
      </w: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año 1980: 227,2 millones de personas.</w:t>
      </w: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año 1990: 249,6 millones de personas.</w:t>
      </w: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año</w:t>
      </w:r>
      <w:r w:rsidR="00AD499D">
        <w:rPr>
          <w:rFonts w:ascii="Times New Roman" w:eastAsia="Times New Roman" w:hAnsi="Times New Roman" w:cs="Times New Roman"/>
          <w:sz w:val="24"/>
          <w:szCs w:val="24"/>
        </w:rPr>
        <w:t xml:space="preserve"> 2011: 311,6</w:t>
      </w:r>
      <w:r>
        <w:rPr>
          <w:rFonts w:ascii="Times New Roman" w:eastAsia="Times New Roman" w:hAnsi="Times New Roman" w:cs="Times New Roman"/>
          <w:sz w:val="24"/>
          <w:szCs w:val="24"/>
        </w:rPr>
        <w:t xml:space="preserve"> millones de personas.</w:t>
      </w: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AD499D" w:rsidP="001263C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año 2015: 321,0</w:t>
      </w:r>
      <w:r w:rsidR="001263C5">
        <w:rPr>
          <w:rFonts w:ascii="Times New Roman" w:eastAsia="Times New Roman" w:hAnsi="Times New Roman" w:cs="Times New Roman"/>
          <w:sz w:val="24"/>
          <w:szCs w:val="24"/>
        </w:rPr>
        <w:t xml:space="preserve"> millones de personas.</w:t>
      </w: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activa</w:t>
      </w:r>
      <w:r w:rsidR="00AD499D">
        <w:rPr>
          <w:rFonts w:ascii="Times New Roman" w:eastAsia="Times New Roman" w:hAnsi="Times New Roman" w:cs="Times New Roman"/>
          <w:sz w:val="24"/>
          <w:szCs w:val="24"/>
        </w:rPr>
        <w:t xml:space="preserve"> año 1980</w:t>
      </w:r>
      <w:r>
        <w:rPr>
          <w:rFonts w:ascii="Times New Roman" w:eastAsia="Times New Roman" w:hAnsi="Times New Roman" w:cs="Times New Roman"/>
          <w:sz w:val="24"/>
          <w:szCs w:val="24"/>
        </w:rPr>
        <w:t xml:space="preserve">: </w:t>
      </w:r>
      <w:r w:rsidR="006106F6">
        <w:rPr>
          <w:rFonts w:ascii="Times New Roman" w:eastAsia="Times New Roman" w:hAnsi="Times New Roman" w:cs="Times New Roman"/>
          <w:sz w:val="24"/>
          <w:szCs w:val="24"/>
        </w:rPr>
        <w:t>N/D</w:t>
      </w: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activa año</w:t>
      </w:r>
      <w:r w:rsidR="00FF3ECB">
        <w:rPr>
          <w:rFonts w:ascii="Times New Roman" w:eastAsia="Times New Roman" w:hAnsi="Times New Roman" w:cs="Times New Roman"/>
          <w:sz w:val="24"/>
          <w:szCs w:val="24"/>
        </w:rPr>
        <w:t xml:space="preserve"> 1990: 127,9</w:t>
      </w:r>
      <w:r>
        <w:rPr>
          <w:rFonts w:ascii="Times New Roman" w:eastAsia="Times New Roman" w:hAnsi="Times New Roman" w:cs="Times New Roman"/>
          <w:sz w:val="24"/>
          <w:szCs w:val="24"/>
        </w:rPr>
        <w:t xml:space="preserve"> millones de personas.</w:t>
      </w: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p>
    <w:p w:rsidR="001263C5" w:rsidRDefault="001263C5" w:rsidP="001263C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activa</w:t>
      </w:r>
      <w:r w:rsidR="00FF3ECB">
        <w:rPr>
          <w:rFonts w:ascii="Times New Roman" w:eastAsia="Times New Roman" w:hAnsi="Times New Roman" w:cs="Times New Roman"/>
          <w:sz w:val="24"/>
          <w:szCs w:val="24"/>
        </w:rPr>
        <w:t xml:space="preserve"> año 2011: 157,1</w:t>
      </w:r>
      <w:r>
        <w:rPr>
          <w:rFonts w:ascii="Times New Roman" w:eastAsia="Times New Roman" w:hAnsi="Times New Roman" w:cs="Times New Roman"/>
          <w:sz w:val="24"/>
          <w:szCs w:val="24"/>
        </w:rPr>
        <w:t xml:space="preserve"> millones de personas.</w:t>
      </w:r>
    </w:p>
    <w:p w:rsidR="00AD499D" w:rsidRDefault="00AD499D" w:rsidP="001263C5">
      <w:pPr>
        <w:shd w:val="clear" w:color="auto" w:fill="FFFFFF"/>
        <w:spacing w:after="0" w:line="240" w:lineRule="auto"/>
        <w:jc w:val="both"/>
        <w:textAlignment w:val="baseline"/>
        <w:rPr>
          <w:rFonts w:ascii="Times New Roman" w:eastAsia="Times New Roman" w:hAnsi="Times New Roman" w:cs="Times New Roman"/>
          <w:sz w:val="24"/>
          <w:szCs w:val="24"/>
        </w:rPr>
      </w:pP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w:t>
      </w:r>
      <w:r w:rsidR="00FF3ECB">
        <w:rPr>
          <w:rFonts w:ascii="Times New Roman" w:eastAsia="Times New Roman" w:hAnsi="Times New Roman" w:cs="Times New Roman"/>
          <w:sz w:val="24"/>
          <w:szCs w:val="24"/>
        </w:rPr>
        <w:t>ción activa año 2015: 160,8</w:t>
      </w:r>
      <w:r>
        <w:rPr>
          <w:rFonts w:ascii="Times New Roman" w:eastAsia="Times New Roman" w:hAnsi="Times New Roman" w:cs="Times New Roman"/>
          <w:sz w:val="24"/>
          <w:szCs w:val="24"/>
        </w:rPr>
        <w:t xml:space="preserve"> millones de personas.</w:t>
      </w: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b/>
          <w:sz w:val="24"/>
          <w:szCs w:val="24"/>
        </w:rPr>
        <w:t>Unión Europea</w:t>
      </w:r>
      <w:r>
        <w:rPr>
          <w:rFonts w:ascii="Times New Roman" w:eastAsia="Times New Roman" w:hAnsi="Times New Roman" w:cs="Times New Roman"/>
          <w:sz w:val="24"/>
          <w:szCs w:val="24"/>
        </w:rPr>
        <w:t xml:space="preserve"> - Fuente: Eurostat, Banco Mundial</w:t>
      </w: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año 2001: 488,2 millones de personas.</w:t>
      </w: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año 2011: 504,4 millones de personas.</w:t>
      </w: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año 2017: 512,5 millones de personas.</w:t>
      </w: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activa año 2001: 228,9 millones de personas.</w:t>
      </w: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activa año 2011: 243,2 millones de personas.</w:t>
      </w: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D499D" w:rsidRDefault="00D73C53"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Población activa año 2017</w:t>
      </w:r>
      <w:r w:rsidR="00AD499D">
        <w:rPr>
          <w:rFonts w:ascii="Times New Roman" w:eastAsia="Times New Roman" w:hAnsi="Times New Roman" w:cs="Times New Roman"/>
          <w:sz w:val="24"/>
          <w:szCs w:val="24"/>
        </w:rPr>
        <w:t>: 248,4 millones de personas.</w:t>
      </w: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D499D"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AC42F7">
        <w:rPr>
          <w:rFonts w:ascii="Times New Roman" w:eastAsia="Times New Roman" w:hAnsi="Times New Roman" w:cs="Times New Roman"/>
          <w:sz w:val="24"/>
          <w:szCs w:val="24"/>
          <w:u w:val="single"/>
        </w:rPr>
        <w:t>Base de datos sobre clase media</w:t>
      </w:r>
      <w:r w:rsidR="000D5686">
        <w:rPr>
          <w:rFonts w:ascii="Times New Roman" w:eastAsia="Times New Roman" w:hAnsi="Times New Roman" w:cs="Times New Roman"/>
          <w:sz w:val="24"/>
          <w:szCs w:val="24"/>
          <w:u w:val="single"/>
        </w:rPr>
        <w:t xml:space="preserve"> </w:t>
      </w:r>
    </w:p>
    <w:p w:rsidR="00AC42F7"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AC42F7"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sidRPr="00AC42F7">
        <w:rPr>
          <w:rFonts w:ascii="Times New Roman" w:eastAsia="Times New Roman" w:hAnsi="Times New Roman" w:cs="Times New Roman"/>
          <w:b/>
          <w:sz w:val="24"/>
          <w:szCs w:val="24"/>
        </w:rPr>
        <w:t>China</w:t>
      </w:r>
      <w:r>
        <w:rPr>
          <w:rFonts w:ascii="Times New Roman" w:eastAsia="Times New Roman" w:hAnsi="Times New Roman" w:cs="Times New Roman"/>
          <w:b/>
          <w:sz w:val="24"/>
          <w:szCs w:val="24"/>
        </w:rPr>
        <w:t xml:space="preserve"> - </w:t>
      </w:r>
      <w:r w:rsidRPr="00AC42F7">
        <w:rPr>
          <w:rFonts w:ascii="Times New Roman" w:eastAsia="Times New Roman" w:hAnsi="Times New Roman" w:cs="Times New Roman"/>
          <w:sz w:val="24"/>
          <w:szCs w:val="24"/>
        </w:rPr>
        <w:t>Fuente</w:t>
      </w:r>
      <w:r>
        <w:rPr>
          <w:rFonts w:ascii="Times New Roman" w:eastAsia="Times New Roman" w:hAnsi="Times New Roman" w:cs="Times New Roman"/>
          <w:sz w:val="24"/>
          <w:szCs w:val="24"/>
        </w:rPr>
        <w:t>: Pew Research Center</w:t>
      </w:r>
      <w:r w:rsidR="00F373A7">
        <w:rPr>
          <w:rFonts w:ascii="Times New Roman" w:eastAsia="Times New Roman" w:hAnsi="Times New Roman" w:cs="Times New Roman"/>
          <w:sz w:val="24"/>
          <w:szCs w:val="24"/>
        </w:rPr>
        <w:t>, Banco Mundial</w:t>
      </w:r>
    </w:p>
    <w:p w:rsidR="00AC42F7"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C42F7" w:rsidRDefault="00AC42F7" w:rsidP="00AC42F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(2001): 3,00% de la población.</w:t>
      </w:r>
    </w:p>
    <w:p w:rsidR="00AC42F7"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C42F7"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(2011): 17,50% de la población.</w:t>
      </w:r>
    </w:p>
    <w:p w:rsidR="00AC42F7"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C42F7"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alta (2011): 4,40% de la población</w:t>
      </w:r>
      <w:r w:rsidR="00694709">
        <w:rPr>
          <w:rFonts w:ascii="Times New Roman" w:eastAsia="Times New Roman" w:hAnsi="Times New Roman" w:cs="Times New Roman"/>
          <w:sz w:val="24"/>
          <w:szCs w:val="24"/>
        </w:rPr>
        <w:t>.</w:t>
      </w:r>
      <w:r w:rsidR="00FF3ECB">
        <w:rPr>
          <w:rFonts w:ascii="Times New Roman" w:eastAsia="Times New Roman" w:hAnsi="Times New Roman" w:cs="Times New Roman"/>
          <w:sz w:val="24"/>
          <w:szCs w:val="24"/>
        </w:rPr>
        <w:t xml:space="preserve"> </w:t>
      </w:r>
    </w:p>
    <w:p w:rsidR="00F373A7" w:rsidRDefault="00F373A7"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F373A7" w:rsidRDefault="00F373A7"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(2015) (upper middle income class): 27,20% (rate) Banco Mundial</w:t>
      </w:r>
      <w:r w:rsidR="00694709">
        <w:rPr>
          <w:rFonts w:ascii="Times New Roman" w:eastAsia="Times New Roman" w:hAnsi="Times New Roman" w:cs="Times New Roman"/>
          <w:sz w:val="24"/>
          <w:szCs w:val="24"/>
        </w:rPr>
        <w:t>.</w:t>
      </w:r>
    </w:p>
    <w:p w:rsidR="00AC42F7"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C42F7" w:rsidRPr="00AC42F7"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AC42F7">
        <w:rPr>
          <w:rFonts w:ascii="Times New Roman" w:eastAsia="Times New Roman" w:hAnsi="Times New Roman" w:cs="Times New Roman"/>
          <w:sz w:val="24"/>
          <w:szCs w:val="24"/>
          <w:u w:val="single"/>
        </w:rPr>
        <w:t>Asia Pacífico</w:t>
      </w:r>
      <w:r w:rsidR="00F373A7">
        <w:rPr>
          <w:rFonts w:ascii="Times New Roman" w:eastAsia="Times New Roman" w:hAnsi="Times New Roman" w:cs="Times New Roman"/>
          <w:sz w:val="24"/>
          <w:szCs w:val="24"/>
          <w:u w:val="single"/>
        </w:rPr>
        <w:t xml:space="preserve"> (dato complementario de referencia): Pew Research Center</w:t>
      </w:r>
    </w:p>
    <w:p w:rsidR="00AD499D" w:rsidRDefault="00AD499D"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C42F7"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(1978): 18% de la población adulta.</w:t>
      </w:r>
    </w:p>
    <w:p w:rsidR="00AC42F7"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AC42F7" w:rsidRDefault="00AC42F7" w:rsidP="00AC42F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(2001): 31% de la población adulta.</w:t>
      </w:r>
    </w:p>
    <w:p w:rsidR="00AC42F7" w:rsidRDefault="00AC42F7" w:rsidP="00AC42F7">
      <w:pPr>
        <w:shd w:val="clear" w:color="auto" w:fill="FFFFFF"/>
        <w:spacing w:after="0" w:line="240" w:lineRule="auto"/>
        <w:jc w:val="both"/>
        <w:textAlignment w:val="baseline"/>
        <w:rPr>
          <w:rFonts w:ascii="Times New Roman" w:eastAsia="Times New Roman" w:hAnsi="Times New Roman" w:cs="Times New Roman"/>
          <w:sz w:val="24"/>
          <w:szCs w:val="24"/>
        </w:rPr>
      </w:pPr>
    </w:p>
    <w:p w:rsidR="00AC42F7" w:rsidRDefault="00AC42F7" w:rsidP="00AC42F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(2011): 51% de la población adulta.</w:t>
      </w:r>
    </w:p>
    <w:p w:rsidR="00F373A7" w:rsidRDefault="00F373A7" w:rsidP="00AC42F7">
      <w:pPr>
        <w:shd w:val="clear" w:color="auto" w:fill="FFFFFF"/>
        <w:spacing w:after="0" w:line="240" w:lineRule="auto"/>
        <w:jc w:val="both"/>
        <w:textAlignment w:val="baseline"/>
        <w:rPr>
          <w:rFonts w:ascii="Times New Roman" w:eastAsia="Times New Roman" w:hAnsi="Times New Roman" w:cs="Times New Roman"/>
          <w:sz w:val="24"/>
          <w:szCs w:val="24"/>
        </w:rPr>
      </w:pPr>
    </w:p>
    <w:p w:rsidR="00F373A7" w:rsidRDefault="00F373A7" w:rsidP="00F373A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Estados Unidos - </w:t>
      </w:r>
      <w:r w:rsidRPr="00AC42F7">
        <w:rPr>
          <w:rFonts w:ascii="Times New Roman" w:eastAsia="Times New Roman" w:hAnsi="Times New Roman" w:cs="Times New Roman"/>
          <w:sz w:val="24"/>
          <w:szCs w:val="24"/>
        </w:rPr>
        <w:t>Fuente</w:t>
      </w:r>
      <w:r>
        <w:rPr>
          <w:rFonts w:ascii="Times New Roman" w:eastAsia="Times New Roman" w:hAnsi="Times New Roman" w:cs="Times New Roman"/>
          <w:sz w:val="24"/>
          <w:szCs w:val="24"/>
        </w:rPr>
        <w:t>: Pew Research Center, US Census Bu</w:t>
      </w:r>
      <w:r w:rsidR="00694709">
        <w:rPr>
          <w:rFonts w:ascii="Times New Roman" w:eastAsia="Times New Roman" w:hAnsi="Times New Roman" w:cs="Times New Roman"/>
          <w:sz w:val="24"/>
          <w:szCs w:val="24"/>
        </w:rPr>
        <w:t>reau</w:t>
      </w:r>
    </w:p>
    <w:p w:rsidR="00F373A7" w:rsidRDefault="00F373A7" w:rsidP="00F373A7">
      <w:pPr>
        <w:shd w:val="clear" w:color="auto" w:fill="FFFFFF"/>
        <w:spacing w:after="0" w:line="240" w:lineRule="auto"/>
        <w:jc w:val="both"/>
        <w:textAlignment w:val="baseline"/>
        <w:rPr>
          <w:rFonts w:ascii="Times New Roman" w:eastAsia="Times New Roman" w:hAnsi="Times New Roman" w:cs="Times New Roman"/>
          <w:sz w:val="24"/>
          <w:szCs w:val="24"/>
        </w:rPr>
      </w:pPr>
    </w:p>
    <w:p w:rsidR="00F373A7" w:rsidRDefault="00F373A7" w:rsidP="00F373A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(1971): 61% de la población adulta (Pew R.C.).</w:t>
      </w:r>
    </w:p>
    <w:p w:rsidR="00F373A7" w:rsidRDefault="00F373A7" w:rsidP="00F373A7">
      <w:pPr>
        <w:shd w:val="clear" w:color="auto" w:fill="FFFFFF"/>
        <w:spacing w:after="0" w:line="240" w:lineRule="auto"/>
        <w:jc w:val="both"/>
        <w:textAlignment w:val="baseline"/>
        <w:rPr>
          <w:rFonts w:ascii="Times New Roman" w:eastAsia="Times New Roman" w:hAnsi="Times New Roman" w:cs="Times New Roman"/>
          <w:sz w:val="24"/>
          <w:szCs w:val="24"/>
        </w:rPr>
      </w:pPr>
    </w:p>
    <w:p w:rsidR="00F373A7" w:rsidRDefault="00694709" w:rsidP="00F373A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(1981): 59</w:t>
      </w:r>
      <w:r w:rsidR="00F373A7">
        <w:rPr>
          <w:rFonts w:ascii="Times New Roman" w:eastAsia="Times New Roman" w:hAnsi="Times New Roman" w:cs="Times New Roman"/>
          <w:sz w:val="24"/>
          <w:szCs w:val="24"/>
        </w:rPr>
        <w:t>% de la población adulta (Pew R.C.).</w:t>
      </w:r>
    </w:p>
    <w:p w:rsidR="00F373A7" w:rsidRDefault="00F373A7" w:rsidP="00F373A7">
      <w:pPr>
        <w:shd w:val="clear" w:color="auto" w:fill="FFFFFF"/>
        <w:spacing w:after="0" w:line="240" w:lineRule="auto"/>
        <w:jc w:val="both"/>
        <w:textAlignment w:val="baseline"/>
        <w:rPr>
          <w:rFonts w:ascii="Times New Roman" w:eastAsia="Times New Roman" w:hAnsi="Times New Roman" w:cs="Times New Roman"/>
          <w:sz w:val="24"/>
          <w:szCs w:val="24"/>
        </w:rPr>
      </w:pPr>
    </w:p>
    <w:p w:rsidR="00F373A7" w:rsidRDefault="00694709" w:rsidP="00F373A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(1991): 56</w:t>
      </w:r>
      <w:r w:rsidR="00F373A7">
        <w:rPr>
          <w:rFonts w:ascii="Times New Roman" w:eastAsia="Times New Roman" w:hAnsi="Times New Roman" w:cs="Times New Roman"/>
          <w:sz w:val="24"/>
          <w:szCs w:val="24"/>
        </w:rPr>
        <w:t>% de la población adulta (Pew R.C.).</w:t>
      </w:r>
    </w:p>
    <w:p w:rsidR="00F373A7" w:rsidRDefault="00F373A7" w:rsidP="00F373A7">
      <w:pPr>
        <w:shd w:val="clear" w:color="auto" w:fill="FFFFFF"/>
        <w:spacing w:after="0" w:line="240" w:lineRule="auto"/>
        <w:jc w:val="both"/>
        <w:textAlignment w:val="baseline"/>
        <w:rPr>
          <w:rFonts w:ascii="Times New Roman" w:eastAsia="Times New Roman" w:hAnsi="Times New Roman" w:cs="Times New Roman"/>
          <w:sz w:val="24"/>
          <w:szCs w:val="24"/>
        </w:rPr>
      </w:pPr>
    </w:p>
    <w:p w:rsidR="00F373A7" w:rsidRDefault="00694709" w:rsidP="00F373A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(2001): 54</w:t>
      </w:r>
      <w:r w:rsidR="00F373A7">
        <w:rPr>
          <w:rFonts w:ascii="Times New Roman" w:eastAsia="Times New Roman" w:hAnsi="Times New Roman" w:cs="Times New Roman"/>
          <w:sz w:val="24"/>
          <w:szCs w:val="24"/>
        </w:rPr>
        <w:t>% de la población adulta (Pew R.C.).</w:t>
      </w:r>
    </w:p>
    <w:p w:rsidR="00F373A7" w:rsidRDefault="00F373A7" w:rsidP="00F373A7">
      <w:pPr>
        <w:shd w:val="clear" w:color="auto" w:fill="FFFFFF"/>
        <w:spacing w:after="0" w:line="240" w:lineRule="auto"/>
        <w:jc w:val="both"/>
        <w:textAlignment w:val="baseline"/>
        <w:rPr>
          <w:rFonts w:ascii="Times New Roman" w:eastAsia="Times New Roman" w:hAnsi="Times New Roman" w:cs="Times New Roman"/>
          <w:sz w:val="24"/>
          <w:szCs w:val="24"/>
        </w:rPr>
      </w:pPr>
    </w:p>
    <w:p w:rsidR="00694709" w:rsidRDefault="00694709" w:rsidP="0069470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(2011): 51% de la población adulta (Pew R.C.).</w:t>
      </w:r>
    </w:p>
    <w:p w:rsidR="00D17674" w:rsidRDefault="00D17674" w:rsidP="00694709">
      <w:pPr>
        <w:shd w:val="clear" w:color="auto" w:fill="FFFFFF"/>
        <w:spacing w:after="0" w:line="240" w:lineRule="auto"/>
        <w:jc w:val="both"/>
        <w:textAlignment w:val="baseline"/>
        <w:rPr>
          <w:rFonts w:ascii="Times New Roman" w:eastAsia="Times New Roman" w:hAnsi="Times New Roman" w:cs="Times New Roman"/>
          <w:sz w:val="24"/>
          <w:szCs w:val="24"/>
        </w:rPr>
      </w:pPr>
    </w:p>
    <w:p w:rsidR="00C0018F" w:rsidRDefault="00D17674" w:rsidP="00C0018F">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alta (2011): 3</w:t>
      </w:r>
      <w:r w:rsidR="00C0018F">
        <w:rPr>
          <w:rFonts w:ascii="Times New Roman" w:eastAsia="Times New Roman" w:hAnsi="Times New Roman" w:cs="Times New Roman"/>
          <w:sz w:val="24"/>
          <w:szCs w:val="24"/>
        </w:rPr>
        <w:t>1,90% de la población (Pew R.C.).</w:t>
      </w:r>
    </w:p>
    <w:p w:rsidR="00694709" w:rsidRDefault="00694709" w:rsidP="00694709">
      <w:pPr>
        <w:shd w:val="clear" w:color="auto" w:fill="FFFFFF"/>
        <w:spacing w:after="0" w:line="240" w:lineRule="auto"/>
        <w:jc w:val="both"/>
        <w:textAlignment w:val="baseline"/>
        <w:rPr>
          <w:rFonts w:ascii="Times New Roman" w:eastAsia="Times New Roman" w:hAnsi="Times New Roman" w:cs="Times New Roman"/>
          <w:sz w:val="24"/>
          <w:szCs w:val="24"/>
        </w:rPr>
      </w:pPr>
    </w:p>
    <w:p w:rsidR="00694709" w:rsidRDefault="00694709" w:rsidP="00694709">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(2012): 35,8% de la población (US Census Bureau).</w:t>
      </w:r>
    </w:p>
    <w:p w:rsidR="00694709" w:rsidRDefault="00694709" w:rsidP="00694709">
      <w:pPr>
        <w:shd w:val="clear" w:color="auto" w:fill="FFFFFF"/>
        <w:spacing w:after="0" w:line="240" w:lineRule="auto"/>
        <w:jc w:val="both"/>
        <w:textAlignment w:val="baseline"/>
        <w:rPr>
          <w:rFonts w:ascii="Times New Roman" w:eastAsia="Times New Roman" w:hAnsi="Times New Roman" w:cs="Times New Roman"/>
          <w:sz w:val="24"/>
          <w:szCs w:val="24"/>
        </w:rPr>
      </w:pPr>
    </w:p>
    <w:p w:rsidR="00F373A7" w:rsidRDefault="00694709" w:rsidP="00F373A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(2016): 52</w:t>
      </w:r>
      <w:r w:rsidR="00F373A7">
        <w:rPr>
          <w:rFonts w:ascii="Times New Roman" w:eastAsia="Times New Roman" w:hAnsi="Times New Roman" w:cs="Times New Roman"/>
          <w:sz w:val="24"/>
          <w:szCs w:val="24"/>
        </w:rPr>
        <w:t xml:space="preserve"> de la población</w:t>
      </w:r>
      <w:r>
        <w:rPr>
          <w:rFonts w:ascii="Times New Roman" w:eastAsia="Times New Roman" w:hAnsi="Times New Roman" w:cs="Times New Roman"/>
          <w:sz w:val="24"/>
          <w:szCs w:val="24"/>
        </w:rPr>
        <w:t xml:space="preserve"> adulta (Pew R.C.</w:t>
      </w:r>
      <w:r w:rsidR="00F373A7">
        <w:rPr>
          <w:rFonts w:ascii="Times New Roman" w:eastAsia="Times New Roman" w:hAnsi="Times New Roman" w:cs="Times New Roman"/>
          <w:sz w:val="24"/>
          <w:szCs w:val="24"/>
        </w:rPr>
        <w:t>).</w:t>
      </w:r>
    </w:p>
    <w:p w:rsidR="00F373A7" w:rsidRDefault="00F373A7" w:rsidP="00F373A7">
      <w:pPr>
        <w:shd w:val="clear" w:color="auto" w:fill="FFFFFF"/>
        <w:spacing w:after="0" w:line="240" w:lineRule="auto"/>
        <w:jc w:val="both"/>
        <w:textAlignment w:val="baseline"/>
        <w:rPr>
          <w:rFonts w:ascii="Times New Roman" w:eastAsia="Times New Roman" w:hAnsi="Times New Roman" w:cs="Times New Roman"/>
          <w:sz w:val="24"/>
          <w:szCs w:val="24"/>
        </w:rPr>
      </w:pPr>
    </w:p>
    <w:p w:rsidR="00F373A7" w:rsidRDefault="00694709" w:rsidP="00AC42F7">
      <w:pPr>
        <w:shd w:val="clear" w:color="auto" w:fill="FFFFFF"/>
        <w:spacing w:after="0" w:line="240" w:lineRule="auto"/>
        <w:jc w:val="both"/>
        <w:textAlignment w:val="baseline"/>
        <w:rPr>
          <w:rFonts w:ascii="Times New Roman" w:eastAsia="Times New Roman" w:hAnsi="Times New Roman" w:cs="Times New Roman"/>
          <w:sz w:val="24"/>
          <w:szCs w:val="24"/>
        </w:rPr>
      </w:pPr>
      <w:r w:rsidRPr="00694709">
        <w:rPr>
          <w:rFonts w:ascii="Times New Roman" w:eastAsia="Times New Roman" w:hAnsi="Times New Roman" w:cs="Times New Roman"/>
          <w:b/>
          <w:sz w:val="24"/>
          <w:szCs w:val="24"/>
        </w:rPr>
        <w:t>Unión Europea</w:t>
      </w:r>
      <w:r>
        <w:rPr>
          <w:rFonts w:ascii="Times New Roman" w:eastAsia="Times New Roman" w:hAnsi="Times New Roman" w:cs="Times New Roman"/>
          <w:sz w:val="24"/>
          <w:szCs w:val="24"/>
        </w:rPr>
        <w:t xml:space="preserve"> - Fuente: P</w:t>
      </w:r>
      <w:r w:rsidR="000D5686">
        <w:rPr>
          <w:rFonts w:ascii="Times New Roman" w:eastAsia="Times New Roman" w:hAnsi="Times New Roman" w:cs="Times New Roman"/>
          <w:sz w:val="24"/>
          <w:szCs w:val="24"/>
        </w:rPr>
        <w:t>ew Research Center, Henri Wilno</w:t>
      </w:r>
    </w:p>
    <w:p w:rsidR="00694709" w:rsidRDefault="00694709" w:rsidP="00AC42F7">
      <w:pPr>
        <w:shd w:val="clear" w:color="auto" w:fill="FFFFFF"/>
        <w:spacing w:after="0" w:line="240" w:lineRule="auto"/>
        <w:jc w:val="both"/>
        <w:textAlignment w:val="baseline"/>
        <w:rPr>
          <w:rFonts w:ascii="Times New Roman" w:eastAsia="Times New Roman" w:hAnsi="Times New Roman" w:cs="Times New Roman"/>
          <w:sz w:val="24"/>
          <w:szCs w:val="24"/>
        </w:rPr>
      </w:pPr>
    </w:p>
    <w:p w:rsidR="00694709" w:rsidRDefault="00717D41" w:rsidP="00AC42F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(2001): 34% de la población (Pew R.C.).</w:t>
      </w:r>
    </w:p>
    <w:p w:rsidR="00717D41" w:rsidRDefault="00717D41" w:rsidP="00AC42F7">
      <w:pPr>
        <w:shd w:val="clear" w:color="auto" w:fill="FFFFFF"/>
        <w:spacing w:after="0" w:line="240" w:lineRule="auto"/>
        <w:jc w:val="both"/>
        <w:textAlignment w:val="baseline"/>
        <w:rPr>
          <w:rFonts w:ascii="Times New Roman" w:eastAsia="Times New Roman" w:hAnsi="Times New Roman" w:cs="Times New Roman"/>
          <w:sz w:val="24"/>
          <w:szCs w:val="24"/>
        </w:rPr>
      </w:pPr>
    </w:p>
    <w:p w:rsidR="00717D41" w:rsidRDefault="00717D41" w:rsidP="00AC42F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(2011): 21% de la población (Pew R.C.).</w:t>
      </w:r>
    </w:p>
    <w:p w:rsidR="000D5686" w:rsidRDefault="000D5686" w:rsidP="00AC42F7">
      <w:pPr>
        <w:shd w:val="clear" w:color="auto" w:fill="FFFFFF"/>
        <w:spacing w:after="0" w:line="240" w:lineRule="auto"/>
        <w:jc w:val="both"/>
        <w:textAlignment w:val="baseline"/>
        <w:rPr>
          <w:rFonts w:ascii="Times New Roman" w:eastAsia="Times New Roman" w:hAnsi="Times New Roman" w:cs="Times New Roman"/>
          <w:sz w:val="24"/>
          <w:szCs w:val="24"/>
        </w:rPr>
      </w:pPr>
    </w:p>
    <w:p w:rsidR="000D5686" w:rsidRDefault="000D5686" w:rsidP="000D5686">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Clase media (2017): 38% de la población activa (Henri Wilno).</w:t>
      </w:r>
    </w:p>
    <w:p w:rsidR="000D5686" w:rsidRDefault="000D5686" w:rsidP="000D5686">
      <w:pPr>
        <w:shd w:val="clear" w:color="auto" w:fill="FFFFFF"/>
        <w:spacing w:after="0" w:line="240" w:lineRule="auto"/>
        <w:jc w:val="both"/>
        <w:textAlignment w:val="baseline"/>
        <w:rPr>
          <w:rFonts w:ascii="Times New Roman" w:eastAsia="Times New Roman" w:hAnsi="Times New Roman" w:cs="Times New Roman"/>
          <w:sz w:val="24"/>
          <w:szCs w:val="24"/>
        </w:rPr>
      </w:pPr>
    </w:p>
    <w:p w:rsidR="00D17674" w:rsidRDefault="00D17674" w:rsidP="00D17674">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D</w:t>
      </w:r>
      <w:r w:rsidRPr="00717D41">
        <w:rPr>
          <w:rFonts w:ascii="Times New Roman" w:eastAsia="Times New Roman" w:hAnsi="Times New Roman" w:cs="Times New Roman"/>
          <w:sz w:val="24"/>
          <w:szCs w:val="24"/>
          <w:u w:val="single"/>
        </w:rPr>
        <w:t>atos complementarios de referencia</w:t>
      </w:r>
      <w:r>
        <w:rPr>
          <w:rFonts w:ascii="Times New Roman" w:eastAsia="Times New Roman" w:hAnsi="Times New Roman" w:cs="Times New Roman"/>
          <w:sz w:val="24"/>
          <w:szCs w:val="24"/>
          <w:u w:val="single"/>
        </w:rPr>
        <w:t xml:space="preserve"> (I) (Pew Research Center)</w:t>
      </w:r>
    </w:p>
    <w:p w:rsidR="00D17674" w:rsidRDefault="00D17674" w:rsidP="00D17674">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sidRPr="006D64DD">
        <w:rPr>
          <w:rFonts w:ascii="Times New Roman" w:eastAsia="Times New Roman" w:hAnsi="Times New Roman" w:cs="Times New Roman"/>
          <w:sz w:val="24"/>
          <w:szCs w:val="24"/>
        </w:rPr>
        <w:t>De 1991 a 2010</w:t>
      </w:r>
      <w:r>
        <w:rPr>
          <w:rFonts w:ascii="Times New Roman" w:eastAsia="Times New Roman" w:hAnsi="Times New Roman" w:cs="Times New Roman"/>
          <w:sz w:val="24"/>
          <w:szCs w:val="24"/>
        </w:rPr>
        <w:t xml:space="preserve"> descendió el porcentaje de adultos de clase media en:</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p>
    <w:p w:rsidR="00D17674"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-Noruega: de 82% a 80%</w:t>
      </w:r>
      <w:r w:rsidRPr="006D64DD">
        <w:rPr>
          <w:rFonts w:ascii="Times New Roman" w:eastAsia="Times New Roman" w:hAnsi="Times New Roman" w:cs="Times New Roman"/>
          <w:sz w:val="24"/>
          <w:szCs w:val="24"/>
        </w:rPr>
        <w:t xml:space="preserve"> </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-Dinamarca: de 81% a 80%</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-Luxemburgo: de 80% a 75%</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-Finlandia: de 79% a 75%</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-Alemania: de 78% a 72%</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-Italia: de 69% a 67%</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-España: de 69% a 64%</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p>
    <w:p w:rsidR="000D5686" w:rsidRDefault="000D5686" w:rsidP="006D64DD">
      <w:pPr>
        <w:shd w:val="clear" w:color="auto" w:fill="FFFFFF"/>
        <w:spacing w:after="0" w:line="240" w:lineRule="auto"/>
        <w:jc w:val="both"/>
        <w:textAlignment w:val="baseline"/>
        <w:rPr>
          <w:rFonts w:ascii="Times New Roman" w:eastAsia="Times New Roman" w:hAnsi="Times New Roman" w:cs="Times New Roman"/>
          <w:sz w:val="24"/>
          <w:szCs w:val="24"/>
        </w:rPr>
      </w:pPr>
    </w:p>
    <w:p w:rsidR="006D64DD" w:rsidRDefault="006D64DD" w:rsidP="006D64DD">
      <w:pPr>
        <w:shd w:val="clear" w:color="auto" w:fill="FFFFFF"/>
        <w:spacing w:after="0" w:line="240" w:lineRule="auto"/>
        <w:jc w:val="both"/>
        <w:textAlignment w:val="baseline"/>
        <w:rPr>
          <w:rFonts w:ascii="Times New Roman" w:eastAsia="Times New Roman" w:hAnsi="Times New Roman" w:cs="Times New Roman"/>
          <w:sz w:val="24"/>
          <w:szCs w:val="24"/>
        </w:rPr>
      </w:pPr>
      <w:r w:rsidRPr="006D64DD">
        <w:rPr>
          <w:rFonts w:ascii="Times New Roman" w:eastAsia="Times New Roman" w:hAnsi="Times New Roman" w:cs="Times New Roman"/>
          <w:sz w:val="24"/>
          <w:szCs w:val="24"/>
        </w:rPr>
        <w:lastRenderedPageBreak/>
        <w:t>De 1991 a 2010</w:t>
      </w:r>
      <w:r>
        <w:rPr>
          <w:rFonts w:ascii="Times New Roman" w:eastAsia="Times New Roman" w:hAnsi="Times New Roman" w:cs="Times New Roman"/>
          <w:sz w:val="24"/>
          <w:szCs w:val="24"/>
        </w:rPr>
        <w:t xml:space="preserve"> ascendió el porcentaje de adultos de clase media en:</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-Holanda: de 76% a 79%</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-Francia: de 72% a 74%</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-Irlanda: de 61% a 69%</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-Reino Unido: de 60% a 67%</w:t>
      </w:r>
    </w:p>
    <w:p w:rsidR="006D64DD" w:rsidRDefault="006D64DD" w:rsidP="00D17674">
      <w:pPr>
        <w:shd w:val="clear" w:color="auto" w:fill="FFFFFF"/>
        <w:spacing w:after="0" w:line="240" w:lineRule="auto"/>
        <w:jc w:val="both"/>
        <w:textAlignment w:val="baseline"/>
        <w:rPr>
          <w:rFonts w:ascii="Times New Roman" w:eastAsia="Times New Roman" w:hAnsi="Times New Roman" w:cs="Times New Roman"/>
          <w:sz w:val="24"/>
          <w:szCs w:val="24"/>
        </w:rPr>
      </w:pPr>
    </w:p>
    <w:p w:rsidR="00717D41" w:rsidRDefault="00D17674" w:rsidP="00AC42F7">
      <w:pPr>
        <w:shd w:val="clear" w:color="auto" w:fill="FFFFFF"/>
        <w:spacing w:after="0" w:line="240" w:lineRule="auto"/>
        <w:jc w:val="both"/>
        <w:textAlignment w:val="baseline"/>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D</w:t>
      </w:r>
      <w:r w:rsidR="00717D41" w:rsidRPr="00717D41">
        <w:rPr>
          <w:rFonts w:ascii="Times New Roman" w:eastAsia="Times New Roman" w:hAnsi="Times New Roman" w:cs="Times New Roman"/>
          <w:sz w:val="24"/>
          <w:szCs w:val="24"/>
          <w:u w:val="single"/>
        </w:rPr>
        <w:t>atos complementarios de referencia</w:t>
      </w:r>
      <w:r>
        <w:rPr>
          <w:rFonts w:ascii="Times New Roman" w:eastAsia="Times New Roman" w:hAnsi="Times New Roman" w:cs="Times New Roman"/>
          <w:sz w:val="24"/>
          <w:szCs w:val="24"/>
          <w:u w:val="single"/>
        </w:rPr>
        <w:t xml:space="preserve"> (II)</w:t>
      </w:r>
      <w:r w:rsidR="00C0018F">
        <w:rPr>
          <w:rFonts w:ascii="Times New Roman" w:eastAsia="Times New Roman" w:hAnsi="Times New Roman" w:cs="Times New Roman"/>
          <w:sz w:val="24"/>
          <w:szCs w:val="24"/>
          <w:u w:val="single"/>
        </w:rPr>
        <w:t xml:space="preserve"> (Pew Research Center: </w:t>
      </w:r>
      <w:r w:rsidR="00717D41">
        <w:rPr>
          <w:rFonts w:ascii="Times New Roman" w:eastAsia="Times New Roman" w:hAnsi="Times New Roman" w:cs="Times New Roman"/>
          <w:sz w:val="24"/>
          <w:szCs w:val="24"/>
          <w:u w:val="single"/>
        </w:rPr>
        <w:t>Clase Media - así ha cambiado el mundo entre 2001 y 2011)</w:t>
      </w:r>
    </w:p>
    <w:p w:rsidR="00717D41" w:rsidRDefault="00717D41" w:rsidP="00AC42F7">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717D41" w:rsidRPr="00717D41" w:rsidRDefault="00717D41" w:rsidP="00AC42F7">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-Reino Unido (2011): clase media 12% de la población. Diferencia 2011-2001: -2,80%.</w:t>
      </w:r>
    </w:p>
    <w:p w:rsidR="00717D41" w:rsidRPr="00717D41" w:rsidRDefault="00717D41" w:rsidP="00717D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-Alemania (2011): clase media 4,60% de la población. Diferencia 2011-2001: +0,90%.</w:t>
      </w:r>
    </w:p>
    <w:p w:rsidR="00717D41" w:rsidRPr="00717D41" w:rsidRDefault="00717D41" w:rsidP="00717D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-Francia (2011): clase media 9,20% de la población. Diferencia 2011-2001: -5,00%.</w:t>
      </w:r>
    </w:p>
    <w:p w:rsidR="00717D41" w:rsidRDefault="00717D41" w:rsidP="00717D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-Italia (2011): clase media 14,30% de la población. Diferencia 2011-2001: -6,70%.</w:t>
      </w:r>
    </w:p>
    <w:p w:rsidR="00717D41" w:rsidRDefault="00D17674" w:rsidP="00717D4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-España</w:t>
      </w:r>
      <w:r w:rsidR="00717D41">
        <w:rPr>
          <w:rFonts w:ascii="Times New Roman" w:eastAsia="Times New Roman" w:hAnsi="Times New Roman" w:cs="Times New Roman"/>
          <w:sz w:val="24"/>
          <w:szCs w:val="24"/>
        </w:rPr>
        <w:t xml:space="preserve"> (2011): clase media 16,30% de la poblac</w:t>
      </w:r>
      <w:r>
        <w:rPr>
          <w:rFonts w:ascii="Times New Roman" w:eastAsia="Times New Roman" w:hAnsi="Times New Roman" w:cs="Times New Roman"/>
          <w:sz w:val="24"/>
          <w:szCs w:val="24"/>
        </w:rPr>
        <w:t>ión. Diferencia 2011-2001: -4,20</w:t>
      </w:r>
      <w:r w:rsidR="00717D41">
        <w:rPr>
          <w:rFonts w:ascii="Times New Roman" w:eastAsia="Times New Roman" w:hAnsi="Times New Roman" w:cs="Times New Roman"/>
          <w:sz w:val="24"/>
          <w:szCs w:val="24"/>
        </w:rPr>
        <w:t>%.</w:t>
      </w:r>
    </w:p>
    <w:p w:rsidR="00D17674" w:rsidRPr="00717D41" w:rsidRDefault="00D17674"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-Reino Unido (2011): clase media alta 42,30% de la población. Diferencia 2011-2001: -4,0%.</w:t>
      </w:r>
    </w:p>
    <w:p w:rsidR="00D17674" w:rsidRPr="00717D41" w:rsidRDefault="00D17674"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-Alemania (2011): clase media alta 35,40% de la población. Diferencia 2011-2001: -1,8%.</w:t>
      </w:r>
    </w:p>
    <w:p w:rsidR="00D17674" w:rsidRPr="00717D41" w:rsidRDefault="00D17674"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-Francia (2011): clase media alta 51,30% de la población. Diferencia 2011-2001: -6,20%.</w:t>
      </w:r>
    </w:p>
    <w:p w:rsidR="00D17674" w:rsidRDefault="00D17674"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-Italia (2011): clase media alta 45,70% de la población. Diferencia 2011-2001: -8,70%.</w:t>
      </w:r>
    </w:p>
    <w:p w:rsidR="00D17674" w:rsidRPr="00717D41" w:rsidRDefault="00D17674"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-España (2011): clase media alta 49,50% de la población. Diferencia 2011-2001: -6,90%.</w:t>
      </w:r>
    </w:p>
    <w:p w:rsidR="00D17674" w:rsidRDefault="00D17674" w:rsidP="00D17674">
      <w:pPr>
        <w:shd w:val="clear" w:color="auto" w:fill="FFFFFF"/>
        <w:spacing w:after="0" w:line="240" w:lineRule="auto"/>
        <w:jc w:val="both"/>
        <w:textAlignment w:val="baseline"/>
        <w:rPr>
          <w:rFonts w:ascii="Times New Roman" w:eastAsia="Times New Roman" w:hAnsi="Times New Roman" w:cs="Times New Roman"/>
          <w:sz w:val="24"/>
          <w:szCs w:val="24"/>
        </w:rPr>
      </w:pPr>
    </w:p>
    <w:p w:rsidR="004448F2" w:rsidRDefault="00517943" w:rsidP="00D17674">
      <w:pPr>
        <w:shd w:val="clear" w:color="auto" w:fill="FFFFFF"/>
        <w:spacing w:after="0" w:line="240" w:lineRule="auto"/>
        <w:jc w:val="both"/>
        <w:textAlignment w:val="baseline"/>
        <w:rPr>
          <w:rFonts w:ascii="Times New Roman" w:eastAsia="Times New Roman" w:hAnsi="Times New Roman" w:cs="Times New Roman"/>
          <w:b/>
          <w:sz w:val="24"/>
          <w:szCs w:val="24"/>
        </w:rPr>
      </w:pPr>
      <w:r w:rsidRPr="00517943">
        <w:rPr>
          <w:rFonts w:ascii="Times New Roman" w:eastAsia="Times New Roman" w:hAnsi="Times New Roman" w:cs="Times New Roman"/>
          <w:b/>
          <w:sz w:val="24"/>
          <w:szCs w:val="24"/>
        </w:rPr>
        <w:t>Notas al pie (a</w:t>
      </w:r>
      <w:r w:rsidR="004448F2" w:rsidRPr="00517943">
        <w:rPr>
          <w:rFonts w:ascii="Times New Roman" w:eastAsia="Times New Roman" w:hAnsi="Times New Roman" w:cs="Times New Roman"/>
          <w:b/>
          <w:sz w:val="24"/>
          <w:szCs w:val="24"/>
        </w:rPr>
        <w:t>postillas</w:t>
      </w:r>
      <w:r w:rsidRPr="00517943">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 buscando la aguja en el pajar (cómo explicar lo inexplicable)</w:t>
      </w:r>
    </w:p>
    <w:p w:rsidR="00FE5EB8" w:rsidRDefault="00FE5EB8" w:rsidP="00D17674">
      <w:pPr>
        <w:shd w:val="clear" w:color="auto" w:fill="FFFFFF"/>
        <w:spacing w:after="0" w:line="240" w:lineRule="auto"/>
        <w:jc w:val="both"/>
        <w:textAlignment w:val="baseline"/>
        <w:rPr>
          <w:rFonts w:ascii="Times New Roman" w:eastAsia="Times New Roman" w:hAnsi="Times New Roman" w:cs="Times New Roman"/>
          <w:b/>
          <w:sz w:val="24"/>
          <w:szCs w:val="24"/>
        </w:rPr>
      </w:pPr>
    </w:p>
    <w:p w:rsidR="00FE5EB8" w:rsidRDefault="00FE5EB8"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1 - Si comparamos el crecimiento anual del salario medio real en el mundo 2006-2015 (Informe Mu</w:t>
      </w:r>
      <w:r w:rsidR="00DE7D3F">
        <w:rPr>
          <w:rFonts w:ascii="Times New Roman" w:eastAsia="Times New Roman" w:hAnsi="Times New Roman" w:cs="Times New Roman"/>
          <w:sz w:val="24"/>
          <w:szCs w:val="24"/>
        </w:rPr>
        <w:t>ndial sobre Salarios 2016/2017 -</w:t>
      </w:r>
      <w:r>
        <w:rPr>
          <w:rFonts w:ascii="Times New Roman" w:eastAsia="Times New Roman" w:hAnsi="Times New Roman" w:cs="Times New Roman"/>
          <w:sz w:val="24"/>
          <w:szCs w:val="24"/>
        </w:rPr>
        <w:t xml:space="preserve"> OIT) podemos observar que el crecimiento anual a nivel mundial, mundial sin China, economías desarrolladas del G-20, economías emergentes del G-20, Asia y Pacífico, resultan significativamente mayores que el correspondiente a la Unión Europea, América del Norte, o Europa Septentrional, Meridional y Occidental.</w:t>
      </w:r>
    </w:p>
    <w:p w:rsidR="00FE5EB8" w:rsidRDefault="00FE5EB8" w:rsidP="00D17674">
      <w:pPr>
        <w:shd w:val="clear" w:color="auto" w:fill="FFFFFF"/>
        <w:spacing w:after="0" w:line="240" w:lineRule="auto"/>
        <w:jc w:val="both"/>
        <w:textAlignment w:val="baseline"/>
        <w:rPr>
          <w:rFonts w:ascii="Times New Roman" w:eastAsia="Times New Roman" w:hAnsi="Times New Roman" w:cs="Times New Roman"/>
          <w:sz w:val="24"/>
          <w:szCs w:val="24"/>
        </w:rPr>
      </w:pPr>
    </w:p>
    <w:p w:rsidR="00FE5EB8" w:rsidRDefault="00FE5EB8"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2- En el comparativo del Índice del Salario Medio de los países desarrollados del G-20</w:t>
      </w:r>
      <w:r w:rsidR="00002B17">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2006-2015 (con base 100</w:t>
      </w:r>
      <w:r w:rsidR="00002B17">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en el año 2006), Reino Unido queda por debajo de 95 en el año 2015, Italia queda por debajo de 95, Japón queda por debajo de 100, EEUU alcanza los 105, Francia supera los 195, y Alemania supera los 105.</w:t>
      </w:r>
    </w:p>
    <w:p w:rsidR="00002B17" w:rsidRDefault="00002B17"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el comparativo del Índice del Salario Medio de los países emergentes del G-20, 2006-2015 (con base 100, en el año 2006), China alcanza los 225 en el año 2015.</w:t>
      </w:r>
    </w:p>
    <w:p w:rsidR="00002B17" w:rsidRDefault="00002B17"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En el Índice del Salario Medio Real de países seleccionados de Europa, 2007-2015 (con base 100, en el año 2007), Portugal supera los 100 en el año 2014, España está por debajo de los 100 en el año 2015, Irlanda está por debajo de los 100, y Grecia está por debajo de los 75.</w:t>
      </w:r>
    </w:p>
    <w:p w:rsidR="00002B17" w:rsidRDefault="00002B17" w:rsidP="00D17674">
      <w:pPr>
        <w:shd w:val="clear" w:color="auto" w:fill="FFFFFF"/>
        <w:spacing w:after="0" w:line="240" w:lineRule="auto"/>
        <w:jc w:val="both"/>
        <w:textAlignment w:val="baseline"/>
        <w:rPr>
          <w:rFonts w:ascii="Times New Roman" w:eastAsia="Times New Roman" w:hAnsi="Times New Roman" w:cs="Times New Roman"/>
          <w:sz w:val="24"/>
          <w:szCs w:val="24"/>
        </w:rPr>
      </w:pPr>
    </w:p>
    <w:p w:rsidR="00002B17" w:rsidRDefault="00002B17"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3 - La variación de la participación salarial ajustada antes, durante y después de la crisis: antes de la crisis (2002-2007) salvo Reino Unido (mínimamente), Nueva Zelandia, e Irlanda, ninguno de los países desarrollados del G-20 tuvo una variación positiva. Durante la crisis (2007-2010), EEUU disminuyó cerca del 2, siendo Finlandia el único país que alcanzó una mejora del 4%; el resto, no alcanzó una mejora del 2%. Después de la crisis (2010-2015), Irlanda pierde</w:t>
      </w:r>
      <w:r w:rsidR="00CE08CB">
        <w:rPr>
          <w:rFonts w:ascii="Times New Roman" w:eastAsia="Times New Roman" w:hAnsi="Times New Roman" w:cs="Times New Roman"/>
          <w:sz w:val="24"/>
          <w:szCs w:val="24"/>
        </w:rPr>
        <w:t xml:space="preserve"> un</w:t>
      </w:r>
      <w:r>
        <w:rPr>
          <w:rFonts w:ascii="Times New Roman" w:eastAsia="Times New Roman" w:hAnsi="Times New Roman" w:cs="Times New Roman"/>
          <w:sz w:val="24"/>
          <w:szCs w:val="24"/>
        </w:rPr>
        <w:t xml:space="preserve"> 6%, España</w:t>
      </w:r>
      <w:r w:rsidR="00CE08CB">
        <w:rPr>
          <w:rFonts w:ascii="Times New Roman" w:eastAsia="Times New Roman" w:hAnsi="Times New Roman" w:cs="Times New Roman"/>
          <w:sz w:val="24"/>
          <w:szCs w:val="24"/>
        </w:rPr>
        <w:t xml:space="preserve"> pierde un</w:t>
      </w:r>
      <w:r>
        <w:rPr>
          <w:rFonts w:ascii="Times New Roman" w:eastAsia="Times New Roman" w:hAnsi="Times New Roman" w:cs="Times New Roman"/>
          <w:sz w:val="24"/>
          <w:szCs w:val="24"/>
        </w:rPr>
        <w:t xml:space="preserve"> 3%, Reino Unido pierde cerca del 3%</w:t>
      </w:r>
      <w:r w:rsidR="00CE08CB">
        <w:rPr>
          <w:rFonts w:ascii="Times New Roman" w:eastAsia="Times New Roman" w:hAnsi="Times New Roman" w:cs="Times New Roman"/>
          <w:sz w:val="24"/>
          <w:szCs w:val="24"/>
        </w:rPr>
        <w:t>; de los que mejoran, Japón y EEUU, lo hacen mínimamente (alguna décima sobre cero), y Alemania no llega al 1%.</w:t>
      </w:r>
    </w:p>
    <w:p w:rsidR="000D5686" w:rsidRDefault="000D5686" w:rsidP="00D17674">
      <w:pPr>
        <w:shd w:val="clear" w:color="auto" w:fill="FFFFFF"/>
        <w:spacing w:after="0" w:line="240" w:lineRule="auto"/>
        <w:jc w:val="both"/>
        <w:textAlignment w:val="baseline"/>
        <w:rPr>
          <w:rFonts w:ascii="Times New Roman" w:eastAsia="Times New Roman" w:hAnsi="Times New Roman" w:cs="Times New Roman"/>
          <w:sz w:val="24"/>
          <w:szCs w:val="24"/>
        </w:rPr>
      </w:pPr>
    </w:p>
    <w:p w:rsidR="00CE08CB" w:rsidRDefault="00CE08CB" w:rsidP="00D1767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4 - En el análisis de la desigualdad salarial en los países de la OCDE, en todos los países miembro la desigualdad aumentó más en el año 2015 o año más reciente, que en el año 2000 o anteriores. En todos los países miembro la reducción de la desigualdad disminuyó menos en el año 2015 o año más reciente, que en el año 2000 o anteriores.</w:t>
      </w:r>
    </w:p>
    <w:tbl>
      <w:tblPr>
        <w:tblW w:w="9080" w:type="dxa"/>
        <w:tblInd w:w="55" w:type="dxa"/>
        <w:tblCellMar>
          <w:left w:w="70" w:type="dxa"/>
          <w:right w:w="70" w:type="dxa"/>
        </w:tblCellMar>
        <w:tblLook w:val="04A0" w:firstRow="1" w:lastRow="0" w:firstColumn="1" w:lastColumn="0" w:noHBand="0" w:noVBand="1"/>
      </w:tblPr>
      <w:tblGrid>
        <w:gridCol w:w="4840"/>
        <w:gridCol w:w="1420"/>
        <w:gridCol w:w="1420"/>
        <w:gridCol w:w="1400"/>
      </w:tblGrid>
      <w:tr w:rsidR="00F40EB3" w:rsidRPr="00F40EB3" w:rsidTr="00F40EB3">
        <w:trPr>
          <w:trHeight w:val="315"/>
        </w:trPr>
        <w:tc>
          <w:tcPr>
            <w:tcW w:w="4840" w:type="dxa"/>
            <w:tcBorders>
              <w:top w:val="nil"/>
              <w:left w:val="nil"/>
              <w:bottom w:val="nil"/>
              <w:right w:val="nil"/>
            </w:tcBorders>
            <w:shd w:val="clear" w:color="auto" w:fill="auto"/>
            <w:noWrap/>
            <w:vAlign w:val="bottom"/>
            <w:hideMark/>
          </w:tcPr>
          <w:p w:rsidR="000D5686" w:rsidRDefault="000D5686" w:rsidP="00F40EB3">
            <w:pPr>
              <w:spacing w:after="0" w:line="240" w:lineRule="auto"/>
              <w:rPr>
                <w:rFonts w:ascii="Times New Roman" w:eastAsia="Times New Roman" w:hAnsi="Times New Roman" w:cs="Times New Roman"/>
                <w:b/>
                <w:bCs/>
                <w:color w:val="000000"/>
                <w:sz w:val="24"/>
                <w:szCs w:val="24"/>
                <w:lang w:eastAsia="es-ES"/>
              </w:rPr>
            </w:pPr>
          </w:p>
          <w:p w:rsidR="00F40EB3" w:rsidRPr="00F40EB3" w:rsidRDefault="00F40EB3" w:rsidP="00F40EB3">
            <w:pPr>
              <w:spacing w:after="0" w:line="240" w:lineRule="auto"/>
              <w:rPr>
                <w:rFonts w:ascii="Times New Roman" w:eastAsia="Times New Roman" w:hAnsi="Times New Roman" w:cs="Times New Roman"/>
                <w:b/>
                <w:bCs/>
                <w:color w:val="000000"/>
                <w:sz w:val="24"/>
                <w:szCs w:val="24"/>
                <w:lang w:eastAsia="es-ES"/>
              </w:rPr>
            </w:pPr>
            <w:r w:rsidRPr="00F40EB3">
              <w:rPr>
                <w:rFonts w:ascii="Times New Roman" w:eastAsia="Times New Roman" w:hAnsi="Times New Roman" w:cs="Times New Roman"/>
                <w:b/>
                <w:bCs/>
                <w:color w:val="000000"/>
                <w:sz w:val="24"/>
                <w:szCs w:val="24"/>
                <w:lang w:eastAsia="es-ES"/>
              </w:rPr>
              <w:t>Compa</w:t>
            </w:r>
            <w:r w:rsidR="002C3399">
              <w:rPr>
                <w:rFonts w:ascii="Times New Roman" w:eastAsia="Times New Roman" w:hAnsi="Times New Roman" w:cs="Times New Roman"/>
                <w:b/>
                <w:bCs/>
                <w:color w:val="000000"/>
                <w:sz w:val="24"/>
                <w:szCs w:val="24"/>
                <w:lang w:eastAsia="es-ES"/>
              </w:rPr>
              <w:t xml:space="preserve">rativo de datos estadísticos: </w:t>
            </w:r>
            <w:r w:rsidRPr="00F40EB3">
              <w:rPr>
                <w:rFonts w:ascii="Times New Roman" w:eastAsia="Times New Roman" w:hAnsi="Times New Roman" w:cs="Times New Roman"/>
                <w:b/>
                <w:bCs/>
                <w:color w:val="000000"/>
                <w:sz w:val="24"/>
                <w:szCs w:val="24"/>
                <w:lang w:eastAsia="es-ES"/>
              </w:rPr>
              <w:t>Eurostat</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b/>
                <w:bCs/>
                <w:color w:val="000000"/>
                <w:lang w:eastAsia="es-ES"/>
              </w:rPr>
            </w:pPr>
            <w:r w:rsidRPr="00F40EB3">
              <w:rPr>
                <w:rFonts w:ascii="Times New Roman" w:eastAsia="Times New Roman" w:hAnsi="Times New Roman" w:cs="Times New Roman"/>
                <w:b/>
                <w:bCs/>
                <w:color w:val="000000"/>
                <w:lang w:eastAsia="es-ES"/>
              </w:rPr>
              <w:t xml:space="preserve">EU (28) </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b/>
                <w:bCs/>
                <w:color w:val="000000"/>
                <w:lang w:eastAsia="es-ES"/>
              </w:rPr>
            </w:pPr>
            <w:r w:rsidRPr="00F40EB3">
              <w:rPr>
                <w:rFonts w:ascii="Times New Roman" w:eastAsia="Times New Roman" w:hAnsi="Times New Roman" w:cs="Times New Roman"/>
                <w:b/>
                <w:bCs/>
                <w:color w:val="000000"/>
                <w:lang w:eastAsia="es-ES"/>
              </w:rPr>
              <w:t>2008</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b/>
                <w:bCs/>
                <w:color w:val="000000"/>
                <w:lang w:eastAsia="es-ES"/>
              </w:rPr>
            </w:pPr>
            <w:r w:rsidRPr="00F40EB3">
              <w:rPr>
                <w:rFonts w:ascii="Times New Roman" w:eastAsia="Times New Roman" w:hAnsi="Times New Roman" w:cs="Times New Roman"/>
                <w:b/>
                <w:bCs/>
                <w:color w:val="000000"/>
                <w:lang w:eastAsia="es-ES"/>
              </w:rPr>
              <w:t>2017</w:t>
            </w:r>
          </w:p>
        </w:tc>
        <w:tc>
          <w:tcPr>
            <w:tcW w:w="1400" w:type="dxa"/>
            <w:tcBorders>
              <w:top w:val="nil"/>
              <w:left w:val="nil"/>
              <w:bottom w:val="nil"/>
              <w:right w:val="nil"/>
            </w:tcBorders>
            <w:shd w:val="clear" w:color="auto" w:fill="auto"/>
            <w:noWrap/>
            <w:vAlign w:val="bottom"/>
            <w:hideMark/>
          </w:tcPr>
          <w:p w:rsidR="00F40EB3" w:rsidRPr="00F40EB3" w:rsidRDefault="000D5686" w:rsidP="000D5686">
            <w:pPr>
              <w:spacing w:after="0" w:line="240" w:lineRule="auto"/>
              <w:rPr>
                <w:rFonts w:ascii="Times New Roman" w:eastAsia="Times New Roman" w:hAnsi="Times New Roman" w:cs="Times New Roman"/>
                <w:b/>
                <w:bCs/>
                <w:color w:val="000000"/>
                <w:lang w:eastAsia="es-ES"/>
              </w:rPr>
            </w:pPr>
            <w:r>
              <w:rPr>
                <w:rFonts w:ascii="Times New Roman" w:eastAsia="Times New Roman" w:hAnsi="Times New Roman" w:cs="Times New Roman"/>
                <w:b/>
                <w:bCs/>
                <w:color w:val="000000"/>
                <w:lang w:eastAsia="es-ES"/>
              </w:rPr>
              <w:t>Variación %</w:t>
            </w: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GDP (million euros)</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13.086.037,70</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15.377.371,40</w:t>
            </w: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17,51</w:t>
            </w: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val="en-US" w:eastAsia="es-ES"/>
              </w:rPr>
            </w:pPr>
            <w:r w:rsidRPr="00F40EB3">
              <w:rPr>
                <w:rFonts w:ascii="Times New Roman" w:eastAsia="Times New Roman" w:hAnsi="Times New Roman" w:cs="Times New Roman"/>
                <w:color w:val="000000"/>
                <w:lang w:val="en-US" w:eastAsia="es-ES"/>
              </w:rPr>
              <w:t>Compensation of employees (million euros)</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6.143.101,90</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7.263.049,90</w:t>
            </w: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18,23</w:t>
            </w: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Participación (%)</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46,94</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47,23</w:t>
            </w: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val="en-US" w:eastAsia="es-ES"/>
              </w:rPr>
            </w:pPr>
            <w:r w:rsidRPr="00F40EB3">
              <w:rPr>
                <w:rFonts w:ascii="Times New Roman" w:eastAsia="Times New Roman" w:hAnsi="Times New Roman" w:cs="Times New Roman"/>
                <w:color w:val="000000"/>
                <w:lang w:val="en-US" w:eastAsia="es-ES"/>
              </w:rPr>
              <w:t>Wages and salaries (million euros)</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4.872.744,30</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5.765.178,50</w:t>
            </w: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18,31</w:t>
            </w: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r>
      <w:tr w:rsidR="00F40EB3" w:rsidRPr="00F40EB3" w:rsidTr="00F40EB3">
        <w:trPr>
          <w:trHeight w:val="300"/>
        </w:trPr>
        <w:tc>
          <w:tcPr>
            <w:tcW w:w="484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Participación (%)</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37,24</w:t>
            </w:r>
          </w:p>
        </w:tc>
        <w:tc>
          <w:tcPr>
            <w:tcW w:w="142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r w:rsidRPr="00F40EB3">
              <w:rPr>
                <w:rFonts w:ascii="Times New Roman" w:eastAsia="Times New Roman" w:hAnsi="Times New Roman" w:cs="Times New Roman"/>
                <w:color w:val="000000"/>
                <w:lang w:eastAsia="es-ES"/>
              </w:rPr>
              <w:t>37,49</w:t>
            </w:r>
          </w:p>
        </w:tc>
        <w:tc>
          <w:tcPr>
            <w:tcW w:w="1400" w:type="dxa"/>
            <w:tcBorders>
              <w:top w:val="nil"/>
              <w:left w:val="nil"/>
              <w:bottom w:val="nil"/>
              <w:right w:val="nil"/>
            </w:tcBorders>
            <w:shd w:val="clear" w:color="auto" w:fill="auto"/>
            <w:noWrap/>
            <w:vAlign w:val="bottom"/>
            <w:hideMark/>
          </w:tcPr>
          <w:p w:rsidR="00F40EB3" w:rsidRPr="00F40EB3" w:rsidRDefault="00F40EB3" w:rsidP="00F40EB3">
            <w:pPr>
              <w:spacing w:after="0" w:line="240" w:lineRule="auto"/>
              <w:jc w:val="center"/>
              <w:rPr>
                <w:rFonts w:ascii="Times New Roman" w:eastAsia="Times New Roman" w:hAnsi="Times New Roman" w:cs="Times New Roman"/>
                <w:color w:val="000000"/>
                <w:lang w:eastAsia="es-ES"/>
              </w:rPr>
            </w:pPr>
          </w:p>
        </w:tc>
      </w:tr>
    </w:tbl>
    <w:p w:rsidR="00517943" w:rsidRDefault="00517943" w:rsidP="00D17674">
      <w:pPr>
        <w:shd w:val="clear" w:color="auto" w:fill="FFFFFF"/>
        <w:spacing w:after="0" w:line="240" w:lineRule="auto"/>
        <w:jc w:val="both"/>
        <w:textAlignment w:val="baseline"/>
        <w:rPr>
          <w:rFonts w:ascii="Times New Roman" w:eastAsia="Times New Roman" w:hAnsi="Times New Roman" w:cs="Times New Roman"/>
          <w:b/>
          <w:sz w:val="24"/>
          <w:szCs w:val="24"/>
        </w:rPr>
      </w:pPr>
    </w:p>
    <w:tbl>
      <w:tblPr>
        <w:tblW w:w="9080" w:type="dxa"/>
        <w:tblInd w:w="55" w:type="dxa"/>
        <w:tblCellMar>
          <w:left w:w="70" w:type="dxa"/>
          <w:right w:w="70" w:type="dxa"/>
        </w:tblCellMar>
        <w:tblLook w:val="04A0" w:firstRow="1" w:lastRow="0" w:firstColumn="1" w:lastColumn="0" w:noHBand="0" w:noVBand="1"/>
      </w:tblPr>
      <w:tblGrid>
        <w:gridCol w:w="4840"/>
        <w:gridCol w:w="1420"/>
        <w:gridCol w:w="1420"/>
        <w:gridCol w:w="1400"/>
      </w:tblGrid>
      <w:tr w:rsidR="00132464" w:rsidRPr="00132464" w:rsidTr="00132464">
        <w:trPr>
          <w:trHeight w:val="315"/>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b/>
                <w:bCs/>
                <w:color w:val="000000"/>
                <w:sz w:val="24"/>
                <w:szCs w:val="24"/>
                <w:lang w:eastAsia="es-ES"/>
              </w:rPr>
            </w:pPr>
            <w:r w:rsidRPr="00132464">
              <w:rPr>
                <w:rFonts w:ascii="Times New Roman" w:eastAsia="Times New Roman" w:hAnsi="Times New Roman" w:cs="Times New Roman"/>
                <w:b/>
                <w:bCs/>
                <w:color w:val="000000"/>
                <w:sz w:val="24"/>
                <w:szCs w:val="24"/>
                <w:lang w:eastAsia="es-ES"/>
              </w:rPr>
              <w:t>Comparativo de datos estadísticos: OECD</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b/>
                <w:bCs/>
                <w:color w:val="000000"/>
                <w:lang w:eastAsia="es-ES"/>
              </w:rPr>
            </w:pPr>
            <w:r w:rsidRPr="00132464">
              <w:rPr>
                <w:rFonts w:ascii="Times New Roman" w:eastAsia="Times New Roman" w:hAnsi="Times New Roman" w:cs="Times New Roman"/>
                <w:b/>
                <w:bCs/>
                <w:color w:val="000000"/>
                <w:lang w:eastAsia="es-ES"/>
              </w:rPr>
              <w:t>EEUU</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b/>
                <w:bCs/>
                <w:color w:val="000000"/>
                <w:lang w:eastAsia="es-ES"/>
              </w:rPr>
            </w:pPr>
            <w:r w:rsidRPr="00132464">
              <w:rPr>
                <w:rFonts w:ascii="Times New Roman" w:eastAsia="Times New Roman" w:hAnsi="Times New Roman" w:cs="Times New Roman"/>
                <w:b/>
                <w:bCs/>
                <w:color w:val="000000"/>
                <w:lang w:eastAsia="es-ES"/>
              </w:rPr>
              <w:t>2008</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b/>
                <w:bCs/>
                <w:color w:val="000000"/>
                <w:lang w:eastAsia="es-ES"/>
              </w:rPr>
            </w:pPr>
            <w:r w:rsidRPr="00132464">
              <w:rPr>
                <w:rFonts w:ascii="Times New Roman" w:eastAsia="Times New Roman" w:hAnsi="Times New Roman" w:cs="Times New Roman"/>
                <w:b/>
                <w:bCs/>
                <w:color w:val="000000"/>
                <w:lang w:eastAsia="es-ES"/>
              </w:rPr>
              <w:t>2017</w:t>
            </w:r>
          </w:p>
        </w:tc>
        <w:tc>
          <w:tcPr>
            <w:tcW w:w="1400" w:type="dxa"/>
            <w:tcBorders>
              <w:top w:val="nil"/>
              <w:left w:val="nil"/>
              <w:bottom w:val="nil"/>
              <w:right w:val="nil"/>
            </w:tcBorders>
            <w:shd w:val="clear" w:color="auto" w:fill="auto"/>
            <w:noWrap/>
            <w:vAlign w:val="bottom"/>
            <w:hideMark/>
          </w:tcPr>
          <w:p w:rsidR="00132464" w:rsidRPr="00132464" w:rsidRDefault="000D5686" w:rsidP="000D5686">
            <w:pPr>
              <w:spacing w:after="0" w:line="240" w:lineRule="auto"/>
              <w:rPr>
                <w:rFonts w:ascii="Times New Roman" w:eastAsia="Times New Roman" w:hAnsi="Times New Roman" w:cs="Times New Roman"/>
                <w:b/>
                <w:bCs/>
                <w:color w:val="000000"/>
                <w:lang w:eastAsia="es-ES"/>
              </w:rPr>
            </w:pPr>
            <w:r>
              <w:rPr>
                <w:rFonts w:ascii="Times New Roman" w:eastAsia="Times New Roman" w:hAnsi="Times New Roman" w:cs="Times New Roman"/>
                <w:b/>
                <w:bCs/>
                <w:color w:val="000000"/>
                <w:lang w:eastAsia="es-ES"/>
              </w:rPr>
              <w:t>Variación %</w:t>
            </w: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GDP (billion dolars)</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12.382,00</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16.053,00</w:t>
            </w: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29,65</w:t>
            </w: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val="en-US" w:eastAsia="es-ES"/>
              </w:rPr>
            </w:pPr>
            <w:r w:rsidRPr="00132464">
              <w:rPr>
                <w:rFonts w:ascii="Times New Roman" w:eastAsia="Times New Roman" w:hAnsi="Times New Roman" w:cs="Times New Roman"/>
                <w:color w:val="000000"/>
                <w:lang w:val="en-US" w:eastAsia="es-ES"/>
              </w:rPr>
              <w:t>Compensation of employees (billion dolars)</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8.090,00</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10.421,00</w:t>
            </w: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28,81</w:t>
            </w: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Participación (%)</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65,34</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64,92</w:t>
            </w: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val="en-US" w:eastAsia="es-ES"/>
              </w:rPr>
            </w:pPr>
            <w:r w:rsidRPr="00132464">
              <w:rPr>
                <w:rFonts w:ascii="Times New Roman" w:eastAsia="Times New Roman" w:hAnsi="Times New Roman" w:cs="Times New Roman"/>
                <w:color w:val="000000"/>
                <w:lang w:val="en-US" w:eastAsia="es-ES"/>
              </w:rPr>
              <w:t>Wages and salaries (billion dolars)</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6.544,00</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8.467,00</w:t>
            </w: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29,39</w:t>
            </w: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 xml:space="preserve"> </w:t>
            </w:r>
          </w:p>
        </w:tc>
      </w:tr>
      <w:tr w:rsidR="00132464" w:rsidRPr="00132464" w:rsidTr="00132464">
        <w:trPr>
          <w:trHeight w:val="300"/>
        </w:trPr>
        <w:tc>
          <w:tcPr>
            <w:tcW w:w="484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Participación (%)</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52,85</w:t>
            </w:r>
          </w:p>
        </w:tc>
        <w:tc>
          <w:tcPr>
            <w:tcW w:w="142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r w:rsidRPr="00132464">
              <w:rPr>
                <w:rFonts w:ascii="Times New Roman" w:eastAsia="Times New Roman" w:hAnsi="Times New Roman" w:cs="Times New Roman"/>
                <w:color w:val="000000"/>
                <w:lang w:eastAsia="es-ES"/>
              </w:rPr>
              <w:t>52,74</w:t>
            </w:r>
          </w:p>
        </w:tc>
        <w:tc>
          <w:tcPr>
            <w:tcW w:w="1400" w:type="dxa"/>
            <w:tcBorders>
              <w:top w:val="nil"/>
              <w:left w:val="nil"/>
              <w:bottom w:val="nil"/>
              <w:right w:val="nil"/>
            </w:tcBorders>
            <w:shd w:val="clear" w:color="auto" w:fill="auto"/>
            <w:noWrap/>
            <w:vAlign w:val="bottom"/>
            <w:hideMark/>
          </w:tcPr>
          <w:p w:rsidR="00132464" w:rsidRPr="00132464" w:rsidRDefault="00132464" w:rsidP="00132464">
            <w:pPr>
              <w:spacing w:after="0" w:line="240" w:lineRule="auto"/>
              <w:jc w:val="center"/>
              <w:rPr>
                <w:rFonts w:ascii="Times New Roman" w:eastAsia="Times New Roman" w:hAnsi="Times New Roman" w:cs="Times New Roman"/>
                <w:color w:val="000000"/>
                <w:lang w:eastAsia="es-ES"/>
              </w:rPr>
            </w:pPr>
          </w:p>
        </w:tc>
      </w:tr>
    </w:tbl>
    <w:p w:rsidR="001D2BAF" w:rsidRDefault="001D2BAF" w:rsidP="001D2BAF">
      <w:pPr>
        <w:spacing w:line="240" w:lineRule="auto"/>
        <w:jc w:val="both"/>
        <w:rPr>
          <w:rFonts w:ascii="Times New Roman" w:hAnsi="Times New Roman" w:cs="Times New Roman"/>
          <w:sz w:val="24"/>
          <w:szCs w:val="24"/>
        </w:rPr>
      </w:pPr>
    </w:p>
    <w:tbl>
      <w:tblPr>
        <w:tblW w:w="10282" w:type="dxa"/>
        <w:tblInd w:w="55" w:type="dxa"/>
        <w:tblCellMar>
          <w:left w:w="70" w:type="dxa"/>
          <w:right w:w="70" w:type="dxa"/>
        </w:tblCellMar>
        <w:tblLook w:val="04A0" w:firstRow="1" w:lastRow="0" w:firstColumn="1" w:lastColumn="0" w:noHBand="0" w:noVBand="1"/>
      </w:tblPr>
      <w:tblGrid>
        <w:gridCol w:w="4624"/>
        <w:gridCol w:w="1379"/>
        <w:gridCol w:w="1379"/>
        <w:gridCol w:w="1867"/>
        <w:gridCol w:w="1033"/>
      </w:tblGrid>
      <w:tr w:rsidR="002C3399" w:rsidRPr="002C3399" w:rsidTr="002C3399">
        <w:trPr>
          <w:trHeight w:val="315"/>
        </w:trPr>
        <w:tc>
          <w:tcPr>
            <w:tcW w:w="10282" w:type="dxa"/>
            <w:gridSpan w:val="5"/>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b/>
                <w:bCs/>
                <w:color w:val="000000"/>
                <w:sz w:val="24"/>
                <w:szCs w:val="24"/>
                <w:lang w:eastAsia="es-ES"/>
              </w:rPr>
            </w:pPr>
            <w:r w:rsidRPr="002C3399">
              <w:rPr>
                <w:rFonts w:ascii="Times New Roman" w:eastAsia="Times New Roman" w:hAnsi="Times New Roman" w:cs="Times New Roman"/>
                <w:b/>
                <w:bCs/>
                <w:color w:val="000000"/>
                <w:sz w:val="24"/>
                <w:szCs w:val="24"/>
                <w:lang w:eastAsia="es-ES"/>
              </w:rPr>
              <w:t>Comparativo de datos estadísticos: Banco Mundial, FMI, National Bureau of Statistics China</w:t>
            </w: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b/>
                <w:bCs/>
                <w:color w:val="000000"/>
                <w:lang w:eastAsia="es-ES"/>
              </w:rPr>
            </w:pPr>
            <w:r w:rsidRPr="002C3399">
              <w:rPr>
                <w:rFonts w:ascii="Times New Roman" w:eastAsia="Times New Roman" w:hAnsi="Times New Roman" w:cs="Times New Roman"/>
                <w:b/>
                <w:bCs/>
                <w:color w:val="000000"/>
                <w:lang w:eastAsia="es-ES"/>
              </w:rPr>
              <w:t>China</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b/>
                <w:bCs/>
                <w:color w:val="000000"/>
                <w:lang w:eastAsia="es-ES"/>
              </w:rPr>
            </w:pPr>
            <w:r w:rsidRPr="002C3399">
              <w:rPr>
                <w:rFonts w:ascii="Times New Roman" w:eastAsia="Times New Roman" w:hAnsi="Times New Roman" w:cs="Times New Roman"/>
                <w:b/>
                <w:bCs/>
                <w:color w:val="000000"/>
                <w:lang w:eastAsia="es-ES"/>
              </w:rPr>
              <w:t>2008</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b/>
                <w:bCs/>
                <w:color w:val="000000"/>
                <w:lang w:eastAsia="es-ES"/>
              </w:rPr>
            </w:pPr>
            <w:r w:rsidRPr="002C3399">
              <w:rPr>
                <w:rFonts w:ascii="Times New Roman" w:eastAsia="Times New Roman" w:hAnsi="Times New Roman" w:cs="Times New Roman"/>
                <w:b/>
                <w:bCs/>
                <w:color w:val="000000"/>
                <w:lang w:eastAsia="es-ES"/>
              </w:rPr>
              <w:t>2017</w:t>
            </w:r>
          </w:p>
        </w:tc>
        <w:tc>
          <w:tcPr>
            <w:tcW w:w="1867" w:type="dxa"/>
            <w:tcBorders>
              <w:top w:val="nil"/>
              <w:left w:val="nil"/>
              <w:bottom w:val="nil"/>
              <w:right w:val="nil"/>
            </w:tcBorders>
            <w:shd w:val="clear" w:color="auto" w:fill="auto"/>
            <w:noWrap/>
            <w:vAlign w:val="bottom"/>
            <w:hideMark/>
          </w:tcPr>
          <w:p w:rsidR="002C3399" w:rsidRPr="002C3399" w:rsidRDefault="000D5686" w:rsidP="002C3399">
            <w:pPr>
              <w:spacing w:after="0" w:line="240" w:lineRule="auto"/>
              <w:jc w:val="center"/>
              <w:rPr>
                <w:rFonts w:ascii="Times New Roman" w:eastAsia="Times New Roman" w:hAnsi="Times New Roman" w:cs="Times New Roman"/>
                <w:b/>
                <w:bCs/>
                <w:color w:val="000000"/>
                <w:lang w:eastAsia="es-ES"/>
              </w:rPr>
            </w:pPr>
            <w:r>
              <w:rPr>
                <w:rFonts w:ascii="Times New Roman" w:eastAsia="Times New Roman" w:hAnsi="Times New Roman" w:cs="Times New Roman"/>
                <w:b/>
                <w:bCs/>
                <w:color w:val="000000"/>
                <w:lang w:eastAsia="es-ES"/>
              </w:rPr>
              <w:t>Variación %</w:t>
            </w: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Fuente</w:t>
            </w: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 xml:space="preserve">GDP (billion dolars) </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4.598,00</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12.238,00</w:t>
            </w: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266,16</w:t>
            </w: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BM</w:t>
            </w: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 xml:space="preserve"> </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val="en-US" w:eastAsia="es-ES"/>
              </w:rPr>
            </w:pPr>
            <w:r w:rsidRPr="002C3399">
              <w:rPr>
                <w:rFonts w:ascii="Times New Roman" w:eastAsia="Times New Roman" w:hAnsi="Times New Roman" w:cs="Times New Roman"/>
                <w:color w:val="000000"/>
                <w:lang w:val="en-US" w:eastAsia="es-ES"/>
              </w:rPr>
              <w:t>Wages and salaries (billion dolars)</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2.292,90</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7.431,60</w:t>
            </w: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254,25</w:t>
            </w: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FMI</w:t>
            </w: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Participación (%)</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49,86</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60,73</w:t>
            </w: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r>
      <w:tr w:rsidR="002C3399" w:rsidRPr="006C65B2"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val="en-US" w:eastAsia="es-ES"/>
              </w:rPr>
            </w:pPr>
            <w:r w:rsidRPr="002C3399">
              <w:rPr>
                <w:rFonts w:ascii="Times New Roman" w:eastAsia="Times New Roman" w:hAnsi="Times New Roman" w:cs="Times New Roman"/>
                <w:color w:val="000000"/>
                <w:lang w:val="en-US" w:eastAsia="es-ES"/>
              </w:rPr>
              <w:t>National Bureau of Statistics China</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val="en-US" w:eastAsia="es-ES"/>
              </w:rPr>
            </w:pPr>
            <w:r w:rsidRPr="002C3399">
              <w:rPr>
                <w:rFonts w:ascii="Times New Roman" w:eastAsia="Times New Roman" w:hAnsi="Times New Roman" w:cs="Times New Roman"/>
                <w:color w:val="000000"/>
                <w:lang w:val="en-US" w:eastAsia="es-ES"/>
              </w:rPr>
              <w:t xml:space="preserve"> </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val="en-US" w:eastAsia="es-ES"/>
              </w:rPr>
            </w:pPr>
            <w:r w:rsidRPr="002C3399">
              <w:rPr>
                <w:rFonts w:ascii="Times New Roman" w:eastAsia="Times New Roman" w:hAnsi="Times New Roman" w:cs="Times New Roman"/>
                <w:color w:val="000000"/>
                <w:lang w:val="en-US" w:eastAsia="es-ES"/>
              </w:rPr>
              <w:t xml:space="preserve"> </w:t>
            </w: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val="en-US" w:eastAsia="es-ES"/>
              </w:rPr>
            </w:pPr>
            <w:r w:rsidRPr="002C3399">
              <w:rPr>
                <w:rFonts w:ascii="Times New Roman" w:eastAsia="Times New Roman" w:hAnsi="Times New Roman" w:cs="Times New Roman"/>
                <w:color w:val="000000"/>
                <w:lang w:val="en-US" w:eastAsia="es-ES"/>
              </w:rPr>
              <w:t xml:space="preserve"> </w:t>
            </w: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val="en-US" w:eastAsia="es-ES"/>
              </w:rPr>
            </w:pP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 xml:space="preserve">GDP (100 million yuan) </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270.233,30</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827.121,70</w:t>
            </w: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305,81</w:t>
            </w: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NBSCH</w:t>
            </w: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 xml:space="preserve"> </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val="en-US" w:eastAsia="es-ES"/>
              </w:rPr>
            </w:pPr>
            <w:r w:rsidRPr="002C3399">
              <w:rPr>
                <w:rFonts w:ascii="Times New Roman" w:eastAsia="Times New Roman" w:hAnsi="Times New Roman" w:cs="Times New Roman"/>
                <w:color w:val="000000"/>
                <w:lang w:val="en-US" w:eastAsia="es-ES"/>
              </w:rPr>
              <w:lastRenderedPageBreak/>
              <w:t>Wages and salaries (100 million yuan)</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29.471,50</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129.889,10</w:t>
            </w: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440,73</w:t>
            </w: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NBSCH</w:t>
            </w: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r>
      <w:tr w:rsidR="002C3399" w:rsidRPr="002C3399" w:rsidTr="002C3399">
        <w:trPr>
          <w:trHeight w:val="300"/>
        </w:trPr>
        <w:tc>
          <w:tcPr>
            <w:tcW w:w="4624"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Participación (%)</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10,91</w:t>
            </w:r>
          </w:p>
        </w:tc>
        <w:tc>
          <w:tcPr>
            <w:tcW w:w="1379"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r w:rsidRPr="002C3399">
              <w:rPr>
                <w:rFonts w:ascii="Times New Roman" w:eastAsia="Times New Roman" w:hAnsi="Times New Roman" w:cs="Times New Roman"/>
                <w:color w:val="000000"/>
                <w:lang w:eastAsia="es-ES"/>
              </w:rPr>
              <w:t>15,7</w:t>
            </w:r>
          </w:p>
        </w:tc>
        <w:tc>
          <w:tcPr>
            <w:tcW w:w="1867"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jc w:val="center"/>
              <w:rPr>
                <w:rFonts w:ascii="Times New Roman" w:eastAsia="Times New Roman" w:hAnsi="Times New Roman" w:cs="Times New Roman"/>
                <w:color w:val="000000"/>
                <w:lang w:eastAsia="es-ES"/>
              </w:rPr>
            </w:pPr>
          </w:p>
        </w:tc>
        <w:tc>
          <w:tcPr>
            <w:tcW w:w="1033" w:type="dxa"/>
            <w:tcBorders>
              <w:top w:val="nil"/>
              <w:left w:val="nil"/>
              <w:bottom w:val="nil"/>
              <w:right w:val="nil"/>
            </w:tcBorders>
            <w:shd w:val="clear" w:color="auto" w:fill="auto"/>
            <w:noWrap/>
            <w:vAlign w:val="bottom"/>
            <w:hideMark/>
          </w:tcPr>
          <w:p w:rsidR="002C3399" w:rsidRPr="002C3399" w:rsidRDefault="002C3399" w:rsidP="002C3399">
            <w:pPr>
              <w:spacing w:after="0" w:line="240" w:lineRule="auto"/>
              <w:rPr>
                <w:rFonts w:ascii="Times New Roman" w:eastAsia="Times New Roman" w:hAnsi="Times New Roman" w:cs="Times New Roman"/>
                <w:color w:val="000000"/>
                <w:lang w:eastAsia="es-ES"/>
              </w:rPr>
            </w:pPr>
          </w:p>
        </w:tc>
      </w:tr>
    </w:tbl>
    <w:p w:rsidR="000D5686" w:rsidRDefault="000D5686" w:rsidP="001D2BAF">
      <w:pPr>
        <w:spacing w:line="240" w:lineRule="auto"/>
        <w:jc w:val="both"/>
        <w:rPr>
          <w:rFonts w:ascii="Times New Roman" w:hAnsi="Times New Roman" w:cs="Times New Roman"/>
          <w:b/>
          <w:sz w:val="24"/>
          <w:szCs w:val="24"/>
        </w:rPr>
      </w:pPr>
    </w:p>
    <w:p w:rsidR="002C3399" w:rsidRDefault="005C58D4" w:rsidP="001D2BAF">
      <w:pPr>
        <w:spacing w:line="240" w:lineRule="auto"/>
        <w:jc w:val="both"/>
        <w:rPr>
          <w:rFonts w:ascii="Times New Roman" w:hAnsi="Times New Roman" w:cs="Times New Roman"/>
          <w:b/>
          <w:sz w:val="24"/>
          <w:szCs w:val="24"/>
        </w:rPr>
      </w:pPr>
      <w:r w:rsidRPr="005C58D4">
        <w:rPr>
          <w:rFonts w:ascii="Times New Roman" w:hAnsi="Times New Roman" w:cs="Times New Roman"/>
          <w:b/>
          <w:sz w:val="24"/>
          <w:szCs w:val="24"/>
        </w:rPr>
        <w:t>Datos extraídos del Apartado sobre China (anticipo de mayor información)</w:t>
      </w:r>
    </w:p>
    <w:p w:rsidR="005C58D4" w:rsidRDefault="005C58D4" w:rsidP="005C58D4">
      <w:pPr>
        <w:shd w:val="clear" w:color="auto" w:fill="FFFFFF"/>
        <w:spacing w:after="0" w:line="240" w:lineRule="auto"/>
        <w:jc w:val="both"/>
        <w:textAlignment w:val="baseline"/>
        <w:rPr>
          <w:rFonts w:ascii="Times New Roman" w:eastAsia="Times New Roman" w:hAnsi="Times New Roman" w:cs="Times New Roman"/>
          <w:sz w:val="24"/>
          <w:szCs w:val="24"/>
        </w:rPr>
      </w:pPr>
      <w:r w:rsidRPr="005C58D4">
        <w:rPr>
          <w:rFonts w:ascii="Times New Roman" w:hAnsi="Times New Roman" w:cs="Times New Roman"/>
          <w:sz w:val="24"/>
          <w:szCs w:val="24"/>
        </w:rPr>
        <w:t xml:space="preserve">1 </w:t>
      </w:r>
      <w:r>
        <w:rPr>
          <w:rFonts w:ascii="Times New Roman" w:hAnsi="Times New Roman" w:cs="Times New Roman"/>
          <w:sz w:val="24"/>
          <w:szCs w:val="24"/>
        </w:rPr>
        <w:t>-</w:t>
      </w:r>
      <w:r w:rsidRPr="005C58D4">
        <w:rPr>
          <w:rFonts w:ascii="Times New Roman" w:hAnsi="Times New Roman" w:cs="Times New Roman"/>
          <w:sz w:val="24"/>
          <w:szCs w:val="24"/>
        </w:rPr>
        <w:t xml:space="preserve"> </w:t>
      </w:r>
      <w:r>
        <w:rPr>
          <w:rFonts w:ascii="Times New Roman" w:hAnsi="Times New Roman" w:cs="Times New Roman"/>
          <w:sz w:val="24"/>
          <w:szCs w:val="24"/>
        </w:rPr>
        <w:t xml:space="preserve">(CNN   14/10/15) </w:t>
      </w:r>
      <w:r w:rsidRPr="005C58D4">
        <w:rPr>
          <w:rFonts w:ascii="Times New Roman" w:eastAsia="Times New Roman" w:hAnsi="Times New Roman" w:cs="Times New Roman"/>
          <w:sz w:val="24"/>
          <w:szCs w:val="24"/>
        </w:rPr>
        <w:t>Hay 109 millones de chinos con un patrimonio entre 50.000 y 500.000 dólares. Desde el 2000, el doble de chinos se ha sumado a la clase media, comparado con los estadounidenses que han hecho lo propio.</w:t>
      </w:r>
    </w:p>
    <w:p w:rsidR="00DE7D3F" w:rsidRDefault="00DE7D3F" w:rsidP="005C58D4">
      <w:pPr>
        <w:shd w:val="clear" w:color="auto" w:fill="FFFFFF"/>
        <w:spacing w:after="0" w:line="240" w:lineRule="auto"/>
        <w:jc w:val="both"/>
        <w:textAlignment w:val="baseline"/>
        <w:rPr>
          <w:rFonts w:ascii="Times New Roman" w:eastAsia="Times New Roman" w:hAnsi="Times New Roman" w:cs="Times New Roman"/>
          <w:sz w:val="24"/>
          <w:szCs w:val="24"/>
        </w:rPr>
      </w:pPr>
    </w:p>
    <w:p w:rsidR="005C58D4" w:rsidRDefault="005C58D4" w:rsidP="005C58D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 (ABC - 21/11/16) </w:t>
      </w:r>
      <w:r w:rsidRPr="005C58D4">
        <w:rPr>
          <w:rFonts w:ascii="Times New Roman" w:eastAsia="Times New Roman" w:hAnsi="Times New Roman" w:cs="Times New Roman"/>
          <w:sz w:val="24"/>
          <w:szCs w:val="24"/>
        </w:rPr>
        <w:t>Según prevé un informe de la Unidad de Inteligencia de la prestigiosa revista “The Economist”, que ha analizado 300 ciudades chinas, el consumo privado crecerá una media anual del 5,5% hasta 2030. En esa fecha, se calcula que unos 480 millones de personas (un 35% de la población) formarán parte de la clase media</w:t>
      </w:r>
      <w:r>
        <w:rPr>
          <w:rFonts w:ascii="Times New Roman" w:eastAsia="Times New Roman" w:hAnsi="Times New Roman" w:cs="Times New Roman"/>
          <w:sz w:val="24"/>
          <w:szCs w:val="24"/>
        </w:rPr>
        <w:t>.</w:t>
      </w:r>
    </w:p>
    <w:p w:rsidR="00DE7D3F" w:rsidRDefault="00DE7D3F" w:rsidP="005C58D4">
      <w:pPr>
        <w:shd w:val="clear" w:color="auto" w:fill="FFFFFF"/>
        <w:spacing w:after="0" w:line="240" w:lineRule="auto"/>
        <w:jc w:val="both"/>
        <w:textAlignment w:val="baseline"/>
        <w:rPr>
          <w:rFonts w:ascii="Times New Roman" w:eastAsia="Times New Roman" w:hAnsi="Times New Roman" w:cs="Times New Roman"/>
          <w:sz w:val="24"/>
          <w:szCs w:val="24"/>
        </w:rPr>
      </w:pPr>
    </w:p>
    <w:p w:rsidR="005C58D4" w:rsidRDefault="005C58D4" w:rsidP="005C58D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 (MIT Technology Review - 15/9/17) </w:t>
      </w:r>
      <w:r w:rsidRPr="005C58D4">
        <w:rPr>
          <w:rFonts w:ascii="Times New Roman" w:eastAsia="Times New Roman" w:hAnsi="Times New Roman" w:cs="Times New Roman"/>
          <w:sz w:val="24"/>
          <w:szCs w:val="24"/>
        </w:rPr>
        <w:t>Dentro de cinco años, la clase media de China podría estar conformada por más de 600 millones de personas.</w:t>
      </w:r>
    </w:p>
    <w:p w:rsidR="00DE7D3F" w:rsidRDefault="00DE7D3F" w:rsidP="005C58D4">
      <w:pPr>
        <w:shd w:val="clear" w:color="auto" w:fill="FFFFFF"/>
        <w:spacing w:after="0" w:line="240" w:lineRule="auto"/>
        <w:jc w:val="both"/>
        <w:textAlignment w:val="baseline"/>
        <w:rPr>
          <w:rFonts w:ascii="Times New Roman" w:eastAsia="Times New Roman" w:hAnsi="Times New Roman" w:cs="Times New Roman"/>
          <w:sz w:val="24"/>
          <w:szCs w:val="24"/>
        </w:rPr>
      </w:pPr>
    </w:p>
    <w:p w:rsidR="005C58D4" w:rsidRPr="00CF50BE" w:rsidRDefault="005C58D4" w:rsidP="005C58D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 xml:space="preserve">4 - (Clarín - 8/4/18) </w:t>
      </w:r>
      <w:r w:rsidRPr="005C58D4">
        <w:rPr>
          <w:rFonts w:ascii="Times New Roman" w:eastAsia="Times New Roman" w:hAnsi="Times New Roman" w:cs="Times New Roman"/>
          <w:sz w:val="24"/>
          <w:szCs w:val="24"/>
        </w:rPr>
        <w:t>Los salarios reales de los trabajadores urbanos han aumentado 20% por año desde 2011, y creció 3 puntos la proporción de los ingresos salariales en el PBI (pasaron de 45% a 48% del producto). El dato estratégico central, absolutamente decisivo, ha sido que el ingreso disponible per cápita de la nueva clase media urbana se duplicó entre 2010 y 2017 (aumentó acumulativamente 15% por año)… Las perspectivas son nítidas. El Foro de Davos ha realizado la siguiente estimación: el consumo de la clase media china se duplicaría entre 2016 y 2027, con una tasa de crecimiento de 12% por año, y pasaría de US$ 4,3 billones en 2016 a US$  8,2 billones en 2027.</w:t>
      </w:r>
    </w:p>
    <w:p w:rsidR="00DE7D3F" w:rsidRDefault="00DE7D3F" w:rsidP="005C58D4">
      <w:pPr>
        <w:shd w:val="clear" w:color="auto" w:fill="FFFFFF"/>
        <w:spacing w:after="0" w:line="240" w:lineRule="auto"/>
        <w:jc w:val="both"/>
        <w:textAlignment w:val="baseline"/>
        <w:rPr>
          <w:rFonts w:ascii="Times New Roman" w:eastAsia="Times New Roman" w:hAnsi="Times New Roman" w:cs="Times New Roman"/>
          <w:sz w:val="24"/>
          <w:szCs w:val="24"/>
        </w:rPr>
      </w:pPr>
    </w:p>
    <w:p w:rsidR="005C58D4" w:rsidRDefault="005C58D4" w:rsidP="005C58D4">
      <w:pPr>
        <w:shd w:val="clear" w:color="auto" w:fill="FFFFFF"/>
        <w:spacing w:after="0" w:line="240" w:lineRule="auto"/>
        <w:jc w:val="both"/>
        <w:textAlignment w:val="baseline"/>
        <w:rPr>
          <w:rFonts w:ascii="Times New Roman" w:eastAsia="Times New Roman" w:hAnsi="Times New Roman" w:cs="Times New Roman"/>
          <w:sz w:val="24"/>
          <w:szCs w:val="24"/>
        </w:rPr>
      </w:pPr>
      <w:r w:rsidRPr="005C58D4">
        <w:rPr>
          <w:rFonts w:ascii="Times New Roman" w:eastAsia="Times New Roman" w:hAnsi="Times New Roman" w:cs="Times New Roman"/>
          <w:sz w:val="24"/>
          <w:szCs w:val="24"/>
        </w:rPr>
        <w:t xml:space="preserve">5 </w:t>
      </w:r>
      <w:r>
        <w:rPr>
          <w:rFonts w:ascii="Times New Roman" w:eastAsia="Times New Roman" w:hAnsi="Times New Roman" w:cs="Times New Roman"/>
          <w:sz w:val="24"/>
          <w:szCs w:val="24"/>
        </w:rPr>
        <w:t>-</w:t>
      </w:r>
      <w:r w:rsidRPr="005C58D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(La Vanguardia - 21/10/18) </w:t>
      </w:r>
      <w:r w:rsidRPr="005C58D4">
        <w:rPr>
          <w:rFonts w:ascii="Times New Roman" w:eastAsia="Times New Roman" w:hAnsi="Times New Roman" w:cs="Times New Roman"/>
          <w:sz w:val="24"/>
          <w:szCs w:val="24"/>
        </w:rPr>
        <w:t>China ya concentra la mitad de la clase media mundial. Es uno de los datos destacados del informe anual del Credit Suisse Wealth Report</w:t>
      </w:r>
      <w:r>
        <w:rPr>
          <w:rFonts w:ascii="Times New Roman" w:eastAsia="Times New Roman" w:hAnsi="Times New Roman" w:cs="Times New Roman"/>
          <w:sz w:val="24"/>
          <w:szCs w:val="24"/>
        </w:rPr>
        <w:t>.</w:t>
      </w:r>
    </w:p>
    <w:p w:rsidR="00DE7D3F" w:rsidRDefault="00DE7D3F" w:rsidP="005C58D4">
      <w:pPr>
        <w:shd w:val="clear" w:color="auto" w:fill="FFFFFF"/>
        <w:spacing w:after="0" w:line="240" w:lineRule="auto"/>
        <w:jc w:val="both"/>
        <w:textAlignment w:val="baseline"/>
        <w:rPr>
          <w:rFonts w:ascii="Times New Roman" w:eastAsia="Times New Roman" w:hAnsi="Times New Roman" w:cs="Times New Roman"/>
          <w:sz w:val="24"/>
          <w:szCs w:val="24"/>
        </w:rPr>
      </w:pPr>
    </w:p>
    <w:p w:rsidR="00894B21" w:rsidRDefault="005C58D4" w:rsidP="005C58D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 (BBCMundo - 18/12/18) </w:t>
      </w:r>
    </w:p>
    <w:p w:rsidR="00894B21" w:rsidRDefault="00894B21" w:rsidP="00894B21">
      <w:pPr>
        <w:pStyle w:val="NormalWeb"/>
        <w:numPr>
          <w:ilvl w:val="0"/>
          <w:numId w:val="2"/>
        </w:numPr>
        <w:shd w:val="clear" w:color="auto" w:fill="FFFFFF"/>
        <w:spacing w:before="270" w:beforeAutospacing="0" w:after="0" w:afterAutospacing="0"/>
        <w:jc w:val="both"/>
        <w:textAlignment w:val="baseline"/>
        <w:rPr>
          <w:rStyle w:val="Textoennegrita"/>
          <w:b w:val="0"/>
          <w:bdr w:val="none" w:sz="0" w:space="0" w:color="auto" w:frame="1"/>
          <w:shd w:val="clear" w:color="auto" w:fill="FFFFFF"/>
        </w:rPr>
      </w:pPr>
      <w:r w:rsidRPr="00894B21">
        <w:rPr>
          <w:rStyle w:val="Textoennegrita"/>
          <w:b w:val="0"/>
          <w:bdr w:val="none" w:sz="0" w:space="0" w:color="auto" w:frame="1"/>
          <w:shd w:val="clear" w:color="auto" w:fill="FFFFFF"/>
        </w:rPr>
        <w:t>Entre 1978 y 2018 el Producto Interno Bruto (PIB) de China pasó de US$ 150.000 millones a US$ 12.240.000 millones (según cifras de la ONU)</w:t>
      </w:r>
      <w:r>
        <w:rPr>
          <w:rStyle w:val="Textoennegrita"/>
          <w:b w:val="0"/>
          <w:bdr w:val="none" w:sz="0" w:space="0" w:color="auto" w:frame="1"/>
          <w:shd w:val="clear" w:color="auto" w:fill="FFFFFF"/>
        </w:rPr>
        <w:t>.</w:t>
      </w:r>
    </w:p>
    <w:p w:rsidR="00894B21" w:rsidRDefault="00894B21" w:rsidP="00894B21">
      <w:pPr>
        <w:pStyle w:val="NormalWeb"/>
        <w:numPr>
          <w:ilvl w:val="0"/>
          <w:numId w:val="2"/>
        </w:numPr>
        <w:shd w:val="clear" w:color="auto" w:fill="FFFFFF"/>
        <w:spacing w:before="270" w:beforeAutospacing="0" w:after="0" w:afterAutospacing="0"/>
        <w:jc w:val="both"/>
        <w:textAlignment w:val="baseline"/>
      </w:pPr>
      <w:r w:rsidRPr="00894B21">
        <w:t>En</w:t>
      </w:r>
      <w:r>
        <w:t xml:space="preserve"> 1979 había 77.000 automóviles y 5,6 millones de bicicletas; en 2018 hay 8,54 millones de automóviles y 2 millones de bicicleta.</w:t>
      </w:r>
    </w:p>
    <w:p w:rsidR="00894B21" w:rsidRDefault="00894B21" w:rsidP="00894B21">
      <w:pPr>
        <w:pStyle w:val="NormalWeb"/>
        <w:numPr>
          <w:ilvl w:val="0"/>
          <w:numId w:val="2"/>
        </w:numPr>
        <w:shd w:val="clear" w:color="auto" w:fill="FFFFFF"/>
        <w:spacing w:before="270" w:beforeAutospacing="0" w:after="0" w:afterAutospacing="0"/>
        <w:jc w:val="both"/>
        <w:textAlignment w:val="baseline"/>
      </w:pPr>
      <w:r w:rsidRPr="00894B21">
        <w:t>Entre 1978 y 2018, China sacó a 740 millones de personas de la pobreza (según la Oficina de Información del Consejo de Estado y la Oficina Nacional de Estadísticas de China)</w:t>
      </w:r>
    </w:p>
    <w:p w:rsidR="00894B21" w:rsidRPr="00894B21" w:rsidRDefault="00894B21" w:rsidP="00894B21">
      <w:pPr>
        <w:pStyle w:val="NormalWeb"/>
        <w:numPr>
          <w:ilvl w:val="0"/>
          <w:numId w:val="2"/>
        </w:numPr>
        <w:shd w:val="clear" w:color="auto" w:fill="FFFFFF"/>
        <w:spacing w:before="270" w:beforeAutospacing="0" w:after="0" w:afterAutospacing="0"/>
        <w:jc w:val="both"/>
        <w:textAlignment w:val="baseline"/>
      </w:pPr>
      <w:r w:rsidRPr="00894B21">
        <w:t>Para 2018, los jóvenes chinos tienen el doble de probabilidades de ser dueños de su casa si se los compara con sus similares estadounidenses</w:t>
      </w:r>
    </w:p>
    <w:p w:rsidR="005C58D4" w:rsidRPr="00894B21" w:rsidRDefault="005C58D4" w:rsidP="00894B21">
      <w:pPr>
        <w:pStyle w:val="Prrafodelista"/>
        <w:shd w:val="clear" w:color="auto" w:fill="FFFFFF"/>
        <w:spacing w:after="0" w:line="240" w:lineRule="auto"/>
        <w:ind w:left="1065"/>
        <w:jc w:val="both"/>
        <w:textAlignment w:val="baseline"/>
        <w:rPr>
          <w:rFonts w:ascii="Times New Roman" w:eastAsia="Times New Roman" w:hAnsi="Times New Roman" w:cs="Times New Roman"/>
          <w:sz w:val="24"/>
          <w:szCs w:val="24"/>
        </w:rPr>
      </w:pPr>
      <w:r w:rsidRPr="00894B21">
        <w:rPr>
          <w:rFonts w:ascii="Times New Roman" w:eastAsia="Times New Roman" w:hAnsi="Times New Roman" w:cs="Times New Roman"/>
          <w:sz w:val="24"/>
          <w:szCs w:val="24"/>
        </w:rPr>
        <w:t xml:space="preserve">  </w:t>
      </w:r>
    </w:p>
    <w:p w:rsidR="005C58D4" w:rsidRDefault="00894B21" w:rsidP="005C58D4">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 (El Confidencial - 26/12/18) </w:t>
      </w:r>
      <w:r w:rsidRPr="00894B21">
        <w:rPr>
          <w:rFonts w:ascii="Times New Roman" w:eastAsia="Times New Roman" w:hAnsi="Times New Roman" w:cs="Times New Roman"/>
          <w:sz w:val="24"/>
          <w:szCs w:val="24"/>
        </w:rPr>
        <w:t>Según el informe Luxury and cosmetics financial factbook 2018, elaborado por el Centro de Estudios de EY, los consumidores chinos son responsables de cerca del 30% del volumen de negocio generado por la industria del lujo en todo el mundo.</w:t>
      </w:r>
    </w:p>
    <w:p w:rsidR="00894B21" w:rsidRDefault="00894B21" w:rsidP="00894B21">
      <w:pPr>
        <w:spacing w:line="240" w:lineRule="auto"/>
        <w:jc w:val="both"/>
        <w:rPr>
          <w:rFonts w:ascii="Times New Roman" w:hAnsi="Times New Roman" w:cs="Times New Roman"/>
          <w:b/>
          <w:sz w:val="24"/>
          <w:szCs w:val="24"/>
        </w:rPr>
      </w:pPr>
      <w:r w:rsidRPr="005C58D4">
        <w:rPr>
          <w:rFonts w:ascii="Times New Roman" w:hAnsi="Times New Roman" w:cs="Times New Roman"/>
          <w:b/>
          <w:sz w:val="24"/>
          <w:szCs w:val="24"/>
        </w:rPr>
        <w:lastRenderedPageBreak/>
        <w:t>Datos ex</w:t>
      </w:r>
      <w:r>
        <w:rPr>
          <w:rFonts w:ascii="Times New Roman" w:hAnsi="Times New Roman" w:cs="Times New Roman"/>
          <w:b/>
          <w:sz w:val="24"/>
          <w:szCs w:val="24"/>
        </w:rPr>
        <w:t>traídos del Apartado sobre EEUU</w:t>
      </w:r>
      <w:r w:rsidRPr="005C58D4">
        <w:rPr>
          <w:rFonts w:ascii="Times New Roman" w:hAnsi="Times New Roman" w:cs="Times New Roman"/>
          <w:b/>
          <w:sz w:val="24"/>
          <w:szCs w:val="24"/>
        </w:rPr>
        <w:t xml:space="preserve"> (anticipo de mayor información)</w:t>
      </w:r>
    </w:p>
    <w:p w:rsidR="00894B21" w:rsidRDefault="00894B21" w:rsidP="00894B2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1 - (El País - 28/1/14) </w:t>
      </w:r>
      <w:r w:rsidRPr="00894B21">
        <w:rPr>
          <w:rFonts w:ascii="Times New Roman" w:hAnsi="Times New Roman" w:cs="Times New Roman"/>
          <w:sz w:val="24"/>
          <w:szCs w:val="24"/>
        </w:rPr>
        <w:t>La Universidad de Yale y la de California Berkeley se preguntaron qué había pasado para alcanzar ese nivel de desigualdad. Tras estudiar los ingresos medios de las familias estadounidenses entre 1979 y 2005, descubrieron que el 90% de los hogares había obtenido de media menos ingresos que al comienzo de ese período, mientras que el 1% de las familias ingresaba más de medio millón de dólares más de promedio.</w:t>
      </w:r>
    </w:p>
    <w:p w:rsidR="00894B21" w:rsidRDefault="00894B21" w:rsidP="00894B21">
      <w:pPr>
        <w:spacing w:line="240" w:lineRule="auto"/>
        <w:jc w:val="both"/>
        <w:rPr>
          <w:rFonts w:ascii="Times New Roman" w:hAnsi="Times New Roman" w:cs="Times New Roman"/>
          <w:sz w:val="24"/>
          <w:szCs w:val="24"/>
          <w:lang w:val="en-US"/>
        </w:rPr>
      </w:pPr>
      <w:r w:rsidRPr="00894B21">
        <w:rPr>
          <w:rFonts w:ascii="Times New Roman" w:hAnsi="Times New Roman" w:cs="Times New Roman"/>
          <w:sz w:val="24"/>
          <w:szCs w:val="24"/>
          <w:lang w:val="en-US"/>
        </w:rPr>
        <w:t>2 - (Pew Research Center - 9/12/15) In early 2015, 120.8 million adults were in middle-income households, compared with 121.3 million in lower- and upper-income households combined, a demographic shift that could signal a tipping point, according to a new Pew Research Cent</w:t>
      </w:r>
      <w:r>
        <w:rPr>
          <w:rFonts w:ascii="Times New Roman" w:hAnsi="Times New Roman" w:cs="Times New Roman"/>
          <w:sz w:val="24"/>
          <w:szCs w:val="24"/>
          <w:lang w:val="en-US"/>
        </w:rPr>
        <w:t xml:space="preserve">er analysis of government data. </w:t>
      </w:r>
      <w:r w:rsidRPr="00894B21">
        <w:rPr>
          <w:rFonts w:ascii="Times New Roman" w:hAnsi="Times New Roman" w:cs="Times New Roman"/>
          <w:sz w:val="24"/>
          <w:szCs w:val="24"/>
          <w:lang w:val="en-US"/>
        </w:rPr>
        <w:t>In at least one sense, the shift represents economic progress: While the share of U.S. adults living in both upper- and lower-income households rose alongside the declining share in the middle from 1971 to 2015, the share in the upper-income tier grew more</w:t>
      </w:r>
      <w:r w:rsidR="0026355B">
        <w:rPr>
          <w:rFonts w:ascii="Times New Roman" w:hAnsi="Times New Roman" w:cs="Times New Roman"/>
          <w:sz w:val="24"/>
          <w:szCs w:val="24"/>
          <w:lang w:val="en-US"/>
        </w:rPr>
        <w:t>… Fully 49% of US aggregate income went to upper-income household in 2014 up from 29% in 1970. The share accruing to middle-income households was 43% in 2014, down substantially from 62% in 1970.</w:t>
      </w:r>
    </w:p>
    <w:p w:rsidR="0026355B" w:rsidRDefault="0026355B" w:rsidP="00894B2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middle class in losing ground (middle income American are no longer in the majority…)</w:t>
      </w:r>
    </w:p>
    <w:p w:rsidR="0026355B" w:rsidRDefault="0026355B" w:rsidP="00894B2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Adult population by income trier</w:t>
      </w:r>
    </w:p>
    <w:p w:rsidR="0026355B" w:rsidRPr="0048192E" w:rsidRDefault="0026355B" w:rsidP="00894B2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sidRPr="0048192E">
        <w:rPr>
          <w:rFonts w:ascii="Times New Roman" w:hAnsi="Times New Roman" w:cs="Times New Roman"/>
          <w:sz w:val="24"/>
          <w:szCs w:val="24"/>
          <w:lang w:val="en-US"/>
        </w:rPr>
        <w:t>1971</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2015</w:t>
      </w:r>
    </w:p>
    <w:p w:rsidR="0026355B" w:rsidRPr="0048192E" w:rsidRDefault="0026355B" w:rsidP="00894B21">
      <w:pPr>
        <w:spacing w:line="240" w:lineRule="auto"/>
        <w:jc w:val="both"/>
        <w:rPr>
          <w:rFonts w:ascii="Times New Roman" w:hAnsi="Times New Roman" w:cs="Times New Roman"/>
          <w:sz w:val="24"/>
          <w:szCs w:val="24"/>
          <w:lang w:val="en-US"/>
        </w:rPr>
      </w:pPr>
      <w:r w:rsidRPr="0048192E">
        <w:rPr>
          <w:rFonts w:ascii="Times New Roman" w:hAnsi="Times New Roman" w:cs="Times New Roman"/>
          <w:sz w:val="24"/>
          <w:szCs w:val="24"/>
          <w:lang w:val="en-US"/>
        </w:rPr>
        <w:t>Middle</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80,0 </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120,8</w:t>
      </w:r>
    </w:p>
    <w:p w:rsidR="0026355B" w:rsidRPr="0048192E" w:rsidRDefault="0026355B" w:rsidP="00894B21">
      <w:pPr>
        <w:spacing w:line="240" w:lineRule="auto"/>
        <w:jc w:val="both"/>
        <w:rPr>
          <w:rFonts w:ascii="Times New Roman" w:hAnsi="Times New Roman" w:cs="Times New Roman"/>
          <w:sz w:val="24"/>
          <w:szCs w:val="24"/>
          <w:lang w:val="en-US"/>
        </w:rPr>
      </w:pPr>
      <w:r w:rsidRPr="0048192E">
        <w:rPr>
          <w:rFonts w:ascii="Times New Roman" w:hAnsi="Times New Roman" w:cs="Times New Roman"/>
          <w:sz w:val="24"/>
          <w:szCs w:val="24"/>
          <w:lang w:val="en-US"/>
        </w:rPr>
        <w:t xml:space="preserve">Upper+Lower </w:t>
      </w:r>
      <w:r w:rsidRPr="0048192E">
        <w:rPr>
          <w:rFonts w:ascii="Times New Roman" w:hAnsi="Times New Roman" w:cs="Times New Roman"/>
          <w:sz w:val="24"/>
          <w:szCs w:val="24"/>
          <w:lang w:val="en-US"/>
        </w:rPr>
        <w:tab/>
        <w:t xml:space="preserve"> 51,6</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121,3</w:t>
      </w:r>
    </w:p>
    <w:p w:rsidR="0026355B" w:rsidRDefault="0026355B" w:rsidP="00894B21">
      <w:pPr>
        <w:spacing w:line="240" w:lineRule="auto"/>
        <w:jc w:val="both"/>
        <w:rPr>
          <w:rFonts w:ascii="Times New Roman" w:hAnsi="Times New Roman" w:cs="Times New Roman"/>
          <w:sz w:val="24"/>
          <w:szCs w:val="24"/>
          <w:lang w:val="en-US"/>
        </w:rPr>
      </w:pPr>
      <w:r w:rsidRPr="0026355B">
        <w:rPr>
          <w:rFonts w:ascii="Times New Roman" w:hAnsi="Times New Roman" w:cs="Times New Roman"/>
          <w:sz w:val="24"/>
          <w:szCs w:val="24"/>
          <w:lang w:val="en-US"/>
        </w:rPr>
        <w:t>(</w:t>
      </w:r>
      <w:r w:rsidR="00853EEB">
        <w:rPr>
          <w:rFonts w:ascii="Times New Roman" w:hAnsi="Times New Roman" w:cs="Times New Roman"/>
          <w:sz w:val="24"/>
          <w:szCs w:val="24"/>
          <w:lang w:val="en-US"/>
        </w:rPr>
        <w:t>…</w:t>
      </w:r>
      <w:r w:rsidRPr="0026355B">
        <w:rPr>
          <w:rFonts w:ascii="Times New Roman" w:hAnsi="Times New Roman" w:cs="Times New Roman"/>
          <w:sz w:val="24"/>
          <w:szCs w:val="24"/>
          <w:lang w:val="en-US"/>
        </w:rPr>
        <w:t>and share aggregate income held by middle-income household</w:t>
      </w:r>
      <w:r>
        <w:rPr>
          <w:rFonts w:ascii="Times New Roman" w:hAnsi="Times New Roman" w:cs="Times New Roman"/>
          <w:sz w:val="24"/>
          <w:szCs w:val="24"/>
          <w:lang w:val="en-US"/>
        </w:rPr>
        <w:t xml:space="preserve"> has plunged)</w:t>
      </w:r>
    </w:p>
    <w:p w:rsidR="0026355B" w:rsidRDefault="00853EEB" w:rsidP="00894B2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of US aggregate household income</w:t>
      </w:r>
    </w:p>
    <w:p w:rsidR="00853EEB" w:rsidRPr="0048192E" w:rsidRDefault="00853EEB" w:rsidP="00853EE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sidRPr="0048192E">
        <w:rPr>
          <w:rFonts w:ascii="Times New Roman" w:hAnsi="Times New Roman" w:cs="Times New Roman"/>
          <w:sz w:val="24"/>
          <w:szCs w:val="24"/>
          <w:lang w:val="en-US"/>
        </w:rPr>
        <w:t>1970</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2014</w:t>
      </w:r>
    </w:p>
    <w:p w:rsidR="00853EEB" w:rsidRPr="0048192E" w:rsidRDefault="00853EEB" w:rsidP="00853EEB">
      <w:pPr>
        <w:spacing w:line="240" w:lineRule="auto"/>
        <w:jc w:val="both"/>
        <w:rPr>
          <w:rFonts w:ascii="Times New Roman" w:hAnsi="Times New Roman" w:cs="Times New Roman"/>
          <w:sz w:val="24"/>
          <w:szCs w:val="24"/>
          <w:lang w:val="en-US"/>
        </w:rPr>
      </w:pPr>
      <w:r w:rsidRPr="0048192E">
        <w:rPr>
          <w:rFonts w:ascii="Times New Roman" w:hAnsi="Times New Roman" w:cs="Times New Roman"/>
          <w:sz w:val="24"/>
          <w:szCs w:val="24"/>
          <w:lang w:val="en-US"/>
        </w:rPr>
        <w:t>Middle</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62 </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43</w:t>
      </w:r>
    </w:p>
    <w:p w:rsidR="00853EEB" w:rsidRPr="0048192E" w:rsidRDefault="00853EEB" w:rsidP="00853EEB">
      <w:pPr>
        <w:spacing w:line="240" w:lineRule="auto"/>
        <w:jc w:val="both"/>
        <w:rPr>
          <w:rFonts w:ascii="Times New Roman" w:hAnsi="Times New Roman" w:cs="Times New Roman"/>
          <w:sz w:val="24"/>
          <w:szCs w:val="24"/>
          <w:lang w:val="en-US"/>
        </w:rPr>
      </w:pPr>
      <w:r w:rsidRPr="0048192E">
        <w:rPr>
          <w:rFonts w:ascii="Times New Roman" w:hAnsi="Times New Roman" w:cs="Times New Roman"/>
          <w:sz w:val="24"/>
          <w:szCs w:val="24"/>
          <w:lang w:val="en-US"/>
        </w:rPr>
        <w:t xml:space="preserve">Lower </w:t>
      </w:r>
      <w:r w:rsidRPr="0048192E">
        <w:rPr>
          <w:rFonts w:ascii="Times New Roman" w:hAnsi="Times New Roman" w:cs="Times New Roman"/>
          <w:sz w:val="24"/>
          <w:szCs w:val="24"/>
          <w:lang w:val="en-US"/>
        </w:rPr>
        <w:tab/>
        <w:t xml:space="preserve"> </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10</w:t>
      </w:r>
      <w:r w:rsidRPr="0048192E">
        <w:rPr>
          <w:rFonts w:ascii="Times New Roman" w:hAnsi="Times New Roman" w:cs="Times New Roman"/>
          <w:sz w:val="24"/>
          <w:szCs w:val="24"/>
          <w:lang w:val="en-US"/>
        </w:rPr>
        <w:tab/>
        <w:t xml:space="preserve">                            9</w:t>
      </w:r>
    </w:p>
    <w:p w:rsidR="00853EEB" w:rsidRPr="0048192E" w:rsidRDefault="00853EEB" w:rsidP="00853EEB">
      <w:pPr>
        <w:spacing w:line="240" w:lineRule="auto"/>
        <w:jc w:val="both"/>
        <w:rPr>
          <w:rFonts w:ascii="Times New Roman" w:hAnsi="Times New Roman" w:cs="Times New Roman"/>
          <w:sz w:val="24"/>
          <w:szCs w:val="24"/>
          <w:lang w:val="en-US"/>
        </w:rPr>
      </w:pPr>
      <w:r w:rsidRPr="0048192E">
        <w:rPr>
          <w:rFonts w:ascii="Times New Roman" w:hAnsi="Times New Roman" w:cs="Times New Roman"/>
          <w:sz w:val="24"/>
          <w:szCs w:val="24"/>
          <w:lang w:val="en-US"/>
        </w:rPr>
        <w:t>Upper</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29                                49</w:t>
      </w:r>
    </w:p>
    <w:p w:rsidR="00853EEB" w:rsidRPr="00853EEB" w:rsidRDefault="00853EEB" w:rsidP="00853EEB">
      <w:pPr>
        <w:spacing w:line="240" w:lineRule="auto"/>
        <w:jc w:val="both"/>
        <w:rPr>
          <w:rFonts w:ascii="Times New Roman" w:hAnsi="Times New Roman" w:cs="Times New Roman"/>
          <w:sz w:val="24"/>
          <w:szCs w:val="24"/>
          <w:lang w:val="en-US"/>
        </w:rPr>
      </w:pPr>
      <w:r w:rsidRPr="00853EEB">
        <w:rPr>
          <w:rFonts w:ascii="Times New Roman" w:hAnsi="Times New Roman" w:cs="Times New Roman"/>
          <w:sz w:val="24"/>
          <w:szCs w:val="24"/>
          <w:lang w:val="en-US"/>
        </w:rPr>
        <w:t>Share of adults living in middle-income households is falling</w:t>
      </w:r>
    </w:p>
    <w:p w:rsidR="00853EEB" w:rsidRDefault="00853EEB" w:rsidP="00853EE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of adults in each income trier</w:t>
      </w:r>
    </w:p>
    <w:p w:rsidR="00853EEB" w:rsidRPr="0048192E" w:rsidRDefault="00853EEB" w:rsidP="00853EEB">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sidRPr="0048192E">
        <w:rPr>
          <w:rFonts w:ascii="Times New Roman" w:hAnsi="Times New Roman" w:cs="Times New Roman"/>
          <w:sz w:val="24"/>
          <w:szCs w:val="24"/>
          <w:lang w:val="en-US"/>
        </w:rPr>
        <w:t>1971</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2015</w:t>
      </w:r>
    </w:p>
    <w:p w:rsidR="00853EEB" w:rsidRPr="0048192E" w:rsidRDefault="00853EEB" w:rsidP="00853EEB">
      <w:pPr>
        <w:spacing w:line="240" w:lineRule="auto"/>
        <w:jc w:val="both"/>
        <w:rPr>
          <w:rFonts w:ascii="Times New Roman" w:hAnsi="Times New Roman" w:cs="Times New Roman"/>
          <w:sz w:val="24"/>
          <w:szCs w:val="24"/>
          <w:lang w:val="en-US"/>
        </w:rPr>
      </w:pPr>
      <w:r w:rsidRPr="0048192E">
        <w:rPr>
          <w:rFonts w:ascii="Times New Roman" w:hAnsi="Times New Roman" w:cs="Times New Roman"/>
          <w:sz w:val="24"/>
          <w:szCs w:val="24"/>
          <w:lang w:val="en-US"/>
        </w:rPr>
        <w:t>Lowest</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16 </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20</w:t>
      </w:r>
    </w:p>
    <w:p w:rsidR="00853EEB" w:rsidRPr="0048192E" w:rsidRDefault="00853EEB" w:rsidP="00853EEB">
      <w:pPr>
        <w:spacing w:line="240" w:lineRule="auto"/>
        <w:jc w:val="both"/>
        <w:rPr>
          <w:rFonts w:ascii="Times New Roman" w:hAnsi="Times New Roman" w:cs="Times New Roman"/>
          <w:sz w:val="24"/>
          <w:szCs w:val="24"/>
          <w:lang w:val="en-US"/>
        </w:rPr>
      </w:pPr>
      <w:r w:rsidRPr="0048192E">
        <w:rPr>
          <w:rFonts w:ascii="Times New Roman" w:hAnsi="Times New Roman" w:cs="Times New Roman"/>
          <w:sz w:val="24"/>
          <w:szCs w:val="24"/>
          <w:lang w:val="en-US"/>
        </w:rPr>
        <w:t xml:space="preserve">Lowest middle </w:t>
      </w:r>
      <w:r w:rsidRPr="0048192E">
        <w:rPr>
          <w:rFonts w:ascii="Times New Roman" w:hAnsi="Times New Roman" w:cs="Times New Roman"/>
          <w:sz w:val="24"/>
          <w:szCs w:val="24"/>
          <w:lang w:val="en-US"/>
        </w:rPr>
        <w:tab/>
        <w:t xml:space="preserve">   9</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9</w:t>
      </w:r>
    </w:p>
    <w:p w:rsidR="00853EEB" w:rsidRPr="0048192E" w:rsidRDefault="00853EEB" w:rsidP="00853EEB">
      <w:pPr>
        <w:spacing w:line="240" w:lineRule="auto"/>
        <w:jc w:val="both"/>
        <w:rPr>
          <w:rFonts w:ascii="Times New Roman" w:hAnsi="Times New Roman" w:cs="Times New Roman"/>
          <w:sz w:val="24"/>
          <w:szCs w:val="24"/>
          <w:lang w:val="en-US"/>
        </w:rPr>
      </w:pPr>
      <w:r w:rsidRPr="0048192E">
        <w:rPr>
          <w:rFonts w:ascii="Times New Roman" w:hAnsi="Times New Roman" w:cs="Times New Roman"/>
          <w:sz w:val="24"/>
          <w:szCs w:val="24"/>
          <w:lang w:val="en-US"/>
        </w:rPr>
        <w:t>Middle</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61</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50</w:t>
      </w:r>
    </w:p>
    <w:p w:rsidR="00853EEB" w:rsidRPr="0048192E" w:rsidRDefault="00853EEB" w:rsidP="00853EEB">
      <w:pPr>
        <w:spacing w:line="240" w:lineRule="auto"/>
        <w:jc w:val="both"/>
        <w:rPr>
          <w:rFonts w:ascii="Times New Roman" w:hAnsi="Times New Roman" w:cs="Times New Roman"/>
          <w:sz w:val="24"/>
          <w:szCs w:val="24"/>
          <w:lang w:val="en-US"/>
        </w:rPr>
      </w:pPr>
      <w:r w:rsidRPr="0048192E">
        <w:rPr>
          <w:rFonts w:ascii="Times New Roman" w:hAnsi="Times New Roman" w:cs="Times New Roman"/>
          <w:sz w:val="24"/>
          <w:szCs w:val="24"/>
          <w:lang w:val="en-US"/>
        </w:rPr>
        <w:t xml:space="preserve">Upper </w:t>
      </w:r>
      <w:r w:rsidR="0036518C" w:rsidRPr="0048192E">
        <w:rPr>
          <w:rFonts w:ascii="Times New Roman" w:hAnsi="Times New Roman" w:cs="Times New Roman"/>
          <w:sz w:val="24"/>
          <w:szCs w:val="24"/>
          <w:lang w:val="en-US"/>
        </w:rPr>
        <w:t>middle</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10</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12</w:t>
      </w:r>
    </w:p>
    <w:p w:rsidR="000D5686" w:rsidRDefault="00853EEB" w:rsidP="00894B21">
      <w:pPr>
        <w:spacing w:line="240" w:lineRule="auto"/>
        <w:jc w:val="both"/>
        <w:rPr>
          <w:rFonts w:ascii="Times New Roman" w:hAnsi="Times New Roman" w:cs="Times New Roman"/>
          <w:sz w:val="24"/>
          <w:szCs w:val="24"/>
          <w:lang w:val="en-US"/>
        </w:rPr>
      </w:pPr>
      <w:r w:rsidRPr="0048192E">
        <w:rPr>
          <w:rFonts w:ascii="Times New Roman" w:hAnsi="Times New Roman" w:cs="Times New Roman"/>
          <w:sz w:val="24"/>
          <w:szCs w:val="24"/>
          <w:lang w:val="en-US"/>
        </w:rPr>
        <w:t>Highest</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4</w:t>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r>
      <w:r w:rsidRPr="0048192E">
        <w:rPr>
          <w:rFonts w:ascii="Times New Roman" w:hAnsi="Times New Roman" w:cs="Times New Roman"/>
          <w:sz w:val="24"/>
          <w:szCs w:val="24"/>
          <w:lang w:val="en-US"/>
        </w:rPr>
        <w:tab/>
        <w:t xml:space="preserve">    9</w:t>
      </w:r>
    </w:p>
    <w:p w:rsidR="00894B21" w:rsidRPr="00085322" w:rsidRDefault="0036518C" w:rsidP="00894B21">
      <w:pPr>
        <w:spacing w:line="240" w:lineRule="auto"/>
        <w:jc w:val="both"/>
        <w:rPr>
          <w:rFonts w:ascii="Times New Roman" w:hAnsi="Times New Roman" w:cs="Times New Roman"/>
          <w:sz w:val="24"/>
          <w:szCs w:val="24"/>
          <w:lang w:val="en-US"/>
        </w:rPr>
      </w:pPr>
      <w:r w:rsidRPr="00085322">
        <w:rPr>
          <w:rFonts w:ascii="Times New Roman" w:hAnsi="Times New Roman" w:cs="Times New Roman"/>
          <w:sz w:val="24"/>
          <w:szCs w:val="24"/>
          <w:lang w:val="en-US"/>
        </w:rPr>
        <w:lastRenderedPageBreak/>
        <w:t>Adults</w:t>
      </w:r>
      <w:r w:rsidR="00085322" w:rsidRPr="00085322">
        <w:rPr>
          <w:rFonts w:ascii="Times New Roman" w:hAnsi="Times New Roman" w:cs="Times New Roman"/>
          <w:sz w:val="24"/>
          <w:szCs w:val="24"/>
          <w:lang w:val="en-US"/>
        </w:rPr>
        <w:t xml:space="preserve"> in middle-income households are now fewer in number tan adults in other households</w:t>
      </w:r>
    </w:p>
    <w:p w:rsidR="00085322" w:rsidRDefault="00085322" w:rsidP="00894B21">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Adult population by income trier (millions)</w:t>
      </w:r>
    </w:p>
    <w:tbl>
      <w:tblPr>
        <w:tblW w:w="9240" w:type="dxa"/>
        <w:tblInd w:w="55" w:type="dxa"/>
        <w:tblCellMar>
          <w:left w:w="70" w:type="dxa"/>
          <w:right w:w="70" w:type="dxa"/>
        </w:tblCellMar>
        <w:tblLook w:val="04A0" w:firstRow="1" w:lastRow="0" w:firstColumn="1" w:lastColumn="0" w:noHBand="0" w:noVBand="1"/>
      </w:tblPr>
      <w:tblGrid>
        <w:gridCol w:w="2040"/>
        <w:gridCol w:w="1200"/>
        <w:gridCol w:w="1200"/>
        <w:gridCol w:w="1200"/>
        <w:gridCol w:w="1200"/>
        <w:gridCol w:w="1200"/>
        <w:gridCol w:w="1200"/>
      </w:tblGrid>
      <w:tr w:rsidR="00085322" w:rsidRPr="00085322" w:rsidTr="00085322">
        <w:trPr>
          <w:trHeight w:val="315"/>
        </w:trPr>
        <w:tc>
          <w:tcPr>
            <w:tcW w:w="2040" w:type="dxa"/>
            <w:tcBorders>
              <w:top w:val="nil"/>
              <w:left w:val="nil"/>
              <w:bottom w:val="nil"/>
              <w:right w:val="nil"/>
            </w:tcBorders>
            <w:shd w:val="clear" w:color="auto" w:fill="auto"/>
            <w:noWrap/>
            <w:vAlign w:val="bottom"/>
            <w:hideMark/>
          </w:tcPr>
          <w:p w:rsidR="00085322" w:rsidRPr="0048192E" w:rsidRDefault="00085322" w:rsidP="00085322">
            <w:pPr>
              <w:spacing w:after="0" w:line="240" w:lineRule="auto"/>
              <w:jc w:val="center"/>
              <w:rPr>
                <w:rFonts w:ascii="Times New Roman" w:eastAsia="Times New Roman" w:hAnsi="Times New Roman" w:cs="Times New Roman"/>
                <w:b/>
                <w:bCs/>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1971</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1981</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1991</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2001</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2011</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2016</w:t>
            </w:r>
          </w:p>
        </w:tc>
      </w:tr>
      <w:tr w:rsidR="00085322" w:rsidRPr="00085322" w:rsidTr="00085322">
        <w:trPr>
          <w:trHeight w:val="315"/>
        </w:trPr>
        <w:tc>
          <w:tcPr>
            <w:tcW w:w="204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p>
        </w:tc>
      </w:tr>
      <w:tr w:rsidR="00085322" w:rsidRPr="00085322" w:rsidTr="00085322">
        <w:trPr>
          <w:trHeight w:val="315"/>
        </w:trPr>
        <w:tc>
          <w:tcPr>
            <w:tcW w:w="204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Lower</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33,2</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42,4</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50,1</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57,6</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68</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70</w:t>
            </w:r>
          </w:p>
        </w:tc>
      </w:tr>
      <w:tr w:rsidR="00085322" w:rsidRPr="00085322" w:rsidTr="00085322">
        <w:trPr>
          <w:trHeight w:val="315"/>
        </w:trPr>
        <w:tc>
          <w:tcPr>
            <w:tcW w:w="204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r>
      <w:tr w:rsidR="00085322" w:rsidRPr="00085322" w:rsidTr="00085322">
        <w:trPr>
          <w:trHeight w:val="315"/>
        </w:trPr>
        <w:tc>
          <w:tcPr>
            <w:tcW w:w="204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Middle</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80</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94,8</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102,1</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111,2</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117,6</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120,8</w:t>
            </w:r>
          </w:p>
        </w:tc>
      </w:tr>
      <w:tr w:rsidR="00085322" w:rsidRPr="00085322" w:rsidTr="00085322">
        <w:trPr>
          <w:trHeight w:val="315"/>
        </w:trPr>
        <w:tc>
          <w:tcPr>
            <w:tcW w:w="204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r>
      <w:tr w:rsidR="00085322" w:rsidRPr="00085322" w:rsidTr="00085322">
        <w:trPr>
          <w:trHeight w:val="315"/>
        </w:trPr>
        <w:tc>
          <w:tcPr>
            <w:tcW w:w="204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Upper</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18,4</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24,6</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31</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38,3</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46,6</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51</w:t>
            </w:r>
          </w:p>
        </w:tc>
      </w:tr>
      <w:tr w:rsidR="00085322" w:rsidRPr="00085322" w:rsidTr="00085322">
        <w:trPr>
          <w:trHeight w:val="315"/>
        </w:trPr>
        <w:tc>
          <w:tcPr>
            <w:tcW w:w="204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p>
        </w:tc>
      </w:tr>
      <w:tr w:rsidR="00085322" w:rsidRPr="00085322" w:rsidTr="00085322">
        <w:trPr>
          <w:trHeight w:val="315"/>
        </w:trPr>
        <w:tc>
          <w:tcPr>
            <w:tcW w:w="204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All</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131,6</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161,7</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183,2</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207</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232,2</w:t>
            </w:r>
          </w:p>
        </w:tc>
        <w:tc>
          <w:tcPr>
            <w:tcW w:w="1200" w:type="dxa"/>
            <w:tcBorders>
              <w:top w:val="nil"/>
              <w:left w:val="nil"/>
              <w:bottom w:val="nil"/>
              <w:right w:val="nil"/>
            </w:tcBorders>
            <w:shd w:val="clear" w:color="auto" w:fill="auto"/>
            <w:noWrap/>
            <w:vAlign w:val="bottom"/>
            <w:hideMark/>
          </w:tcPr>
          <w:p w:rsidR="00085322" w:rsidRPr="00085322" w:rsidRDefault="00085322" w:rsidP="00085322">
            <w:pPr>
              <w:spacing w:after="0" w:line="240" w:lineRule="auto"/>
              <w:jc w:val="center"/>
              <w:rPr>
                <w:rFonts w:ascii="Times New Roman" w:eastAsia="Times New Roman" w:hAnsi="Times New Roman" w:cs="Times New Roman"/>
                <w:color w:val="000000"/>
                <w:sz w:val="24"/>
                <w:szCs w:val="24"/>
                <w:lang w:eastAsia="es-ES"/>
              </w:rPr>
            </w:pPr>
            <w:r w:rsidRPr="00085322">
              <w:rPr>
                <w:rFonts w:ascii="Times New Roman" w:eastAsia="Times New Roman" w:hAnsi="Times New Roman" w:cs="Times New Roman"/>
                <w:color w:val="000000"/>
                <w:sz w:val="24"/>
                <w:szCs w:val="24"/>
                <w:lang w:eastAsia="es-ES"/>
              </w:rPr>
              <w:t>242,1</w:t>
            </w:r>
          </w:p>
        </w:tc>
      </w:tr>
    </w:tbl>
    <w:p w:rsidR="00085322" w:rsidRPr="00085322" w:rsidRDefault="00085322" w:rsidP="00894B21">
      <w:pPr>
        <w:spacing w:line="240" w:lineRule="auto"/>
        <w:jc w:val="both"/>
        <w:rPr>
          <w:rFonts w:ascii="Times New Roman" w:hAnsi="Times New Roman" w:cs="Times New Roman"/>
          <w:sz w:val="24"/>
          <w:szCs w:val="24"/>
          <w:lang w:val="en-US"/>
        </w:rPr>
      </w:pPr>
    </w:p>
    <w:p w:rsidR="00894B21" w:rsidRDefault="005D2411" w:rsidP="005C58D4">
      <w:pPr>
        <w:shd w:val="clear" w:color="auto" w:fill="FFFFFF"/>
        <w:spacing w:after="0" w:line="240" w:lineRule="auto"/>
        <w:jc w:val="both"/>
        <w:textAlignment w:val="baseline"/>
        <w:rPr>
          <w:rFonts w:ascii="Times New Roman" w:eastAsia="Times New Roman" w:hAnsi="Times New Roman" w:cs="Times New Roman"/>
          <w:sz w:val="24"/>
          <w:szCs w:val="24"/>
        </w:rPr>
      </w:pPr>
      <w:r w:rsidRPr="005D2411">
        <w:rPr>
          <w:rFonts w:ascii="Times New Roman" w:eastAsia="Times New Roman" w:hAnsi="Times New Roman" w:cs="Times New Roman"/>
          <w:sz w:val="24"/>
          <w:szCs w:val="24"/>
        </w:rPr>
        <w:t>3 - (El País - 13/7/16) Sobre la economía estadounidense, el Fondo</w:t>
      </w:r>
      <w:r>
        <w:rPr>
          <w:rFonts w:ascii="Times New Roman" w:eastAsia="Times New Roman" w:hAnsi="Times New Roman" w:cs="Times New Roman"/>
          <w:sz w:val="24"/>
          <w:szCs w:val="24"/>
        </w:rPr>
        <w:t xml:space="preserve"> Monetario Internacional</w:t>
      </w:r>
      <w:r w:rsidRPr="005D2411">
        <w:rPr>
          <w:rFonts w:ascii="Times New Roman" w:eastAsia="Times New Roman" w:hAnsi="Times New Roman" w:cs="Times New Roman"/>
          <w:sz w:val="24"/>
          <w:szCs w:val="24"/>
        </w:rPr>
        <w:t xml:space="preserve"> alerta de “perniciosas tendencias seculares en la distribución de los ingresos”: la clase media ha disminuido hasta los niveles de hace tres décadas y la pobreza ha aumentado</w:t>
      </w:r>
      <w:r>
        <w:rPr>
          <w:rFonts w:ascii="Times New Roman" w:eastAsia="Times New Roman" w:hAnsi="Times New Roman" w:cs="Times New Roman"/>
          <w:sz w:val="24"/>
          <w:szCs w:val="24"/>
        </w:rPr>
        <w:t>… E</w:t>
      </w:r>
      <w:r w:rsidRPr="005D2411">
        <w:rPr>
          <w:rFonts w:ascii="Times New Roman" w:eastAsia="Times New Roman" w:hAnsi="Times New Roman" w:cs="Times New Roman"/>
          <w:sz w:val="24"/>
          <w:szCs w:val="24"/>
        </w:rPr>
        <w:t>l FMI enumera un panorama desolador en este aspecto: la pobreza sigue al alza, la clase media ha encogido hasta niveles de la década de los ochenta, la distribución de la renta y de la riqueza se encuentra altamente polarizada, y el porcentaje de ingresos que se lleva el factor trabajo es un 5% más bajo que hace quince años. “Todos los avances logrados para reducir la pobreza desde los años 90 se han diluido”, sostiene.</w:t>
      </w:r>
    </w:p>
    <w:p w:rsidR="00DE7D3F" w:rsidRPr="00C844B9" w:rsidRDefault="00DE7D3F" w:rsidP="005C58D4">
      <w:pPr>
        <w:shd w:val="clear" w:color="auto" w:fill="FFFFFF"/>
        <w:spacing w:after="0" w:line="240" w:lineRule="auto"/>
        <w:jc w:val="both"/>
        <w:textAlignment w:val="baseline"/>
        <w:rPr>
          <w:rFonts w:ascii="Times New Roman" w:eastAsia="Times New Roman" w:hAnsi="Times New Roman" w:cs="Times New Roman"/>
          <w:sz w:val="24"/>
          <w:szCs w:val="24"/>
        </w:rPr>
      </w:pPr>
    </w:p>
    <w:p w:rsidR="005D2411" w:rsidRPr="005D2411" w:rsidRDefault="005D2411" w:rsidP="005C58D4">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5D2411">
        <w:rPr>
          <w:rFonts w:ascii="Times New Roman" w:eastAsia="Times New Roman" w:hAnsi="Times New Roman" w:cs="Times New Roman"/>
          <w:sz w:val="24"/>
          <w:szCs w:val="24"/>
          <w:lang w:val="en-US"/>
        </w:rPr>
        <w:t>4 - (Pew Research Center - 1/11/17) Wealth gaps between upper-income families and lower-and middle-income families are highest levels recorder.</w:t>
      </w:r>
    </w:p>
    <w:p w:rsidR="005D2411" w:rsidRDefault="005D2411" w:rsidP="005C58D4">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5D2411" w:rsidRDefault="005D2411" w:rsidP="005C58D4">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Median net worth of upper-income families is… times greater than that of middle-and lower-income families</w:t>
      </w:r>
    </w:p>
    <w:p w:rsidR="005D2411" w:rsidRDefault="005D2411" w:rsidP="005C58D4">
      <w:pPr>
        <w:shd w:val="clear" w:color="auto" w:fill="FFFFFF"/>
        <w:spacing w:after="0" w:line="240" w:lineRule="auto"/>
        <w:jc w:val="both"/>
        <w:textAlignment w:val="baseline"/>
        <w:rPr>
          <w:rFonts w:ascii="Times New Roman" w:eastAsia="Times New Roman" w:hAnsi="Times New Roman" w:cs="Times New Roman"/>
          <w:sz w:val="24"/>
          <w:szCs w:val="24"/>
          <w:lang w:val="en-US"/>
        </w:rPr>
      </w:pPr>
    </w:p>
    <w:tbl>
      <w:tblPr>
        <w:tblW w:w="6180" w:type="dxa"/>
        <w:tblInd w:w="55" w:type="dxa"/>
        <w:tblCellMar>
          <w:left w:w="70" w:type="dxa"/>
          <w:right w:w="70" w:type="dxa"/>
        </w:tblCellMar>
        <w:tblLook w:val="04A0" w:firstRow="1" w:lastRow="0" w:firstColumn="1" w:lastColumn="0" w:noHBand="0" w:noVBand="1"/>
      </w:tblPr>
      <w:tblGrid>
        <w:gridCol w:w="2580"/>
        <w:gridCol w:w="1200"/>
        <w:gridCol w:w="1200"/>
        <w:gridCol w:w="1200"/>
      </w:tblGrid>
      <w:tr w:rsidR="005D2411" w:rsidRPr="005D2411" w:rsidTr="005D2411">
        <w:trPr>
          <w:trHeight w:val="315"/>
        </w:trPr>
        <w:tc>
          <w:tcPr>
            <w:tcW w:w="2580" w:type="dxa"/>
            <w:tcBorders>
              <w:top w:val="nil"/>
              <w:left w:val="nil"/>
              <w:bottom w:val="nil"/>
              <w:right w:val="nil"/>
            </w:tcBorders>
            <w:shd w:val="clear" w:color="auto" w:fill="auto"/>
            <w:noWrap/>
            <w:vAlign w:val="bottom"/>
            <w:hideMark/>
          </w:tcPr>
          <w:p w:rsidR="005D2411" w:rsidRPr="0048192E" w:rsidRDefault="005D2411" w:rsidP="005D2411">
            <w:pPr>
              <w:spacing w:after="0" w:line="240" w:lineRule="auto"/>
              <w:jc w:val="center"/>
              <w:rPr>
                <w:rFonts w:ascii="Times New Roman" w:eastAsia="Times New Roman" w:hAnsi="Times New Roman" w:cs="Times New Roman"/>
                <w:b/>
                <w:bCs/>
                <w:color w:val="000000"/>
                <w:sz w:val="24"/>
                <w:szCs w:val="24"/>
                <w:lang w:val="en-US" w:eastAsia="es-ES"/>
              </w:rPr>
            </w:pP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r w:rsidRPr="005D2411">
              <w:rPr>
                <w:rFonts w:ascii="Times New Roman" w:eastAsia="Times New Roman" w:hAnsi="Times New Roman" w:cs="Times New Roman"/>
                <w:color w:val="000000"/>
                <w:sz w:val="24"/>
                <w:szCs w:val="24"/>
                <w:lang w:eastAsia="es-ES"/>
              </w:rPr>
              <w:t>2007</w:t>
            </w: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r w:rsidRPr="005D2411">
              <w:rPr>
                <w:rFonts w:ascii="Times New Roman" w:eastAsia="Times New Roman" w:hAnsi="Times New Roman" w:cs="Times New Roman"/>
                <w:color w:val="000000"/>
                <w:sz w:val="24"/>
                <w:szCs w:val="24"/>
                <w:lang w:eastAsia="es-ES"/>
              </w:rPr>
              <w:t>2013</w:t>
            </w: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r w:rsidRPr="005D2411">
              <w:rPr>
                <w:rFonts w:ascii="Times New Roman" w:eastAsia="Times New Roman" w:hAnsi="Times New Roman" w:cs="Times New Roman"/>
                <w:color w:val="000000"/>
                <w:sz w:val="24"/>
                <w:szCs w:val="24"/>
                <w:lang w:eastAsia="es-ES"/>
              </w:rPr>
              <w:t>2016</w:t>
            </w:r>
          </w:p>
        </w:tc>
      </w:tr>
      <w:tr w:rsidR="005D2411" w:rsidRPr="005D2411" w:rsidTr="005D2411">
        <w:trPr>
          <w:trHeight w:val="315"/>
        </w:trPr>
        <w:tc>
          <w:tcPr>
            <w:tcW w:w="258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rPr>
                <w:rFonts w:ascii="Times New Roman" w:eastAsia="Times New Roman" w:hAnsi="Times New Roman" w:cs="Times New Roman"/>
                <w:color w:val="000000"/>
                <w:sz w:val="24"/>
                <w:szCs w:val="24"/>
                <w:lang w:eastAsia="es-ES"/>
              </w:rPr>
            </w:pPr>
          </w:p>
        </w:tc>
      </w:tr>
      <w:tr w:rsidR="005D2411" w:rsidRPr="005D2411" w:rsidTr="005D2411">
        <w:trPr>
          <w:trHeight w:val="315"/>
        </w:trPr>
        <w:tc>
          <w:tcPr>
            <w:tcW w:w="258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rPr>
                <w:rFonts w:ascii="Times New Roman" w:eastAsia="Times New Roman" w:hAnsi="Times New Roman" w:cs="Times New Roman"/>
                <w:color w:val="000000"/>
                <w:sz w:val="24"/>
                <w:szCs w:val="24"/>
                <w:lang w:eastAsia="es-ES"/>
              </w:rPr>
            </w:pPr>
            <w:r w:rsidRPr="005D2411">
              <w:rPr>
                <w:rFonts w:ascii="Times New Roman" w:eastAsia="Times New Roman" w:hAnsi="Times New Roman" w:cs="Times New Roman"/>
                <w:color w:val="000000"/>
                <w:sz w:val="24"/>
                <w:szCs w:val="24"/>
                <w:lang w:eastAsia="es-ES"/>
              </w:rPr>
              <w:t>Upper-to lower income</w:t>
            </w: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r w:rsidRPr="005D2411">
              <w:rPr>
                <w:rFonts w:ascii="Times New Roman" w:eastAsia="Times New Roman" w:hAnsi="Times New Roman" w:cs="Times New Roman"/>
                <w:color w:val="000000"/>
                <w:sz w:val="24"/>
                <w:szCs w:val="24"/>
                <w:lang w:eastAsia="es-ES"/>
              </w:rPr>
              <w:t>40</w:t>
            </w: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r w:rsidRPr="005D2411">
              <w:rPr>
                <w:rFonts w:ascii="Times New Roman" w:eastAsia="Times New Roman" w:hAnsi="Times New Roman" w:cs="Times New Roman"/>
                <w:color w:val="000000"/>
                <w:sz w:val="24"/>
                <w:szCs w:val="24"/>
                <w:lang w:eastAsia="es-ES"/>
              </w:rPr>
              <w:t>88,7</w:t>
            </w: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r w:rsidRPr="005D2411">
              <w:rPr>
                <w:rFonts w:ascii="Times New Roman" w:eastAsia="Times New Roman" w:hAnsi="Times New Roman" w:cs="Times New Roman"/>
                <w:color w:val="000000"/>
                <w:sz w:val="24"/>
                <w:szCs w:val="24"/>
                <w:lang w:eastAsia="es-ES"/>
              </w:rPr>
              <w:t>75</w:t>
            </w:r>
          </w:p>
        </w:tc>
      </w:tr>
      <w:tr w:rsidR="005D2411" w:rsidRPr="005D2411" w:rsidTr="005D2411">
        <w:trPr>
          <w:trHeight w:val="315"/>
        </w:trPr>
        <w:tc>
          <w:tcPr>
            <w:tcW w:w="258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p>
        </w:tc>
      </w:tr>
      <w:tr w:rsidR="005D2411" w:rsidRPr="005D2411" w:rsidTr="005D2411">
        <w:trPr>
          <w:trHeight w:val="315"/>
        </w:trPr>
        <w:tc>
          <w:tcPr>
            <w:tcW w:w="258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rPr>
                <w:rFonts w:ascii="Times New Roman" w:eastAsia="Times New Roman" w:hAnsi="Times New Roman" w:cs="Times New Roman"/>
                <w:color w:val="000000"/>
                <w:sz w:val="24"/>
                <w:szCs w:val="24"/>
                <w:lang w:eastAsia="es-ES"/>
              </w:rPr>
            </w:pPr>
            <w:r w:rsidRPr="005D2411">
              <w:rPr>
                <w:rFonts w:ascii="Times New Roman" w:eastAsia="Times New Roman" w:hAnsi="Times New Roman" w:cs="Times New Roman"/>
                <w:color w:val="000000"/>
                <w:sz w:val="24"/>
                <w:szCs w:val="24"/>
                <w:lang w:eastAsia="es-ES"/>
              </w:rPr>
              <w:t>Upper-to middle income</w:t>
            </w: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r w:rsidRPr="005D2411">
              <w:rPr>
                <w:rFonts w:ascii="Times New Roman" w:eastAsia="Times New Roman" w:hAnsi="Times New Roman" w:cs="Times New Roman"/>
                <w:color w:val="000000"/>
                <w:sz w:val="24"/>
                <w:szCs w:val="24"/>
                <w:lang w:eastAsia="es-ES"/>
              </w:rPr>
              <w:t>4,5</w:t>
            </w: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r w:rsidRPr="005D2411">
              <w:rPr>
                <w:rFonts w:ascii="Times New Roman" w:eastAsia="Times New Roman" w:hAnsi="Times New Roman" w:cs="Times New Roman"/>
                <w:color w:val="000000"/>
                <w:sz w:val="24"/>
                <w:szCs w:val="24"/>
                <w:lang w:eastAsia="es-ES"/>
              </w:rPr>
              <w:t>6,6</w:t>
            </w:r>
          </w:p>
        </w:tc>
        <w:tc>
          <w:tcPr>
            <w:tcW w:w="1200" w:type="dxa"/>
            <w:tcBorders>
              <w:top w:val="nil"/>
              <w:left w:val="nil"/>
              <w:bottom w:val="nil"/>
              <w:right w:val="nil"/>
            </w:tcBorders>
            <w:shd w:val="clear" w:color="auto" w:fill="auto"/>
            <w:noWrap/>
            <w:vAlign w:val="bottom"/>
            <w:hideMark/>
          </w:tcPr>
          <w:p w:rsidR="005D2411" w:rsidRPr="005D2411" w:rsidRDefault="005D2411" w:rsidP="005D2411">
            <w:pPr>
              <w:spacing w:after="0" w:line="240" w:lineRule="auto"/>
              <w:jc w:val="center"/>
              <w:rPr>
                <w:rFonts w:ascii="Times New Roman" w:eastAsia="Times New Roman" w:hAnsi="Times New Roman" w:cs="Times New Roman"/>
                <w:color w:val="000000"/>
                <w:sz w:val="24"/>
                <w:szCs w:val="24"/>
                <w:lang w:eastAsia="es-ES"/>
              </w:rPr>
            </w:pPr>
            <w:r w:rsidRPr="005D2411">
              <w:rPr>
                <w:rFonts w:ascii="Times New Roman" w:eastAsia="Times New Roman" w:hAnsi="Times New Roman" w:cs="Times New Roman"/>
                <w:color w:val="000000"/>
                <w:sz w:val="24"/>
                <w:szCs w:val="24"/>
                <w:lang w:eastAsia="es-ES"/>
              </w:rPr>
              <w:t>7,4</w:t>
            </w:r>
          </w:p>
        </w:tc>
      </w:tr>
    </w:tbl>
    <w:p w:rsidR="005D2411" w:rsidRDefault="005D2411" w:rsidP="005C58D4">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5D2411" w:rsidRDefault="005D2411" w:rsidP="005C58D4">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A3163C" w:rsidRDefault="00A3163C" w:rsidP="00A3163C">
      <w:pPr>
        <w:spacing w:line="240" w:lineRule="auto"/>
        <w:jc w:val="both"/>
        <w:rPr>
          <w:rFonts w:ascii="Times New Roman" w:hAnsi="Times New Roman" w:cs="Times New Roman"/>
          <w:b/>
          <w:sz w:val="24"/>
          <w:szCs w:val="24"/>
        </w:rPr>
      </w:pPr>
      <w:r w:rsidRPr="005C58D4">
        <w:rPr>
          <w:rFonts w:ascii="Times New Roman" w:hAnsi="Times New Roman" w:cs="Times New Roman"/>
          <w:b/>
          <w:sz w:val="24"/>
          <w:szCs w:val="24"/>
        </w:rPr>
        <w:t>Datos ex</w:t>
      </w:r>
      <w:r>
        <w:rPr>
          <w:rFonts w:ascii="Times New Roman" w:hAnsi="Times New Roman" w:cs="Times New Roman"/>
          <w:b/>
          <w:sz w:val="24"/>
          <w:szCs w:val="24"/>
        </w:rPr>
        <w:t>traídos del Apartado sobre Unión Europea</w:t>
      </w:r>
      <w:r w:rsidRPr="005C58D4">
        <w:rPr>
          <w:rFonts w:ascii="Times New Roman" w:hAnsi="Times New Roman" w:cs="Times New Roman"/>
          <w:b/>
          <w:sz w:val="24"/>
          <w:szCs w:val="24"/>
        </w:rPr>
        <w:t xml:space="preserve"> (anticipo de mayor información)</w:t>
      </w:r>
    </w:p>
    <w:p w:rsidR="00A3163C" w:rsidRDefault="00A3163C" w:rsidP="00A3163C">
      <w:pPr>
        <w:spacing w:line="240" w:lineRule="auto"/>
        <w:jc w:val="both"/>
        <w:rPr>
          <w:rFonts w:ascii="Times New Roman" w:hAnsi="Times New Roman" w:cs="Times New Roman"/>
          <w:sz w:val="24"/>
          <w:szCs w:val="24"/>
        </w:rPr>
      </w:pPr>
      <w:r w:rsidRPr="00A3163C">
        <w:rPr>
          <w:rFonts w:ascii="Times New Roman" w:hAnsi="Times New Roman" w:cs="Times New Roman"/>
          <w:sz w:val="24"/>
          <w:szCs w:val="24"/>
        </w:rPr>
        <w:t>1 - (Noticias ONU - 23/11/16)</w:t>
      </w:r>
      <w:r>
        <w:rPr>
          <w:rFonts w:ascii="Times New Roman" w:hAnsi="Times New Roman" w:cs="Times New Roman"/>
          <w:sz w:val="24"/>
          <w:szCs w:val="24"/>
        </w:rPr>
        <w:t xml:space="preserve"> </w:t>
      </w:r>
      <w:r w:rsidRPr="00A3163C">
        <w:rPr>
          <w:rFonts w:ascii="Times New Roman" w:hAnsi="Times New Roman" w:cs="Times New Roman"/>
          <w:sz w:val="24"/>
          <w:szCs w:val="24"/>
        </w:rPr>
        <w:t>La clase media en Europa se redujo un 2,3% entre 2004 y 2011, una contracción que ha continuado desde entonces y que afecta sobre todo a los jóvenes, según un estudio de la Organización Internacional del Trabajo (OIT) y la editorial Edward Elgar Publishing</w:t>
      </w:r>
      <w:r>
        <w:rPr>
          <w:rFonts w:ascii="Times New Roman" w:hAnsi="Times New Roman" w:cs="Times New Roman"/>
          <w:sz w:val="24"/>
          <w:szCs w:val="24"/>
        </w:rPr>
        <w:t xml:space="preserve">. </w:t>
      </w:r>
      <w:r w:rsidRPr="00A3163C">
        <w:rPr>
          <w:rFonts w:ascii="Times New Roman" w:hAnsi="Times New Roman" w:cs="Times New Roman"/>
          <w:sz w:val="24"/>
          <w:szCs w:val="24"/>
        </w:rPr>
        <w:t>El estudio muestra, además, que el ingreso medio por el cual definimos la clase media</w:t>
      </w:r>
      <w:r w:rsidR="000D5686">
        <w:rPr>
          <w:rFonts w:ascii="Times New Roman" w:hAnsi="Times New Roman" w:cs="Times New Roman"/>
          <w:sz w:val="24"/>
          <w:szCs w:val="24"/>
        </w:rPr>
        <w:t xml:space="preserve"> (los hogar</w:t>
      </w:r>
      <w:r>
        <w:rPr>
          <w:rFonts w:ascii="Times New Roman" w:hAnsi="Times New Roman" w:cs="Times New Roman"/>
          <w:sz w:val="24"/>
          <w:szCs w:val="24"/>
        </w:rPr>
        <w:t>es con salarios entre el 80% y el 120% de los ingresos medios en el continente)</w:t>
      </w:r>
      <w:r w:rsidRPr="00A3163C">
        <w:rPr>
          <w:rFonts w:ascii="Times New Roman" w:hAnsi="Times New Roman" w:cs="Times New Roman"/>
          <w:sz w:val="24"/>
          <w:szCs w:val="24"/>
        </w:rPr>
        <w:t xml:space="preserve"> disminuyó durante la crisis económica, </w:t>
      </w:r>
      <w:r>
        <w:rPr>
          <w:rFonts w:ascii="Times New Roman" w:hAnsi="Times New Roman" w:cs="Times New Roman"/>
          <w:sz w:val="24"/>
          <w:szCs w:val="24"/>
        </w:rPr>
        <w:t>en particular entre 2008 y 2011.</w:t>
      </w:r>
    </w:p>
    <w:p w:rsidR="00A3163C" w:rsidRDefault="00A3163C" w:rsidP="00A3163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2 - (eldiario.es - 24/4/17) </w:t>
      </w:r>
      <w:r w:rsidRPr="00A3163C">
        <w:rPr>
          <w:rFonts w:ascii="Times New Roman" w:hAnsi="Times New Roman" w:cs="Times New Roman"/>
          <w:sz w:val="24"/>
          <w:szCs w:val="24"/>
        </w:rPr>
        <w:t xml:space="preserve">La proporción de adultos que viven en hogares considerados de clase media aumentaron en Francia, los Países Bajos y el Reino Unido, pero se redujeron en </w:t>
      </w:r>
      <w:r w:rsidRPr="00A3163C">
        <w:rPr>
          <w:rFonts w:ascii="Times New Roman" w:hAnsi="Times New Roman" w:cs="Times New Roman"/>
          <w:sz w:val="24"/>
          <w:szCs w:val="24"/>
        </w:rPr>
        <w:lastRenderedPageBreak/>
        <w:t>Alemania, Italia y España entre 1991 y 2010, según arroja un estudio publicado hoy por el Centro de Estudios Pew</w:t>
      </w:r>
      <w:r>
        <w:rPr>
          <w:rFonts w:ascii="Times New Roman" w:hAnsi="Times New Roman" w:cs="Times New Roman"/>
          <w:sz w:val="24"/>
          <w:szCs w:val="24"/>
        </w:rPr>
        <w:t xml:space="preserve">… </w:t>
      </w:r>
      <w:r w:rsidRPr="00A3163C">
        <w:rPr>
          <w:rFonts w:ascii="Times New Roman" w:hAnsi="Times New Roman" w:cs="Times New Roman"/>
          <w:sz w:val="24"/>
          <w:szCs w:val="24"/>
        </w:rPr>
        <w:t>“En general, la participación de la clase media en la población adulta disminuyó en siete de los once países de Europa Occidental examinados, reflejando la contracción a largo plazo de la clase media en Esta</w:t>
      </w:r>
      <w:r>
        <w:rPr>
          <w:rFonts w:ascii="Times New Roman" w:hAnsi="Times New Roman" w:cs="Times New Roman"/>
          <w:sz w:val="24"/>
          <w:szCs w:val="24"/>
        </w:rPr>
        <w:t xml:space="preserve">dos Unidos”, apuntó el estudio. </w:t>
      </w:r>
      <w:r w:rsidRPr="00A3163C">
        <w:rPr>
          <w:rFonts w:ascii="Times New Roman" w:hAnsi="Times New Roman" w:cs="Times New Roman"/>
          <w:sz w:val="24"/>
          <w:szCs w:val="24"/>
        </w:rPr>
        <w:t>Al mismo tiempo, hay tendencia a la baja en la escala de ingresos en la mayoría de los países con una clase media cada vez más reducida.</w:t>
      </w:r>
    </w:p>
    <w:p w:rsidR="00A3163C" w:rsidRDefault="00A3163C" w:rsidP="00A3163C">
      <w:pPr>
        <w:spacing w:line="240" w:lineRule="auto"/>
        <w:jc w:val="both"/>
        <w:rPr>
          <w:rFonts w:ascii="Times New Roman" w:hAnsi="Times New Roman" w:cs="Times New Roman"/>
          <w:sz w:val="24"/>
          <w:szCs w:val="24"/>
          <w:lang w:val="en-US"/>
        </w:rPr>
      </w:pPr>
      <w:r w:rsidRPr="00A3163C">
        <w:rPr>
          <w:rFonts w:ascii="Times New Roman" w:hAnsi="Times New Roman" w:cs="Times New Roman"/>
          <w:sz w:val="24"/>
          <w:szCs w:val="24"/>
          <w:lang w:val="en-US"/>
        </w:rPr>
        <w:t>3 - (Pew Research Center - 24/4/17)</w:t>
      </w:r>
      <w:r w:rsidR="00C64591">
        <w:rPr>
          <w:rFonts w:ascii="Times New Roman" w:hAnsi="Times New Roman" w:cs="Times New Roman"/>
          <w:sz w:val="24"/>
          <w:szCs w:val="24"/>
          <w:lang w:val="en-US"/>
        </w:rPr>
        <w:t xml:space="preserve"> </w:t>
      </w:r>
      <w:r w:rsidRPr="00A3163C">
        <w:rPr>
          <w:rFonts w:ascii="Times New Roman" w:hAnsi="Times New Roman" w:cs="Times New Roman"/>
          <w:sz w:val="24"/>
          <w:szCs w:val="24"/>
          <w:lang w:val="en-US"/>
        </w:rPr>
        <w:t>The fortunes of the middle classes across Western Europe are moving in different directions</w:t>
      </w:r>
      <w:r>
        <w:rPr>
          <w:rFonts w:ascii="Times New Roman" w:hAnsi="Times New Roman" w:cs="Times New Roman"/>
          <w:sz w:val="24"/>
          <w:szCs w:val="24"/>
          <w:lang w:val="en-US"/>
        </w:rPr>
        <w:t>.</w:t>
      </w:r>
    </w:p>
    <w:p w:rsidR="00A3163C" w:rsidRDefault="00A3163C" w:rsidP="00A3163C">
      <w:pPr>
        <w:pStyle w:val="Prrafodelista"/>
        <w:numPr>
          <w:ilvl w:val="0"/>
          <w:numId w:val="5"/>
        </w:numPr>
        <w:spacing w:line="240" w:lineRule="auto"/>
        <w:jc w:val="both"/>
        <w:rPr>
          <w:rFonts w:ascii="Times New Roman" w:hAnsi="Times New Roman" w:cs="Times New Roman"/>
          <w:sz w:val="24"/>
          <w:szCs w:val="24"/>
          <w:lang w:val="en-US"/>
        </w:rPr>
      </w:pPr>
      <w:r w:rsidRPr="00A3163C">
        <w:rPr>
          <w:rFonts w:ascii="Times New Roman" w:hAnsi="Times New Roman" w:cs="Times New Roman"/>
          <w:sz w:val="24"/>
          <w:szCs w:val="24"/>
          <w:lang w:val="en-US"/>
        </w:rPr>
        <w:t>Among Western Europe’s six largest economies, the shares of adults living in middle-income households increased in France, the Netherlands and the United Kingdom, but they shrank in Germany, Italy and Spain.</w:t>
      </w:r>
    </w:p>
    <w:p w:rsidR="00DE7D3F" w:rsidRDefault="00DE7D3F" w:rsidP="00DE7D3F">
      <w:pPr>
        <w:pStyle w:val="Prrafodelista"/>
        <w:spacing w:line="240" w:lineRule="auto"/>
        <w:ind w:left="1065"/>
        <w:jc w:val="both"/>
        <w:rPr>
          <w:rFonts w:ascii="Times New Roman" w:hAnsi="Times New Roman" w:cs="Times New Roman"/>
          <w:sz w:val="24"/>
          <w:szCs w:val="24"/>
          <w:lang w:val="en-US"/>
        </w:rPr>
      </w:pPr>
    </w:p>
    <w:p w:rsidR="00DE7D3F" w:rsidRDefault="00C05493" w:rsidP="00DE7D3F">
      <w:pPr>
        <w:pStyle w:val="Prrafodelista"/>
        <w:numPr>
          <w:ilvl w:val="0"/>
          <w:numId w:val="5"/>
        </w:numPr>
        <w:spacing w:line="240" w:lineRule="auto"/>
        <w:jc w:val="both"/>
        <w:rPr>
          <w:rFonts w:ascii="Times New Roman" w:hAnsi="Times New Roman" w:cs="Times New Roman"/>
          <w:sz w:val="24"/>
          <w:szCs w:val="24"/>
          <w:lang w:val="en-US"/>
        </w:rPr>
      </w:pPr>
      <w:r w:rsidRPr="00C05493">
        <w:rPr>
          <w:rFonts w:ascii="Times New Roman" w:hAnsi="Times New Roman" w:cs="Times New Roman"/>
          <w:sz w:val="24"/>
          <w:szCs w:val="24"/>
          <w:lang w:val="en-US"/>
        </w:rPr>
        <w:t>In most countries studied, decreasing shares of middle-income populations led to rising shares of adults in lower- and upper-income tiers.</w:t>
      </w:r>
    </w:p>
    <w:p w:rsidR="00DE7D3F" w:rsidRPr="00DE7D3F" w:rsidRDefault="00DE7D3F" w:rsidP="00DE7D3F">
      <w:pPr>
        <w:pStyle w:val="Prrafodelista"/>
        <w:rPr>
          <w:rFonts w:ascii="Times New Roman" w:hAnsi="Times New Roman" w:cs="Times New Roman"/>
          <w:sz w:val="24"/>
          <w:szCs w:val="24"/>
          <w:lang w:val="en-US"/>
        </w:rPr>
      </w:pPr>
    </w:p>
    <w:p w:rsidR="00C05493" w:rsidRDefault="00C05493" w:rsidP="00DE7D3F">
      <w:pPr>
        <w:pStyle w:val="Prrafodelista"/>
        <w:numPr>
          <w:ilvl w:val="0"/>
          <w:numId w:val="5"/>
        </w:numPr>
        <w:spacing w:line="240" w:lineRule="auto"/>
        <w:jc w:val="both"/>
        <w:rPr>
          <w:rFonts w:ascii="Times New Roman" w:hAnsi="Times New Roman" w:cs="Times New Roman"/>
          <w:sz w:val="24"/>
          <w:szCs w:val="24"/>
          <w:lang w:val="en-US"/>
        </w:rPr>
      </w:pPr>
      <w:r w:rsidRPr="00DE7D3F">
        <w:rPr>
          <w:rFonts w:ascii="Times New Roman" w:hAnsi="Times New Roman" w:cs="Times New Roman"/>
          <w:sz w:val="24"/>
          <w:szCs w:val="24"/>
          <w:lang w:val="en-US"/>
        </w:rPr>
        <w:t>Compared with Western Europe, the U.S. middle class is smaller.</w:t>
      </w:r>
    </w:p>
    <w:p w:rsidR="00DE7D3F" w:rsidRPr="00DE7D3F" w:rsidRDefault="00DE7D3F" w:rsidP="00DE7D3F">
      <w:pPr>
        <w:pStyle w:val="Prrafodelista"/>
        <w:rPr>
          <w:rFonts w:ascii="Times New Roman" w:hAnsi="Times New Roman" w:cs="Times New Roman"/>
          <w:sz w:val="24"/>
          <w:szCs w:val="24"/>
          <w:lang w:val="en-US"/>
        </w:rPr>
      </w:pPr>
    </w:p>
    <w:p w:rsidR="00C05493" w:rsidRDefault="00C05493" w:rsidP="00DE7D3F">
      <w:pPr>
        <w:pStyle w:val="Prrafodelista"/>
        <w:numPr>
          <w:ilvl w:val="0"/>
          <w:numId w:val="5"/>
        </w:numPr>
        <w:spacing w:line="240" w:lineRule="auto"/>
        <w:jc w:val="both"/>
        <w:rPr>
          <w:rFonts w:ascii="Times New Roman" w:hAnsi="Times New Roman" w:cs="Times New Roman"/>
          <w:sz w:val="24"/>
          <w:szCs w:val="24"/>
          <w:lang w:val="en-US"/>
        </w:rPr>
      </w:pPr>
      <w:r w:rsidRPr="00DE7D3F">
        <w:rPr>
          <w:rFonts w:ascii="Times New Roman" w:hAnsi="Times New Roman" w:cs="Times New Roman"/>
          <w:sz w:val="24"/>
          <w:szCs w:val="24"/>
          <w:lang w:val="en-US"/>
        </w:rPr>
        <w:t xml:space="preserve">Compared with the U.S., middle-class households in many Western European </w:t>
      </w:r>
      <w:r w:rsidR="00DE7D3F" w:rsidRPr="00DE7D3F">
        <w:rPr>
          <w:rFonts w:ascii="Times New Roman" w:hAnsi="Times New Roman" w:cs="Times New Roman"/>
          <w:sz w:val="24"/>
          <w:szCs w:val="24"/>
          <w:lang w:val="en-US"/>
        </w:rPr>
        <w:t xml:space="preserve"> </w:t>
      </w:r>
      <w:r w:rsidRPr="00DE7D3F">
        <w:rPr>
          <w:rFonts w:ascii="Times New Roman" w:hAnsi="Times New Roman" w:cs="Times New Roman"/>
          <w:sz w:val="24"/>
          <w:szCs w:val="24"/>
          <w:lang w:val="en-US"/>
        </w:rPr>
        <w:t>countries experienced a greater increase in income.</w:t>
      </w:r>
    </w:p>
    <w:p w:rsidR="00DE7D3F" w:rsidRPr="00DE7D3F" w:rsidRDefault="00DE7D3F" w:rsidP="00DE7D3F">
      <w:pPr>
        <w:pStyle w:val="Prrafodelista"/>
        <w:rPr>
          <w:rFonts w:ascii="Times New Roman" w:hAnsi="Times New Roman" w:cs="Times New Roman"/>
          <w:sz w:val="24"/>
          <w:szCs w:val="24"/>
          <w:lang w:val="en-US"/>
        </w:rPr>
      </w:pPr>
    </w:p>
    <w:p w:rsidR="00C05493" w:rsidRDefault="00C05493" w:rsidP="00DE7D3F">
      <w:pPr>
        <w:pStyle w:val="Prrafodelista"/>
        <w:numPr>
          <w:ilvl w:val="0"/>
          <w:numId w:val="5"/>
        </w:numPr>
        <w:spacing w:line="240" w:lineRule="auto"/>
        <w:jc w:val="both"/>
        <w:rPr>
          <w:rFonts w:ascii="Times New Roman" w:hAnsi="Times New Roman" w:cs="Times New Roman"/>
          <w:sz w:val="24"/>
          <w:szCs w:val="24"/>
          <w:lang w:val="en-US"/>
        </w:rPr>
      </w:pPr>
      <w:r w:rsidRPr="00DE7D3F">
        <w:rPr>
          <w:rFonts w:ascii="Times New Roman" w:hAnsi="Times New Roman" w:cs="Times New Roman"/>
          <w:sz w:val="24"/>
          <w:szCs w:val="24"/>
          <w:lang w:val="en-US"/>
        </w:rPr>
        <w:t>In most countries examined, the share of the country’s aggregate household income held by middle-income households fell from 1991 to 2010.</w:t>
      </w:r>
    </w:p>
    <w:p w:rsidR="00DE7D3F" w:rsidRPr="00DE7D3F" w:rsidRDefault="00DE7D3F" w:rsidP="00DE7D3F">
      <w:pPr>
        <w:pStyle w:val="Prrafodelista"/>
        <w:rPr>
          <w:rFonts w:ascii="Times New Roman" w:hAnsi="Times New Roman" w:cs="Times New Roman"/>
          <w:sz w:val="24"/>
          <w:szCs w:val="24"/>
          <w:lang w:val="en-US"/>
        </w:rPr>
      </w:pPr>
    </w:p>
    <w:p w:rsidR="00C05493" w:rsidRPr="00DE7D3F" w:rsidRDefault="00C05493" w:rsidP="00DE7D3F">
      <w:pPr>
        <w:pStyle w:val="Prrafodelista"/>
        <w:numPr>
          <w:ilvl w:val="0"/>
          <w:numId w:val="5"/>
        </w:numPr>
        <w:spacing w:line="240" w:lineRule="auto"/>
        <w:jc w:val="both"/>
        <w:rPr>
          <w:rFonts w:ascii="Times New Roman" w:hAnsi="Times New Roman" w:cs="Times New Roman"/>
          <w:sz w:val="24"/>
          <w:szCs w:val="24"/>
          <w:lang w:val="en-US"/>
        </w:rPr>
      </w:pPr>
      <w:r w:rsidRPr="00DE7D3F">
        <w:rPr>
          <w:rFonts w:ascii="Times New Roman" w:hAnsi="Times New Roman" w:cs="Times New Roman"/>
          <w:sz w:val="24"/>
          <w:szCs w:val="24"/>
          <w:lang w:val="en-US"/>
        </w:rPr>
        <w:t>Income inequality is related to the size of the middle class in a country.</w:t>
      </w:r>
    </w:p>
    <w:p w:rsidR="003B2968" w:rsidRPr="003B2968" w:rsidRDefault="00C64591" w:rsidP="003B2968">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4 - </w:t>
      </w:r>
      <w:r w:rsidRPr="00A3163C">
        <w:rPr>
          <w:rFonts w:ascii="Times New Roman" w:hAnsi="Times New Roman" w:cs="Times New Roman"/>
          <w:sz w:val="24"/>
          <w:szCs w:val="24"/>
          <w:lang w:val="en-US"/>
        </w:rPr>
        <w:t>(Pew Research Center - 24/4/17)</w:t>
      </w:r>
      <w:r w:rsidR="003B2968">
        <w:rPr>
          <w:rFonts w:ascii="Times New Roman" w:hAnsi="Times New Roman" w:cs="Times New Roman"/>
          <w:sz w:val="24"/>
          <w:szCs w:val="24"/>
          <w:lang w:val="en-US"/>
        </w:rPr>
        <w:t xml:space="preserve"> </w:t>
      </w:r>
      <w:r w:rsidR="003B2968" w:rsidRPr="003B2968">
        <w:rPr>
          <w:rFonts w:ascii="Times New Roman" w:hAnsi="Times New Roman" w:cs="Times New Roman"/>
          <w:sz w:val="24"/>
          <w:szCs w:val="24"/>
          <w:lang w:val="en-US"/>
        </w:rPr>
        <w:t>The role of the middle class in developed economies</w:t>
      </w:r>
      <w:r w:rsidR="003B2968">
        <w:rPr>
          <w:rFonts w:ascii="Times New Roman" w:hAnsi="Times New Roman" w:cs="Times New Roman"/>
          <w:sz w:val="24"/>
          <w:szCs w:val="24"/>
          <w:lang w:val="en-US"/>
        </w:rPr>
        <w:t>:</w:t>
      </w:r>
    </w:p>
    <w:p w:rsidR="00C64591" w:rsidRDefault="003B2968" w:rsidP="003B2968">
      <w:pPr>
        <w:spacing w:line="240" w:lineRule="auto"/>
        <w:jc w:val="both"/>
        <w:rPr>
          <w:rFonts w:ascii="Times New Roman" w:hAnsi="Times New Roman" w:cs="Times New Roman"/>
          <w:sz w:val="24"/>
          <w:szCs w:val="24"/>
          <w:lang w:val="en-US"/>
        </w:rPr>
      </w:pPr>
      <w:r w:rsidRPr="003B2968">
        <w:rPr>
          <w:rFonts w:ascii="Times New Roman" w:hAnsi="Times New Roman" w:cs="Times New Roman"/>
          <w:sz w:val="24"/>
          <w:szCs w:val="24"/>
          <w:lang w:val="en-US"/>
        </w:rPr>
        <w:t>The size and the well-being of the middle class are intertwined with some of the key economic challenges facing the developed world this century - income inequality is rising in many countries, economic growth is anemic, and economic mobil</w:t>
      </w:r>
      <w:r>
        <w:rPr>
          <w:rFonts w:ascii="Times New Roman" w:hAnsi="Times New Roman" w:cs="Times New Roman"/>
          <w:sz w:val="24"/>
          <w:szCs w:val="24"/>
          <w:lang w:val="en-US"/>
        </w:rPr>
        <w:t xml:space="preserve">ity is lesser than in the past. </w:t>
      </w:r>
      <w:r w:rsidRPr="003B2968">
        <w:rPr>
          <w:rFonts w:ascii="Times New Roman" w:hAnsi="Times New Roman" w:cs="Times New Roman"/>
          <w:sz w:val="24"/>
          <w:szCs w:val="24"/>
          <w:lang w:val="en-US"/>
        </w:rPr>
        <w:t>A smaller middle class or a relatively less well-off middle class often reflects a more unequal income distribution. In turn, increases in income inequality present an adverse climate for economic growth. A relative decline in the incomes of lower- and middle-income families may create a drag on overall consumption in the economy, lead to excessive borrowing by these families, or provide disincentives to invest in education</w:t>
      </w:r>
      <w:r>
        <w:rPr>
          <w:rFonts w:ascii="Times New Roman" w:hAnsi="Times New Roman" w:cs="Times New Roman"/>
          <w:sz w:val="24"/>
          <w:szCs w:val="24"/>
          <w:lang w:val="en-US"/>
        </w:rPr>
        <w:t xml:space="preserve">… </w:t>
      </w:r>
      <w:r w:rsidRPr="003B2968">
        <w:rPr>
          <w:rFonts w:ascii="Times New Roman" w:hAnsi="Times New Roman" w:cs="Times New Roman"/>
          <w:sz w:val="24"/>
          <w:szCs w:val="24"/>
          <w:lang w:val="en-US"/>
        </w:rPr>
        <w:t>A more vibrant middle class may also improve the economic outlook for future generations</w:t>
      </w:r>
      <w:r>
        <w:rPr>
          <w:rFonts w:ascii="Times New Roman" w:hAnsi="Times New Roman" w:cs="Times New Roman"/>
          <w:sz w:val="24"/>
          <w:szCs w:val="24"/>
          <w:lang w:val="en-US"/>
        </w:rPr>
        <w:t xml:space="preserve">… </w:t>
      </w:r>
      <w:r w:rsidRPr="003B2968">
        <w:rPr>
          <w:rFonts w:ascii="Times New Roman" w:hAnsi="Times New Roman" w:cs="Times New Roman"/>
          <w:sz w:val="24"/>
          <w:szCs w:val="24"/>
          <w:lang w:val="en-US"/>
        </w:rPr>
        <w:t>The economic concerns of the middle class, or more generally of those not in the upper-income tier, may also contribute to changes in the social and political trajectories of a country</w:t>
      </w:r>
      <w:r>
        <w:rPr>
          <w:rFonts w:ascii="Times New Roman" w:hAnsi="Times New Roman" w:cs="Times New Roman"/>
          <w:sz w:val="24"/>
          <w:szCs w:val="24"/>
          <w:lang w:val="en-US"/>
        </w:rPr>
        <w:t>…</w:t>
      </w:r>
    </w:p>
    <w:p w:rsidR="003B2968" w:rsidRDefault="003B2968" w:rsidP="003B2968">
      <w:pPr>
        <w:pStyle w:val="Prrafodelista"/>
        <w:numPr>
          <w:ilvl w:val="0"/>
          <w:numId w:val="6"/>
        </w:numPr>
        <w:spacing w:line="240" w:lineRule="auto"/>
        <w:jc w:val="both"/>
        <w:rPr>
          <w:rFonts w:ascii="Times New Roman" w:hAnsi="Times New Roman" w:cs="Times New Roman"/>
          <w:sz w:val="24"/>
          <w:szCs w:val="24"/>
          <w:lang w:val="en-US"/>
        </w:rPr>
      </w:pPr>
      <w:r w:rsidRPr="003B2968">
        <w:rPr>
          <w:rFonts w:ascii="Times New Roman" w:hAnsi="Times New Roman" w:cs="Times New Roman"/>
          <w:sz w:val="24"/>
          <w:szCs w:val="24"/>
          <w:lang w:val="en-US"/>
        </w:rPr>
        <w:t>The middle class is large in many Western European countries, but it is losing ground in places.</w:t>
      </w:r>
    </w:p>
    <w:p w:rsidR="00DE7D3F" w:rsidRPr="003B2968" w:rsidRDefault="00DE7D3F" w:rsidP="00DE7D3F">
      <w:pPr>
        <w:pStyle w:val="Prrafodelista"/>
        <w:spacing w:line="240" w:lineRule="auto"/>
        <w:ind w:left="1065"/>
        <w:jc w:val="both"/>
        <w:rPr>
          <w:rFonts w:ascii="Times New Roman" w:hAnsi="Times New Roman" w:cs="Times New Roman"/>
          <w:sz w:val="24"/>
          <w:szCs w:val="24"/>
          <w:lang w:val="en-US"/>
        </w:rPr>
      </w:pPr>
    </w:p>
    <w:p w:rsidR="00DE7D3F" w:rsidRDefault="003B2968" w:rsidP="00DE7D3F">
      <w:pPr>
        <w:pStyle w:val="Prrafodelista"/>
        <w:numPr>
          <w:ilvl w:val="0"/>
          <w:numId w:val="6"/>
        </w:numPr>
        <w:spacing w:line="240" w:lineRule="auto"/>
        <w:jc w:val="both"/>
        <w:rPr>
          <w:rFonts w:ascii="Times New Roman" w:hAnsi="Times New Roman" w:cs="Times New Roman"/>
          <w:sz w:val="24"/>
          <w:szCs w:val="24"/>
          <w:lang w:val="en-US"/>
        </w:rPr>
      </w:pPr>
      <w:r w:rsidRPr="003B2968">
        <w:rPr>
          <w:rFonts w:ascii="Times New Roman" w:hAnsi="Times New Roman" w:cs="Times New Roman"/>
          <w:sz w:val="24"/>
          <w:szCs w:val="24"/>
          <w:lang w:val="en-US"/>
        </w:rPr>
        <w:t>Many countries in Western Europe have significantly larger middle classes than the U.S.</w:t>
      </w:r>
    </w:p>
    <w:p w:rsidR="00DE7D3F" w:rsidRPr="00DE7D3F" w:rsidRDefault="00DE7D3F" w:rsidP="00DE7D3F">
      <w:pPr>
        <w:pStyle w:val="Prrafodelista"/>
        <w:rPr>
          <w:rFonts w:ascii="Times New Roman" w:hAnsi="Times New Roman" w:cs="Times New Roman"/>
          <w:sz w:val="24"/>
          <w:szCs w:val="24"/>
          <w:lang w:val="en-US"/>
        </w:rPr>
      </w:pPr>
    </w:p>
    <w:p w:rsidR="003B2968" w:rsidRDefault="003B2968" w:rsidP="00DE7D3F">
      <w:pPr>
        <w:pStyle w:val="Prrafodelista"/>
        <w:numPr>
          <w:ilvl w:val="0"/>
          <w:numId w:val="6"/>
        </w:numPr>
        <w:spacing w:line="240" w:lineRule="auto"/>
        <w:jc w:val="both"/>
        <w:rPr>
          <w:rFonts w:ascii="Times New Roman" w:hAnsi="Times New Roman" w:cs="Times New Roman"/>
          <w:sz w:val="24"/>
          <w:szCs w:val="24"/>
          <w:lang w:val="en-US"/>
        </w:rPr>
      </w:pPr>
      <w:r w:rsidRPr="00DE7D3F">
        <w:rPr>
          <w:rFonts w:ascii="Times New Roman" w:hAnsi="Times New Roman" w:cs="Times New Roman"/>
          <w:sz w:val="24"/>
          <w:szCs w:val="24"/>
          <w:lang w:val="en-US"/>
        </w:rPr>
        <w:t>The U.S. has larger lower- and upper-income tiers than the selected countries from Western Europe.</w:t>
      </w:r>
    </w:p>
    <w:p w:rsidR="00DE7D3F" w:rsidRPr="00DE7D3F" w:rsidRDefault="00DE7D3F" w:rsidP="00DE7D3F">
      <w:pPr>
        <w:pStyle w:val="Prrafodelista"/>
        <w:rPr>
          <w:rFonts w:ascii="Times New Roman" w:hAnsi="Times New Roman" w:cs="Times New Roman"/>
          <w:sz w:val="24"/>
          <w:szCs w:val="24"/>
          <w:lang w:val="en-US"/>
        </w:rPr>
      </w:pPr>
    </w:p>
    <w:p w:rsidR="003B2968" w:rsidRPr="00DE7D3F" w:rsidRDefault="003B2968" w:rsidP="00DE7D3F">
      <w:pPr>
        <w:pStyle w:val="Prrafodelista"/>
        <w:numPr>
          <w:ilvl w:val="0"/>
          <w:numId w:val="6"/>
        </w:numPr>
        <w:spacing w:line="240" w:lineRule="auto"/>
        <w:jc w:val="both"/>
        <w:rPr>
          <w:rFonts w:ascii="Times New Roman" w:hAnsi="Times New Roman" w:cs="Times New Roman"/>
          <w:sz w:val="24"/>
          <w:szCs w:val="24"/>
          <w:lang w:val="en-US"/>
        </w:rPr>
      </w:pPr>
      <w:r w:rsidRPr="00DE7D3F">
        <w:rPr>
          <w:rFonts w:ascii="Times New Roman" w:hAnsi="Times New Roman" w:cs="Times New Roman"/>
          <w:sz w:val="24"/>
          <w:szCs w:val="24"/>
          <w:lang w:val="en-US"/>
        </w:rPr>
        <w:t>Income inequality is related to the size of the middle class in a country.</w:t>
      </w:r>
    </w:p>
    <w:p w:rsidR="00BB411A" w:rsidRDefault="00BB411A" w:rsidP="00BB411A">
      <w:pPr>
        <w:pStyle w:val="Prrafodelista"/>
        <w:numPr>
          <w:ilvl w:val="0"/>
          <w:numId w:val="6"/>
        </w:numPr>
        <w:spacing w:line="240" w:lineRule="auto"/>
        <w:jc w:val="both"/>
        <w:rPr>
          <w:rFonts w:ascii="Times New Roman" w:hAnsi="Times New Roman" w:cs="Times New Roman"/>
          <w:sz w:val="24"/>
          <w:szCs w:val="24"/>
          <w:lang w:val="en-US"/>
        </w:rPr>
      </w:pPr>
      <w:r w:rsidRPr="00BB411A">
        <w:rPr>
          <w:rFonts w:ascii="Times New Roman" w:hAnsi="Times New Roman" w:cs="Times New Roman"/>
          <w:sz w:val="24"/>
          <w:szCs w:val="24"/>
          <w:lang w:val="en-US"/>
        </w:rPr>
        <w:lastRenderedPageBreak/>
        <w:t>The share of adults in middle-income households is on the decline in the majority of countries examined</w:t>
      </w:r>
      <w:r>
        <w:rPr>
          <w:rFonts w:ascii="Times New Roman" w:hAnsi="Times New Roman" w:cs="Times New Roman"/>
          <w:sz w:val="24"/>
          <w:szCs w:val="24"/>
          <w:lang w:val="en-US"/>
        </w:rPr>
        <w:t>.</w:t>
      </w:r>
    </w:p>
    <w:p w:rsidR="00DE7D3F" w:rsidRDefault="00DE7D3F" w:rsidP="00DE7D3F">
      <w:pPr>
        <w:pStyle w:val="Prrafodelista"/>
        <w:spacing w:line="240" w:lineRule="auto"/>
        <w:ind w:left="1065"/>
        <w:jc w:val="both"/>
        <w:rPr>
          <w:rFonts w:ascii="Times New Roman" w:hAnsi="Times New Roman" w:cs="Times New Roman"/>
          <w:sz w:val="24"/>
          <w:szCs w:val="24"/>
          <w:lang w:val="en-US"/>
        </w:rPr>
      </w:pPr>
    </w:p>
    <w:p w:rsidR="00BB411A" w:rsidRDefault="00BB411A" w:rsidP="00DE7D3F">
      <w:pPr>
        <w:pStyle w:val="Prrafodelista"/>
        <w:numPr>
          <w:ilvl w:val="0"/>
          <w:numId w:val="6"/>
        </w:numPr>
        <w:spacing w:line="240" w:lineRule="auto"/>
        <w:jc w:val="both"/>
        <w:rPr>
          <w:rFonts w:ascii="Times New Roman" w:hAnsi="Times New Roman" w:cs="Times New Roman"/>
          <w:sz w:val="24"/>
          <w:szCs w:val="24"/>
          <w:lang w:val="en-US"/>
        </w:rPr>
      </w:pPr>
      <w:r w:rsidRPr="00DE7D3F">
        <w:rPr>
          <w:rFonts w:ascii="Times New Roman" w:hAnsi="Times New Roman" w:cs="Times New Roman"/>
          <w:sz w:val="24"/>
          <w:szCs w:val="24"/>
          <w:lang w:val="en-US"/>
        </w:rPr>
        <w:t>More recent data for 2013 are available for eight of the 12 countries covered in this report. The period from 2010 to 2013, which encompasses the beginning of the recovery from the Great Recession, reveals little change in the trend through 2010… Most countries that experienced drops in middle-class shares from 1991 to 2010 remained on that path through 2013.</w:t>
      </w:r>
    </w:p>
    <w:p w:rsidR="00DE7D3F" w:rsidRPr="00DE7D3F" w:rsidRDefault="00DE7D3F" w:rsidP="00DE7D3F">
      <w:pPr>
        <w:pStyle w:val="Prrafodelista"/>
        <w:rPr>
          <w:rFonts w:ascii="Times New Roman" w:hAnsi="Times New Roman" w:cs="Times New Roman"/>
          <w:sz w:val="24"/>
          <w:szCs w:val="24"/>
          <w:lang w:val="en-US"/>
        </w:rPr>
      </w:pPr>
    </w:p>
    <w:p w:rsidR="00BB411A" w:rsidRPr="00DE7D3F" w:rsidRDefault="00BB411A" w:rsidP="00DE7D3F">
      <w:pPr>
        <w:pStyle w:val="Prrafodelista"/>
        <w:numPr>
          <w:ilvl w:val="0"/>
          <w:numId w:val="6"/>
        </w:numPr>
        <w:spacing w:line="240" w:lineRule="auto"/>
        <w:jc w:val="both"/>
        <w:rPr>
          <w:rFonts w:ascii="Times New Roman" w:hAnsi="Times New Roman" w:cs="Times New Roman"/>
          <w:sz w:val="24"/>
          <w:szCs w:val="24"/>
          <w:lang w:val="en-US"/>
        </w:rPr>
      </w:pPr>
      <w:r w:rsidRPr="00DE7D3F">
        <w:rPr>
          <w:rFonts w:ascii="Times New Roman" w:hAnsi="Times New Roman" w:cs="Times New Roman"/>
          <w:sz w:val="24"/>
          <w:szCs w:val="24"/>
          <w:lang w:val="en-US"/>
        </w:rPr>
        <w:t>Changes in a country’s labor market conditions are correlated with changes in the income status of adults.</w:t>
      </w:r>
    </w:p>
    <w:p w:rsidR="00C64591" w:rsidRDefault="00C64591" w:rsidP="00C05493">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5</w:t>
      </w:r>
      <w:r w:rsidR="00C05493">
        <w:rPr>
          <w:rFonts w:ascii="Times New Roman" w:hAnsi="Times New Roman" w:cs="Times New Roman"/>
          <w:sz w:val="24"/>
          <w:szCs w:val="24"/>
          <w:lang w:val="en-US"/>
        </w:rPr>
        <w:t xml:space="preserve"> - (Pew Research Center - 5/6/17) </w:t>
      </w:r>
      <w:r w:rsidRPr="00C64591">
        <w:rPr>
          <w:rFonts w:ascii="Times New Roman" w:hAnsi="Times New Roman" w:cs="Times New Roman"/>
          <w:sz w:val="24"/>
          <w:szCs w:val="24"/>
          <w:lang w:val="en-US"/>
        </w:rPr>
        <w:t>The American middle class is smaller than middle classes across Western Europe, but its income is higher</w:t>
      </w:r>
      <w:r>
        <w:rPr>
          <w:rFonts w:ascii="Times New Roman" w:hAnsi="Times New Roman" w:cs="Times New Roman"/>
          <w:sz w:val="24"/>
          <w:szCs w:val="24"/>
          <w:lang w:val="en-US"/>
        </w:rPr>
        <w:t xml:space="preserve">… </w:t>
      </w:r>
      <w:r w:rsidRPr="00C64591">
        <w:rPr>
          <w:rFonts w:ascii="Times New Roman" w:hAnsi="Times New Roman" w:cs="Times New Roman"/>
          <w:sz w:val="24"/>
          <w:szCs w:val="24"/>
          <w:lang w:val="en-US"/>
        </w:rPr>
        <w:t>While the U.S. middle class may be smaller than those in Western Europe, its standard of living -as measured by its median income- is higher</w:t>
      </w:r>
      <w:r>
        <w:rPr>
          <w:rFonts w:ascii="Times New Roman" w:hAnsi="Times New Roman" w:cs="Times New Roman"/>
          <w:sz w:val="24"/>
          <w:szCs w:val="24"/>
          <w:lang w:val="en-US"/>
        </w:rPr>
        <w:t xml:space="preserve">… </w:t>
      </w:r>
      <w:r w:rsidRPr="00C64591">
        <w:rPr>
          <w:rFonts w:ascii="Times New Roman" w:hAnsi="Times New Roman" w:cs="Times New Roman"/>
          <w:sz w:val="24"/>
          <w:szCs w:val="24"/>
          <w:lang w:val="en-US"/>
        </w:rPr>
        <w:t>When the Western European countries the Center analyzed are viewed through the lens of middle-class incomes in the U.S., the share of adults who are middle class decreases in most of them</w:t>
      </w:r>
      <w:r>
        <w:rPr>
          <w:rFonts w:ascii="Times New Roman" w:hAnsi="Times New Roman" w:cs="Times New Roman"/>
          <w:sz w:val="24"/>
          <w:szCs w:val="24"/>
          <w:lang w:val="en-US"/>
        </w:rPr>
        <w:t>.</w:t>
      </w:r>
    </w:p>
    <w:p w:rsidR="00567278" w:rsidRDefault="00567278" w:rsidP="00C05493">
      <w:pPr>
        <w:spacing w:line="240" w:lineRule="auto"/>
        <w:jc w:val="both"/>
        <w:rPr>
          <w:rFonts w:ascii="Times New Roman" w:hAnsi="Times New Roman" w:cs="Times New Roman"/>
          <w:b/>
          <w:sz w:val="24"/>
          <w:szCs w:val="24"/>
        </w:rPr>
      </w:pPr>
      <w:r w:rsidRPr="00567278">
        <w:rPr>
          <w:rFonts w:ascii="Times New Roman" w:hAnsi="Times New Roman" w:cs="Times New Roman"/>
          <w:b/>
          <w:sz w:val="24"/>
          <w:szCs w:val="24"/>
        </w:rPr>
        <w:t>Entresacando datos</w:t>
      </w:r>
      <w:r>
        <w:rPr>
          <w:rFonts w:ascii="Times New Roman" w:hAnsi="Times New Roman" w:cs="Times New Roman"/>
          <w:b/>
          <w:sz w:val="24"/>
          <w:szCs w:val="24"/>
        </w:rPr>
        <w:t xml:space="preserve"> de distintas fuentes</w:t>
      </w:r>
      <w:r w:rsidRPr="00567278">
        <w:rPr>
          <w:rFonts w:ascii="Times New Roman" w:hAnsi="Times New Roman" w:cs="Times New Roman"/>
          <w:b/>
          <w:sz w:val="24"/>
          <w:szCs w:val="24"/>
        </w:rPr>
        <w:t xml:space="preserve"> (buscando las migas de Hansel y Gretel)</w:t>
      </w:r>
    </w:p>
    <w:p w:rsidR="00567278" w:rsidRDefault="00567278" w:rsidP="00C05493">
      <w:pPr>
        <w:spacing w:line="240" w:lineRule="auto"/>
        <w:jc w:val="both"/>
        <w:rPr>
          <w:rFonts w:ascii="Times New Roman" w:hAnsi="Times New Roman" w:cs="Times New Roman"/>
          <w:sz w:val="24"/>
          <w:szCs w:val="24"/>
        </w:rPr>
      </w:pPr>
      <w:r>
        <w:rPr>
          <w:rFonts w:ascii="Times New Roman" w:hAnsi="Times New Roman" w:cs="Times New Roman"/>
          <w:sz w:val="24"/>
          <w:szCs w:val="24"/>
        </w:rPr>
        <w:t>Difícil tarea: lenta, paciente, perseverante, transve</w:t>
      </w:r>
      <w:r w:rsidR="00F244E0">
        <w:rPr>
          <w:rFonts w:ascii="Times New Roman" w:hAnsi="Times New Roman" w:cs="Times New Roman"/>
          <w:sz w:val="24"/>
          <w:szCs w:val="24"/>
        </w:rPr>
        <w:t>rsal, difusa, que obliga</w:t>
      </w:r>
      <w:r>
        <w:rPr>
          <w:rFonts w:ascii="Times New Roman" w:hAnsi="Times New Roman" w:cs="Times New Roman"/>
          <w:sz w:val="24"/>
          <w:szCs w:val="24"/>
        </w:rPr>
        <w:t xml:space="preserve"> a realizar ciertas interpretaciones simplificadoras (creativas), muchas veces frustrante, otras, </w:t>
      </w:r>
      <w:r w:rsidR="00F244E0">
        <w:rPr>
          <w:rFonts w:ascii="Times New Roman" w:hAnsi="Times New Roman" w:cs="Times New Roman"/>
          <w:sz w:val="24"/>
          <w:szCs w:val="24"/>
        </w:rPr>
        <w:t>i</w:t>
      </w:r>
      <w:r>
        <w:rPr>
          <w:rFonts w:ascii="Times New Roman" w:hAnsi="Times New Roman" w:cs="Times New Roman"/>
          <w:sz w:val="24"/>
          <w:szCs w:val="24"/>
        </w:rPr>
        <w:t>mprevisible</w:t>
      </w:r>
      <w:r w:rsidR="00F244E0">
        <w:rPr>
          <w:rFonts w:ascii="Times New Roman" w:hAnsi="Times New Roman" w:cs="Times New Roman"/>
          <w:sz w:val="24"/>
          <w:szCs w:val="24"/>
        </w:rPr>
        <w:t>, y al final, una serie de datos (académicamente cuestionables) que me permitan esbozar una cierta demostración (aunque sea por el “método del absurdo”). A continuación les presento los datos seleccionados, con</w:t>
      </w:r>
      <w:r w:rsidR="00D73C53">
        <w:rPr>
          <w:rFonts w:ascii="Times New Roman" w:hAnsi="Times New Roman" w:cs="Times New Roman"/>
          <w:sz w:val="24"/>
          <w:szCs w:val="24"/>
        </w:rPr>
        <w:t xml:space="preserve"> sus</w:t>
      </w:r>
      <w:r w:rsidR="00F244E0">
        <w:rPr>
          <w:rFonts w:ascii="Times New Roman" w:hAnsi="Times New Roman" w:cs="Times New Roman"/>
          <w:sz w:val="24"/>
          <w:szCs w:val="24"/>
        </w:rPr>
        <w:t xml:space="preserve"> fuentes correspondientes:</w:t>
      </w:r>
      <w:r>
        <w:rPr>
          <w:rFonts w:ascii="Times New Roman" w:hAnsi="Times New Roman" w:cs="Times New Roman"/>
          <w:sz w:val="24"/>
          <w:szCs w:val="24"/>
        </w:rPr>
        <w:t xml:space="preserve"> </w:t>
      </w:r>
    </w:p>
    <w:p w:rsidR="00F244E0" w:rsidRDefault="00F244E0" w:rsidP="00C05493">
      <w:pPr>
        <w:spacing w:line="240" w:lineRule="auto"/>
        <w:jc w:val="both"/>
        <w:rPr>
          <w:rFonts w:ascii="Times New Roman" w:hAnsi="Times New Roman" w:cs="Times New Roman"/>
          <w:b/>
          <w:sz w:val="24"/>
          <w:szCs w:val="24"/>
        </w:rPr>
      </w:pPr>
      <w:r w:rsidRPr="00F244E0">
        <w:rPr>
          <w:rFonts w:ascii="Times New Roman" w:hAnsi="Times New Roman" w:cs="Times New Roman"/>
          <w:b/>
          <w:sz w:val="24"/>
          <w:szCs w:val="24"/>
        </w:rPr>
        <w:t>China</w:t>
      </w:r>
    </w:p>
    <w:p w:rsidR="00F244E0" w:rsidRDefault="00F244E0" w:rsidP="00C05493">
      <w:pPr>
        <w:spacing w:line="240" w:lineRule="auto"/>
        <w:jc w:val="both"/>
        <w:rPr>
          <w:rFonts w:ascii="Times New Roman" w:hAnsi="Times New Roman" w:cs="Times New Roman"/>
          <w:sz w:val="24"/>
          <w:szCs w:val="24"/>
        </w:rPr>
      </w:pPr>
      <w:r w:rsidRPr="00F244E0">
        <w:rPr>
          <w:rFonts w:ascii="Times New Roman" w:hAnsi="Times New Roman" w:cs="Times New Roman"/>
          <w:sz w:val="24"/>
          <w:szCs w:val="24"/>
        </w:rPr>
        <w:t>Año 2001:</w:t>
      </w:r>
      <w:r>
        <w:rPr>
          <w:rFonts w:ascii="Times New Roman" w:hAnsi="Times New Roman" w:cs="Times New Roman"/>
          <w:sz w:val="24"/>
          <w:szCs w:val="24"/>
        </w:rPr>
        <w:t xml:space="preserve"> Población 1.276,3 millones (China Statistical Yearbook)</w:t>
      </w:r>
    </w:p>
    <w:p w:rsidR="00F244E0" w:rsidRDefault="00F244E0" w:rsidP="00C0549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Población de clase media 38,3 millones (Pew Research Center)</w:t>
      </w:r>
    </w:p>
    <w:p w:rsidR="00F244E0" w:rsidRDefault="00F244E0" w:rsidP="00F244E0">
      <w:pPr>
        <w:spacing w:line="240" w:lineRule="auto"/>
        <w:jc w:val="both"/>
        <w:rPr>
          <w:rFonts w:ascii="Times New Roman" w:hAnsi="Times New Roman" w:cs="Times New Roman"/>
          <w:sz w:val="24"/>
          <w:szCs w:val="24"/>
        </w:rPr>
      </w:pPr>
      <w:r w:rsidRPr="00F244E0">
        <w:rPr>
          <w:rFonts w:ascii="Times New Roman" w:hAnsi="Times New Roman" w:cs="Times New Roman"/>
          <w:sz w:val="24"/>
          <w:szCs w:val="24"/>
        </w:rPr>
        <w:t>Añ</w:t>
      </w:r>
      <w:r w:rsidR="00CC3E52">
        <w:rPr>
          <w:rFonts w:ascii="Times New Roman" w:hAnsi="Times New Roman" w:cs="Times New Roman"/>
          <w:sz w:val="24"/>
          <w:szCs w:val="24"/>
        </w:rPr>
        <w:t>o 201</w:t>
      </w:r>
      <w:r w:rsidRPr="00F244E0">
        <w:rPr>
          <w:rFonts w:ascii="Times New Roman" w:hAnsi="Times New Roman" w:cs="Times New Roman"/>
          <w:sz w:val="24"/>
          <w:szCs w:val="24"/>
        </w:rPr>
        <w:t>1:</w:t>
      </w:r>
      <w:r w:rsidR="00CC3E52">
        <w:rPr>
          <w:rFonts w:ascii="Times New Roman" w:hAnsi="Times New Roman" w:cs="Times New Roman"/>
          <w:sz w:val="24"/>
          <w:szCs w:val="24"/>
        </w:rPr>
        <w:t xml:space="preserve"> Población 1.374,4</w:t>
      </w:r>
      <w:r>
        <w:rPr>
          <w:rFonts w:ascii="Times New Roman" w:hAnsi="Times New Roman" w:cs="Times New Roman"/>
          <w:sz w:val="24"/>
          <w:szCs w:val="24"/>
        </w:rPr>
        <w:t xml:space="preserve"> millones (China Statistical Yearbook)</w:t>
      </w:r>
    </w:p>
    <w:p w:rsidR="00F244E0" w:rsidRPr="00F244E0" w:rsidRDefault="00F244E0" w:rsidP="00F244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C3E52">
        <w:rPr>
          <w:rFonts w:ascii="Times New Roman" w:hAnsi="Times New Roman" w:cs="Times New Roman"/>
          <w:sz w:val="24"/>
          <w:szCs w:val="24"/>
        </w:rPr>
        <w:t>Población de clase media 283</w:t>
      </w:r>
      <w:r>
        <w:rPr>
          <w:rFonts w:ascii="Times New Roman" w:hAnsi="Times New Roman" w:cs="Times New Roman"/>
          <w:sz w:val="24"/>
          <w:szCs w:val="24"/>
        </w:rPr>
        <w:t xml:space="preserve"> millones (Pew Research Center)</w:t>
      </w:r>
    </w:p>
    <w:p w:rsidR="00F244E0" w:rsidRDefault="00F244E0" w:rsidP="00F244E0">
      <w:pPr>
        <w:spacing w:line="240" w:lineRule="auto"/>
        <w:jc w:val="both"/>
        <w:rPr>
          <w:rFonts w:ascii="Times New Roman" w:hAnsi="Times New Roman" w:cs="Times New Roman"/>
          <w:sz w:val="24"/>
          <w:szCs w:val="24"/>
        </w:rPr>
      </w:pPr>
      <w:r w:rsidRPr="00F244E0">
        <w:rPr>
          <w:rFonts w:ascii="Times New Roman" w:hAnsi="Times New Roman" w:cs="Times New Roman"/>
          <w:sz w:val="24"/>
          <w:szCs w:val="24"/>
        </w:rPr>
        <w:t>Añ</w:t>
      </w:r>
      <w:r w:rsidR="00CC3E52">
        <w:rPr>
          <w:rFonts w:ascii="Times New Roman" w:hAnsi="Times New Roman" w:cs="Times New Roman"/>
          <w:sz w:val="24"/>
          <w:szCs w:val="24"/>
        </w:rPr>
        <w:t>o 2015</w:t>
      </w:r>
      <w:r w:rsidRPr="00F244E0">
        <w:rPr>
          <w:rFonts w:ascii="Times New Roman" w:hAnsi="Times New Roman" w:cs="Times New Roman"/>
          <w:sz w:val="24"/>
          <w:szCs w:val="24"/>
        </w:rPr>
        <w:t>:</w:t>
      </w:r>
      <w:r w:rsidR="00CC3E52">
        <w:rPr>
          <w:rFonts w:ascii="Times New Roman" w:hAnsi="Times New Roman" w:cs="Times New Roman"/>
          <w:sz w:val="24"/>
          <w:szCs w:val="24"/>
        </w:rPr>
        <w:t xml:space="preserve"> Población 1.374,6</w:t>
      </w:r>
      <w:r>
        <w:rPr>
          <w:rFonts w:ascii="Times New Roman" w:hAnsi="Times New Roman" w:cs="Times New Roman"/>
          <w:sz w:val="24"/>
          <w:szCs w:val="24"/>
        </w:rPr>
        <w:t xml:space="preserve"> millones (China Statistical Yearbook)</w:t>
      </w:r>
    </w:p>
    <w:p w:rsidR="00F244E0" w:rsidRDefault="00F244E0" w:rsidP="00F244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C3E52">
        <w:rPr>
          <w:rFonts w:ascii="Times New Roman" w:hAnsi="Times New Roman" w:cs="Times New Roman"/>
          <w:sz w:val="24"/>
          <w:szCs w:val="24"/>
        </w:rPr>
        <w:t>Población de clase media 373,9</w:t>
      </w:r>
      <w:r>
        <w:rPr>
          <w:rFonts w:ascii="Times New Roman" w:hAnsi="Times New Roman" w:cs="Times New Roman"/>
          <w:sz w:val="24"/>
          <w:szCs w:val="24"/>
        </w:rPr>
        <w:t xml:space="preserve"> millones (Pew Research Center)</w:t>
      </w:r>
    </w:p>
    <w:p w:rsidR="00CC3E52" w:rsidRDefault="00CC3E52" w:rsidP="00F244E0">
      <w:pPr>
        <w:spacing w:line="240" w:lineRule="auto"/>
        <w:jc w:val="both"/>
        <w:rPr>
          <w:rFonts w:ascii="Times New Roman" w:hAnsi="Times New Roman" w:cs="Times New Roman"/>
          <w:b/>
          <w:sz w:val="24"/>
          <w:szCs w:val="24"/>
        </w:rPr>
      </w:pPr>
      <w:r w:rsidRPr="00CC3E52">
        <w:rPr>
          <w:rFonts w:ascii="Times New Roman" w:hAnsi="Times New Roman" w:cs="Times New Roman"/>
          <w:b/>
          <w:sz w:val="24"/>
          <w:szCs w:val="24"/>
        </w:rPr>
        <w:t>EEUU</w:t>
      </w:r>
    </w:p>
    <w:p w:rsidR="00CC3E52" w:rsidRDefault="00CC3E52" w:rsidP="00CC3E52">
      <w:pPr>
        <w:spacing w:line="240" w:lineRule="auto"/>
        <w:jc w:val="both"/>
        <w:rPr>
          <w:rFonts w:ascii="Times New Roman" w:hAnsi="Times New Roman" w:cs="Times New Roman"/>
          <w:sz w:val="24"/>
          <w:szCs w:val="24"/>
        </w:rPr>
      </w:pPr>
      <w:r w:rsidRPr="00CC3E52">
        <w:rPr>
          <w:rFonts w:ascii="Times New Roman" w:hAnsi="Times New Roman" w:cs="Times New Roman"/>
          <w:sz w:val="24"/>
          <w:szCs w:val="24"/>
        </w:rPr>
        <w:t>Año</w:t>
      </w:r>
      <w:r>
        <w:rPr>
          <w:rFonts w:ascii="Times New Roman" w:hAnsi="Times New Roman" w:cs="Times New Roman"/>
          <w:sz w:val="24"/>
          <w:szCs w:val="24"/>
        </w:rPr>
        <w:t xml:space="preserve"> 1980: Población 227,2 millones (Banco Mundial)</w:t>
      </w:r>
    </w:p>
    <w:p w:rsidR="00CC3E52" w:rsidRDefault="00CC3E52" w:rsidP="00D73C53">
      <w:pPr>
        <w:spacing w:line="240" w:lineRule="auto"/>
        <w:ind w:left="1080"/>
        <w:jc w:val="both"/>
        <w:rPr>
          <w:rFonts w:ascii="Times New Roman" w:hAnsi="Times New Roman" w:cs="Times New Roman"/>
          <w:sz w:val="24"/>
          <w:szCs w:val="24"/>
        </w:rPr>
      </w:pPr>
      <w:r>
        <w:rPr>
          <w:rFonts w:ascii="Times New Roman" w:hAnsi="Times New Roman" w:cs="Times New Roman"/>
          <w:sz w:val="24"/>
          <w:szCs w:val="24"/>
        </w:rPr>
        <w:t>Población de clase media (139,8</w:t>
      </w:r>
      <w:r w:rsidR="00876EE7">
        <w:rPr>
          <w:rFonts w:ascii="Times New Roman" w:hAnsi="Times New Roman" w:cs="Times New Roman"/>
          <w:sz w:val="24"/>
          <w:szCs w:val="24"/>
        </w:rPr>
        <w:t xml:space="preserve"> (E) mayores (1981- ONU</w:t>
      </w:r>
      <w:r w:rsidR="000D5686">
        <w:rPr>
          <w:rFonts w:ascii="Times New Roman" w:hAnsi="Times New Roman" w:cs="Times New Roman"/>
          <w:sz w:val="24"/>
          <w:szCs w:val="24"/>
        </w:rPr>
        <w:t>) x 59% (Pew) = 82,5 millones</w:t>
      </w:r>
    </w:p>
    <w:p w:rsidR="00CC3E52" w:rsidRDefault="00CC3E52" w:rsidP="00CC3E52">
      <w:pPr>
        <w:spacing w:line="240" w:lineRule="auto"/>
        <w:jc w:val="both"/>
        <w:rPr>
          <w:rFonts w:ascii="Times New Roman" w:hAnsi="Times New Roman" w:cs="Times New Roman"/>
          <w:sz w:val="24"/>
          <w:szCs w:val="24"/>
        </w:rPr>
      </w:pPr>
      <w:r w:rsidRPr="00CC3E52">
        <w:rPr>
          <w:rFonts w:ascii="Times New Roman" w:hAnsi="Times New Roman" w:cs="Times New Roman"/>
          <w:sz w:val="24"/>
          <w:szCs w:val="24"/>
        </w:rPr>
        <w:t>Año</w:t>
      </w:r>
      <w:r>
        <w:rPr>
          <w:rFonts w:ascii="Times New Roman" w:hAnsi="Times New Roman" w:cs="Times New Roman"/>
          <w:sz w:val="24"/>
          <w:szCs w:val="24"/>
        </w:rPr>
        <w:t xml:space="preserve"> 1991</w:t>
      </w:r>
      <w:r w:rsidR="009B18BB">
        <w:rPr>
          <w:rFonts w:ascii="Times New Roman" w:hAnsi="Times New Roman" w:cs="Times New Roman"/>
          <w:sz w:val="24"/>
          <w:szCs w:val="24"/>
        </w:rPr>
        <w:t>: Población 249,6</w:t>
      </w:r>
      <w:r>
        <w:rPr>
          <w:rFonts w:ascii="Times New Roman" w:hAnsi="Times New Roman" w:cs="Times New Roman"/>
          <w:sz w:val="24"/>
          <w:szCs w:val="24"/>
        </w:rPr>
        <w:t xml:space="preserve"> millones</w:t>
      </w:r>
      <w:r w:rsidR="009B18BB">
        <w:rPr>
          <w:rFonts w:ascii="Times New Roman" w:hAnsi="Times New Roman" w:cs="Times New Roman"/>
          <w:sz w:val="24"/>
          <w:szCs w:val="24"/>
        </w:rPr>
        <w:t xml:space="preserve"> (E)</w:t>
      </w:r>
      <w:r>
        <w:rPr>
          <w:rFonts w:ascii="Times New Roman" w:hAnsi="Times New Roman" w:cs="Times New Roman"/>
          <w:sz w:val="24"/>
          <w:szCs w:val="24"/>
        </w:rPr>
        <w:t xml:space="preserve"> (</w:t>
      </w:r>
      <w:r w:rsidR="009B18BB">
        <w:rPr>
          <w:rFonts w:ascii="Times New Roman" w:hAnsi="Times New Roman" w:cs="Times New Roman"/>
          <w:sz w:val="24"/>
          <w:szCs w:val="24"/>
        </w:rPr>
        <w:t xml:space="preserve">1990 - </w:t>
      </w:r>
      <w:r w:rsidR="00876EE7">
        <w:rPr>
          <w:rFonts w:ascii="Times New Roman" w:hAnsi="Times New Roman" w:cs="Times New Roman"/>
          <w:sz w:val="24"/>
          <w:szCs w:val="24"/>
        </w:rPr>
        <w:t>ONU</w:t>
      </w:r>
      <w:r>
        <w:rPr>
          <w:rFonts w:ascii="Times New Roman" w:hAnsi="Times New Roman" w:cs="Times New Roman"/>
          <w:sz w:val="24"/>
          <w:szCs w:val="24"/>
        </w:rPr>
        <w:t>)</w:t>
      </w:r>
    </w:p>
    <w:p w:rsidR="00CC3E52" w:rsidRPr="00CC3E52" w:rsidRDefault="00CC3E52" w:rsidP="00F244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B18BB">
        <w:rPr>
          <w:rFonts w:ascii="Times New Roman" w:hAnsi="Times New Roman" w:cs="Times New Roman"/>
          <w:sz w:val="24"/>
          <w:szCs w:val="24"/>
        </w:rPr>
        <w:t xml:space="preserve"> Población de clase media (148 mayores (BM) x 56</w:t>
      </w:r>
      <w:r>
        <w:rPr>
          <w:rFonts w:ascii="Times New Roman" w:hAnsi="Times New Roman" w:cs="Times New Roman"/>
          <w:sz w:val="24"/>
          <w:szCs w:val="24"/>
        </w:rPr>
        <w:t xml:space="preserve">% (Pew) = </w:t>
      </w:r>
      <w:r w:rsidR="000D5686">
        <w:rPr>
          <w:rFonts w:ascii="Times New Roman" w:hAnsi="Times New Roman" w:cs="Times New Roman"/>
          <w:sz w:val="24"/>
          <w:szCs w:val="24"/>
        </w:rPr>
        <w:t>82,9 millones</w:t>
      </w:r>
    </w:p>
    <w:p w:rsidR="00CC3E52" w:rsidRDefault="00CC3E52" w:rsidP="00F244E0">
      <w:pPr>
        <w:spacing w:line="240" w:lineRule="auto"/>
        <w:jc w:val="both"/>
        <w:rPr>
          <w:rFonts w:ascii="Times New Roman" w:hAnsi="Times New Roman" w:cs="Times New Roman"/>
          <w:sz w:val="24"/>
          <w:szCs w:val="24"/>
        </w:rPr>
      </w:pPr>
      <w:r w:rsidRPr="00CC3E52">
        <w:rPr>
          <w:rFonts w:ascii="Times New Roman" w:hAnsi="Times New Roman" w:cs="Times New Roman"/>
          <w:sz w:val="24"/>
          <w:szCs w:val="24"/>
        </w:rPr>
        <w:t>Año</w:t>
      </w:r>
      <w:r>
        <w:rPr>
          <w:rFonts w:ascii="Times New Roman" w:hAnsi="Times New Roman" w:cs="Times New Roman"/>
          <w:sz w:val="24"/>
          <w:szCs w:val="24"/>
        </w:rPr>
        <w:t xml:space="preserve"> 2001: Población 285 millones (Banco Mundial)</w:t>
      </w:r>
    </w:p>
    <w:p w:rsidR="00CC3E52" w:rsidRDefault="00CC3E52" w:rsidP="00F244E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Población de clase media (111,2 may</w:t>
      </w:r>
      <w:r w:rsidR="000D5686">
        <w:rPr>
          <w:rFonts w:ascii="Times New Roman" w:hAnsi="Times New Roman" w:cs="Times New Roman"/>
          <w:sz w:val="24"/>
          <w:szCs w:val="24"/>
        </w:rPr>
        <w:t>ores (BM) x 54% (Pew) = 60 millones</w:t>
      </w:r>
    </w:p>
    <w:p w:rsidR="00CC3E52" w:rsidRDefault="00CC3E52" w:rsidP="00CC3E52">
      <w:pPr>
        <w:spacing w:line="240" w:lineRule="auto"/>
        <w:jc w:val="both"/>
        <w:rPr>
          <w:rFonts w:ascii="Times New Roman" w:hAnsi="Times New Roman" w:cs="Times New Roman"/>
          <w:sz w:val="24"/>
          <w:szCs w:val="24"/>
        </w:rPr>
      </w:pPr>
      <w:r w:rsidRPr="00CC3E52">
        <w:rPr>
          <w:rFonts w:ascii="Times New Roman" w:hAnsi="Times New Roman" w:cs="Times New Roman"/>
          <w:sz w:val="24"/>
          <w:szCs w:val="24"/>
        </w:rPr>
        <w:lastRenderedPageBreak/>
        <w:t>Año</w:t>
      </w:r>
      <w:r>
        <w:rPr>
          <w:rFonts w:ascii="Times New Roman" w:hAnsi="Times New Roman" w:cs="Times New Roman"/>
          <w:sz w:val="24"/>
          <w:szCs w:val="24"/>
        </w:rPr>
        <w:t xml:space="preserve"> 2011: Población 311,6 millones (US Census Bureau)</w:t>
      </w:r>
    </w:p>
    <w:p w:rsidR="00CC3E52" w:rsidRPr="00CC3E52" w:rsidRDefault="00CC3E52" w:rsidP="00CC3E5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Población de clase media (117,6 mayores (BM) x 51% </w:t>
      </w:r>
      <w:r w:rsidR="000D5686">
        <w:rPr>
          <w:rFonts w:ascii="Times New Roman" w:hAnsi="Times New Roman" w:cs="Times New Roman"/>
          <w:sz w:val="24"/>
          <w:szCs w:val="24"/>
        </w:rPr>
        <w:t>(Pew) = 60 millones</w:t>
      </w:r>
    </w:p>
    <w:p w:rsidR="00CC3E52" w:rsidRDefault="00CC3E52" w:rsidP="00CC3E52">
      <w:pPr>
        <w:spacing w:line="240" w:lineRule="auto"/>
        <w:jc w:val="both"/>
        <w:rPr>
          <w:rFonts w:ascii="Times New Roman" w:hAnsi="Times New Roman" w:cs="Times New Roman"/>
          <w:sz w:val="24"/>
          <w:szCs w:val="24"/>
        </w:rPr>
      </w:pPr>
      <w:r w:rsidRPr="00CC3E52">
        <w:rPr>
          <w:rFonts w:ascii="Times New Roman" w:hAnsi="Times New Roman" w:cs="Times New Roman"/>
          <w:sz w:val="24"/>
          <w:szCs w:val="24"/>
        </w:rPr>
        <w:t>Año</w:t>
      </w:r>
      <w:r>
        <w:rPr>
          <w:rFonts w:ascii="Times New Roman" w:hAnsi="Times New Roman" w:cs="Times New Roman"/>
          <w:sz w:val="24"/>
          <w:szCs w:val="24"/>
        </w:rPr>
        <w:t xml:space="preserve"> 2015: Población 320,7 millones (US Census Bureau)</w:t>
      </w:r>
    </w:p>
    <w:p w:rsidR="00CC3E52" w:rsidRDefault="00CC3E52" w:rsidP="00CC3E5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Población de clase media (120,7 mayor</w:t>
      </w:r>
      <w:r w:rsidR="000D5686">
        <w:rPr>
          <w:rFonts w:ascii="Times New Roman" w:hAnsi="Times New Roman" w:cs="Times New Roman"/>
          <w:sz w:val="24"/>
          <w:szCs w:val="24"/>
        </w:rPr>
        <w:t>es (BM) x 52% (Pew) = 62,8 millones</w:t>
      </w:r>
    </w:p>
    <w:p w:rsidR="009B18BB" w:rsidRDefault="009B18BB" w:rsidP="00CC3E52">
      <w:pPr>
        <w:spacing w:line="240" w:lineRule="auto"/>
        <w:jc w:val="both"/>
        <w:rPr>
          <w:rFonts w:ascii="Times New Roman" w:hAnsi="Times New Roman" w:cs="Times New Roman"/>
          <w:b/>
          <w:sz w:val="24"/>
          <w:szCs w:val="24"/>
        </w:rPr>
      </w:pPr>
      <w:r w:rsidRPr="009B18BB">
        <w:rPr>
          <w:rFonts w:ascii="Times New Roman" w:hAnsi="Times New Roman" w:cs="Times New Roman"/>
          <w:b/>
          <w:sz w:val="24"/>
          <w:szCs w:val="24"/>
        </w:rPr>
        <w:t>Unión Europea</w:t>
      </w:r>
    </w:p>
    <w:p w:rsidR="009B18BB" w:rsidRDefault="009B18BB" w:rsidP="009B18BB">
      <w:pPr>
        <w:spacing w:line="240" w:lineRule="auto"/>
        <w:jc w:val="both"/>
        <w:rPr>
          <w:rFonts w:ascii="Times New Roman" w:hAnsi="Times New Roman" w:cs="Times New Roman"/>
          <w:sz w:val="24"/>
          <w:szCs w:val="24"/>
        </w:rPr>
      </w:pPr>
      <w:r w:rsidRPr="00CC3E52">
        <w:rPr>
          <w:rFonts w:ascii="Times New Roman" w:hAnsi="Times New Roman" w:cs="Times New Roman"/>
          <w:sz w:val="24"/>
          <w:szCs w:val="24"/>
        </w:rPr>
        <w:t>Año</w:t>
      </w:r>
      <w:r>
        <w:rPr>
          <w:rFonts w:ascii="Times New Roman" w:hAnsi="Times New Roman" w:cs="Times New Roman"/>
          <w:sz w:val="24"/>
          <w:szCs w:val="24"/>
        </w:rPr>
        <w:t xml:space="preserve"> 2001: Población 488,2 millones (Banco Mundial)</w:t>
      </w:r>
    </w:p>
    <w:p w:rsidR="009B18BB" w:rsidRDefault="009B18BB" w:rsidP="009B18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Población de clase media (34% d</w:t>
      </w:r>
      <w:r w:rsidR="000D5686">
        <w:rPr>
          <w:rFonts w:ascii="Times New Roman" w:hAnsi="Times New Roman" w:cs="Times New Roman"/>
          <w:sz w:val="24"/>
          <w:szCs w:val="24"/>
        </w:rPr>
        <w:t>e la población (Pew) = 166 millones</w:t>
      </w:r>
    </w:p>
    <w:p w:rsidR="009B18BB" w:rsidRDefault="009B18BB" w:rsidP="009B18BB">
      <w:pPr>
        <w:spacing w:line="240" w:lineRule="auto"/>
        <w:jc w:val="both"/>
        <w:rPr>
          <w:rFonts w:ascii="Times New Roman" w:hAnsi="Times New Roman" w:cs="Times New Roman"/>
          <w:sz w:val="24"/>
          <w:szCs w:val="24"/>
        </w:rPr>
      </w:pPr>
      <w:r w:rsidRPr="00CC3E52">
        <w:rPr>
          <w:rFonts w:ascii="Times New Roman" w:hAnsi="Times New Roman" w:cs="Times New Roman"/>
          <w:sz w:val="24"/>
          <w:szCs w:val="24"/>
        </w:rPr>
        <w:t>Año</w:t>
      </w:r>
      <w:r>
        <w:rPr>
          <w:rFonts w:ascii="Times New Roman" w:hAnsi="Times New Roman" w:cs="Times New Roman"/>
          <w:sz w:val="24"/>
          <w:szCs w:val="24"/>
        </w:rPr>
        <w:t xml:space="preserve"> 2011: Población 504,4 millones (Banco Mundial)</w:t>
      </w:r>
    </w:p>
    <w:p w:rsidR="009B18BB" w:rsidRPr="00CC3E52" w:rsidRDefault="009B18BB" w:rsidP="009B18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Población de clase media (21% de l</w:t>
      </w:r>
      <w:r w:rsidR="000D5686">
        <w:rPr>
          <w:rFonts w:ascii="Times New Roman" w:hAnsi="Times New Roman" w:cs="Times New Roman"/>
          <w:sz w:val="24"/>
          <w:szCs w:val="24"/>
        </w:rPr>
        <w:t>a población (Pew) =  105,9 millones</w:t>
      </w:r>
    </w:p>
    <w:p w:rsidR="009B18BB" w:rsidRDefault="009B18BB" w:rsidP="009B18BB">
      <w:pPr>
        <w:spacing w:line="240" w:lineRule="auto"/>
        <w:jc w:val="both"/>
        <w:rPr>
          <w:rFonts w:ascii="Times New Roman" w:hAnsi="Times New Roman" w:cs="Times New Roman"/>
          <w:sz w:val="24"/>
          <w:szCs w:val="24"/>
        </w:rPr>
      </w:pPr>
      <w:r w:rsidRPr="00CC3E52">
        <w:rPr>
          <w:rFonts w:ascii="Times New Roman" w:hAnsi="Times New Roman" w:cs="Times New Roman"/>
          <w:sz w:val="24"/>
          <w:szCs w:val="24"/>
        </w:rPr>
        <w:t>Año</w:t>
      </w:r>
      <w:r>
        <w:rPr>
          <w:rFonts w:ascii="Times New Roman" w:hAnsi="Times New Roman" w:cs="Times New Roman"/>
          <w:sz w:val="24"/>
          <w:szCs w:val="24"/>
        </w:rPr>
        <w:t xml:space="preserve"> 2015: Población 509,7 millones (Banco Mundial)</w:t>
      </w:r>
    </w:p>
    <w:p w:rsidR="009B18BB" w:rsidRDefault="009B18BB" w:rsidP="009B18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Población de clase media: N/D</w:t>
      </w:r>
    </w:p>
    <w:p w:rsidR="009B18BB" w:rsidRDefault="009B18BB" w:rsidP="009B18BB">
      <w:pPr>
        <w:spacing w:line="240" w:lineRule="auto"/>
        <w:jc w:val="both"/>
        <w:rPr>
          <w:rFonts w:ascii="Times New Roman" w:hAnsi="Times New Roman" w:cs="Times New Roman"/>
          <w:sz w:val="24"/>
          <w:szCs w:val="24"/>
        </w:rPr>
      </w:pPr>
      <w:r w:rsidRPr="00CC3E52">
        <w:rPr>
          <w:rFonts w:ascii="Times New Roman" w:hAnsi="Times New Roman" w:cs="Times New Roman"/>
          <w:sz w:val="24"/>
          <w:szCs w:val="24"/>
        </w:rPr>
        <w:t>Año</w:t>
      </w:r>
      <w:r>
        <w:rPr>
          <w:rFonts w:ascii="Times New Roman" w:hAnsi="Times New Roman" w:cs="Times New Roman"/>
          <w:sz w:val="24"/>
          <w:szCs w:val="24"/>
        </w:rPr>
        <w:t xml:space="preserve"> 2017: Población  millones 512,5 (Banco Mundial)</w:t>
      </w:r>
    </w:p>
    <w:p w:rsidR="009B18BB" w:rsidRDefault="009B18BB" w:rsidP="00D73C53">
      <w:pPr>
        <w:spacing w:line="240" w:lineRule="auto"/>
        <w:ind w:left="1080"/>
        <w:jc w:val="both"/>
        <w:rPr>
          <w:rFonts w:ascii="Times New Roman" w:hAnsi="Times New Roman" w:cs="Times New Roman"/>
          <w:sz w:val="24"/>
          <w:szCs w:val="24"/>
        </w:rPr>
      </w:pPr>
      <w:r>
        <w:rPr>
          <w:rFonts w:ascii="Times New Roman" w:hAnsi="Times New Roman" w:cs="Times New Roman"/>
          <w:sz w:val="24"/>
          <w:szCs w:val="24"/>
        </w:rPr>
        <w:t>Población de clase m</w:t>
      </w:r>
      <w:r w:rsidR="00482FE5">
        <w:rPr>
          <w:rFonts w:ascii="Times New Roman" w:hAnsi="Times New Roman" w:cs="Times New Roman"/>
          <w:sz w:val="24"/>
          <w:szCs w:val="24"/>
        </w:rPr>
        <w:t>edia (120,7 población activa</w:t>
      </w:r>
      <w:r>
        <w:rPr>
          <w:rFonts w:ascii="Times New Roman" w:hAnsi="Times New Roman" w:cs="Times New Roman"/>
          <w:sz w:val="24"/>
          <w:szCs w:val="24"/>
        </w:rPr>
        <w:t xml:space="preserve"> (BM) x 38%</w:t>
      </w:r>
      <w:r w:rsidR="00482FE5">
        <w:rPr>
          <w:rFonts w:ascii="Times New Roman" w:hAnsi="Times New Roman" w:cs="Times New Roman"/>
          <w:sz w:val="24"/>
          <w:szCs w:val="24"/>
        </w:rPr>
        <w:t xml:space="preserve"> Henri Wilno</w:t>
      </w:r>
      <w:r>
        <w:rPr>
          <w:rFonts w:ascii="Times New Roman" w:hAnsi="Times New Roman" w:cs="Times New Roman"/>
          <w:sz w:val="24"/>
          <w:szCs w:val="24"/>
        </w:rPr>
        <w:t xml:space="preserve"> </w:t>
      </w:r>
      <w:r w:rsidR="00482FE5">
        <w:rPr>
          <w:rFonts w:ascii="Times New Roman" w:hAnsi="Times New Roman" w:cs="Times New Roman"/>
          <w:sz w:val="24"/>
          <w:szCs w:val="24"/>
        </w:rPr>
        <w:t>= 94,4</w:t>
      </w:r>
      <w:r w:rsidR="000D5686">
        <w:rPr>
          <w:rFonts w:ascii="Times New Roman" w:hAnsi="Times New Roman" w:cs="Times New Roman"/>
          <w:sz w:val="24"/>
          <w:szCs w:val="24"/>
        </w:rPr>
        <w:t xml:space="preserve"> millones</w:t>
      </w:r>
    </w:p>
    <w:p w:rsidR="00482FE5" w:rsidRDefault="00B82BCE" w:rsidP="009B18BB">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Algunas conclusiones “a </w:t>
      </w:r>
      <w:r w:rsidR="00482FE5" w:rsidRPr="00482FE5">
        <w:rPr>
          <w:rFonts w:ascii="Times New Roman" w:hAnsi="Times New Roman" w:cs="Times New Roman"/>
          <w:sz w:val="24"/>
          <w:szCs w:val="24"/>
          <w:u w:val="single"/>
        </w:rPr>
        <w:t>vuela pluma</w:t>
      </w:r>
      <w:r>
        <w:rPr>
          <w:rFonts w:ascii="Times New Roman" w:hAnsi="Times New Roman" w:cs="Times New Roman"/>
          <w:sz w:val="24"/>
          <w:szCs w:val="24"/>
          <w:u w:val="single"/>
        </w:rPr>
        <w:t>”</w:t>
      </w:r>
      <w:r w:rsidR="00482FE5" w:rsidRPr="00482FE5">
        <w:rPr>
          <w:rFonts w:ascii="Times New Roman" w:hAnsi="Times New Roman" w:cs="Times New Roman"/>
          <w:sz w:val="24"/>
          <w:szCs w:val="24"/>
          <w:u w:val="single"/>
        </w:rPr>
        <w:t>: evidencias innegables</w:t>
      </w:r>
    </w:p>
    <w:p w:rsidR="003E07D7" w:rsidRDefault="00482FE5" w:rsidP="009B18BB">
      <w:pPr>
        <w:spacing w:line="240" w:lineRule="auto"/>
        <w:jc w:val="both"/>
        <w:rPr>
          <w:rFonts w:ascii="Times New Roman" w:hAnsi="Times New Roman" w:cs="Times New Roman"/>
          <w:sz w:val="24"/>
          <w:szCs w:val="24"/>
        </w:rPr>
      </w:pPr>
      <w:r w:rsidRPr="00482FE5">
        <w:rPr>
          <w:rFonts w:ascii="Times New Roman" w:hAnsi="Times New Roman" w:cs="Times New Roman"/>
          <w:sz w:val="24"/>
          <w:szCs w:val="24"/>
        </w:rPr>
        <w:t>Mientras China ganó 335,6 millones de personas</w:t>
      </w:r>
      <w:r>
        <w:rPr>
          <w:rFonts w:ascii="Times New Roman" w:hAnsi="Times New Roman" w:cs="Times New Roman"/>
          <w:sz w:val="24"/>
          <w:szCs w:val="24"/>
        </w:rPr>
        <w:t xml:space="preserve"> de clase media entre 2001 y 2015, EEUU perdió 2,8 millones de personas de clase media entre 2001 y 2015, perdió 19,7 millones de personas de clase media entre 1980 y 2015, y perdió 19,2 millones de personas de clase media entre 1991 y 2015. La Unión Europea perdió 71,6 millones de personas de clase media entre 2017 y 2001.</w:t>
      </w:r>
    </w:p>
    <w:p w:rsidR="003E07D7" w:rsidRDefault="003E07D7" w:rsidP="009B18BB">
      <w:pPr>
        <w:spacing w:line="240" w:lineRule="auto"/>
        <w:jc w:val="both"/>
        <w:rPr>
          <w:rFonts w:ascii="Times New Roman" w:hAnsi="Times New Roman" w:cs="Times New Roman"/>
          <w:sz w:val="24"/>
          <w:szCs w:val="24"/>
        </w:rPr>
      </w:pPr>
      <w:r>
        <w:rPr>
          <w:rFonts w:ascii="Times New Roman" w:hAnsi="Times New Roman" w:cs="Times New Roman"/>
          <w:sz w:val="24"/>
          <w:szCs w:val="24"/>
        </w:rPr>
        <w:t>Si para EEUU se hace una comparación entre los años 2015 y 1980 la reducción de la clase media equivale a un 23,88%; entre 2015 y 1991 la reducción equivale al 24,25%.</w:t>
      </w:r>
    </w:p>
    <w:p w:rsidR="00482FE5" w:rsidRDefault="003E07D7" w:rsidP="009B18BB">
      <w:pPr>
        <w:spacing w:line="240" w:lineRule="auto"/>
        <w:jc w:val="both"/>
        <w:rPr>
          <w:rFonts w:ascii="Times New Roman" w:hAnsi="Times New Roman" w:cs="Times New Roman"/>
          <w:sz w:val="24"/>
          <w:szCs w:val="24"/>
        </w:rPr>
      </w:pPr>
      <w:r>
        <w:rPr>
          <w:rFonts w:ascii="Times New Roman" w:hAnsi="Times New Roman" w:cs="Times New Roman"/>
          <w:sz w:val="24"/>
          <w:szCs w:val="24"/>
        </w:rPr>
        <w:t>A partir de los datos aportados por Henri Wilno, se puede calcular que la clase media de la Unión Europea equivalía al 18,42% de la población en el año 2017.</w:t>
      </w:r>
      <w:r w:rsidR="00482FE5">
        <w:rPr>
          <w:rFonts w:ascii="Times New Roman" w:hAnsi="Times New Roman" w:cs="Times New Roman"/>
          <w:sz w:val="24"/>
          <w:szCs w:val="24"/>
        </w:rPr>
        <w:t xml:space="preserve"> </w:t>
      </w:r>
    </w:p>
    <w:p w:rsidR="00546C61" w:rsidRDefault="00546C61" w:rsidP="009B18BB">
      <w:pPr>
        <w:spacing w:line="240" w:lineRule="auto"/>
        <w:jc w:val="both"/>
        <w:rPr>
          <w:rFonts w:ascii="Times New Roman" w:hAnsi="Times New Roman" w:cs="Times New Roman"/>
          <w:sz w:val="24"/>
          <w:szCs w:val="24"/>
        </w:rPr>
      </w:pPr>
      <w:r w:rsidRPr="00546C61">
        <w:rPr>
          <w:rFonts w:ascii="Times New Roman" w:hAnsi="Times New Roman" w:cs="Times New Roman"/>
          <w:b/>
          <w:sz w:val="24"/>
          <w:szCs w:val="24"/>
        </w:rPr>
        <w:t xml:space="preserve">Análisis de </w:t>
      </w:r>
      <w:r w:rsidR="00C31377">
        <w:rPr>
          <w:rFonts w:ascii="Times New Roman" w:hAnsi="Times New Roman" w:cs="Times New Roman"/>
          <w:b/>
          <w:sz w:val="24"/>
          <w:szCs w:val="24"/>
        </w:rPr>
        <w:t>“</w:t>
      </w:r>
      <w:r w:rsidRPr="00546C61">
        <w:rPr>
          <w:rFonts w:ascii="Times New Roman" w:hAnsi="Times New Roman" w:cs="Times New Roman"/>
          <w:b/>
          <w:sz w:val="24"/>
          <w:szCs w:val="24"/>
        </w:rPr>
        <w:t>sensibilidad</w:t>
      </w:r>
      <w:r w:rsidR="00C31377">
        <w:rPr>
          <w:rFonts w:ascii="Times New Roman" w:hAnsi="Times New Roman" w:cs="Times New Roman"/>
          <w:b/>
          <w:sz w:val="24"/>
          <w:szCs w:val="24"/>
        </w:rPr>
        <w:t>”</w:t>
      </w:r>
      <w:r w:rsidRPr="00546C61">
        <w:rPr>
          <w:rFonts w:ascii="Times New Roman" w:hAnsi="Times New Roman" w:cs="Times New Roman"/>
          <w:b/>
          <w:sz w:val="24"/>
          <w:szCs w:val="24"/>
        </w:rPr>
        <w:t xml:space="preserve"> (no es un sarcasmo): de Ford a Amazon</w:t>
      </w:r>
      <w:r w:rsidR="00C31377">
        <w:rPr>
          <w:rFonts w:ascii="Times New Roman" w:hAnsi="Times New Roman" w:cs="Times New Roman"/>
          <w:b/>
          <w:sz w:val="24"/>
          <w:szCs w:val="24"/>
        </w:rPr>
        <w:t xml:space="preserve"> y el fin de la clase media en los países desarrollados (ahora en vías de subdesarrollo)</w:t>
      </w:r>
    </w:p>
    <w:p w:rsidR="00C31377" w:rsidRDefault="00C31377" w:rsidP="009B18BB">
      <w:pPr>
        <w:spacing w:line="240" w:lineRule="auto"/>
        <w:jc w:val="both"/>
        <w:rPr>
          <w:rFonts w:ascii="Times New Roman" w:hAnsi="Times New Roman" w:cs="Times New Roman"/>
          <w:sz w:val="24"/>
          <w:szCs w:val="24"/>
        </w:rPr>
      </w:pPr>
      <w:r>
        <w:rPr>
          <w:rFonts w:ascii="Times New Roman" w:hAnsi="Times New Roman" w:cs="Times New Roman"/>
          <w:sz w:val="24"/>
          <w:szCs w:val="24"/>
        </w:rPr>
        <w:t>Puede q</w:t>
      </w:r>
      <w:r w:rsidR="000D5686">
        <w:rPr>
          <w:rFonts w:ascii="Times New Roman" w:hAnsi="Times New Roman" w:cs="Times New Roman"/>
          <w:sz w:val="24"/>
          <w:szCs w:val="24"/>
        </w:rPr>
        <w:t>ue haya hecho una lectura</w:t>
      </w:r>
      <w:r>
        <w:rPr>
          <w:rFonts w:ascii="Times New Roman" w:hAnsi="Times New Roman" w:cs="Times New Roman"/>
          <w:sz w:val="24"/>
          <w:szCs w:val="24"/>
        </w:rPr>
        <w:t xml:space="preserve"> sesgada de </w:t>
      </w:r>
      <w:r w:rsidR="00546C61">
        <w:rPr>
          <w:rFonts w:ascii="Times New Roman" w:hAnsi="Times New Roman" w:cs="Times New Roman"/>
          <w:sz w:val="24"/>
          <w:szCs w:val="24"/>
        </w:rPr>
        <w:t xml:space="preserve">las </w:t>
      </w:r>
      <w:r w:rsidR="003A64CC">
        <w:rPr>
          <w:rFonts w:ascii="Times New Roman" w:hAnsi="Times New Roman" w:cs="Times New Roman"/>
          <w:sz w:val="24"/>
          <w:szCs w:val="24"/>
        </w:rPr>
        <w:t>estadísticas; tal vez haya realizado</w:t>
      </w:r>
      <w:r w:rsidR="00546C61">
        <w:rPr>
          <w:rFonts w:ascii="Times New Roman" w:hAnsi="Times New Roman" w:cs="Times New Roman"/>
          <w:sz w:val="24"/>
          <w:szCs w:val="24"/>
        </w:rPr>
        <w:t xml:space="preserve"> simplificaciones o supuestos demasiado audaces, </w:t>
      </w:r>
      <w:r>
        <w:rPr>
          <w:rFonts w:ascii="Times New Roman" w:hAnsi="Times New Roman" w:cs="Times New Roman"/>
          <w:sz w:val="24"/>
          <w:szCs w:val="24"/>
        </w:rPr>
        <w:t>tal vez haya asumido criterios políticam</w:t>
      </w:r>
      <w:r w:rsidR="000D1167">
        <w:rPr>
          <w:rFonts w:ascii="Times New Roman" w:hAnsi="Times New Roman" w:cs="Times New Roman"/>
          <w:sz w:val="24"/>
          <w:szCs w:val="24"/>
        </w:rPr>
        <w:t xml:space="preserve">ente incorrectos, tal vez </w:t>
      </w:r>
      <w:r>
        <w:rPr>
          <w:rFonts w:ascii="Times New Roman" w:hAnsi="Times New Roman" w:cs="Times New Roman"/>
          <w:sz w:val="24"/>
          <w:szCs w:val="24"/>
        </w:rPr>
        <w:t>todos los cálculos</w:t>
      </w:r>
      <w:r w:rsidR="000D1167">
        <w:rPr>
          <w:rFonts w:ascii="Times New Roman" w:hAnsi="Times New Roman" w:cs="Times New Roman"/>
          <w:sz w:val="24"/>
          <w:szCs w:val="24"/>
        </w:rPr>
        <w:t xml:space="preserve"> estén</w:t>
      </w:r>
      <w:r w:rsidR="000D5686">
        <w:rPr>
          <w:rFonts w:ascii="Times New Roman" w:hAnsi="Times New Roman" w:cs="Times New Roman"/>
          <w:sz w:val="24"/>
          <w:szCs w:val="24"/>
        </w:rPr>
        <w:t xml:space="preserve"> equivocados</w:t>
      </w:r>
      <w:r>
        <w:rPr>
          <w:rFonts w:ascii="Times New Roman" w:hAnsi="Times New Roman" w:cs="Times New Roman"/>
          <w:sz w:val="24"/>
          <w:szCs w:val="24"/>
        </w:rPr>
        <w:t>, y el resultado sea incorrecto. Tal vez ni por el “método del absurdo” haya demostración valida posible (aceptable), pero hay algunas evidencias que resultan innegables, no hace falta demostrar lo obvio. Tomen nota:</w:t>
      </w:r>
    </w:p>
    <w:p w:rsidR="000D1167" w:rsidRPr="00B176D4" w:rsidRDefault="000D1167" w:rsidP="000D1167">
      <w:pPr>
        <w:spacing w:line="240" w:lineRule="auto"/>
        <w:jc w:val="both"/>
        <w:rPr>
          <w:rFonts w:ascii="Times New Roman" w:hAnsi="Times New Roman"/>
          <w:sz w:val="24"/>
          <w:szCs w:val="24"/>
        </w:rPr>
      </w:pPr>
      <w:r w:rsidRPr="00460385">
        <w:rPr>
          <w:rFonts w:ascii="Times New Roman" w:hAnsi="Times New Roman"/>
          <w:sz w:val="24"/>
          <w:szCs w:val="24"/>
          <w:u w:val="single"/>
        </w:rPr>
        <w:t>Mentiras, simplificaciones, temeridades, y faltas de respeto a la mayoría</w:t>
      </w:r>
    </w:p>
    <w:p w:rsidR="000D1167" w:rsidRPr="00A6732A" w:rsidRDefault="000D1167" w:rsidP="000D1167">
      <w:pPr>
        <w:spacing w:line="240" w:lineRule="auto"/>
        <w:jc w:val="both"/>
        <w:rPr>
          <w:rFonts w:ascii="Times New Roman" w:hAnsi="Times New Roman"/>
          <w:sz w:val="24"/>
          <w:szCs w:val="24"/>
        </w:rPr>
      </w:pPr>
      <w:r w:rsidRPr="00A6732A">
        <w:rPr>
          <w:rFonts w:ascii="Times New Roman" w:hAnsi="Times New Roman"/>
          <w:i/>
          <w:sz w:val="24"/>
          <w:szCs w:val="24"/>
        </w:rPr>
        <w:t>“El hombre no es ni un ángel, ni una bestia; y su desgracia es que quien podría comportarse como un ángel, se comporta como una bestia”</w:t>
      </w:r>
      <w:r>
        <w:rPr>
          <w:rFonts w:ascii="Times New Roman" w:hAnsi="Times New Roman"/>
          <w:i/>
          <w:sz w:val="24"/>
          <w:szCs w:val="24"/>
        </w:rPr>
        <w:t>.</w:t>
      </w:r>
      <w:r>
        <w:rPr>
          <w:rFonts w:ascii="Times New Roman" w:hAnsi="Times New Roman"/>
          <w:sz w:val="24"/>
          <w:szCs w:val="24"/>
        </w:rPr>
        <w:t xml:space="preserve"> (Pascal)</w:t>
      </w:r>
    </w:p>
    <w:p w:rsidR="000D1167" w:rsidRDefault="000D1167" w:rsidP="000D1167">
      <w:pPr>
        <w:pStyle w:val="NormalWeb"/>
        <w:shd w:val="clear" w:color="auto" w:fill="FFFFFF"/>
        <w:spacing w:after="270"/>
        <w:jc w:val="both"/>
        <w:rPr>
          <w:spacing w:val="-1"/>
        </w:rPr>
      </w:pPr>
      <w:r>
        <w:rPr>
          <w:spacing w:val="-1"/>
        </w:rPr>
        <w:lastRenderedPageBreak/>
        <w:t xml:space="preserve">- </w:t>
      </w:r>
      <w:r w:rsidRPr="0077794C">
        <w:rPr>
          <w:spacing w:val="-1"/>
          <w:u w:val="single"/>
        </w:rPr>
        <w:t>Qué es el Modelo Henry Ford y cómo Amazon lo está siguiendo al aumentar el sueldo mínimo de sus empleados a US$</w:t>
      </w:r>
      <w:r>
        <w:rPr>
          <w:spacing w:val="-1"/>
          <w:u w:val="single"/>
        </w:rPr>
        <w:t xml:space="preserve"> </w:t>
      </w:r>
      <w:r w:rsidRPr="0077794C">
        <w:rPr>
          <w:spacing w:val="-1"/>
          <w:u w:val="single"/>
        </w:rPr>
        <w:t>15 la hora</w:t>
      </w:r>
      <w:r>
        <w:rPr>
          <w:spacing w:val="-1"/>
        </w:rPr>
        <w:t xml:space="preserve"> (BBCMundo.com - </w:t>
      </w:r>
      <w:r w:rsidRPr="0077794C">
        <w:rPr>
          <w:b/>
          <w:spacing w:val="-1"/>
        </w:rPr>
        <w:t>4/10/18</w:t>
      </w:r>
      <w:r>
        <w:rPr>
          <w:spacing w:val="-1"/>
        </w:rPr>
        <w:t>)</w:t>
      </w:r>
    </w:p>
    <w:p w:rsidR="000D1167" w:rsidRPr="0077794C" w:rsidRDefault="000D1167" w:rsidP="000D1167">
      <w:pPr>
        <w:pStyle w:val="NormalWeb"/>
        <w:shd w:val="clear" w:color="auto" w:fill="FFFFFF"/>
        <w:spacing w:after="270"/>
        <w:jc w:val="both"/>
        <w:rPr>
          <w:spacing w:val="-1"/>
        </w:rPr>
      </w:pPr>
      <w:r w:rsidRPr="0077794C">
        <w:rPr>
          <w:spacing w:val="-1"/>
        </w:rPr>
        <w:t>El anuncio de Amazon de que van a aumentar el salario mínimo de sus trabajadores a US$</w:t>
      </w:r>
      <w:r>
        <w:rPr>
          <w:spacing w:val="-1"/>
        </w:rPr>
        <w:t xml:space="preserve"> </w:t>
      </w:r>
      <w:r w:rsidRPr="0077794C">
        <w:rPr>
          <w:spacing w:val="-1"/>
        </w:rPr>
        <w:t xml:space="preserve">15 la hora ha sido comparado con una de las estrategias empresariales </w:t>
      </w:r>
      <w:r>
        <w:rPr>
          <w:spacing w:val="-1"/>
        </w:rPr>
        <w:t>más reconocidas de la historia.</w:t>
      </w:r>
    </w:p>
    <w:p w:rsidR="000D1167" w:rsidRDefault="000D1167" w:rsidP="000D1167">
      <w:pPr>
        <w:pStyle w:val="NormalWeb"/>
        <w:shd w:val="clear" w:color="auto" w:fill="FFFFFF"/>
        <w:spacing w:after="270"/>
        <w:jc w:val="both"/>
        <w:rPr>
          <w:spacing w:val="-1"/>
        </w:rPr>
      </w:pPr>
      <w:r w:rsidRPr="0077794C">
        <w:rPr>
          <w:spacing w:val="-1"/>
        </w:rPr>
        <w:t>Se trata de la que usó en 1914 Henry Ford, fundador de la icónica empresa fabric</w:t>
      </w:r>
      <w:r>
        <w:rPr>
          <w:spacing w:val="-1"/>
        </w:rPr>
        <w:t xml:space="preserve">ante de autos del mismo nombre. </w:t>
      </w:r>
      <w:r w:rsidRPr="0077794C">
        <w:rPr>
          <w:spacing w:val="-1"/>
        </w:rPr>
        <w:t>Ese año Ford tomó la decisión de pagarles US$</w:t>
      </w:r>
      <w:r>
        <w:rPr>
          <w:spacing w:val="-1"/>
        </w:rPr>
        <w:t xml:space="preserve"> </w:t>
      </w:r>
      <w:r w:rsidRPr="0077794C">
        <w:rPr>
          <w:spacing w:val="-1"/>
        </w:rPr>
        <w:t>5 al día a sus empleados, algo que en a</w:t>
      </w:r>
      <w:r>
        <w:rPr>
          <w:spacing w:val="-1"/>
        </w:rPr>
        <w:t xml:space="preserve">quel entonces era mucho dinero. </w:t>
      </w:r>
      <w:r w:rsidRPr="0077794C">
        <w:rPr>
          <w:spacing w:val="-1"/>
        </w:rPr>
        <w:t>Según los analistas, Ford tomó aquella decisión por dos razones: para evitar la rotación constante de trabajadores (que afectaba la producción) y para que sus empleados pudieran co</w:t>
      </w:r>
      <w:r>
        <w:rPr>
          <w:spacing w:val="-1"/>
        </w:rPr>
        <w:t xml:space="preserve">mprar los autos que fabricaban. </w:t>
      </w:r>
      <w:r w:rsidRPr="0077794C">
        <w:rPr>
          <w:spacing w:val="-1"/>
        </w:rPr>
        <w:t>Más de 100 años después, algunos expertos ven cierta similitud en el anuncio de Amazon.</w:t>
      </w:r>
    </w:p>
    <w:p w:rsidR="000D1167" w:rsidRDefault="000D1167" w:rsidP="000D1167">
      <w:pPr>
        <w:pStyle w:val="NormalWeb"/>
        <w:shd w:val="clear" w:color="auto" w:fill="FFFFFF"/>
        <w:spacing w:after="270"/>
        <w:jc w:val="both"/>
        <w:rPr>
          <w:spacing w:val="-1"/>
        </w:rPr>
      </w:pPr>
      <w:r>
        <w:rPr>
          <w:spacing w:val="-1"/>
        </w:rPr>
        <w:t>“Golpe maestro”</w:t>
      </w:r>
    </w:p>
    <w:p w:rsidR="000D1167" w:rsidRPr="0077794C" w:rsidRDefault="000D1167" w:rsidP="000D1167">
      <w:pPr>
        <w:pStyle w:val="NormalWeb"/>
        <w:shd w:val="clear" w:color="auto" w:fill="FFFFFF"/>
        <w:spacing w:after="270"/>
        <w:jc w:val="both"/>
        <w:rPr>
          <w:spacing w:val="-1"/>
        </w:rPr>
      </w:pPr>
      <w:r>
        <w:rPr>
          <w:spacing w:val="-1"/>
        </w:rPr>
        <w:t>“</w:t>
      </w:r>
      <w:r w:rsidRPr="0077794C">
        <w:rPr>
          <w:spacing w:val="-1"/>
        </w:rPr>
        <w:t>Ford en su época y Amazon ahora son dueños de gran parte de l</w:t>
      </w:r>
      <w:r>
        <w:rPr>
          <w:spacing w:val="-1"/>
        </w:rPr>
        <w:t>a billetera de los consumidores”</w:t>
      </w:r>
      <w:r w:rsidRPr="0077794C">
        <w:rPr>
          <w:spacing w:val="-1"/>
        </w:rPr>
        <w:t>, le dice a BBC Mundo Gene Munster, exanalista de Wall Street y actual socio en la empresa de c</w:t>
      </w:r>
      <w:r>
        <w:rPr>
          <w:spacing w:val="-1"/>
        </w:rPr>
        <w:t>apital de riesgo Loup Ventures. “</w:t>
      </w:r>
      <w:r w:rsidRPr="0077794C">
        <w:rPr>
          <w:spacing w:val="-1"/>
        </w:rPr>
        <w:t>Es una decisión con un benefici</w:t>
      </w:r>
      <w:r>
        <w:rPr>
          <w:spacing w:val="-1"/>
        </w:rPr>
        <w:t>o escondido. Un golpe maestro”.</w:t>
      </w:r>
    </w:p>
    <w:p w:rsidR="000D1167" w:rsidRDefault="000D1167" w:rsidP="000D1167">
      <w:pPr>
        <w:pStyle w:val="NormalWeb"/>
        <w:shd w:val="clear" w:color="auto" w:fill="FFFFFF"/>
        <w:spacing w:after="270"/>
        <w:jc w:val="both"/>
        <w:rPr>
          <w:spacing w:val="-1"/>
        </w:rPr>
      </w:pPr>
      <w:r w:rsidRPr="0077794C">
        <w:rPr>
          <w:spacing w:val="-1"/>
        </w:rPr>
        <w:t>Primero, porque el incremento es una motivación para los empleados que le permite a Amazon reducir los altos costos de la rotación laboral.</w:t>
      </w:r>
    </w:p>
    <w:p w:rsidR="000D1167" w:rsidRPr="0077794C" w:rsidRDefault="000D1167" w:rsidP="000D1167">
      <w:pPr>
        <w:pStyle w:val="NormalWeb"/>
        <w:shd w:val="clear" w:color="auto" w:fill="FFFFFF"/>
        <w:spacing w:after="270"/>
        <w:jc w:val="both"/>
        <w:rPr>
          <w:spacing w:val="-1"/>
        </w:rPr>
      </w:pPr>
      <w:r w:rsidRPr="0077794C">
        <w:rPr>
          <w:spacing w:val="-1"/>
        </w:rPr>
        <w:t>En la práctica, se trataría de un incentivo tanto para los 250.000 trabajadores permane</w:t>
      </w:r>
      <w:r>
        <w:rPr>
          <w:spacing w:val="-1"/>
        </w:rPr>
        <w:t>ntes que la empresa tiene en EEUU</w:t>
      </w:r>
      <w:r w:rsidRPr="0077794C">
        <w:rPr>
          <w:spacing w:val="-1"/>
        </w:rPr>
        <w:t>, y para atraer a unos 100.000 empleados temporales que contrata en las fechas de mayor demanda.</w:t>
      </w:r>
      <w:r>
        <w:rPr>
          <w:spacing w:val="-1"/>
        </w:rPr>
        <w:t xml:space="preserve"> </w:t>
      </w:r>
      <w:r w:rsidRPr="0077794C">
        <w:rPr>
          <w:spacing w:val="-1"/>
        </w:rPr>
        <w:t xml:space="preserve">Además, la decisión se produce cuando hay un </w:t>
      </w:r>
      <w:r>
        <w:rPr>
          <w:spacing w:val="-1"/>
        </w:rPr>
        <w:t>mercado laboral ajustado en EEUU</w:t>
      </w:r>
      <w:r w:rsidRPr="0077794C">
        <w:rPr>
          <w:spacing w:val="-1"/>
        </w:rPr>
        <w:t xml:space="preserve"> (con el más bajo des</w:t>
      </w:r>
      <w:r>
        <w:rPr>
          <w:spacing w:val="-1"/>
        </w:rPr>
        <w:t>empleo de las últimas décadas).</w:t>
      </w:r>
    </w:p>
    <w:p w:rsidR="000D1167" w:rsidRPr="0077794C" w:rsidRDefault="000D1167" w:rsidP="000D1167">
      <w:pPr>
        <w:pStyle w:val="NormalWeb"/>
        <w:shd w:val="clear" w:color="auto" w:fill="FFFFFF"/>
        <w:spacing w:after="270"/>
        <w:jc w:val="both"/>
        <w:rPr>
          <w:spacing w:val="-1"/>
        </w:rPr>
      </w:pPr>
      <w:r w:rsidRPr="0077794C">
        <w:rPr>
          <w:spacing w:val="-1"/>
        </w:rPr>
        <w:t>En segundo l</w:t>
      </w:r>
      <w:r>
        <w:rPr>
          <w:spacing w:val="-1"/>
        </w:rPr>
        <w:t>ugar, porque, explica Munster, “</w:t>
      </w:r>
      <w:r w:rsidRPr="0077794C">
        <w:rPr>
          <w:spacing w:val="-1"/>
        </w:rPr>
        <w:t>le permitirá beneficiarse del enfoque Henry Ford: si pones más dinero en el bolsillo de los empleados, gastará</w:t>
      </w:r>
      <w:r>
        <w:rPr>
          <w:spacing w:val="-1"/>
        </w:rPr>
        <w:t>n más dinero en tu plataforma”.</w:t>
      </w:r>
    </w:p>
    <w:p w:rsidR="000D1167" w:rsidRDefault="000D1167" w:rsidP="000D1167">
      <w:pPr>
        <w:pStyle w:val="NormalWeb"/>
        <w:shd w:val="clear" w:color="auto" w:fill="FFFFFF"/>
        <w:spacing w:after="270"/>
        <w:jc w:val="both"/>
        <w:rPr>
          <w:spacing w:val="-1"/>
        </w:rPr>
      </w:pPr>
      <w:r w:rsidRPr="0077794C">
        <w:rPr>
          <w:spacing w:val="-1"/>
        </w:rPr>
        <w:t>Y por último, le permite a la firm</w:t>
      </w:r>
      <w:r>
        <w:rPr>
          <w:spacing w:val="-1"/>
        </w:rPr>
        <w:t>a presentar una imagen “más favorable”</w:t>
      </w:r>
      <w:r w:rsidRPr="0077794C">
        <w:rPr>
          <w:spacing w:val="-1"/>
        </w:rPr>
        <w:t xml:space="preserve"> frente a los consumidores, agrega el analista.</w:t>
      </w:r>
    </w:p>
    <w:p w:rsidR="000D1167" w:rsidRPr="0077794C" w:rsidRDefault="000D1167" w:rsidP="000D1167">
      <w:pPr>
        <w:pStyle w:val="NormalWeb"/>
        <w:shd w:val="clear" w:color="auto" w:fill="FFFFFF"/>
        <w:spacing w:after="270"/>
        <w:jc w:val="both"/>
        <w:rPr>
          <w:spacing w:val="-1"/>
        </w:rPr>
      </w:pPr>
      <w:r w:rsidRPr="0077794C">
        <w:rPr>
          <w:spacing w:val="-1"/>
        </w:rPr>
        <w:t>El anuncio de Amazon ha generado una serie de interpretaciones sobre las razones y los efectos de la decisión.</w:t>
      </w:r>
      <w:r>
        <w:rPr>
          <w:spacing w:val="-1"/>
        </w:rPr>
        <w:t xml:space="preserve"> </w:t>
      </w:r>
      <w:r w:rsidRPr="0077794C">
        <w:rPr>
          <w:spacing w:val="-1"/>
        </w:rPr>
        <w:t>En la prensa local, los argumentos van desde que el gigante ha fijado un nuevo estándar nacional que será seguido por otras empresas, hasta que se trata de una astuta estrategia de marketing tras acusacione</w:t>
      </w:r>
      <w:r>
        <w:rPr>
          <w:spacing w:val="-1"/>
        </w:rPr>
        <w:t>s de malas prácticas laborales.</w:t>
      </w:r>
    </w:p>
    <w:p w:rsidR="000D1167" w:rsidRPr="0077794C" w:rsidRDefault="000D1167" w:rsidP="000D1167">
      <w:pPr>
        <w:pStyle w:val="NormalWeb"/>
        <w:shd w:val="clear" w:color="auto" w:fill="FFFFFF"/>
        <w:spacing w:after="270"/>
        <w:jc w:val="both"/>
        <w:rPr>
          <w:spacing w:val="-1"/>
        </w:rPr>
      </w:pPr>
      <w:r w:rsidRPr="0077794C">
        <w:rPr>
          <w:spacing w:val="-1"/>
        </w:rPr>
        <w:t>Amazon siempre está en el escrutinio público considerando que alcanzó una valoración de mercado de US$</w:t>
      </w:r>
      <w:r>
        <w:rPr>
          <w:spacing w:val="-1"/>
        </w:rPr>
        <w:t xml:space="preserve"> </w:t>
      </w:r>
      <w:r w:rsidRPr="0077794C">
        <w:rPr>
          <w:spacing w:val="-1"/>
        </w:rPr>
        <w:t>1 billón y además, su director ejecutivo, Jeff Bezos, e</w:t>
      </w:r>
      <w:r>
        <w:rPr>
          <w:spacing w:val="-1"/>
        </w:rPr>
        <w:t>s el hombre más rico del mundo.</w:t>
      </w:r>
    </w:p>
    <w:p w:rsidR="000D1167" w:rsidRPr="0077794C" w:rsidRDefault="000D1167" w:rsidP="000D1167">
      <w:pPr>
        <w:pStyle w:val="NormalWeb"/>
        <w:shd w:val="clear" w:color="auto" w:fill="FFFFFF"/>
        <w:spacing w:after="270"/>
        <w:jc w:val="both"/>
        <w:rPr>
          <w:spacing w:val="-1"/>
        </w:rPr>
      </w:pPr>
      <w:r w:rsidRPr="0077794C">
        <w:rPr>
          <w:spacing w:val="-1"/>
        </w:rPr>
        <w:t>¿Victoria de relaciones públicas?</w:t>
      </w:r>
    </w:p>
    <w:p w:rsidR="000D1167" w:rsidRPr="0077794C" w:rsidRDefault="000D1167" w:rsidP="000D1167">
      <w:pPr>
        <w:pStyle w:val="NormalWeb"/>
        <w:shd w:val="clear" w:color="auto" w:fill="FFFFFF"/>
        <w:spacing w:after="270"/>
        <w:jc w:val="both"/>
        <w:rPr>
          <w:spacing w:val="-1"/>
        </w:rPr>
      </w:pPr>
      <w:r w:rsidRPr="0077794C">
        <w:rPr>
          <w:spacing w:val="-1"/>
        </w:rPr>
        <w:t>Expertos de la consultora estadounidense Loop Capital Markets consi</w:t>
      </w:r>
      <w:r>
        <w:rPr>
          <w:spacing w:val="-1"/>
        </w:rPr>
        <w:t>deraron que la decisión es una “</w:t>
      </w:r>
      <w:r w:rsidRPr="0077794C">
        <w:rPr>
          <w:spacing w:val="-1"/>
        </w:rPr>
        <w:t>victoria de</w:t>
      </w:r>
      <w:r>
        <w:rPr>
          <w:spacing w:val="-1"/>
        </w:rPr>
        <w:t xml:space="preserve"> relaciones públicas”</w:t>
      </w:r>
      <w:r w:rsidRPr="0077794C">
        <w:rPr>
          <w:spacing w:val="-1"/>
        </w:rPr>
        <w:t xml:space="preserve"> teniendo en cuenta que el presidente Donald Trump </w:t>
      </w:r>
      <w:r w:rsidRPr="0077794C">
        <w:rPr>
          <w:spacing w:val="-1"/>
        </w:rPr>
        <w:lastRenderedPageBreak/>
        <w:t>ataca constantemente a la e</w:t>
      </w:r>
      <w:r>
        <w:rPr>
          <w:spacing w:val="-1"/>
        </w:rPr>
        <w:t>mpresa, y ahora Amazon aparece “</w:t>
      </w:r>
      <w:r w:rsidRPr="0077794C">
        <w:rPr>
          <w:spacing w:val="-1"/>
        </w:rPr>
        <w:t>mejorand</w:t>
      </w:r>
      <w:r>
        <w:rPr>
          <w:spacing w:val="-1"/>
        </w:rPr>
        <w:t>o la vida de sus trabajadores”.</w:t>
      </w:r>
    </w:p>
    <w:p w:rsidR="000D1167" w:rsidRPr="0077794C" w:rsidRDefault="000D1167" w:rsidP="000D1167">
      <w:pPr>
        <w:pStyle w:val="NormalWeb"/>
        <w:shd w:val="clear" w:color="auto" w:fill="FFFFFF"/>
        <w:spacing w:after="270"/>
        <w:jc w:val="both"/>
        <w:rPr>
          <w:spacing w:val="-1"/>
        </w:rPr>
      </w:pPr>
      <w:r w:rsidRPr="0077794C">
        <w:rPr>
          <w:spacing w:val="-1"/>
        </w:rPr>
        <w:t>Según cálculos de la consultora, los costos de Amazon podrían aumentar en un rango de entre US$</w:t>
      </w:r>
      <w:r>
        <w:rPr>
          <w:spacing w:val="-1"/>
        </w:rPr>
        <w:t xml:space="preserve"> </w:t>
      </w:r>
      <w:r w:rsidRPr="0077794C">
        <w:rPr>
          <w:spacing w:val="-1"/>
        </w:rPr>
        <w:t>900 millones a US$</w:t>
      </w:r>
      <w:r>
        <w:rPr>
          <w:spacing w:val="-1"/>
        </w:rPr>
        <w:t xml:space="preserve"> </w:t>
      </w:r>
      <w:r w:rsidRPr="0077794C">
        <w:rPr>
          <w:spacing w:val="-1"/>
        </w:rPr>
        <w:t>1.800 millones al año, lo cual es menos de 1% de los in</w:t>
      </w:r>
      <w:r>
        <w:rPr>
          <w:spacing w:val="-1"/>
        </w:rPr>
        <w:t xml:space="preserve">gresos del gigante electrónico. </w:t>
      </w:r>
      <w:r w:rsidRPr="0077794C">
        <w:rPr>
          <w:spacing w:val="-1"/>
        </w:rPr>
        <w:t>A nivel nacional, Amazon es el segundo mayor empleador después de Walmart, lo que hace que sus decisiones puedan marcar una t</w:t>
      </w:r>
      <w:r>
        <w:rPr>
          <w:spacing w:val="-1"/>
        </w:rPr>
        <w:t>endencia en el mercado laboral.</w:t>
      </w:r>
    </w:p>
    <w:p w:rsidR="000D1167" w:rsidRPr="0077794C" w:rsidRDefault="000D1167" w:rsidP="000D1167">
      <w:pPr>
        <w:pStyle w:val="NormalWeb"/>
        <w:shd w:val="clear" w:color="auto" w:fill="FFFFFF"/>
        <w:spacing w:after="270"/>
        <w:jc w:val="both"/>
        <w:rPr>
          <w:spacing w:val="-1"/>
        </w:rPr>
      </w:pPr>
      <w:r w:rsidRPr="0077794C">
        <w:rPr>
          <w:spacing w:val="-1"/>
        </w:rPr>
        <w:t>El alza salarial se produce en medio de una ola de críticas contra la firma, luego que trabajadores denunciaran precarias condiciones laborales en las bodegas do</w:t>
      </w:r>
      <w:r>
        <w:rPr>
          <w:spacing w:val="-1"/>
        </w:rPr>
        <w:t xml:space="preserve">nde se almacenan los productos. </w:t>
      </w:r>
      <w:r w:rsidRPr="0077794C">
        <w:rPr>
          <w:spacing w:val="-1"/>
        </w:rPr>
        <w:t>Una de ellas, por ejemplo, es la acusación de que algunos empleados no tenían tiempo para ir al baño por la presión de alcanzar las me</w:t>
      </w:r>
      <w:r>
        <w:rPr>
          <w:spacing w:val="-1"/>
        </w:rPr>
        <w:t>tas, algo que la empresa niega.</w:t>
      </w:r>
    </w:p>
    <w:p w:rsidR="000D1167" w:rsidRPr="0077794C" w:rsidRDefault="000D1167" w:rsidP="000D1167">
      <w:pPr>
        <w:pStyle w:val="NormalWeb"/>
        <w:shd w:val="clear" w:color="auto" w:fill="FFFFFF"/>
        <w:spacing w:after="270"/>
        <w:jc w:val="both"/>
        <w:rPr>
          <w:spacing w:val="-1"/>
        </w:rPr>
      </w:pPr>
      <w:r w:rsidRPr="0077794C">
        <w:rPr>
          <w:spacing w:val="-1"/>
        </w:rPr>
        <w:t>Hasta ahora Amazon pagaba un sueldo mínimo de US$</w:t>
      </w:r>
      <w:r>
        <w:rPr>
          <w:spacing w:val="-1"/>
        </w:rPr>
        <w:t xml:space="preserve"> </w:t>
      </w:r>
      <w:r w:rsidRPr="0077794C">
        <w:rPr>
          <w:spacing w:val="-1"/>
        </w:rPr>
        <w:t>11 por hora a sus trabajadores de tiempo completo. Según la firma, el promedio de salario en los centros de</w:t>
      </w:r>
      <w:r>
        <w:rPr>
          <w:spacing w:val="-1"/>
        </w:rPr>
        <w:t xml:space="preserve"> almacenamiento es mucho mayor. </w:t>
      </w:r>
      <w:r w:rsidRPr="0077794C">
        <w:rPr>
          <w:spacing w:val="-1"/>
        </w:rPr>
        <w:t>En Estados Unidos, el ingreso promedio de los trabajadores del sector retail es de US$</w:t>
      </w:r>
      <w:r>
        <w:rPr>
          <w:spacing w:val="-1"/>
        </w:rPr>
        <w:t xml:space="preserve"> </w:t>
      </w:r>
      <w:r w:rsidRPr="0077794C">
        <w:rPr>
          <w:spacing w:val="-1"/>
        </w:rPr>
        <w:t>13,20 por hora y el sueldo mínimo en general, de US$</w:t>
      </w:r>
      <w:r>
        <w:rPr>
          <w:spacing w:val="-1"/>
        </w:rPr>
        <w:t xml:space="preserve"> </w:t>
      </w:r>
      <w:r w:rsidRPr="0077794C">
        <w:rPr>
          <w:spacing w:val="-1"/>
        </w:rPr>
        <w:t>7,25, un valor que no ha cambiado desde 2009.</w:t>
      </w:r>
    </w:p>
    <w:p w:rsidR="000D1167" w:rsidRPr="00721EBB"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21EBB">
        <w:rPr>
          <w:rFonts w:ascii="Times New Roman" w:hAnsi="Times New Roman" w:cs="Times New Roman"/>
          <w:sz w:val="24"/>
          <w:szCs w:val="24"/>
          <w:u w:val="single"/>
        </w:rPr>
        <w:t>Amazon fija su salario mínimo en 30.000 dólares al año en EEUU</w:t>
      </w:r>
      <w:r>
        <w:rPr>
          <w:rFonts w:ascii="Times New Roman" w:hAnsi="Times New Roman" w:cs="Times New Roman"/>
          <w:sz w:val="24"/>
          <w:szCs w:val="24"/>
        </w:rPr>
        <w:t xml:space="preserve"> (Libertad Digital - </w:t>
      </w:r>
      <w:r w:rsidRPr="00721EBB">
        <w:rPr>
          <w:rFonts w:ascii="Times New Roman" w:hAnsi="Times New Roman" w:cs="Times New Roman"/>
          <w:b/>
          <w:sz w:val="24"/>
          <w:szCs w:val="24"/>
        </w:rPr>
        <w:t>11/10/18</w:t>
      </w:r>
      <w:r>
        <w:rPr>
          <w:rFonts w:ascii="Times New Roman" w:hAnsi="Times New Roman" w:cs="Times New Roman"/>
          <w:sz w:val="24"/>
          <w:szCs w:val="24"/>
        </w:rPr>
        <w:t>)</w:t>
      </w:r>
    </w:p>
    <w:p w:rsidR="000D1167" w:rsidRDefault="000D1167" w:rsidP="000D1167">
      <w:pPr>
        <w:spacing w:line="240" w:lineRule="auto"/>
        <w:jc w:val="both"/>
        <w:rPr>
          <w:rFonts w:ascii="Times New Roman" w:hAnsi="Times New Roman" w:cs="Times New Roman"/>
          <w:sz w:val="24"/>
          <w:szCs w:val="24"/>
        </w:rPr>
      </w:pPr>
      <w:r w:rsidRPr="00721EBB">
        <w:rPr>
          <w:rFonts w:ascii="Times New Roman" w:hAnsi="Times New Roman" w:cs="Times New Roman"/>
          <w:sz w:val="24"/>
          <w:szCs w:val="24"/>
        </w:rPr>
        <w:t>El empleado a jornada completa con el salario más bajo de Amazon cobrará 30.000 dólares al año.</w:t>
      </w:r>
    </w:p>
    <w:p w:rsidR="000D1167" w:rsidRPr="00721EBB" w:rsidRDefault="000D1167" w:rsidP="000D1167">
      <w:pPr>
        <w:spacing w:line="240" w:lineRule="auto"/>
        <w:jc w:val="both"/>
        <w:rPr>
          <w:rFonts w:ascii="Times New Roman" w:hAnsi="Times New Roman" w:cs="Times New Roman"/>
          <w:sz w:val="24"/>
          <w:szCs w:val="24"/>
        </w:rPr>
      </w:pPr>
      <w:r w:rsidRPr="00721EBB">
        <w:rPr>
          <w:rFonts w:ascii="Times New Roman" w:hAnsi="Times New Roman" w:cs="Times New Roman"/>
          <w:sz w:val="24"/>
          <w:szCs w:val="24"/>
        </w:rPr>
        <w:t>Amazon ha anunciado un incremento del salario mínimo para todos sus trabajadores en EEUU. A nivel nacional, el salario mínimo es de 7,25 dólares por hora -no existe el SMI mensual-, aunque algunos estados han elevado ese umbral. La empresa liderada por Jeff Bezos subirá a 15 dólares la hora el mínimo que ganan sus empleados, esta medida afectará a 250.000 empleados que trabajan a jornada completa y a 100.000 que lo hacen cuando el comercio crece -Navidad, Cibermonday, Black F</w:t>
      </w:r>
      <w:r>
        <w:rPr>
          <w:rFonts w:ascii="Times New Roman" w:hAnsi="Times New Roman" w:cs="Times New Roman"/>
          <w:sz w:val="24"/>
          <w:szCs w:val="24"/>
        </w:rPr>
        <w:t>riday, Amazon Prime Day, etc.-.</w:t>
      </w:r>
    </w:p>
    <w:p w:rsidR="000D1167" w:rsidRPr="00721EBB" w:rsidRDefault="000D1167" w:rsidP="000D1167">
      <w:pPr>
        <w:spacing w:line="240" w:lineRule="auto"/>
        <w:jc w:val="both"/>
        <w:rPr>
          <w:rFonts w:ascii="Times New Roman" w:hAnsi="Times New Roman" w:cs="Times New Roman"/>
          <w:sz w:val="24"/>
          <w:szCs w:val="24"/>
        </w:rPr>
      </w:pPr>
      <w:r w:rsidRPr="00721EBB">
        <w:rPr>
          <w:rFonts w:ascii="Times New Roman" w:hAnsi="Times New Roman" w:cs="Times New Roman"/>
          <w:sz w:val="24"/>
          <w:szCs w:val="24"/>
        </w:rPr>
        <w:t>De esta manera, el empleado a jornada completa con el salario más bajo de Amazon cobrará 30.000 dólares al año, 26.140 euros. El salario anual de Jeff Bezos</w:t>
      </w:r>
      <w:r>
        <w:rPr>
          <w:rFonts w:ascii="Times New Roman" w:hAnsi="Times New Roman" w:cs="Times New Roman"/>
          <w:sz w:val="24"/>
          <w:szCs w:val="24"/>
        </w:rPr>
        <w:t xml:space="preserve"> </w:t>
      </w:r>
      <w:r w:rsidRPr="00721EBB">
        <w:rPr>
          <w:rFonts w:ascii="Times New Roman" w:hAnsi="Times New Roman" w:cs="Times New Roman"/>
          <w:sz w:val="24"/>
          <w:szCs w:val="24"/>
        </w:rPr>
        <w:t>fue de 81.840 dólares en 2017, un salario bastante modesto para su calidad de CEO de la segunda compañía más valiosa de Estados Unidos. Aunque Bezos tiene 80 millones de acciones de Amazon, lo que representa la mayor parte de su patrimonio, valorado en 165.000 millone</w:t>
      </w:r>
      <w:r>
        <w:rPr>
          <w:rFonts w:ascii="Times New Roman" w:hAnsi="Times New Roman" w:cs="Times New Roman"/>
          <w:sz w:val="24"/>
          <w:szCs w:val="24"/>
        </w:rPr>
        <w:t>s de dólares.</w:t>
      </w:r>
    </w:p>
    <w:p w:rsidR="000D1167" w:rsidRPr="00721EBB" w:rsidRDefault="000D1167" w:rsidP="000D1167">
      <w:pPr>
        <w:spacing w:line="240" w:lineRule="auto"/>
        <w:jc w:val="both"/>
        <w:rPr>
          <w:rFonts w:ascii="Times New Roman" w:hAnsi="Times New Roman" w:cs="Times New Roman"/>
          <w:sz w:val="24"/>
          <w:szCs w:val="24"/>
        </w:rPr>
      </w:pPr>
      <w:r w:rsidRPr="00721EBB">
        <w:rPr>
          <w:rFonts w:ascii="Times New Roman" w:hAnsi="Times New Roman" w:cs="Times New Roman"/>
          <w:sz w:val="24"/>
          <w:szCs w:val="24"/>
        </w:rPr>
        <w:t>En los últimos meses, Amazon, siguiendo la tendencia alcista del S&amp;P 500 y del Dow Jones, que han tocado máximos históricos, ha crecido en 82.600 millones su capitalización bursátil, hasta superar el billón. Si se dividiera por horas, el valor de Amazon ha crecido a un ritmo de 19 millones p</w:t>
      </w:r>
      <w:r>
        <w:rPr>
          <w:rFonts w:ascii="Times New Roman" w:hAnsi="Times New Roman" w:cs="Times New Roman"/>
          <w:sz w:val="24"/>
          <w:szCs w:val="24"/>
        </w:rPr>
        <w:t>or hora desde que comenzó 2018.</w:t>
      </w:r>
    </w:p>
    <w:p w:rsidR="000D1167" w:rsidRDefault="000D1167" w:rsidP="000D1167">
      <w:pPr>
        <w:spacing w:line="240" w:lineRule="auto"/>
        <w:jc w:val="both"/>
        <w:rPr>
          <w:rFonts w:ascii="Times New Roman" w:hAnsi="Times New Roman" w:cs="Times New Roman"/>
          <w:sz w:val="24"/>
          <w:szCs w:val="24"/>
        </w:rPr>
      </w:pPr>
      <w:r w:rsidRPr="00721EBB">
        <w:rPr>
          <w:rFonts w:ascii="Times New Roman" w:hAnsi="Times New Roman" w:cs="Times New Roman"/>
          <w:sz w:val="24"/>
          <w:szCs w:val="24"/>
        </w:rPr>
        <w:t>Lo cierto de el por qué Amazon ha decidido subir el sueldo -antes sus empleados cobraban entre 10 y 14 dólares por hora- se encuentra en varios motivos. El primero es el mercado laboral estadounidense. La pasada semana, la tasa de desempleo de EEUU bajó hasta el 3,7%, la más baja en los últimos 49 años. De hecho, muchas empresas empiezan a tener problemas por falta de mano de obra. Con el inicio de la campaña de Navidad, empresas como Walmart incorporan a sus plantillas a 100.000 empleados. Para evitar una fuga de trabajadores por mejores condiciones salariales, Bezos ha decidido ponerse la venda antes d</w:t>
      </w:r>
      <w:r>
        <w:rPr>
          <w:rFonts w:ascii="Times New Roman" w:hAnsi="Times New Roman" w:cs="Times New Roman"/>
          <w:sz w:val="24"/>
          <w:szCs w:val="24"/>
        </w:rPr>
        <w:t>e la herida y subir el salario.</w:t>
      </w:r>
    </w:p>
    <w:p w:rsidR="000D1167" w:rsidRPr="000D1167" w:rsidRDefault="000D1167" w:rsidP="000D1167">
      <w:pPr>
        <w:spacing w:line="240" w:lineRule="auto"/>
        <w:jc w:val="both"/>
        <w:rPr>
          <w:rFonts w:ascii="Times New Roman" w:hAnsi="Times New Roman" w:cs="Times New Roman"/>
          <w:sz w:val="24"/>
          <w:szCs w:val="24"/>
        </w:rPr>
      </w:pPr>
      <w:r w:rsidRPr="0077794C">
        <w:rPr>
          <w:rFonts w:ascii="Times New Roman" w:hAnsi="Times New Roman" w:cs="Times New Roman"/>
          <w:b/>
          <w:sz w:val="24"/>
          <w:szCs w:val="24"/>
        </w:rPr>
        <w:lastRenderedPageBreak/>
        <w:t>Una economía para tontos y el final del juego</w:t>
      </w:r>
      <w:r>
        <w:rPr>
          <w:rFonts w:ascii="Times New Roman" w:hAnsi="Times New Roman" w:cs="Times New Roman"/>
          <w:b/>
          <w:sz w:val="24"/>
          <w:szCs w:val="24"/>
        </w:rPr>
        <w:t xml:space="preserve"> (el naufragio de la economía real)</w:t>
      </w:r>
    </w:p>
    <w:p w:rsidR="000D1167" w:rsidRDefault="000D1167" w:rsidP="000D1167">
      <w:pPr>
        <w:spacing w:line="240" w:lineRule="auto"/>
        <w:jc w:val="both"/>
        <w:rPr>
          <w:rFonts w:ascii="Times New Roman" w:hAnsi="Times New Roman" w:cs="Times New Roman"/>
          <w:sz w:val="24"/>
          <w:szCs w:val="24"/>
        </w:rPr>
      </w:pPr>
      <w:r w:rsidRPr="00627332">
        <w:rPr>
          <w:rFonts w:ascii="Times New Roman" w:hAnsi="Times New Roman" w:cs="Times New Roman"/>
          <w:sz w:val="24"/>
          <w:szCs w:val="24"/>
        </w:rPr>
        <w:t>La mentira, además de síntoma de maldad, es prueba de falta de inteligencia. Las personas sensatas saben que el camastro donde descansa el tullido mentiroso es la estulticia y que ayudado por las muletas de la torpeza y la maldad se arrastra el mentiroso.</w:t>
      </w:r>
    </w:p>
    <w:p w:rsidR="000D1167" w:rsidRPr="00A86266" w:rsidRDefault="000D1167" w:rsidP="000D1167">
      <w:pPr>
        <w:spacing w:line="240" w:lineRule="auto"/>
        <w:jc w:val="both"/>
        <w:rPr>
          <w:rFonts w:ascii="Times New Roman" w:hAnsi="Times New Roman" w:cs="Times New Roman"/>
          <w:b/>
          <w:sz w:val="24"/>
          <w:szCs w:val="24"/>
        </w:rPr>
      </w:pPr>
      <w:r w:rsidRPr="00A86266">
        <w:rPr>
          <w:rFonts w:ascii="Times New Roman" w:hAnsi="Times New Roman" w:cs="Times New Roman"/>
          <w:b/>
          <w:sz w:val="24"/>
          <w:szCs w:val="24"/>
        </w:rPr>
        <w:t xml:space="preserve">Ford </w:t>
      </w:r>
      <w:r>
        <w:rPr>
          <w:rFonts w:ascii="Times New Roman" w:hAnsi="Times New Roman" w:cs="Times New Roman"/>
          <w:b/>
          <w:sz w:val="24"/>
          <w:szCs w:val="24"/>
        </w:rPr>
        <w:t xml:space="preserve">(US$ 5 por día, en 1914) </w:t>
      </w:r>
      <w:r w:rsidRPr="00A86266">
        <w:rPr>
          <w:rFonts w:ascii="Times New Roman" w:hAnsi="Times New Roman" w:cs="Times New Roman"/>
          <w:b/>
          <w:sz w:val="24"/>
          <w:szCs w:val="24"/>
        </w:rPr>
        <w:t>vs. Amazon</w:t>
      </w:r>
      <w:r>
        <w:rPr>
          <w:rFonts w:ascii="Times New Roman" w:hAnsi="Times New Roman" w:cs="Times New Roman"/>
          <w:b/>
          <w:sz w:val="24"/>
          <w:szCs w:val="24"/>
        </w:rPr>
        <w:t xml:space="preserve"> (US$ 15 la hora, en 2018) </w:t>
      </w:r>
    </w:p>
    <w:p w:rsidR="000D1167" w:rsidRPr="00D3056E" w:rsidRDefault="000D1167" w:rsidP="000D1167">
      <w:pPr>
        <w:jc w:val="both"/>
        <w:rPr>
          <w:rFonts w:ascii="Times New Roman" w:hAnsi="Times New Roman" w:cs="Times New Roman"/>
          <w:sz w:val="24"/>
          <w:szCs w:val="24"/>
          <w:shd w:val="clear" w:color="auto" w:fill="FFFFFF"/>
        </w:rPr>
      </w:pPr>
      <w:r w:rsidRPr="00D3056E">
        <w:rPr>
          <w:rStyle w:val="Textoennegrita"/>
          <w:rFonts w:ascii="Times New Roman" w:hAnsi="Times New Roman" w:cs="Times New Roman"/>
          <w:sz w:val="24"/>
          <w:szCs w:val="24"/>
          <w:shd w:val="clear" w:color="auto" w:fill="FFFFFF"/>
        </w:rPr>
        <w:t>Inflación histórica Estados Unidos (IPC)</w:t>
      </w:r>
      <w:r w:rsidRPr="00D3056E">
        <w:rPr>
          <w:rFonts w:ascii="Times New Roman" w:hAnsi="Times New Roman" w:cs="Times New Roman"/>
          <w:sz w:val="24"/>
          <w:szCs w:val="24"/>
          <w:shd w:val="clear" w:color="auto" w:fill="FFFFFF"/>
        </w:rPr>
        <w:t> </w:t>
      </w:r>
    </w:p>
    <w:p w:rsidR="000D1167" w:rsidRPr="00D3056E" w:rsidRDefault="000D1167" w:rsidP="000D1167">
      <w:pPr>
        <w:shd w:val="clear" w:color="auto" w:fill="FFFFFF"/>
        <w:spacing w:after="0" w:line="240" w:lineRule="auto"/>
        <w:jc w:val="both"/>
        <w:rPr>
          <w:rFonts w:ascii="Times New Roman" w:hAnsi="Times New Roman" w:cs="Times New Roman"/>
          <w:b/>
          <w:bCs/>
          <w:sz w:val="24"/>
          <w:szCs w:val="24"/>
        </w:rPr>
      </w:pPr>
      <w:r w:rsidRPr="00D3056E">
        <w:rPr>
          <w:rFonts w:ascii="Times New Roman" w:hAnsi="Times New Roman" w:cs="Times New Roman"/>
          <w:b/>
          <w:bCs/>
          <w:sz w:val="24"/>
          <w:szCs w:val="24"/>
        </w:rPr>
        <w:t>Gráfico - Inflación histórica del IPC Estados Unidos (anual) - plazo de medición íntegro</w:t>
      </w:r>
    </w:p>
    <w:p w:rsidR="000D1167" w:rsidRPr="00D3056E" w:rsidRDefault="000D1167" w:rsidP="000D1167">
      <w:pPr>
        <w:shd w:val="clear" w:color="auto" w:fill="FFFFFF"/>
        <w:spacing w:after="0" w:line="240" w:lineRule="auto"/>
        <w:jc w:val="both"/>
        <w:rPr>
          <w:rFonts w:ascii="Times New Roman" w:hAnsi="Times New Roman" w:cs="Times New Roman"/>
          <w:sz w:val="24"/>
          <w:szCs w:val="24"/>
        </w:rPr>
      </w:pPr>
    </w:p>
    <w:p w:rsidR="000D1167" w:rsidRPr="00A86266" w:rsidRDefault="000D1167" w:rsidP="000D1167">
      <w:pPr>
        <w:rPr>
          <w:rFonts w:ascii="Times New Roman" w:hAnsi="Times New Roman" w:cs="Times New Roman"/>
          <w:sz w:val="24"/>
          <w:szCs w:val="24"/>
        </w:rPr>
      </w:pPr>
      <w:r>
        <w:rPr>
          <w:noProof/>
          <w:lang w:eastAsia="es-ES"/>
        </w:rPr>
        <w:drawing>
          <wp:inline distT="0" distB="0" distL="0" distR="0" wp14:anchorId="74A7E5F1" wp14:editId="682D53FF">
            <wp:extent cx="6057900" cy="1714500"/>
            <wp:effectExtent l="0" t="0" r="0" b="0"/>
            <wp:docPr id="245" name="Imagen 245" descr="Gráfico – inflación histórica del IPC Estados Unidos - evolución de la inflación a largo pl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áfico – inflación histórica del IPC Estados Unidos - evolución de la inflación a largo plazo"/>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057900" cy="1714500"/>
                    </a:xfrm>
                    <a:prstGeom prst="rect">
                      <a:avLst/>
                    </a:prstGeom>
                    <a:noFill/>
                    <a:ln>
                      <a:noFill/>
                    </a:ln>
                  </pic:spPr>
                </pic:pic>
              </a:graphicData>
            </a:graphic>
          </wp:inline>
        </w:drawing>
      </w:r>
    </w:p>
    <w:p w:rsidR="000D1167" w:rsidRPr="00A86266" w:rsidRDefault="000D1167" w:rsidP="000D1167">
      <w:pPr>
        <w:pStyle w:val="Ttulo2"/>
        <w:shd w:val="clear" w:color="auto" w:fill="FFFFFF"/>
        <w:spacing w:before="240" w:after="60"/>
        <w:rPr>
          <w:bCs w:val="0"/>
          <w:color w:val="414141"/>
          <w:sz w:val="24"/>
          <w:szCs w:val="24"/>
        </w:rPr>
      </w:pPr>
      <w:r w:rsidRPr="00A86266">
        <w:rPr>
          <w:bCs w:val="0"/>
          <w:color w:val="414141"/>
          <w:sz w:val="24"/>
          <w:szCs w:val="24"/>
        </w:rPr>
        <w:t>Tabla - inflación histórica Estados Unidos (IPC) - por año</w:t>
      </w:r>
    </w:p>
    <w:tbl>
      <w:tblPr>
        <w:tblW w:w="9570" w:type="dxa"/>
        <w:tblCellSpacing w:w="0" w:type="dxa"/>
        <w:tblBorders>
          <w:top w:val="single" w:sz="6" w:space="0" w:color="CCCCCC"/>
          <w:left w:val="single" w:sz="6" w:space="0" w:color="CCCCCC"/>
          <w:bottom w:val="single" w:sz="6" w:space="0" w:color="CCCCCC"/>
          <w:right w:val="single" w:sz="6" w:space="0" w:color="CCCCCC"/>
        </w:tblBorders>
        <w:shd w:val="clear" w:color="auto" w:fill="FFFFFF"/>
        <w:tblCellMar>
          <w:top w:w="30" w:type="dxa"/>
          <w:left w:w="30" w:type="dxa"/>
          <w:bottom w:w="30" w:type="dxa"/>
          <w:right w:w="30" w:type="dxa"/>
        </w:tblCellMar>
        <w:tblLook w:val="04A0" w:firstRow="1" w:lastRow="0" w:firstColumn="1" w:lastColumn="0" w:noHBand="0" w:noVBand="1"/>
      </w:tblPr>
      <w:tblGrid>
        <w:gridCol w:w="2760"/>
        <w:gridCol w:w="1830"/>
        <w:gridCol w:w="345"/>
        <w:gridCol w:w="2790"/>
        <w:gridCol w:w="1845"/>
      </w:tblGrid>
      <w:tr w:rsidR="000D1167" w:rsidTr="00AE438F">
        <w:trPr>
          <w:trHeight w:val="330"/>
          <w:tblCellSpacing w:w="0" w:type="dxa"/>
        </w:trPr>
        <w:tc>
          <w:tcPr>
            <w:tcW w:w="2760" w:type="dxa"/>
            <w:shd w:val="clear" w:color="auto" w:fill="414141"/>
            <w:vAlign w:val="center"/>
            <w:hideMark/>
          </w:tcPr>
          <w:p w:rsidR="000D1167" w:rsidRDefault="000D1167" w:rsidP="00AE438F">
            <w:pPr>
              <w:spacing w:after="15"/>
              <w:rPr>
                <w:rFonts w:ascii="Arial" w:hAnsi="Arial" w:cs="Arial"/>
                <w:b/>
                <w:bCs/>
                <w:color w:val="FFFFFF"/>
                <w:sz w:val="16"/>
                <w:szCs w:val="16"/>
              </w:rPr>
            </w:pPr>
            <w:r>
              <w:rPr>
                <w:rFonts w:ascii="Arial" w:hAnsi="Arial" w:cs="Arial"/>
                <w:b/>
                <w:bCs/>
                <w:color w:val="FFFFFF"/>
                <w:sz w:val="16"/>
                <w:szCs w:val="16"/>
              </w:rPr>
              <w:t> inflación anual (dic resp. dic)</w:t>
            </w:r>
          </w:p>
        </w:tc>
        <w:tc>
          <w:tcPr>
            <w:tcW w:w="1830" w:type="dxa"/>
            <w:shd w:val="clear" w:color="auto" w:fill="414141"/>
            <w:vAlign w:val="center"/>
            <w:hideMark/>
          </w:tcPr>
          <w:p w:rsidR="000D1167" w:rsidRDefault="000D1167" w:rsidP="00AE438F">
            <w:pPr>
              <w:spacing w:after="15"/>
              <w:jc w:val="right"/>
              <w:rPr>
                <w:rFonts w:ascii="Arial" w:hAnsi="Arial" w:cs="Arial"/>
                <w:b/>
                <w:bCs/>
                <w:color w:val="FFFFFF"/>
                <w:sz w:val="16"/>
                <w:szCs w:val="16"/>
              </w:rPr>
            </w:pPr>
            <w:r>
              <w:rPr>
                <w:rFonts w:ascii="Arial" w:hAnsi="Arial" w:cs="Arial"/>
                <w:b/>
                <w:bCs/>
                <w:color w:val="FFFFFF"/>
                <w:sz w:val="16"/>
                <w:szCs w:val="16"/>
              </w:rPr>
              <w:t>inflación</w:t>
            </w:r>
          </w:p>
        </w:tc>
        <w:tc>
          <w:tcPr>
            <w:tcW w:w="0" w:type="auto"/>
            <w:shd w:val="clear" w:color="auto" w:fill="414141"/>
            <w:vAlign w:val="center"/>
            <w:hideMark/>
          </w:tcPr>
          <w:p w:rsidR="000D1167" w:rsidRDefault="000D1167" w:rsidP="00AE438F">
            <w:pPr>
              <w:spacing w:after="15"/>
              <w:rPr>
                <w:rFonts w:ascii="Arial" w:hAnsi="Arial" w:cs="Arial"/>
                <w:b/>
                <w:bCs/>
                <w:color w:val="FFFFFF"/>
                <w:sz w:val="16"/>
                <w:szCs w:val="16"/>
              </w:rPr>
            </w:pPr>
            <w:r>
              <w:rPr>
                <w:rFonts w:ascii="Arial" w:hAnsi="Arial" w:cs="Arial"/>
                <w:b/>
                <w:bCs/>
                <w:color w:val="FFFFFF"/>
                <w:sz w:val="16"/>
                <w:szCs w:val="16"/>
              </w:rPr>
              <w:t> </w:t>
            </w:r>
          </w:p>
        </w:tc>
        <w:tc>
          <w:tcPr>
            <w:tcW w:w="2790" w:type="dxa"/>
            <w:shd w:val="clear" w:color="auto" w:fill="414141"/>
            <w:vAlign w:val="center"/>
            <w:hideMark/>
          </w:tcPr>
          <w:p w:rsidR="000D1167" w:rsidRDefault="000D1167" w:rsidP="00AE438F">
            <w:pPr>
              <w:spacing w:after="15"/>
              <w:rPr>
                <w:rFonts w:ascii="Arial" w:hAnsi="Arial" w:cs="Arial"/>
                <w:b/>
                <w:bCs/>
                <w:color w:val="FFFFFF"/>
                <w:sz w:val="16"/>
                <w:szCs w:val="16"/>
              </w:rPr>
            </w:pPr>
            <w:r>
              <w:rPr>
                <w:rFonts w:ascii="Arial" w:hAnsi="Arial" w:cs="Arial"/>
                <w:b/>
                <w:bCs/>
                <w:color w:val="FFFFFF"/>
                <w:sz w:val="16"/>
                <w:szCs w:val="16"/>
              </w:rPr>
              <w:t>inflación anual (dic resp. dic)</w:t>
            </w:r>
          </w:p>
        </w:tc>
        <w:tc>
          <w:tcPr>
            <w:tcW w:w="1845" w:type="dxa"/>
            <w:shd w:val="clear" w:color="auto" w:fill="414141"/>
            <w:vAlign w:val="center"/>
            <w:hideMark/>
          </w:tcPr>
          <w:p w:rsidR="000D1167" w:rsidRDefault="000D1167" w:rsidP="00AE438F">
            <w:pPr>
              <w:spacing w:after="15"/>
              <w:jc w:val="right"/>
              <w:rPr>
                <w:rFonts w:ascii="Arial" w:hAnsi="Arial" w:cs="Arial"/>
                <w:b/>
                <w:bCs/>
                <w:color w:val="FFFFFF"/>
                <w:sz w:val="16"/>
                <w:szCs w:val="16"/>
              </w:rPr>
            </w:pPr>
            <w:r>
              <w:rPr>
                <w:rFonts w:ascii="Arial" w:hAnsi="Arial" w:cs="Arial"/>
                <w:b/>
                <w:bCs/>
                <w:color w:val="FFFFFF"/>
                <w:sz w:val="16"/>
                <w:szCs w:val="16"/>
              </w:rPr>
              <w:t>inflazione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178" w:tooltip="Inflación IPC Estados Unidos 2017" w:history="1">
              <w:r>
                <w:rPr>
                  <w:rStyle w:val="Hipervnculo"/>
                  <w:rFonts w:ascii="Arial" w:hAnsi="Arial" w:cs="Arial"/>
                  <w:color w:val="414141"/>
                  <w:sz w:val="16"/>
                  <w:szCs w:val="16"/>
                </w:rPr>
                <w:t>IPC Estados Unidos 2017</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2,11 %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179" w:tooltip="Inflación IPC Estados Unidos 1986" w:history="1">
              <w:r w:rsidR="000D1167">
                <w:rPr>
                  <w:rStyle w:val="Hipervnculo"/>
                  <w:rFonts w:ascii="Arial" w:hAnsi="Arial" w:cs="Arial"/>
                  <w:color w:val="414141"/>
                  <w:sz w:val="16"/>
                  <w:szCs w:val="16"/>
                </w:rPr>
                <w:t>IPC Estados Unidos 1986</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1,10 %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180" w:tooltip="Inflación IPC Estados Unidos 2016" w:history="1">
              <w:r>
                <w:rPr>
                  <w:rStyle w:val="Hipervnculo"/>
                  <w:rFonts w:ascii="Arial" w:hAnsi="Arial" w:cs="Arial"/>
                  <w:color w:val="414141"/>
                  <w:sz w:val="16"/>
                  <w:szCs w:val="16"/>
                </w:rPr>
                <w:t>IPC Estados Unidos 2016</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2,07 %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181" w:tooltip="Inflación IPC Estados Unidos 1985" w:history="1">
              <w:r w:rsidR="000D1167">
                <w:rPr>
                  <w:rStyle w:val="Hipervnculo"/>
                  <w:rFonts w:ascii="Arial" w:hAnsi="Arial" w:cs="Arial"/>
                  <w:color w:val="414141"/>
                  <w:sz w:val="16"/>
                  <w:szCs w:val="16"/>
                </w:rPr>
                <w:t>IPC Estados Unidos 1985</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3,80 %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182" w:tooltip="Inflación IPC Estados Unidos 2015" w:history="1">
              <w:r>
                <w:rPr>
                  <w:rStyle w:val="Hipervnculo"/>
                  <w:rFonts w:ascii="Arial" w:hAnsi="Arial" w:cs="Arial"/>
                  <w:color w:val="414141"/>
                  <w:sz w:val="16"/>
                  <w:szCs w:val="16"/>
                </w:rPr>
                <w:t>IPC Estados Unidos 2015</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0,73 %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183" w:tooltip="Inflación IPC Estados Unidos 1984" w:history="1">
              <w:r w:rsidR="000D1167">
                <w:rPr>
                  <w:rStyle w:val="Hipervnculo"/>
                  <w:rFonts w:ascii="Arial" w:hAnsi="Arial" w:cs="Arial"/>
                  <w:color w:val="414141"/>
                  <w:sz w:val="16"/>
                  <w:szCs w:val="16"/>
                </w:rPr>
                <w:t>IPC Estados Unidos 1984</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3,95 %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184" w:tooltip="Inflación IPC Estados Unidos 2014" w:history="1">
              <w:r>
                <w:rPr>
                  <w:rStyle w:val="Hipervnculo"/>
                  <w:rFonts w:ascii="Arial" w:hAnsi="Arial" w:cs="Arial"/>
                  <w:color w:val="414141"/>
                  <w:sz w:val="16"/>
                  <w:szCs w:val="16"/>
                </w:rPr>
                <w:t>IPC Estados Unidos 2014</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0,76 %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185" w:tooltip="Inflación IPC Estados Unidos 1983" w:history="1">
              <w:r w:rsidR="000D1167">
                <w:rPr>
                  <w:rStyle w:val="Hipervnculo"/>
                  <w:rFonts w:ascii="Arial" w:hAnsi="Arial" w:cs="Arial"/>
                  <w:color w:val="414141"/>
                  <w:sz w:val="16"/>
                  <w:szCs w:val="16"/>
                </w:rPr>
                <w:t>IPC Estados Unidos 1983</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3,79 %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186" w:tooltip="Inflación IPC Estados Unidos 2013" w:history="1">
              <w:r>
                <w:rPr>
                  <w:rStyle w:val="Hipervnculo"/>
                  <w:rFonts w:ascii="Arial" w:hAnsi="Arial" w:cs="Arial"/>
                  <w:color w:val="414141"/>
                  <w:sz w:val="16"/>
                  <w:szCs w:val="16"/>
                </w:rPr>
                <w:t>IPC Estados Unidos 2013</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1,50 %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187" w:tooltip="Inflación IPC Estados Unidos 1982" w:history="1">
              <w:r w:rsidR="000D1167">
                <w:rPr>
                  <w:rStyle w:val="Hipervnculo"/>
                  <w:rFonts w:ascii="Arial" w:hAnsi="Arial" w:cs="Arial"/>
                  <w:color w:val="414141"/>
                  <w:sz w:val="16"/>
                  <w:szCs w:val="16"/>
                </w:rPr>
                <w:t>IPC Estados Unidos 1982</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3,83 %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188" w:tooltip="Inflación IPC Estados Unidos 2012" w:history="1">
              <w:r>
                <w:rPr>
                  <w:rStyle w:val="Hipervnculo"/>
                  <w:rFonts w:ascii="Arial" w:hAnsi="Arial" w:cs="Arial"/>
                  <w:color w:val="414141"/>
                  <w:sz w:val="16"/>
                  <w:szCs w:val="16"/>
                </w:rPr>
                <w:t>IPC Estados Unidos 2012</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1,74 %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189" w:tooltip="Inflación IPC Estados Unidos 1981" w:history="1">
              <w:r w:rsidR="000D1167">
                <w:rPr>
                  <w:rStyle w:val="Hipervnculo"/>
                  <w:rFonts w:ascii="Arial" w:hAnsi="Arial" w:cs="Arial"/>
                  <w:color w:val="414141"/>
                  <w:sz w:val="16"/>
                  <w:szCs w:val="16"/>
                </w:rPr>
                <w:t>IPC Estados Unidos 1981</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8,92 %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190" w:tooltip="Inflación IPC Estados Unidos 2011" w:history="1">
              <w:r>
                <w:rPr>
                  <w:rStyle w:val="Hipervnculo"/>
                  <w:rFonts w:ascii="Arial" w:hAnsi="Arial" w:cs="Arial"/>
                  <w:color w:val="414141"/>
                  <w:sz w:val="16"/>
                  <w:szCs w:val="16"/>
                </w:rPr>
                <w:t>IPC Estados Unidos 2011</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2,96 %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191" w:tooltip="Inflación IPC Estados Unidos 1980" w:history="1">
              <w:r w:rsidR="000D1167">
                <w:rPr>
                  <w:rStyle w:val="Hipervnculo"/>
                  <w:rFonts w:ascii="Arial" w:hAnsi="Arial" w:cs="Arial"/>
                  <w:color w:val="414141"/>
                  <w:sz w:val="16"/>
                  <w:szCs w:val="16"/>
                </w:rPr>
                <w:t>IPC Estados Unidos 1980</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12,52 %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192" w:tooltip="Inflación IPC Estados Unidos 2010" w:history="1">
              <w:r>
                <w:rPr>
                  <w:rStyle w:val="Hipervnculo"/>
                  <w:rFonts w:ascii="Arial" w:hAnsi="Arial" w:cs="Arial"/>
                  <w:color w:val="414141"/>
                  <w:sz w:val="16"/>
                  <w:szCs w:val="16"/>
                </w:rPr>
                <w:t>IPC Estados Unidos 2010</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1,50 %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193" w:tooltip="Inflación IPC Estados Unidos 1979" w:history="1">
              <w:r w:rsidR="000D1167">
                <w:rPr>
                  <w:rStyle w:val="Hipervnculo"/>
                  <w:rFonts w:ascii="Arial" w:hAnsi="Arial" w:cs="Arial"/>
                  <w:color w:val="414141"/>
                  <w:sz w:val="16"/>
                  <w:szCs w:val="16"/>
                </w:rPr>
                <w:t>IPC Estados Unidos 1979</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13,29 %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194" w:tooltip="Inflación IPC Estados Unidos 2009" w:history="1">
              <w:r>
                <w:rPr>
                  <w:rStyle w:val="Hipervnculo"/>
                  <w:rFonts w:ascii="Arial" w:hAnsi="Arial" w:cs="Arial"/>
                  <w:color w:val="414141"/>
                  <w:sz w:val="16"/>
                  <w:szCs w:val="16"/>
                </w:rPr>
                <w:t>IPC Estados Unidos 2009</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2,72 %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195" w:tooltip="Inflación IPC Estados Unidos 1978" w:history="1">
              <w:r w:rsidR="000D1167">
                <w:rPr>
                  <w:rStyle w:val="Hipervnculo"/>
                  <w:rFonts w:ascii="Arial" w:hAnsi="Arial" w:cs="Arial"/>
                  <w:color w:val="414141"/>
                  <w:sz w:val="16"/>
                  <w:szCs w:val="16"/>
                </w:rPr>
                <w:t>IPC Estados Unidos 1978</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9,02 %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196" w:tooltip="Inflación IPC Estados Unidos 2008" w:history="1">
              <w:r>
                <w:rPr>
                  <w:rStyle w:val="Hipervnculo"/>
                  <w:rFonts w:ascii="Arial" w:hAnsi="Arial" w:cs="Arial"/>
                  <w:color w:val="414141"/>
                  <w:sz w:val="16"/>
                  <w:szCs w:val="16"/>
                </w:rPr>
                <w:t>IPC Estados Unidos 2008</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0,09 %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197" w:tooltip="Inflación IPC Estados Unidos 1977" w:history="1">
              <w:r w:rsidR="000D1167">
                <w:rPr>
                  <w:rStyle w:val="Hipervnculo"/>
                  <w:rFonts w:ascii="Arial" w:hAnsi="Arial" w:cs="Arial"/>
                  <w:color w:val="414141"/>
                  <w:sz w:val="16"/>
                  <w:szCs w:val="16"/>
                </w:rPr>
                <w:t>IPC Estados Unidos 1977</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6,70 %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198" w:tooltip="Inflación IPC Estados Unidos 2007" w:history="1">
              <w:r>
                <w:rPr>
                  <w:rStyle w:val="Hipervnculo"/>
                  <w:rFonts w:ascii="Arial" w:hAnsi="Arial" w:cs="Arial"/>
                  <w:color w:val="414141"/>
                  <w:sz w:val="16"/>
                  <w:szCs w:val="16"/>
                </w:rPr>
                <w:t>IPC Estados Unidos 2007</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4,08 %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199" w:tooltip="Inflación IPC Estados Unidos 1976" w:history="1">
              <w:r w:rsidR="000D1167">
                <w:rPr>
                  <w:rStyle w:val="Hipervnculo"/>
                  <w:rFonts w:ascii="Arial" w:hAnsi="Arial" w:cs="Arial"/>
                  <w:color w:val="414141"/>
                  <w:sz w:val="16"/>
                  <w:szCs w:val="16"/>
                </w:rPr>
                <w:t>IPC Estados Unidos 1976</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4,86 %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00" w:tooltip="Inflación IPC Estados Unidos 2006" w:history="1">
              <w:r>
                <w:rPr>
                  <w:rStyle w:val="Hipervnculo"/>
                  <w:rFonts w:ascii="Arial" w:hAnsi="Arial" w:cs="Arial"/>
                  <w:color w:val="414141"/>
                  <w:sz w:val="16"/>
                  <w:szCs w:val="16"/>
                </w:rPr>
                <w:t>IPC Estados Unidos 2006</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2,54 %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201" w:tooltip="Inflación IPC Estados Unidos 1975" w:history="1">
              <w:r w:rsidR="000D1167">
                <w:rPr>
                  <w:rStyle w:val="Hipervnculo"/>
                  <w:rFonts w:ascii="Arial" w:hAnsi="Arial" w:cs="Arial"/>
                  <w:color w:val="414141"/>
                  <w:sz w:val="16"/>
                  <w:szCs w:val="16"/>
                </w:rPr>
                <w:t>IPC Estados Unidos 1975</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6,94 %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02" w:tooltip="Inflación IPC Estados Unidos 2005" w:history="1">
              <w:r>
                <w:rPr>
                  <w:rStyle w:val="Hipervnculo"/>
                  <w:rFonts w:ascii="Arial" w:hAnsi="Arial" w:cs="Arial"/>
                  <w:color w:val="414141"/>
                  <w:sz w:val="16"/>
                  <w:szCs w:val="16"/>
                </w:rPr>
                <w:t>IPC Estados Unidos 2005</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3,42 %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203" w:tooltip="Inflación IPC Estados Unidos 1974" w:history="1">
              <w:r w:rsidR="000D1167">
                <w:rPr>
                  <w:rStyle w:val="Hipervnculo"/>
                  <w:rFonts w:ascii="Arial" w:hAnsi="Arial" w:cs="Arial"/>
                  <w:color w:val="414141"/>
                  <w:sz w:val="16"/>
                  <w:szCs w:val="16"/>
                </w:rPr>
                <w:t>IPC Estados Unidos 1974</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12,34 %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04" w:tooltip="Inflación IPC Estados Unidos 2004" w:history="1">
              <w:r>
                <w:rPr>
                  <w:rStyle w:val="Hipervnculo"/>
                  <w:rFonts w:ascii="Arial" w:hAnsi="Arial" w:cs="Arial"/>
                  <w:color w:val="414141"/>
                  <w:sz w:val="16"/>
                  <w:szCs w:val="16"/>
                </w:rPr>
                <w:t>IPC Estados Unidos 2004</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3,26 %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205" w:tooltip="Inflación IPC Estados Unidos 1973" w:history="1">
              <w:r w:rsidR="000D1167">
                <w:rPr>
                  <w:rStyle w:val="Hipervnculo"/>
                  <w:rFonts w:ascii="Arial" w:hAnsi="Arial" w:cs="Arial"/>
                  <w:color w:val="414141"/>
                  <w:sz w:val="16"/>
                  <w:szCs w:val="16"/>
                </w:rPr>
                <w:t>IPC Estados Unidos 1973</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8,71 %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06" w:tooltip="Inflación IPC Estados Unidos 2003" w:history="1">
              <w:r>
                <w:rPr>
                  <w:rStyle w:val="Hipervnculo"/>
                  <w:rFonts w:ascii="Arial" w:hAnsi="Arial" w:cs="Arial"/>
                  <w:color w:val="414141"/>
                  <w:sz w:val="16"/>
                  <w:szCs w:val="16"/>
                </w:rPr>
                <w:t>IPC Estados Unidos 2003</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1,88 %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207" w:tooltip="Inflación IPC Estados Unidos 1972" w:history="1">
              <w:r w:rsidR="000D1167">
                <w:rPr>
                  <w:rStyle w:val="Hipervnculo"/>
                  <w:rFonts w:ascii="Arial" w:hAnsi="Arial" w:cs="Arial"/>
                  <w:color w:val="414141"/>
                  <w:sz w:val="16"/>
                  <w:szCs w:val="16"/>
                </w:rPr>
                <w:t>IPC Estados Unidos 1972</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3,41 %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08" w:tooltip="Inflación IPC Estados Unidos 2002" w:history="1">
              <w:r>
                <w:rPr>
                  <w:rStyle w:val="Hipervnculo"/>
                  <w:rFonts w:ascii="Arial" w:hAnsi="Arial" w:cs="Arial"/>
                  <w:color w:val="414141"/>
                  <w:sz w:val="16"/>
                  <w:szCs w:val="16"/>
                </w:rPr>
                <w:t>IPC Estados Unidos 2002</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2,38 %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209" w:tooltip="Inflación IPC Estados Unidos 1971" w:history="1">
              <w:r w:rsidR="000D1167">
                <w:rPr>
                  <w:rStyle w:val="Hipervnculo"/>
                  <w:rFonts w:ascii="Arial" w:hAnsi="Arial" w:cs="Arial"/>
                  <w:color w:val="414141"/>
                  <w:sz w:val="16"/>
                  <w:szCs w:val="16"/>
                </w:rPr>
                <w:t>IPC Estados Unidos 1971</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3,27 %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10" w:tooltip="Inflación IPC Estados Unidos 2001" w:history="1">
              <w:r>
                <w:rPr>
                  <w:rStyle w:val="Hipervnculo"/>
                  <w:rFonts w:ascii="Arial" w:hAnsi="Arial" w:cs="Arial"/>
                  <w:color w:val="414141"/>
                  <w:sz w:val="16"/>
                  <w:szCs w:val="16"/>
                </w:rPr>
                <w:t>IPC Estados Unidos 2001</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1,55 %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211" w:tooltip="Inflación IPC Estados Unidos 1970" w:history="1">
              <w:r w:rsidR="000D1167">
                <w:rPr>
                  <w:rStyle w:val="Hipervnculo"/>
                  <w:rFonts w:ascii="Arial" w:hAnsi="Arial" w:cs="Arial"/>
                  <w:color w:val="414141"/>
                  <w:sz w:val="16"/>
                  <w:szCs w:val="16"/>
                </w:rPr>
                <w:t>IPC Estados Unidos 1970</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5,57 %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12" w:tooltip="Inflación IPC Estados Unidos 2000" w:history="1">
              <w:r>
                <w:rPr>
                  <w:rStyle w:val="Hipervnculo"/>
                  <w:rFonts w:ascii="Arial" w:hAnsi="Arial" w:cs="Arial"/>
                  <w:color w:val="414141"/>
                  <w:sz w:val="16"/>
                  <w:szCs w:val="16"/>
                </w:rPr>
                <w:t>IPC Estados Unidos 2000</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3,39 %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213" w:tooltip="Inflación IPC Estados Unidos 1969" w:history="1">
              <w:r w:rsidR="000D1167">
                <w:rPr>
                  <w:rStyle w:val="Hipervnculo"/>
                  <w:rFonts w:ascii="Arial" w:hAnsi="Arial" w:cs="Arial"/>
                  <w:color w:val="414141"/>
                  <w:sz w:val="16"/>
                  <w:szCs w:val="16"/>
                </w:rPr>
                <w:t>IPC Estados Unidos 1969</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6,20 %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14" w:tooltip="Inflación IPC Estados Unidos 1999" w:history="1">
              <w:r>
                <w:rPr>
                  <w:rStyle w:val="Hipervnculo"/>
                  <w:rFonts w:ascii="Arial" w:hAnsi="Arial" w:cs="Arial"/>
                  <w:color w:val="414141"/>
                  <w:sz w:val="16"/>
                  <w:szCs w:val="16"/>
                </w:rPr>
                <w:t>IPC Estados Unidos 1999</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2,68 %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215" w:tooltip="Inflación IPC Estados Unidos 1968" w:history="1">
              <w:r w:rsidR="000D1167">
                <w:rPr>
                  <w:rStyle w:val="Hipervnculo"/>
                  <w:rFonts w:ascii="Arial" w:hAnsi="Arial" w:cs="Arial"/>
                  <w:color w:val="414141"/>
                  <w:sz w:val="16"/>
                  <w:szCs w:val="16"/>
                </w:rPr>
                <w:t>IPC Estados Unidos 1968</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4,72 %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16" w:tooltip="Inflación IPC Estados Unidos 1998" w:history="1">
              <w:r>
                <w:rPr>
                  <w:rStyle w:val="Hipervnculo"/>
                  <w:rFonts w:ascii="Arial" w:hAnsi="Arial" w:cs="Arial"/>
                  <w:color w:val="414141"/>
                  <w:sz w:val="16"/>
                  <w:szCs w:val="16"/>
                </w:rPr>
                <w:t>IPC Estados Unidos 1998</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1,61 %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217" w:tooltip="Inflación IPC Estados Unidos 1967" w:history="1">
              <w:r w:rsidR="000D1167">
                <w:rPr>
                  <w:rStyle w:val="Hipervnculo"/>
                  <w:rFonts w:ascii="Arial" w:hAnsi="Arial" w:cs="Arial"/>
                  <w:color w:val="414141"/>
                  <w:sz w:val="16"/>
                  <w:szCs w:val="16"/>
                </w:rPr>
                <w:t>IPC Estados Unidos 1967</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3,04 %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18" w:tooltip="Inflación IPC Estados Unidos 1997" w:history="1">
              <w:r>
                <w:rPr>
                  <w:rStyle w:val="Hipervnculo"/>
                  <w:rFonts w:ascii="Arial" w:hAnsi="Arial" w:cs="Arial"/>
                  <w:color w:val="414141"/>
                  <w:sz w:val="16"/>
                  <w:szCs w:val="16"/>
                </w:rPr>
                <w:t>IPC Estados Unidos 1997</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1,70 %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219" w:tooltip="Inflación IPC Estados Unidos 1966" w:history="1">
              <w:r w:rsidR="000D1167">
                <w:rPr>
                  <w:rStyle w:val="Hipervnculo"/>
                  <w:rFonts w:ascii="Arial" w:hAnsi="Arial" w:cs="Arial"/>
                  <w:color w:val="414141"/>
                  <w:sz w:val="16"/>
                  <w:szCs w:val="16"/>
                </w:rPr>
                <w:t>IPC Estados Unidos 1966</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3,46 %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20" w:tooltip="Inflación IPC Estados Unidos 1996" w:history="1">
              <w:r>
                <w:rPr>
                  <w:rStyle w:val="Hipervnculo"/>
                  <w:rFonts w:ascii="Arial" w:hAnsi="Arial" w:cs="Arial"/>
                  <w:color w:val="414141"/>
                  <w:sz w:val="16"/>
                  <w:szCs w:val="16"/>
                </w:rPr>
                <w:t>IPC Estados Unidos 1996</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3,32 %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221" w:tooltip="Inflación IPC Estados Unidos 1965" w:history="1">
              <w:r w:rsidR="000D1167">
                <w:rPr>
                  <w:rStyle w:val="Hipervnculo"/>
                  <w:rFonts w:ascii="Arial" w:hAnsi="Arial" w:cs="Arial"/>
                  <w:color w:val="414141"/>
                  <w:sz w:val="16"/>
                  <w:szCs w:val="16"/>
                </w:rPr>
                <w:t>IPC Estados Unidos 1965</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1,92 %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22" w:tooltip="Inflación IPC Estados Unidos 1995" w:history="1">
              <w:r>
                <w:rPr>
                  <w:rStyle w:val="Hipervnculo"/>
                  <w:rFonts w:ascii="Arial" w:hAnsi="Arial" w:cs="Arial"/>
                  <w:color w:val="414141"/>
                  <w:sz w:val="16"/>
                  <w:szCs w:val="16"/>
                </w:rPr>
                <w:t>IPC Estados Unidos 1995</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2,54 %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223" w:tooltip="Inflación IPC Estados Unidos 1964" w:history="1">
              <w:r w:rsidR="000D1167">
                <w:rPr>
                  <w:rStyle w:val="Hipervnculo"/>
                  <w:rFonts w:ascii="Arial" w:hAnsi="Arial" w:cs="Arial"/>
                  <w:color w:val="414141"/>
                  <w:sz w:val="16"/>
                  <w:szCs w:val="16"/>
                </w:rPr>
                <w:t>IPC Estados Unidos 1964</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0,97 %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24" w:tooltip="Inflación IPC Estados Unidos 1994" w:history="1">
              <w:r>
                <w:rPr>
                  <w:rStyle w:val="Hipervnculo"/>
                  <w:rFonts w:ascii="Arial" w:hAnsi="Arial" w:cs="Arial"/>
                  <w:color w:val="414141"/>
                  <w:sz w:val="16"/>
                  <w:szCs w:val="16"/>
                </w:rPr>
                <w:t>IPC Estados Unidos 1994</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2,67 %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225" w:tooltip="Inflación IPC Estados Unidos 1963" w:history="1">
              <w:r w:rsidR="000D1167">
                <w:rPr>
                  <w:rStyle w:val="Hipervnculo"/>
                  <w:rFonts w:ascii="Arial" w:hAnsi="Arial" w:cs="Arial"/>
                  <w:color w:val="414141"/>
                  <w:sz w:val="16"/>
                  <w:szCs w:val="16"/>
                </w:rPr>
                <w:t>IPC Estados Unidos 1963</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1,64 %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lastRenderedPageBreak/>
              <w:t> </w:t>
            </w:r>
            <w:hyperlink r:id="rId226" w:tooltip="Inflación IPC Estados Unidos 1993" w:history="1">
              <w:r>
                <w:rPr>
                  <w:rStyle w:val="Hipervnculo"/>
                  <w:rFonts w:ascii="Arial" w:hAnsi="Arial" w:cs="Arial"/>
                  <w:color w:val="414141"/>
                  <w:sz w:val="16"/>
                  <w:szCs w:val="16"/>
                </w:rPr>
                <w:t>IPC Estados Unidos 1993</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2,75 %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227" w:tooltip="Inflación IPC Estados Unidos 1962" w:history="1">
              <w:r w:rsidR="000D1167">
                <w:rPr>
                  <w:rStyle w:val="Hipervnculo"/>
                  <w:rFonts w:ascii="Arial" w:hAnsi="Arial" w:cs="Arial"/>
                  <w:color w:val="414141"/>
                  <w:sz w:val="16"/>
                  <w:szCs w:val="16"/>
                </w:rPr>
                <w:t>IPC Estados Unidos 1962</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1,33 %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28" w:tooltip="Inflación IPC Estados Unidos 1992" w:history="1">
              <w:r>
                <w:rPr>
                  <w:rStyle w:val="Hipervnculo"/>
                  <w:rFonts w:ascii="Arial" w:hAnsi="Arial" w:cs="Arial"/>
                  <w:color w:val="414141"/>
                  <w:sz w:val="16"/>
                  <w:szCs w:val="16"/>
                </w:rPr>
                <w:t>IPC Estados Unidos 1992</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2,90 %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229" w:tooltip="Inflación IPC Estados Unidos 1961" w:history="1">
              <w:r w:rsidR="000D1167">
                <w:rPr>
                  <w:rStyle w:val="Hipervnculo"/>
                  <w:rFonts w:ascii="Arial" w:hAnsi="Arial" w:cs="Arial"/>
                  <w:color w:val="414141"/>
                  <w:sz w:val="16"/>
                  <w:szCs w:val="16"/>
                </w:rPr>
                <w:t>IPC Estados Unidos 1961</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0,67 %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30" w:tooltip="Inflación IPC Estados Unidos 1991" w:history="1">
              <w:r>
                <w:rPr>
                  <w:rStyle w:val="Hipervnculo"/>
                  <w:rFonts w:ascii="Arial" w:hAnsi="Arial" w:cs="Arial"/>
                  <w:color w:val="414141"/>
                  <w:sz w:val="16"/>
                  <w:szCs w:val="16"/>
                </w:rPr>
                <w:t>IPC Estados Unidos 1991</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3,06 %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231" w:tooltip="Inflación IPC Estados Unidos 1960" w:history="1">
              <w:r w:rsidR="000D1167">
                <w:rPr>
                  <w:rStyle w:val="Hipervnculo"/>
                  <w:rFonts w:ascii="Arial" w:hAnsi="Arial" w:cs="Arial"/>
                  <w:color w:val="414141"/>
                  <w:sz w:val="16"/>
                  <w:szCs w:val="16"/>
                </w:rPr>
                <w:t>IPC Estados Unidos 1960</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1,36 %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32" w:tooltip="Inflación IPC Estados Unidos 1990" w:history="1">
              <w:r>
                <w:rPr>
                  <w:rStyle w:val="Hipervnculo"/>
                  <w:rFonts w:ascii="Arial" w:hAnsi="Arial" w:cs="Arial"/>
                  <w:color w:val="414141"/>
                  <w:sz w:val="16"/>
                  <w:szCs w:val="16"/>
                </w:rPr>
                <w:t>IPC Estados Unidos 1990</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6,11 %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233" w:tooltip="Inflación IPC Estados Unidos 1959" w:history="1">
              <w:r w:rsidR="000D1167">
                <w:rPr>
                  <w:rStyle w:val="Hipervnculo"/>
                  <w:rFonts w:ascii="Arial" w:hAnsi="Arial" w:cs="Arial"/>
                  <w:color w:val="414141"/>
                  <w:sz w:val="16"/>
                  <w:szCs w:val="16"/>
                </w:rPr>
                <w:t>IPC Estados Unidos 1959</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1,73 %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34" w:tooltip="Inflación IPC Estados Unidos 1989" w:history="1">
              <w:r>
                <w:rPr>
                  <w:rStyle w:val="Hipervnculo"/>
                  <w:rFonts w:ascii="Arial" w:hAnsi="Arial" w:cs="Arial"/>
                  <w:color w:val="414141"/>
                  <w:sz w:val="16"/>
                  <w:szCs w:val="16"/>
                </w:rPr>
                <w:t>IPC Estados Unidos 1989</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4,65 %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235" w:tooltip="Inflación IPC Estados Unidos 1958" w:history="1">
              <w:r w:rsidR="000D1167">
                <w:rPr>
                  <w:rStyle w:val="Hipervnculo"/>
                  <w:rFonts w:ascii="Arial" w:hAnsi="Arial" w:cs="Arial"/>
                  <w:color w:val="414141"/>
                  <w:sz w:val="16"/>
                  <w:szCs w:val="16"/>
                </w:rPr>
                <w:t>IPC Estados Unidos 1958</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1,76 % </w:t>
            </w:r>
          </w:p>
        </w:tc>
      </w:tr>
      <w:tr w:rsidR="000D1167" w:rsidTr="00AE438F">
        <w:trPr>
          <w:tblCellSpacing w:w="0" w:type="dxa"/>
        </w:trPr>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36" w:tooltip="Inflación IPC Estados Unidos 1988" w:history="1">
              <w:r>
                <w:rPr>
                  <w:rStyle w:val="Hipervnculo"/>
                  <w:rFonts w:ascii="Arial" w:hAnsi="Arial" w:cs="Arial"/>
                  <w:color w:val="414141"/>
                  <w:sz w:val="16"/>
                  <w:szCs w:val="16"/>
                </w:rPr>
                <w:t>IPC Estados Unidos 1988</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4,42 %</w:t>
            </w:r>
          </w:p>
        </w:tc>
        <w:tc>
          <w:tcPr>
            <w:tcW w:w="0" w:type="auto"/>
            <w:shd w:val="clear" w:color="auto" w:fill="EEEEEE"/>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EEEEEE"/>
            <w:vAlign w:val="center"/>
            <w:hideMark/>
          </w:tcPr>
          <w:p w:rsidR="000D1167" w:rsidRDefault="00D845AA" w:rsidP="00AE438F">
            <w:pPr>
              <w:spacing w:after="15"/>
              <w:rPr>
                <w:rFonts w:ascii="Arial" w:hAnsi="Arial" w:cs="Arial"/>
                <w:color w:val="414141"/>
                <w:sz w:val="16"/>
                <w:szCs w:val="16"/>
              </w:rPr>
            </w:pPr>
            <w:hyperlink r:id="rId237" w:tooltip="Inflación IPC Estados Unidos 1957" w:history="1">
              <w:r w:rsidR="000D1167">
                <w:rPr>
                  <w:rStyle w:val="Hipervnculo"/>
                  <w:rFonts w:ascii="Arial" w:hAnsi="Arial" w:cs="Arial"/>
                  <w:color w:val="414141"/>
                  <w:sz w:val="16"/>
                  <w:szCs w:val="16"/>
                </w:rPr>
                <w:t>IPC Estados Unidos 1957</w:t>
              </w:r>
            </w:hyperlink>
          </w:p>
        </w:tc>
        <w:tc>
          <w:tcPr>
            <w:tcW w:w="0" w:type="auto"/>
            <w:shd w:val="clear" w:color="auto" w:fill="EEEEEE"/>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2,90 % </w:t>
            </w:r>
          </w:p>
        </w:tc>
      </w:tr>
      <w:tr w:rsidR="000D1167" w:rsidTr="00AE438F">
        <w:trPr>
          <w:tblCellSpacing w:w="0" w:type="dxa"/>
        </w:trPr>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hyperlink r:id="rId238" w:tooltip="Inflación IPC Estados Unidos 1987" w:history="1">
              <w:r>
                <w:rPr>
                  <w:rStyle w:val="Hipervnculo"/>
                  <w:rFonts w:ascii="Arial" w:hAnsi="Arial" w:cs="Arial"/>
                  <w:color w:val="414141"/>
                  <w:sz w:val="16"/>
                  <w:szCs w:val="16"/>
                </w:rPr>
                <w:t>IPC Estados Unidos 1987</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4,43 %</w:t>
            </w:r>
          </w:p>
        </w:tc>
        <w:tc>
          <w:tcPr>
            <w:tcW w:w="0" w:type="auto"/>
            <w:shd w:val="clear" w:color="auto" w:fill="FFFFFF"/>
            <w:vAlign w:val="center"/>
            <w:hideMark/>
          </w:tcPr>
          <w:p w:rsidR="000D1167" w:rsidRDefault="000D1167" w:rsidP="00AE438F">
            <w:pPr>
              <w:spacing w:after="15"/>
              <w:rPr>
                <w:rFonts w:ascii="Arial" w:hAnsi="Arial" w:cs="Arial"/>
                <w:color w:val="414141"/>
                <w:sz w:val="16"/>
                <w:szCs w:val="16"/>
              </w:rPr>
            </w:pPr>
            <w:r>
              <w:rPr>
                <w:rFonts w:ascii="Arial" w:hAnsi="Arial" w:cs="Arial"/>
                <w:color w:val="414141"/>
                <w:sz w:val="16"/>
                <w:szCs w:val="16"/>
              </w:rPr>
              <w:t> </w:t>
            </w:r>
          </w:p>
        </w:tc>
        <w:tc>
          <w:tcPr>
            <w:tcW w:w="0" w:type="auto"/>
            <w:shd w:val="clear" w:color="auto" w:fill="FFFFFF"/>
            <w:vAlign w:val="center"/>
            <w:hideMark/>
          </w:tcPr>
          <w:p w:rsidR="000D1167" w:rsidRDefault="00D845AA" w:rsidP="00AE438F">
            <w:pPr>
              <w:spacing w:after="15"/>
              <w:rPr>
                <w:rFonts w:ascii="Arial" w:hAnsi="Arial" w:cs="Arial"/>
                <w:color w:val="414141"/>
                <w:sz w:val="16"/>
                <w:szCs w:val="16"/>
              </w:rPr>
            </w:pPr>
            <w:hyperlink r:id="rId239" w:tooltip="Inflación IPC Estados Unidos 1956" w:history="1">
              <w:r w:rsidR="000D1167">
                <w:rPr>
                  <w:rStyle w:val="Hipervnculo"/>
                  <w:rFonts w:ascii="Arial" w:hAnsi="Arial" w:cs="Arial"/>
                  <w:color w:val="414141"/>
                  <w:sz w:val="16"/>
                  <w:szCs w:val="16"/>
                </w:rPr>
                <w:t>IPC Estados Unidos 1956</w:t>
              </w:r>
            </w:hyperlink>
          </w:p>
        </w:tc>
        <w:tc>
          <w:tcPr>
            <w:tcW w:w="0" w:type="auto"/>
            <w:shd w:val="clear" w:color="auto" w:fill="FFFFFF"/>
            <w:vAlign w:val="center"/>
            <w:hideMark/>
          </w:tcPr>
          <w:p w:rsidR="000D1167" w:rsidRDefault="000D1167" w:rsidP="00AE438F">
            <w:pPr>
              <w:spacing w:after="15"/>
              <w:jc w:val="right"/>
              <w:rPr>
                <w:rFonts w:ascii="Arial" w:hAnsi="Arial" w:cs="Arial"/>
                <w:color w:val="414141"/>
                <w:sz w:val="16"/>
                <w:szCs w:val="16"/>
              </w:rPr>
            </w:pPr>
            <w:r>
              <w:rPr>
                <w:rFonts w:ascii="Arial" w:hAnsi="Arial" w:cs="Arial"/>
                <w:color w:val="414141"/>
                <w:sz w:val="16"/>
                <w:szCs w:val="16"/>
              </w:rPr>
              <w:t>2,98 % </w:t>
            </w:r>
          </w:p>
        </w:tc>
      </w:tr>
    </w:tbl>
    <w:p w:rsidR="000D1167" w:rsidRPr="000D1167" w:rsidRDefault="000D1167" w:rsidP="000D1167">
      <w:pPr>
        <w:pStyle w:val="Ttulo2"/>
        <w:shd w:val="clear" w:color="auto" w:fill="FFFFFF"/>
        <w:spacing w:before="315" w:after="158"/>
        <w:rPr>
          <w:rFonts w:ascii="Times New Roman" w:hAnsi="Times New Roman" w:cs="Times New Roman"/>
          <w:b w:val="0"/>
          <w:bCs w:val="0"/>
          <w:color w:val="2C3E50"/>
          <w:sz w:val="24"/>
          <w:szCs w:val="24"/>
        </w:rPr>
      </w:pPr>
      <w:r w:rsidRPr="000D1167">
        <w:rPr>
          <w:rFonts w:ascii="Times New Roman" w:hAnsi="Times New Roman" w:cs="Times New Roman"/>
          <w:b w:val="0"/>
          <w:bCs w:val="0"/>
          <w:color w:val="2C3E50"/>
          <w:sz w:val="24"/>
          <w:szCs w:val="24"/>
        </w:rPr>
        <w:t>Nota: la publicación citada no ofrece datos de IPC anteriores al año 1956.</w:t>
      </w:r>
    </w:p>
    <w:p w:rsidR="000D1167" w:rsidRDefault="000D1167" w:rsidP="000D1167">
      <w:pPr>
        <w:shd w:val="clear" w:color="auto" w:fill="FFFFFF"/>
        <w:rPr>
          <w:rFonts w:ascii="Helvetica" w:hAnsi="Helvetica"/>
          <w:color w:val="2C3E50"/>
          <w:sz w:val="23"/>
          <w:szCs w:val="23"/>
        </w:rPr>
      </w:pPr>
      <w:r>
        <w:rPr>
          <w:rFonts w:ascii="Helvetica" w:hAnsi="Helvetica"/>
          <w:noProof/>
          <w:color w:val="2C3E50"/>
          <w:sz w:val="23"/>
          <w:szCs w:val="23"/>
          <w:lang w:eastAsia="es-ES"/>
        </w:rPr>
        <w:drawing>
          <wp:inline distT="0" distB="0" distL="0" distR="0" wp14:anchorId="2DFC4ACF" wp14:editId="42CEB3A0">
            <wp:extent cx="5556250" cy="2990850"/>
            <wp:effectExtent l="0" t="0" r="6350" b="0"/>
            <wp:docPr id="246" name="Imagen 246" descr="All Time Inflation Rate by Year,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AllYears" descr="All Time Inflation Rate by Year, United States"/>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556250" cy="2990850"/>
                    </a:xfrm>
                    <a:prstGeom prst="rect">
                      <a:avLst/>
                    </a:prstGeom>
                    <a:noFill/>
                    <a:ln>
                      <a:noFill/>
                    </a:ln>
                  </pic:spPr>
                </pic:pic>
              </a:graphicData>
            </a:graphic>
          </wp:inline>
        </w:drawing>
      </w:r>
    </w:p>
    <w:p w:rsidR="000D1167" w:rsidRPr="000D1167" w:rsidRDefault="000D1167" w:rsidP="000D1167">
      <w:pPr>
        <w:pStyle w:val="Ttulo2"/>
        <w:shd w:val="clear" w:color="auto" w:fill="FFFFFF"/>
        <w:spacing w:before="315" w:after="158"/>
        <w:rPr>
          <w:rFonts w:ascii="Times New Roman" w:hAnsi="Times New Roman" w:cs="Times New Roman"/>
          <w:b w:val="0"/>
          <w:bCs w:val="0"/>
          <w:color w:val="2C3E50"/>
          <w:sz w:val="24"/>
          <w:szCs w:val="24"/>
        </w:rPr>
      </w:pPr>
      <w:r w:rsidRPr="000D1167">
        <w:rPr>
          <w:rFonts w:ascii="Times New Roman" w:hAnsi="Times New Roman" w:cs="Times New Roman"/>
          <w:b w:val="0"/>
          <w:bCs w:val="0"/>
          <w:color w:val="2C3E50"/>
          <w:sz w:val="24"/>
          <w:szCs w:val="24"/>
        </w:rPr>
        <w:t>Nota: el gráfico muestra la evolución de la inflación desde 1912 a 2018 (6 meses)</w:t>
      </w:r>
    </w:p>
    <w:p w:rsidR="000D1167" w:rsidRPr="00A86266" w:rsidRDefault="000D1167" w:rsidP="000D1167">
      <w:pPr>
        <w:pStyle w:val="Ttulo2"/>
        <w:shd w:val="clear" w:color="auto" w:fill="FFFFFF"/>
        <w:spacing w:before="315" w:after="158"/>
        <w:rPr>
          <w:bCs w:val="0"/>
          <w:color w:val="2C3E50"/>
          <w:sz w:val="24"/>
          <w:szCs w:val="24"/>
          <w:lang w:val="en-US"/>
        </w:rPr>
      </w:pPr>
      <w:r w:rsidRPr="00A86266">
        <w:rPr>
          <w:bCs w:val="0"/>
          <w:color w:val="2C3E50"/>
          <w:sz w:val="24"/>
          <w:szCs w:val="24"/>
          <w:lang w:val="en-US"/>
        </w:rPr>
        <w:t>Last 10 Years Inflation Rate by Year</w:t>
      </w:r>
    </w:p>
    <w:p w:rsidR="000D1167" w:rsidRDefault="000D1167" w:rsidP="000D1167">
      <w:pPr>
        <w:shd w:val="clear" w:color="auto" w:fill="FFFFFF"/>
        <w:rPr>
          <w:rFonts w:ascii="Helvetica" w:hAnsi="Helvetica"/>
          <w:color w:val="2C3E50"/>
          <w:sz w:val="23"/>
          <w:szCs w:val="23"/>
        </w:rPr>
      </w:pPr>
      <w:r>
        <w:rPr>
          <w:rFonts w:ascii="Helvetica" w:hAnsi="Helvetica"/>
          <w:noProof/>
          <w:color w:val="2C3E50"/>
          <w:sz w:val="23"/>
          <w:szCs w:val="23"/>
          <w:lang w:eastAsia="es-ES"/>
        </w:rPr>
        <w:drawing>
          <wp:inline distT="0" distB="0" distL="0" distR="0" wp14:anchorId="0ECDE575" wp14:editId="0BE8754D">
            <wp:extent cx="5645150" cy="2832100"/>
            <wp:effectExtent l="0" t="0" r="0" b="6350"/>
            <wp:docPr id="247" name="Imagen 247" descr="Last 10 Years Inflation Rate by Year, United St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10Years" descr="Last 10 Years Inflation Rate by Year, United States"/>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645150" cy="2832100"/>
                    </a:xfrm>
                    <a:prstGeom prst="rect">
                      <a:avLst/>
                    </a:prstGeom>
                    <a:noFill/>
                    <a:ln>
                      <a:noFill/>
                    </a:ln>
                  </pic:spPr>
                </pic:pic>
              </a:graphicData>
            </a:graphic>
          </wp:inline>
        </w:drawing>
      </w:r>
    </w:p>
    <w:p w:rsidR="000D1167" w:rsidRPr="000D1167" w:rsidRDefault="000D1167" w:rsidP="000D1167">
      <w:pPr>
        <w:shd w:val="clear" w:color="auto" w:fill="FFFFFF"/>
        <w:rPr>
          <w:rFonts w:ascii="Helvetica" w:hAnsi="Helvetica"/>
          <w:color w:val="2C3E50"/>
          <w:sz w:val="23"/>
          <w:szCs w:val="23"/>
          <w:lang w:val="en-US"/>
        </w:rPr>
      </w:pPr>
      <w:r w:rsidRPr="00A86266">
        <w:rPr>
          <w:rFonts w:ascii="Times New Roman" w:hAnsi="Times New Roman" w:cs="Times New Roman"/>
          <w:b/>
          <w:color w:val="2C3E50"/>
          <w:sz w:val="24"/>
          <w:szCs w:val="24"/>
          <w:lang w:val="en-US"/>
        </w:rPr>
        <w:lastRenderedPageBreak/>
        <w:t>Calcul</w:t>
      </w:r>
      <w:r>
        <w:rPr>
          <w:rFonts w:ascii="Times New Roman" w:hAnsi="Times New Roman" w:cs="Times New Roman"/>
          <w:b/>
          <w:color w:val="2C3E50"/>
          <w:sz w:val="24"/>
          <w:szCs w:val="24"/>
          <w:lang w:val="en-US"/>
        </w:rPr>
        <w:t>ate Inflation Rate for Custom Pe</w:t>
      </w:r>
      <w:r w:rsidRPr="00A86266">
        <w:rPr>
          <w:rFonts w:ascii="Times New Roman" w:hAnsi="Times New Roman" w:cs="Times New Roman"/>
          <w:b/>
          <w:color w:val="2C3E50"/>
          <w:sz w:val="24"/>
          <w:szCs w:val="24"/>
          <w:lang w:val="en-US"/>
        </w:rPr>
        <w:t xml:space="preserve">riod (1914 </w:t>
      </w:r>
      <w:r>
        <w:rPr>
          <w:rFonts w:ascii="Times New Roman" w:hAnsi="Times New Roman" w:cs="Times New Roman"/>
          <w:b/>
          <w:color w:val="2C3E50"/>
          <w:sz w:val="24"/>
          <w:szCs w:val="24"/>
          <w:lang w:val="en-US"/>
        </w:rPr>
        <w:t>-</w:t>
      </w:r>
      <w:r w:rsidRPr="00A86266">
        <w:rPr>
          <w:rFonts w:ascii="Times New Roman" w:hAnsi="Times New Roman" w:cs="Times New Roman"/>
          <w:b/>
          <w:color w:val="2C3E50"/>
          <w:sz w:val="24"/>
          <w:szCs w:val="24"/>
          <w:lang w:val="en-US"/>
        </w:rPr>
        <w:t xml:space="preserve"> 2018)</w:t>
      </w:r>
    </w:p>
    <w:p w:rsidR="000D1167" w:rsidRDefault="000D1167" w:rsidP="000D1167">
      <w:pPr>
        <w:spacing w:line="240" w:lineRule="auto"/>
        <w:jc w:val="both"/>
        <w:rPr>
          <w:rFonts w:ascii="Times New Roman" w:hAnsi="Times New Roman" w:cs="Times New Roman"/>
          <w:sz w:val="24"/>
          <w:szCs w:val="24"/>
          <w:lang w:val="en-US"/>
        </w:rPr>
      </w:pPr>
      <w:r w:rsidRPr="00451FFF">
        <w:rPr>
          <w:rFonts w:ascii="Times New Roman" w:hAnsi="Times New Roman" w:cs="Times New Roman"/>
          <w:noProof/>
          <w:sz w:val="24"/>
          <w:szCs w:val="24"/>
          <w:lang w:eastAsia="es-ES"/>
        </w:rPr>
        <w:drawing>
          <wp:inline distT="0" distB="0" distL="0" distR="0" wp14:anchorId="6FE8BC7F" wp14:editId="4E9456D0">
            <wp:extent cx="5651500" cy="4159250"/>
            <wp:effectExtent l="0" t="0" r="635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654160" cy="4161208"/>
                    </a:xfrm>
                    <a:prstGeom prst="rect">
                      <a:avLst/>
                    </a:prstGeom>
                  </pic:spPr>
                </pic:pic>
              </a:graphicData>
            </a:graphic>
          </wp:inline>
        </w:drawing>
      </w:r>
    </w:p>
    <w:p w:rsidR="000D1167" w:rsidRPr="00927C09" w:rsidRDefault="000D1167" w:rsidP="000D1167">
      <w:pPr>
        <w:spacing w:line="240" w:lineRule="auto"/>
        <w:jc w:val="both"/>
        <w:rPr>
          <w:rFonts w:ascii="Times New Roman" w:hAnsi="Times New Roman" w:cs="Times New Roman"/>
          <w:sz w:val="24"/>
          <w:szCs w:val="24"/>
        </w:rPr>
      </w:pPr>
      <w:r w:rsidRPr="00927C09">
        <w:rPr>
          <w:rFonts w:ascii="Times New Roman" w:hAnsi="Times New Roman" w:cs="Times New Roman"/>
          <w:sz w:val="24"/>
          <w:szCs w:val="24"/>
        </w:rPr>
        <w:t>Nota</w:t>
      </w:r>
      <w:r>
        <w:rPr>
          <w:rFonts w:ascii="Times New Roman" w:hAnsi="Times New Roman" w:cs="Times New Roman"/>
          <w:sz w:val="24"/>
          <w:szCs w:val="24"/>
        </w:rPr>
        <w:t>: la página web citada permite calcular la inflación acumulada desde 1/1914 a 4/2018</w:t>
      </w:r>
    </w:p>
    <w:p w:rsidR="000D1167" w:rsidRPr="00E95066" w:rsidRDefault="000D1167" w:rsidP="000D1167">
      <w:pPr>
        <w:spacing w:line="240" w:lineRule="auto"/>
        <w:jc w:val="both"/>
        <w:rPr>
          <w:rFonts w:ascii="Times New Roman" w:hAnsi="Times New Roman" w:cs="Times New Roman"/>
          <w:b/>
          <w:sz w:val="24"/>
          <w:szCs w:val="24"/>
        </w:rPr>
      </w:pPr>
      <w:r w:rsidRPr="00E95066">
        <w:rPr>
          <w:rFonts w:ascii="Times New Roman" w:hAnsi="Times New Roman" w:cs="Times New Roman"/>
          <w:b/>
          <w:sz w:val="24"/>
          <w:szCs w:val="24"/>
        </w:rPr>
        <w:t>Unos cálculos sencillos</w:t>
      </w:r>
      <w:r>
        <w:rPr>
          <w:rFonts w:ascii="Times New Roman" w:hAnsi="Times New Roman" w:cs="Times New Roman"/>
          <w:b/>
          <w:sz w:val="24"/>
          <w:szCs w:val="24"/>
        </w:rPr>
        <w:t xml:space="preserve"> (refrán español: “antes se pilla a un</w:t>
      </w:r>
      <w:r w:rsidRPr="00E95066">
        <w:rPr>
          <w:rFonts w:ascii="Times New Roman" w:hAnsi="Times New Roman" w:cs="Times New Roman"/>
          <w:b/>
          <w:sz w:val="24"/>
          <w:szCs w:val="24"/>
        </w:rPr>
        <w:t xml:space="preserve"> </w:t>
      </w:r>
      <w:r>
        <w:rPr>
          <w:rFonts w:ascii="Times New Roman" w:hAnsi="Times New Roman" w:cs="Times New Roman"/>
          <w:b/>
          <w:sz w:val="24"/>
          <w:szCs w:val="24"/>
        </w:rPr>
        <w:t>mentiroso que a un</w:t>
      </w:r>
      <w:r w:rsidRPr="00E95066">
        <w:rPr>
          <w:rFonts w:ascii="Times New Roman" w:hAnsi="Times New Roman" w:cs="Times New Roman"/>
          <w:b/>
          <w:sz w:val="24"/>
          <w:szCs w:val="24"/>
        </w:rPr>
        <w:t xml:space="preserve"> cojo</w:t>
      </w:r>
      <w:r>
        <w:rPr>
          <w:rFonts w:ascii="Times New Roman" w:hAnsi="Times New Roman" w:cs="Times New Roman"/>
          <w:b/>
          <w:sz w:val="24"/>
          <w:szCs w:val="24"/>
        </w:rPr>
        <w:t>”</w:t>
      </w:r>
      <w:r w:rsidRPr="00E95066">
        <w:rPr>
          <w:rFonts w:ascii="Times New Roman" w:hAnsi="Times New Roman" w:cs="Times New Roman"/>
          <w:b/>
          <w:sz w:val="24"/>
          <w:szCs w:val="24"/>
        </w:rPr>
        <w:t>)</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(1914) </w:t>
      </w:r>
      <w:r w:rsidRPr="00C664C6">
        <w:rPr>
          <w:rFonts w:ascii="Times New Roman" w:hAnsi="Times New Roman" w:cs="Times New Roman"/>
          <w:sz w:val="24"/>
          <w:szCs w:val="24"/>
        </w:rPr>
        <w:t>E</w:t>
      </w:r>
      <w:r>
        <w:rPr>
          <w:rFonts w:ascii="Times New Roman" w:hAnsi="Times New Roman" w:cs="Times New Roman"/>
          <w:sz w:val="24"/>
          <w:szCs w:val="24"/>
        </w:rPr>
        <w:t>l trabajador de Ford, ganaba en un mes (US$5 x 5 días x  4 semanas) = US$ 100</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(2018)  </w:t>
      </w:r>
      <w:r w:rsidRPr="00C664C6">
        <w:rPr>
          <w:rFonts w:ascii="Times New Roman" w:hAnsi="Times New Roman" w:cs="Times New Roman"/>
          <w:sz w:val="24"/>
          <w:szCs w:val="24"/>
        </w:rPr>
        <w:t>E</w:t>
      </w:r>
      <w:r>
        <w:rPr>
          <w:rFonts w:ascii="Times New Roman" w:hAnsi="Times New Roman" w:cs="Times New Roman"/>
          <w:sz w:val="24"/>
          <w:szCs w:val="24"/>
        </w:rPr>
        <w:t>l trabajador de Ford, ganaría en un mes (US$ 100 x 2.405,46%) = US$ 24.054,6</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(2018) El trabajador de Amazon ganará en un mes (US$ 15 x 8 horas x 5 días x 4 semanas) = US$ 2.400</w:t>
      </w:r>
    </w:p>
    <w:p w:rsidR="000D1167" w:rsidRDefault="000D1167" w:rsidP="000D1167">
      <w:pPr>
        <w:pStyle w:val="NormalWeb"/>
        <w:shd w:val="clear" w:color="auto" w:fill="FFFFFF"/>
        <w:spacing w:after="270"/>
        <w:jc w:val="both"/>
        <w:rPr>
          <w:spacing w:val="-1"/>
        </w:rPr>
      </w:pPr>
      <w:r>
        <w:rPr>
          <w:spacing w:val="-1"/>
        </w:rPr>
        <w:t>¿Un “golpe maestro” de Amazon? (sic)</w:t>
      </w:r>
    </w:p>
    <w:p w:rsidR="000D1167" w:rsidRPr="0077794C" w:rsidRDefault="000D1167" w:rsidP="000D1167">
      <w:pPr>
        <w:pStyle w:val="NormalWeb"/>
        <w:shd w:val="clear" w:color="auto" w:fill="FFFFFF"/>
        <w:spacing w:after="270"/>
        <w:jc w:val="both"/>
        <w:rPr>
          <w:spacing w:val="-1"/>
        </w:rPr>
      </w:pPr>
      <w:r w:rsidRPr="0077794C">
        <w:rPr>
          <w:spacing w:val="-1"/>
        </w:rPr>
        <w:t>¿</w:t>
      </w:r>
      <w:r>
        <w:rPr>
          <w:spacing w:val="-1"/>
        </w:rPr>
        <w:t>Una “v</w:t>
      </w:r>
      <w:r w:rsidRPr="0077794C">
        <w:rPr>
          <w:spacing w:val="-1"/>
        </w:rPr>
        <w:t>ictoria</w:t>
      </w:r>
      <w:r>
        <w:rPr>
          <w:spacing w:val="-1"/>
        </w:rPr>
        <w:t>”</w:t>
      </w:r>
      <w:r w:rsidRPr="0077794C">
        <w:rPr>
          <w:spacing w:val="-1"/>
        </w:rPr>
        <w:t xml:space="preserve"> de relaciones públicas?</w:t>
      </w:r>
      <w:r>
        <w:rPr>
          <w:spacing w:val="-1"/>
        </w:rPr>
        <w:t xml:space="preserve"> (sic)</w:t>
      </w:r>
    </w:p>
    <w:p w:rsidR="000D1167" w:rsidRPr="0042284F" w:rsidRDefault="000D1167" w:rsidP="000D1167">
      <w:pPr>
        <w:spacing w:line="240" w:lineRule="auto"/>
        <w:jc w:val="both"/>
        <w:rPr>
          <w:rFonts w:ascii="Times New Roman" w:hAnsi="Times New Roman" w:cs="Times New Roman"/>
          <w:sz w:val="24"/>
          <w:szCs w:val="24"/>
          <w:u w:val="single"/>
        </w:rPr>
      </w:pPr>
      <w:r w:rsidRPr="0042284F">
        <w:rPr>
          <w:rFonts w:ascii="Times New Roman" w:hAnsi="Times New Roman" w:cs="Times New Roman"/>
          <w:sz w:val="24"/>
          <w:szCs w:val="24"/>
          <w:u w:val="single"/>
        </w:rPr>
        <w:t>La “verdad de la milanesa” (un</w:t>
      </w:r>
      <w:r>
        <w:rPr>
          <w:rFonts w:ascii="Times New Roman" w:hAnsi="Times New Roman" w:cs="Times New Roman"/>
          <w:sz w:val="24"/>
          <w:szCs w:val="24"/>
          <w:u w:val="single"/>
        </w:rPr>
        <w:t xml:space="preserve"> mero </w:t>
      </w:r>
      <w:r w:rsidRPr="0042284F">
        <w:rPr>
          <w:rFonts w:ascii="Times New Roman" w:hAnsi="Times New Roman" w:cs="Times New Roman"/>
          <w:sz w:val="24"/>
          <w:szCs w:val="24"/>
          <w:u w:val="single"/>
        </w:rPr>
        <w:t>cálculo</w:t>
      </w:r>
      <w:r>
        <w:rPr>
          <w:rFonts w:ascii="Times New Roman" w:hAnsi="Times New Roman" w:cs="Times New Roman"/>
          <w:sz w:val="24"/>
          <w:szCs w:val="24"/>
          <w:u w:val="single"/>
        </w:rPr>
        <w:t>,</w:t>
      </w:r>
      <w:r w:rsidRPr="0042284F">
        <w:rPr>
          <w:rFonts w:ascii="Times New Roman" w:hAnsi="Times New Roman" w:cs="Times New Roman"/>
          <w:sz w:val="24"/>
          <w:szCs w:val="24"/>
          <w:u w:val="single"/>
        </w:rPr>
        <w:t xml:space="preserve"> sin algoritmos</w:t>
      </w:r>
      <w:r>
        <w:rPr>
          <w:rFonts w:ascii="Times New Roman" w:hAnsi="Times New Roman" w:cs="Times New Roman"/>
          <w:sz w:val="24"/>
          <w:szCs w:val="24"/>
          <w:u w:val="single"/>
        </w:rPr>
        <w:t>, ni mandangas… O</w:t>
      </w:r>
      <w:r w:rsidRPr="0042284F">
        <w:rPr>
          <w:rFonts w:ascii="Times New Roman" w:hAnsi="Times New Roman" w:cs="Times New Roman"/>
          <w:sz w:val="24"/>
          <w:szCs w:val="24"/>
          <w:u w:val="single"/>
        </w:rPr>
        <w:t xml:space="preserve"> sea)</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trabajador de Amazon en el año 2018 deberá trabajar 10 meses para lograr un ingreso equivalente a lo que ganaba un obrero de Ford por mes en el año 1914, actualizado por inflación. </w:t>
      </w:r>
    </w:p>
    <w:p w:rsidR="000D1167" w:rsidRDefault="000D1167" w:rsidP="000D1167">
      <w:pPr>
        <w:spacing w:line="240" w:lineRule="auto"/>
        <w:jc w:val="both"/>
        <w:rPr>
          <w:rFonts w:ascii="Times New Roman" w:hAnsi="Times New Roman" w:cs="Times New Roman"/>
          <w:sz w:val="24"/>
          <w:szCs w:val="24"/>
        </w:rPr>
      </w:pPr>
      <w:r w:rsidRPr="00B0078C">
        <w:rPr>
          <w:rFonts w:ascii="Times New Roman" w:hAnsi="Times New Roman" w:cs="Times New Roman"/>
          <w:sz w:val="24"/>
          <w:szCs w:val="24"/>
        </w:rPr>
        <w:t>Estamos ante una expresión de voracidad y avaricia</w:t>
      </w:r>
      <w:r>
        <w:rPr>
          <w:rFonts w:ascii="Times New Roman" w:hAnsi="Times New Roman" w:cs="Times New Roman"/>
          <w:sz w:val="24"/>
          <w:szCs w:val="24"/>
        </w:rPr>
        <w:t xml:space="preserve"> empresaria,</w:t>
      </w:r>
      <w:r w:rsidRPr="00B0078C">
        <w:rPr>
          <w:rFonts w:ascii="Times New Roman" w:hAnsi="Times New Roman" w:cs="Times New Roman"/>
          <w:sz w:val="24"/>
          <w:szCs w:val="24"/>
        </w:rPr>
        <w:t xml:space="preserve"> </w:t>
      </w:r>
      <w:r>
        <w:rPr>
          <w:rFonts w:ascii="Times New Roman" w:hAnsi="Times New Roman" w:cs="Times New Roman"/>
          <w:sz w:val="24"/>
          <w:szCs w:val="24"/>
        </w:rPr>
        <w:t>que desborda los niveles que son necesario</w:t>
      </w:r>
      <w:r w:rsidRPr="00B0078C">
        <w:rPr>
          <w:rFonts w:ascii="Times New Roman" w:hAnsi="Times New Roman" w:cs="Times New Roman"/>
          <w:sz w:val="24"/>
          <w:szCs w:val="24"/>
        </w:rPr>
        <w:t>s</w:t>
      </w:r>
      <w:r>
        <w:rPr>
          <w:rFonts w:ascii="Times New Roman" w:hAnsi="Times New Roman" w:cs="Times New Roman"/>
          <w:sz w:val="24"/>
          <w:szCs w:val="24"/>
        </w:rPr>
        <w:t xml:space="preserve"> (tolerables)</w:t>
      </w:r>
      <w:r w:rsidRPr="00B0078C">
        <w:rPr>
          <w:rFonts w:ascii="Times New Roman" w:hAnsi="Times New Roman" w:cs="Times New Roman"/>
          <w:sz w:val="24"/>
          <w:szCs w:val="24"/>
        </w:rPr>
        <w:t xml:space="preserve"> para mantener al capitalismo en marcha</w:t>
      </w:r>
      <w:r>
        <w:rPr>
          <w:rFonts w:ascii="Times New Roman" w:hAnsi="Times New Roman" w:cs="Times New Roman"/>
          <w:sz w:val="24"/>
          <w:szCs w:val="24"/>
        </w:rPr>
        <w:t>.</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2284F">
        <w:rPr>
          <w:rFonts w:ascii="Times New Roman" w:hAnsi="Times New Roman" w:cs="Times New Roman"/>
          <w:sz w:val="24"/>
          <w:szCs w:val="24"/>
        </w:rPr>
        <w:t>Dónde estará su empleo en el futuro... y cómo lo conseguirá</w:t>
      </w:r>
      <w:r>
        <w:rPr>
          <w:rFonts w:ascii="Times New Roman" w:hAnsi="Times New Roman" w:cs="Times New Roman"/>
          <w:sz w:val="24"/>
          <w:szCs w:val="24"/>
        </w:rPr>
        <w:t>?</w:t>
      </w:r>
      <w:r w:rsidRPr="0042284F">
        <w:rPr>
          <w:rFonts w:ascii="Times New Roman" w:hAnsi="Times New Roman" w:cs="Times New Roman"/>
          <w:sz w:val="24"/>
          <w:szCs w:val="24"/>
        </w:rPr>
        <w:t xml:space="preserve"> </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Empresas con importancia sistémica para la inteligencia de las personas…</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cuya sofisticación financiera va por delante de los sistemas fiscales…</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Empresas cuya sofisticación tecnológica va por delante de los sistemas de regulación y control…</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economía” va por detrás de la “vieja economía”…</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economía” va por detrás de las conquistas sociales alcanzadas en los últimos 100 años…</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¡Hay algo que no cuadra!</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¿Cuál es la “variable de ajuste”?</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El público rehén, los “amigos”, los clientes, los trabajadores, los empresarios tradicionales, la hacienda pública,… en fin, la “economía real”.</w:t>
      </w:r>
    </w:p>
    <w:p w:rsidR="000D1167" w:rsidRPr="0088373B" w:rsidRDefault="000D1167" w:rsidP="000D1167">
      <w:pPr>
        <w:spacing w:line="240" w:lineRule="auto"/>
        <w:jc w:val="both"/>
        <w:rPr>
          <w:rFonts w:ascii="Times New Roman" w:hAnsi="Times New Roman" w:cs="Times New Roman"/>
          <w:sz w:val="24"/>
          <w:szCs w:val="24"/>
        </w:rPr>
      </w:pPr>
      <w:r w:rsidRPr="0088373B">
        <w:rPr>
          <w:rFonts w:ascii="Times New Roman" w:hAnsi="Times New Roman" w:cs="Times New Roman"/>
          <w:sz w:val="24"/>
          <w:szCs w:val="24"/>
        </w:rPr>
        <w:t>Monetización de la onda tecnológica (iPhones, apps…). Aprovechamiento de la nomofobia (moda, frivolidad, estupidez…). Alta valoración incierta (burbuja especulativa). Sector no controlado (problemas de confianza, seguridad, calidad…). Internet es el nuevo “Gran Hermano” (usuarios y proveedores geolocalizados, espiados, manipulados, sin intimidad, cautivos de algoritmos peligrosos…). No pueden convivir (competir) en igualdad de condiciones un sector regulado (taxis, hoteles…) con otro desregulado (Uber, Airbnb…), uno que paga impuestos (taxis, hoteles…) con otro que no paga impuestos (Uber, Airbnb). No se mejora el sistema económico (modelo) sustituyendo “monopolios” por “oligopolios” (con vocación de monopolios futuros). No se crean nuevos sectores económicos (servicios, productos), sino que se absorben sectores ya existentes (competencia desleal: rapaces “ladrones de nidos”). ¿Quién es el “propietario” de los datos personales y del acceso a ellos (información personal, localización en tiempo real, y pagos móviles)? Son empresas que se sitúan en el limbo legal y perjudican al sector regulado. Hay “aplicaciones” que resultan un escenario ideal para estafas y actividades ilegales de todo tipo (incidentes masivos de fraude y robo de datos). No hay lugar para “personas anónimas” en el futuro de la economía compartida…</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¿Gana la inteligencia artificial y pierde la inteligencia humana? </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son estas, nuevas formas de servidumbre? </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es que si dejamos que esto pase, si aceptamos sin reaccionar que esto continúe, si nos parece normal y gracioso, o bienvenido, que nos intoxiquen, controlen, manipulen, sometan, exploten,… entonces, es el cuerpo social el que se encuentra, cada vez más violado, sucio y amenazado. Entonces, habrá que admitir el naufragio de la razón.</w:t>
      </w:r>
    </w:p>
    <w:p w:rsidR="000D1167"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entrar caminando hacia atrás, en el futuro?</w:t>
      </w:r>
    </w:p>
    <w:p w:rsidR="000D1167" w:rsidRPr="005C7A4F" w:rsidRDefault="000D1167" w:rsidP="000D116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Superando el asco que me produce tanta vulgaridad, insignificancia, vileza, miseria moral, hedonismo ilimitado, avaricia infinita, les dejo una pregunta final: </w:t>
      </w:r>
      <w:r w:rsidRPr="005C7A4F">
        <w:rPr>
          <w:rFonts w:ascii="Times New Roman" w:hAnsi="Times New Roman" w:cs="Times New Roman"/>
          <w:sz w:val="24"/>
          <w:szCs w:val="24"/>
        </w:rPr>
        <w:t>¿Será la “economía colaborativa” una evolución o una involución del capitalismo?</w:t>
      </w:r>
      <w:r>
        <w:rPr>
          <w:rFonts w:ascii="Times New Roman" w:hAnsi="Times New Roman" w:cs="Times New Roman"/>
          <w:sz w:val="24"/>
          <w:szCs w:val="24"/>
        </w:rPr>
        <w:t xml:space="preserve"> Ustedes mismos… </w:t>
      </w:r>
    </w:p>
    <w:p w:rsidR="000D1167" w:rsidRDefault="002F2FED" w:rsidP="00C05493">
      <w:pPr>
        <w:spacing w:line="240" w:lineRule="auto"/>
        <w:jc w:val="both"/>
        <w:rPr>
          <w:rFonts w:ascii="Times New Roman" w:hAnsi="Times New Roman" w:cs="Times New Roman"/>
          <w:b/>
          <w:sz w:val="24"/>
          <w:szCs w:val="24"/>
        </w:rPr>
      </w:pPr>
      <w:r>
        <w:rPr>
          <w:rFonts w:ascii="Times New Roman" w:hAnsi="Times New Roman" w:cs="Times New Roman"/>
          <w:b/>
          <w:sz w:val="24"/>
          <w:szCs w:val="24"/>
        </w:rPr>
        <w:t>Resultado</w:t>
      </w:r>
      <w:r w:rsidR="003A64CC">
        <w:rPr>
          <w:rFonts w:ascii="Times New Roman" w:hAnsi="Times New Roman" w:cs="Times New Roman"/>
          <w:b/>
          <w:sz w:val="24"/>
          <w:szCs w:val="24"/>
        </w:rPr>
        <w:t xml:space="preserve"> final</w:t>
      </w:r>
      <w:r>
        <w:rPr>
          <w:rFonts w:ascii="Times New Roman" w:hAnsi="Times New Roman" w:cs="Times New Roman"/>
          <w:b/>
          <w:sz w:val="24"/>
          <w:szCs w:val="24"/>
        </w:rPr>
        <w:t>: un siglo (o más)</w:t>
      </w:r>
      <w:r w:rsidR="00C31377" w:rsidRPr="00C31377">
        <w:rPr>
          <w:rFonts w:ascii="Times New Roman" w:hAnsi="Times New Roman" w:cs="Times New Roman"/>
          <w:b/>
          <w:sz w:val="24"/>
          <w:szCs w:val="24"/>
        </w:rPr>
        <w:t xml:space="preserve"> de conquistas sociales tiradas a la mierda y un cañón en el culo</w:t>
      </w:r>
      <w:r w:rsidR="00C31377">
        <w:rPr>
          <w:rFonts w:ascii="Times New Roman" w:hAnsi="Times New Roman" w:cs="Times New Roman"/>
          <w:b/>
          <w:sz w:val="24"/>
          <w:szCs w:val="24"/>
        </w:rPr>
        <w:t>, como recompensa...</w:t>
      </w:r>
      <w:r w:rsidR="00546C61" w:rsidRPr="00C31377">
        <w:rPr>
          <w:rFonts w:ascii="Times New Roman" w:hAnsi="Times New Roman" w:cs="Times New Roman"/>
          <w:b/>
          <w:color w:val="FF0000"/>
          <w:sz w:val="24"/>
          <w:szCs w:val="24"/>
        </w:rPr>
        <w:t xml:space="preserve"> </w:t>
      </w:r>
    </w:p>
    <w:p w:rsidR="00C50E41" w:rsidRPr="00C50E41" w:rsidRDefault="00C50E41" w:rsidP="00C0549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Antes de antes (para aquellos lectores que qui</w:t>
      </w:r>
      <w:r w:rsidR="00567278">
        <w:rPr>
          <w:rFonts w:ascii="Times New Roman" w:hAnsi="Times New Roman" w:cs="Times New Roman"/>
          <w:b/>
          <w:sz w:val="24"/>
          <w:szCs w:val="24"/>
        </w:rPr>
        <w:t xml:space="preserve">eran hacer </w:t>
      </w:r>
      <w:r w:rsidR="002F2FED">
        <w:rPr>
          <w:rFonts w:ascii="Times New Roman" w:hAnsi="Times New Roman" w:cs="Times New Roman"/>
          <w:b/>
          <w:sz w:val="24"/>
          <w:szCs w:val="24"/>
        </w:rPr>
        <w:t>“</w:t>
      </w:r>
      <w:r w:rsidR="00567278">
        <w:rPr>
          <w:rFonts w:ascii="Times New Roman" w:hAnsi="Times New Roman" w:cs="Times New Roman"/>
          <w:b/>
          <w:sz w:val="24"/>
          <w:szCs w:val="24"/>
        </w:rPr>
        <w:t>apnea</w:t>
      </w:r>
      <w:r w:rsidR="002F2FED">
        <w:rPr>
          <w:rFonts w:ascii="Times New Roman" w:hAnsi="Times New Roman" w:cs="Times New Roman"/>
          <w:b/>
          <w:sz w:val="24"/>
          <w:szCs w:val="24"/>
        </w:rPr>
        <w:t>”</w:t>
      </w:r>
      <w:r w:rsidR="00567278">
        <w:rPr>
          <w:rFonts w:ascii="Times New Roman" w:hAnsi="Times New Roman" w:cs="Times New Roman"/>
          <w:b/>
          <w:sz w:val="24"/>
          <w:szCs w:val="24"/>
        </w:rPr>
        <w:t xml:space="preserve"> en aguas profundas</w:t>
      </w:r>
      <w:r>
        <w:rPr>
          <w:rFonts w:ascii="Times New Roman" w:hAnsi="Times New Roman" w:cs="Times New Roman"/>
          <w:b/>
          <w:sz w:val="24"/>
          <w:szCs w:val="24"/>
        </w:rPr>
        <w:t>)</w:t>
      </w:r>
    </w:p>
    <w:p w:rsidR="001D2BAF" w:rsidRPr="0048192E" w:rsidRDefault="00BB411A" w:rsidP="001D2BAF">
      <w:pPr>
        <w:spacing w:line="240" w:lineRule="auto"/>
        <w:jc w:val="both"/>
        <w:rPr>
          <w:rFonts w:ascii="Times New Roman" w:hAnsi="Times New Roman" w:cs="Times New Roman"/>
          <w:sz w:val="24"/>
          <w:szCs w:val="24"/>
        </w:rPr>
      </w:pPr>
      <w:r w:rsidRPr="00C50E41">
        <w:rPr>
          <w:rFonts w:ascii="Times New Roman" w:hAnsi="Times New Roman" w:cs="Times New Roman"/>
          <w:sz w:val="24"/>
          <w:szCs w:val="24"/>
        </w:rPr>
        <w:t xml:space="preserve"> </w:t>
      </w:r>
      <w:r w:rsidR="001D2BAF" w:rsidRPr="00767932">
        <w:rPr>
          <w:rFonts w:ascii="Times New Roman" w:hAnsi="Times New Roman" w:cs="Times New Roman"/>
          <w:sz w:val="24"/>
          <w:szCs w:val="24"/>
        </w:rPr>
        <w:t>Listado de Papers publica</w:t>
      </w:r>
      <w:r w:rsidR="001D2BAF">
        <w:rPr>
          <w:rFonts w:ascii="Times New Roman" w:hAnsi="Times New Roman" w:cs="Times New Roman"/>
          <w:sz w:val="24"/>
          <w:szCs w:val="24"/>
        </w:rPr>
        <w:t>dos, con anterioridad, sobre temas vinculados al empleo,</w:t>
      </w:r>
      <w:r w:rsidR="002F2FED">
        <w:rPr>
          <w:rFonts w:ascii="Times New Roman" w:hAnsi="Times New Roman" w:cs="Times New Roman"/>
          <w:sz w:val="24"/>
          <w:szCs w:val="24"/>
        </w:rPr>
        <w:t xml:space="preserve"> distribución de los</w:t>
      </w:r>
      <w:r w:rsidR="001D2BAF">
        <w:rPr>
          <w:rFonts w:ascii="Times New Roman" w:hAnsi="Times New Roman" w:cs="Times New Roman"/>
          <w:sz w:val="24"/>
          <w:szCs w:val="24"/>
        </w:rPr>
        <w:t xml:space="preserve"> ingresos y clases sociales, en los países avanzados. El lector interesado, puede consultarlos (ver/descargar) en </w:t>
      </w:r>
      <w:r w:rsidR="001D2BAF" w:rsidRPr="003A64CC">
        <w:rPr>
          <w:rFonts w:ascii="Times New Roman" w:hAnsi="Times New Roman" w:cs="Times New Roman"/>
          <w:b/>
          <w:sz w:val="24"/>
          <w:szCs w:val="24"/>
        </w:rPr>
        <w:t>www.realidadeconomica.com</w:t>
      </w:r>
      <w:r w:rsidR="001D2BAF">
        <w:rPr>
          <w:rFonts w:ascii="Times New Roman" w:hAnsi="Times New Roman" w:cs="Times New Roman"/>
          <w:sz w:val="24"/>
          <w:szCs w:val="24"/>
        </w:rPr>
        <w:t>:</w:t>
      </w:r>
    </w:p>
    <w:p w:rsidR="001D2BAF" w:rsidRDefault="001D2BAF" w:rsidP="001D2BAF">
      <w:pPr>
        <w:spacing w:line="240" w:lineRule="auto"/>
        <w:jc w:val="both"/>
        <w:rPr>
          <w:rFonts w:ascii="Times New Roman" w:hAnsi="Times New Roman" w:cs="Times New Roman"/>
          <w:sz w:val="24"/>
          <w:szCs w:val="24"/>
        </w:rPr>
      </w:pPr>
      <w:r w:rsidRPr="00E67299">
        <w:rPr>
          <w:rFonts w:ascii="Times New Roman" w:hAnsi="Times New Roman" w:cs="Times New Roman"/>
          <w:sz w:val="24"/>
          <w:szCs w:val="24"/>
        </w:rPr>
        <w:t>13-4-2004</w:t>
      </w:r>
      <w:r w:rsidRPr="00E67299">
        <w:rPr>
          <w:rFonts w:ascii="Times New Roman" w:hAnsi="Times New Roman" w:cs="Times New Roman"/>
          <w:sz w:val="24"/>
          <w:szCs w:val="24"/>
        </w:rPr>
        <w:tab/>
        <w:t>Cerrado por  "deslocalización"</w:t>
      </w:r>
    </w:p>
    <w:p w:rsidR="001D2BAF" w:rsidRPr="00E67299" w:rsidRDefault="001D2BAF" w:rsidP="001D2BAF">
      <w:pPr>
        <w:spacing w:line="240" w:lineRule="auto"/>
        <w:jc w:val="both"/>
        <w:rPr>
          <w:rFonts w:ascii="Times New Roman" w:hAnsi="Times New Roman" w:cs="Times New Roman"/>
          <w:sz w:val="24"/>
          <w:szCs w:val="24"/>
        </w:rPr>
      </w:pPr>
      <w:r>
        <w:rPr>
          <w:rFonts w:ascii="Times New Roman" w:hAnsi="Times New Roman" w:cs="Times New Roman"/>
          <w:sz w:val="24"/>
          <w:szCs w:val="24"/>
        </w:rPr>
        <w:t>27-4-2005</w:t>
      </w:r>
      <w:r>
        <w:rPr>
          <w:rFonts w:ascii="Times New Roman" w:hAnsi="Times New Roman" w:cs="Times New Roman"/>
          <w:sz w:val="24"/>
          <w:szCs w:val="24"/>
        </w:rPr>
        <w:tab/>
        <w:t>Fucky Business - La era de los excesos -</w:t>
      </w:r>
      <w:r w:rsidRPr="00E67299">
        <w:rPr>
          <w:rFonts w:ascii="Times New Roman" w:hAnsi="Times New Roman" w:cs="Times New Roman"/>
          <w:sz w:val="24"/>
          <w:szCs w:val="24"/>
        </w:rPr>
        <w:t xml:space="preserve"> El imperio de la explotación laboral</w:t>
      </w:r>
    </w:p>
    <w:p w:rsidR="001D2BAF" w:rsidRDefault="001D2BAF" w:rsidP="001D2BAF">
      <w:pPr>
        <w:spacing w:line="240" w:lineRule="auto"/>
        <w:ind w:left="1410" w:hanging="1410"/>
        <w:jc w:val="both"/>
        <w:rPr>
          <w:rFonts w:ascii="Times New Roman" w:hAnsi="Times New Roman" w:cs="Times New Roman"/>
          <w:sz w:val="24"/>
          <w:szCs w:val="24"/>
        </w:rPr>
      </w:pPr>
      <w:r w:rsidRPr="00E67299">
        <w:rPr>
          <w:rFonts w:ascii="Times New Roman" w:hAnsi="Times New Roman" w:cs="Times New Roman"/>
          <w:sz w:val="24"/>
          <w:szCs w:val="24"/>
        </w:rPr>
        <w:t>17-4-2006</w:t>
      </w:r>
      <w:r w:rsidRPr="00E67299">
        <w:rPr>
          <w:rFonts w:ascii="Times New Roman" w:hAnsi="Times New Roman" w:cs="Times New Roman"/>
          <w:sz w:val="24"/>
          <w:szCs w:val="24"/>
        </w:rPr>
        <w:tab/>
        <w:t>Ega</w:t>
      </w:r>
      <w:r>
        <w:rPr>
          <w:rFonts w:ascii="Times New Roman" w:hAnsi="Times New Roman" w:cs="Times New Roman"/>
          <w:sz w:val="24"/>
          <w:szCs w:val="24"/>
        </w:rPr>
        <w:t xml:space="preserve">lité, fraternité y… "globalité" </w:t>
      </w:r>
      <w:r w:rsidRPr="00E67299">
        <w:rPr>
          <w:rFonts w:ascii="Times New Roman" w:hAnsi="Times New Roman" w:cs="Times New Roman"/>
          <w:sz w:val="24"/>
          <w:szCs w:val="24"/>
        </w:rPr>
        <w:t>(Contrato de Precariedad Eterna - La teoría de la "flexiseguridad")</w:t>
      </w:r>
    </w:p>
    <w:p w:rsidR="001D2BAF" w:rsidRDefault="001D2BAF" w:rsidP="001D2BAF">
      <w:pPr>
        <w:spacing w:line="240" w:lineRule="auto"/>
        <w:ind w:left="1410" w:hanging="1410"/>
        <w:jc w:val="both"/>
        <w:rPr>
          <w:rFonts w:ascii="Times New Roman" w:hAnsi="Times New Roman" w:cs="Times New Roman"/>
          <w:sz w:val="24"/>
          <w:szCs w:val="24"/>
        </w:rPr>
      </w:pPr>
      <w:r w:rsidRPr="00E67299">
        <w:rPr>
          <w:rFonts w:ascii="Times New Roman" w:hAnsi="Times New Roman" w:cs="Times New Roman"/>
          <w:sz w:val="24"/>
          <w:szCs w:val="24"/>
        </w:rPr>
        <w:t>15-3-2007</w:t>
      </w:r>
      <w:r w:rsidRPr="00E67299">
        <w:rPr>
          <w:rFonts w:ascii="Times New Roman" w:hAnsi="Times New Roman" w:cs="Times New Roman"/>
          <w:sz w:val="24"/>
          <w:szCs w:val="24"/>
        </w:rPr>
        <w:tab/>
        <w:t>Desempleo juvenil: de la inactividad al des</w:t>
      </w:r>
      <w:r>
        <w:rPr>
          <w:rFonts w:ascii="Times New Roman" w:hAnsi="Times New Roman" w:cs="Times New Roman"/>
          <w:sz w:val="24"/>
          <w:szCs w:val="24"/>
        </w:rPr>
        <w:t xml:space="preserve">aliento - ¿Qué están esperando? </w:t>
      </w:r>
      <w:r w:rsidRPr="00E67299">
        <w:rPr>
          <w:rFonts w:ascii="Times New Roman" w:hAnsi="Times New Roman" w:cs="Times New Roman"/>
          <w:sz w:val="24"/>
          <w:szCs w:val="24"/>
        </w:rPr>
        <w:t>(Convocatoria a la rebelión de la "sociedad de los conformes")</w:t>
      </w:r>
    </w:p>
    <w:p w:rsidR="001D2BAF" w:rsidRDefault="001D2BAF" w:rsidP="001D2BAF">
      <w:pPr>
        <w:spacing w:line="240" w:lineRule="auto"/>
        <w:ind w:left="1410" w:hanging="1410"/>
        <w:jc w:val="both"/>
        <w:rPr>
          <w:rFonts w:ascii="Times New Roman" w:hAnsi="Times New Roman" w:cs="Times New Roman"/>
          <w:sz w:val="24"/>
          <w:szCs w:val="24"/>
        </w:rPr>
      </w:pPr>
      <w:r w:rsidRPr="00E67299">
        <w:rPr>
          <w:rFonts w:ascii="Times New Roman" w:hAnsi="Times New Roman" w:cs="Times New Roman"/>
          <w:sz w:val="24"/>
          <w:szCs w:val="24"/>
        </w:rPr>
        <w:t>15-8-2007</w:t>
      </w:r>
      <w:r w:rsidRPr="00E67299">
        <w:rPr>
          <w:rFonts w:ascii="Times New Roman" w:hAnsi="Times New Roman" w:cs="Times New Roman"/>
          <w:sz w:val="24"/>
          <w:szCs w:val="24"/>
        </w:rPr>
        <w:tab/>
        <w:t xml:space="preserve">La clase media y su proceso </w:t>
      </w:r>
      <w:r>
        <w:rPr>
          <w:rFonts w:ascii="Times New Roman" w:hAnsi="Times New Roman" w:cs="Times New Roman"/>
          <w:sz w:val="24"/>
          <w:szCs w:val="24"/>
        </w:rPr>
        <w:t xml:space="preserve">de movilidad social descendente - </w:t>
      </w:r>
      <w:r w:rsidRPr="00E67299">
        <w:rPr>
          <w:rFonts w:ascii="Times New Roman" w:hAnsi="Times New Roman" w:cs="Times New Roman"/>
          <w:sz w:val="24"/>
          <w:szCs w:val="24"/>
        </w:rPr>
        <w:t>Parte I: De "clase media" a "nuevos pobres"</w:t>
      </w:r>
      <w:r>
        <w:rPr>
          <w:rFonts w:ascii="Times New Roman" w:hAnsi="Times New Roman" w:cs="Times New Roman"/>
          <w:sz w:val="24"/>
          <w:szCs w:val="24"/>
        </w:rPr>
        <w:t xml:space="preserve"> - </w:t>
      </w:r>
      <w:r w:rsidRPr="00E67299">
        <w:rPr>
          <w:rFonts w:ascii="Times New Roman" w:hAnsi="Times New Roman" w:cs="Times New Roman"/>
          <w:sz w:val="24"/>
          <w:szCs w:val="24"/>
        </w:rPr>
        <w:t>Parte II: El fin de la era de las expectativas crecientes</w:t>
      </w:r>
    </w:p>
    <w:p w:rsidR="001D2BAF" w:rsidRDefault="001D2BAF" w:rsidP="001D2BAF">
      <w:pPr>
        <w:spacing w:line="240" w:lineRule="auto"/>
        <w:ind w:left="1410" w:hanging="1410"/>
        <w:jc w:val="both"/>
        <w:rPr>
          <w:rFonts w:ascii="Times New Roman" w:hAnsi="Times New Roman" w:cs="Times New Roman"/>
          <w:sz w:val="24"/>
          <w:szCs w:val="24"/>
        </w:rPr>
      </w:pPr>
      <w:r w:rsidRPr="00E67299">
        <w:rPr>
          <w:rFonts w:ascii="Times New Roman" w:hAnsi="Times New Roman" w:cs="Times New Roman"/>
          <w:sz w:val="24"/>
          <w:szCs w:val="24"/>
        </w:rPr>
        <w:t>15-3-2008</w:t>
      </w:r>
      <w:r w:rsidRPr="00E67299">
        <w:rPr>
          <w:rFonts w:ascii="Times New Roman" w:hAnsi="Times New Roman" w:cs="Times New Roman"/>
          <w:sz w:val="24"/>
          <w:szCs w:val="24"/>
        </w:rPr>
        <w:tab/>
        <w:t>Tendencias d</w:t>
      </w:r>
      <w:r>
        <w:rPr>
          <w:rFonts w:ascii="Times New Roman" w:hAnsi="Times New Roman" w:cs="Times New Roman"/>
          <w:sz w:val="24"/>
          <w:szCs w:val="24"/>
        </w:rPr>
        <w:t xml:space="preserve">el pasado en la economía actual </w:t>
      </w:r>
      <w:r w:rsidRPr="00E67299">
        <w:rPr>
          <w:rFonts w:ascii="Times New Roman" w:hAnsi="Times New Roman" w:cs="Times New Roman"/>
          <w:sz w:val="24"/>
          <w:szCs w:val="24"/>
        </w:rPr>
        <w:t>(Digresiones sobre la "Nueva" Edad Media)</w:t>
      </w:r>
    </w:p>
    <w:p w:rsidR="001D2BAF" w:rsidRDefault="001D2BAF" w:rsidP="001D2BAF">
      <w:pPr>
        <w:spacing w:line="240" w:lineRule="auto"/>
        <w:ind w:left="1410" w:hanging="1410"/>
        <w:jc w:val="both"/>
        <w:rPr>
          <w:rFonts w:ascii="Times New Roman" w:hAnsi="Times New Roman" w:cs="Times New Roman"/>
          <w:sz w:val="24"/>
          <w:szCs w:val="24"/>
        </w:rPr>
      </w:pPr>
      <w:r w:rsidRPr="00E67299">
        <w:rPr>
          <w:rFonts w:ascii="Times New Roman" w:hAnsi="Times New Roman" w:cs="Times New Roman"/>
          <w:sz w:val="24"/>
          <w:szCs w:val="24"/>
        </w:rPr>
        <w:t>15-5-2011</w:t>
      </w:r>
      <w:r w:rsidRPr="00E67299">
        <w:rPr>
          <w:rFonts w:ascii="Times New Roman" w:hAnsi="Times New Roman" w:cs="Times New Roman"/>
          <w:sz w:val="24"/>
          <w:szCs w:val="24"/>
        </w:rPr>
        <w:tab/>
        <w:t>Del desempleo estructural al conflicto intergeneracional (los jóvenes, en vez de rebelarse contra la "dictadura de los mercados" -dejando impune un sistema financiero deshonesto e ineficiente-, terminarán haciéndolo contra los adultos) - Al final del desconcierto y el miedo, "ni estudiarán ni trabajaran… ni pensarán" (tolerando la injusticia y renunciando al futuro)</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t>15-7-2011</w:t>
      </w:r>
      <w:r w:rsidRPr="00D634C1">
        <w:rPr>
          <w:rFonts w:ascii="Times New Roman" w:hAnsi="Times New Roman" w:cs="Times New Roman"/>
          <w:sz w:val="24"/>
          <w:szCs w:val="24"/>
        </w:rPr>
        <w:tab/>
        <w:t>Un análisis sobre la desigualdad de los ingresos (ganadores y perdedores de la crisis financiera mundial) - La Economía del Malestar (el fin de la cohesión económica y social)</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t>15-9-2012</w:t>
      </w:r>
      <w:r w:rsidRPr="00D634C1">
        <w:rPr>
          <w:rFonts w:ascii="Times New Roman" w:hAnsi="Times New Roman" w:cs="Times New Roman"/>
          <w:sz w:val="24"/>
          <w:szCs w:val="24"/>
        </w:rPr>
        <w:tab/>
        <w:t>Apadrinemos a un niño del… "Primer Mundo" (Otra forma de mirar la pobreza)</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t>15-7-2013</w:t>
      </w:r>
      <w:r w:rsidRPr="00D634C1">
        <w:rPr>
          <w:rFonts w:ascii="Times New Roman" w:hAnsi="Times New Roman" w:cs="Times New Roman"/>
          <w:sz w:val="24"/>
          <w:szCs w:val="24"/>
        </w:rPr>
        <w:tab/>
        <w:t>Desigualdades en la distribución de la renta en los países desarrollados, durante la crisis financiera (¿un "daño colateral" de la depresión, o un "proyecto inconfesado" de exclusión social?) (Parte</w:t>
      </w:r>
      <w:r>
        <w:rPr>
          <w:rFonts w:ascii="Times New Roman" w:hAnsi="Times New Roman" w:cs="Times New Roman"/>
          <w:sz w:val="24"/>
          <w:szCs w:val="24"/>
        </w:rPr>
        <w:t>s I, I y III)</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t>15-2-2014</w:t>
      </w:r>
      <w:r w:rsidRPr="00D634C1">
        <w:rPr>
          <w:rFonts w:ascii="Times New Roman" w:hAnsi="Times New Roman" w:cs="Times New Roman"/>
          <w:sz w:val="24"/>
          <w:szCs w:val="24"/>
        </w:rPr>
        <w:tab/>
        <w:t>Los "nuevos" pobres, de los países ricos (un relato trágico de la crisis) (</w:t>
      </w:r>
      <w:r>
        <w:rPr>
          <w:rFonts w:ascii="Times New Roman" w:hAnsi="Times New Roman" w:cs="Times New Roman"/>
          <w:sz w:val="24"/>
          <w:szCs w:val="24"/>
        </w:rPr>
        <w:t xml:space="preserve">Partes </w:t>
      </w:r>
      <w:r w:rsidRPr="00D634C1">
        <w:rPr>
          <w:rFonts w:ascii="Times New Roman" w:hAnsi="Times New Roman" w:cs="Times New Roman"/>
          <w:sz w:val="24"/>
          <w:szCs w:val="24"/>
        </w:rPr>
        <w:t>I</w:t>
      </w:r>
      <w:r>
        <w:rPr>
          <w:rFonts w:ascii="Times New Roman" w:hAnsi="Times New Roman" w:cs="Times New Roman"/>
          <w:sz w:val="24"/>
          <w:szCs w:val="24"/>
        </w:rPr>
        <w:t xml:space="preserve"> y II</w:t>
      </w:r>
      <w:r w:rsidRPr="00D634C1">
        <w:rPr>
          <w:rFonts w:ascii="Times New Roman" w:hAnsi="Times New Roman" w:cs="Times New Roman"/>
          <w:sz w:val="24"/>
          <w:szCs w:val="24"/>
        </w:rPr>
        <w:t>)</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t>15-4-2014</w:t>
      </w:r>
      <w:r w:rsidRPr="00D634C1">
        <w:rPr>
          <w:rFonts w:ascii="Times New Roman" w:hAnsi="Times New Roman" w:cs="Times New Roman"/>
          <w:sz w:val="24"/>
          <w:szCs w:val="24"/>
        </w:rPr>
        <w:tab/>
        <w:t xml:space="preserve">La crisis del empleo de los jóvenes (una generación -tal vez, dos- entre paréntesis) </w:t>
      </w:r>
      <w:r>
        <w:rPr>
          <w:rFonts w:ascii="Times New Roman" w:hAnsi="Times New Roman" w:cs="Times New Roman"/>
          <w:sz w:val="24"/>
          <w:szCs w:val="24"/>
        </w:rPr>
        <w:t>(</w:t>
      </w:r>
      <w:r w:rsidRPr="00D634C1">
        <w:rPr>
          <w:rFonts w:ascii="Times New Roman" w:hAnsi="Times New Roman" w:cs="Times New Roman"/>
          <w:sz w:val="24"/>
          <w:szCs w:val="24"/>
        </w:rPr>
        <w:t>Parte</w:t>
      </w:r>
      <w:r>
        <w:rPr>
          <w:rFonts w:ascii="Times New Roman" w:hAnsi="Times New Roman" w:cs="Times New Roman"/>
          <w:sz w:val="24"/>
          <w:szCs w:val="24"/>
        </w:rPr>
        <w:t>s</w:t>
      </w:r>
      <w:r w:rsidRPr="00D634C1">
        <w:rPr>
          <w:rFonts w:ascii="Times New Roman" w:hAnsi="Times New Roman" w:cs="Times New Roman"/>
          <w:sz w:val="24"/>
          <w:szCs w:val="24"/>
        </w:rPr>
        <w:t xml:space="preserve"> I</w:t>
      </w:r>
      <w:r>
        <w:rPr>
          <w:rFonts w:ascii="Times New Roman" w:hAnsi="Times New Roman" w:cs="Times New Roman"/>
          <w:sz w:val="24"/>
          <w:szCs w:val="24"/>
        </w:rPr>
        <w:t xml:space="preserve"> y II)</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t>15-12-2014</w:t>
      </w:r>
      <w:r w:rsidRPr="00D634C1">
        <w:rPr>
          <w:rFonts w:ascii="Times New Roman" w:hAnsi="Times New Roman" w:cs="Times New Roman"/>
          <w:sz w:val="24"/>
          <w:szCs w:val="24"/>
        </w:rPr>
        <w:tab/>
        <w:t>La era de la desigualdad (¿consecuencia directa del "imperialismo monetario"?) - Parte</w:t>
      </w:r>
      <w:r>
        <w:rPr>
          <w:rFonts w:ascii="Times New Roman" w:hAnsi="Times New Roman" w:cs="Times New Roman"/>
          <w:sz w:val="24"/>
          <w:szCs w:val="24"/>
        </w:rPr>
        <w:t>s</w:t>
      </w:r>
      <w:r w:rsidRPr="00D634C1">
        <w:rPr>
          <w:rFonts w:ascii="Times New Roman" w:hAnsi="Times New Roman" w:cs="Times New Roman"/>
          <w:sz w:val="24"/>
          <w:szCs w:val="24"/>
        </w:rPr>
        <w:t xml:space="preserve"> I</w:t>
      </w:r>
      <w:r>
        <w:rPr>
          <w:rFonts w:ascii="Times New Roman" w:hAnsi="Times New Roman" w:cs="Times New Roman"/>
          <w:sz w:val="24"/>
          <w:szCs w:val="24"/>
        </w:rPr>
        <w:t>, II y III)</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t>15-11-2015</w:t>
      </w:r>
      <w:r w:rsidRPr="00D634C1">
        <w:rPr>
          <w:rFonts w:ascii="Times New Roman" w:hAnsi="Times New Roman" w:cs="Times New Roman"/>
          <w:sz w:val="24"/>
          <w:szCs w:val="24"/>
        </w:rPr>
        <w:tab/>
        <w:t>Los hijos del umbral de la pobreza (la niñez indigente en los países ricos) (Parte</w:t>
      </w:r>
      <w:r>
        <w:rPr>
          <w:rFonts w:ascii="Times New Roman" w:hAnsi="Times New Roman" w:cs="Times New Roman"/>
          <w:sz w:val="24"/>
          <w:szCs w:val="24"/>
        </w:rPr>
        <w:t>s</w:t>
      </w:r>
      <w:r w:rsidRPr="00D634C1">
        <w:rPr>
          <w:rFonts w:ascii="Times New Roman" w:hAnsi="Times New Roman" w:cs="Times New Roman"/>
          <w:sz w:val="24"/>
          <w:szCs w:val="24"/>
        </w:rPr>
        <w:t xml:space="preserve"> I</w:t>
      </w:r>
      <w:r>
        <w:rPr>
          <w:rFonts w:ascii="Times New Roman" w:hAnsi="Times New Roman" w:cs="Times New Roman"/>
          <w:sz w:val="24"/>
          <w:szCs w:val="24"/>
        </w:rPr>
        <w:t xml:space="preserve"> y II</w:t>
      </w:r>
      <w:r w:rsidRPr="00D634C1">
        <w:rPr>
          <w:rFonts w:ascii="Times New Roman" w:hAnsi="Times New Roman" w:cs="Times New Roman"/>
          <w:sz w:val="24"/>
          <w:szCs w:val="24"/>
        </w:rPr>
        <w:t>)</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t>15-1-2016</w:t>
      </w:r>
      <w:r w:rsidRPr="00D634C1">
        <w:rPr>
          <w:rFonts w:ascii="Times New Roman" w:hAnsi="Times New Roman" w:cs="Times New Roman"/>
          <w:sz w:val="24"/>
          <w:szCs w:val="24"/>
        </w:rPr>
        <w:tab/>
        <w:t>"Crecimiento vs. Desigualdad": ¿un falso debate? (Parte</w:t>
      </w:r>
      <w:r>
        <w:rPr>
          <w:rFonts w:ascii="Times New Roman" w:hAnsi="Times New Roman" w:cs="Times New Roman"/>
          <w:sz w:val="24"/>
          <w:szCs w:val="24"/>
        </w:rPr>
        <w:t>s</w:t>
      </w:r>
      <w:r w:rsidRPr="00D634C1">
        <w:rPr>
          <w:rFonts w:ascii="Times New Roman" w:hAnsi="Times New Roman" w:cs="Times New Roman"/>
          <w:sz w:val="24"/>
          <w:szCs w:val="24"/>
        </w:rPr>
        <w:t xml:space="preserve"> I</w:t>
      </w:r>
      <w:r>
        <w:rPr>
          <w:rFonts w:ascii="Times New Roman" w:hAnsi="Times New Roman" w:cs="Times New Roman"/>
          <w:sz w:val="24"/>
          <w:szCs w:val="24"/>
        </w:rPr>
        <w:t xml:space="preserve"> y II</w:t>
      </w:r>
      <w:r w:rsidRPr="00D634C1">
        <w:rPr>
          <w:rFonts w:ascii="Times New Roman" w:hAnsi="Times New Roman" w:cs="Times New Roman"/>
          <w:sz w:val="24"/>
          <w:szCs w:val="24"/>
        </w:rPr>
        <w:t>)</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lastRenderedPageBreak/>
        <w:t>15-4-2016</w:t>
      </w:r>
      <w:r w:rsidRPr="00D634C1">
        <w:rPr>
          <w:rFonts w:ascii="Times New Roman" w:hAnsi="Times New Roman" w:cs="Times New Roman"/>
          <w:sz w:val="24"/>
          <w:szCs w:val="24"/>
        </w:rPr>
        <w:tab/>
        <w:t>Los daños causados por la crisis ya abarcan "tres generaciones" (abuelos -pensionistas, padres-trabajadores o parados, e hijos-empobrecidos y sin futuro) (Parte</w:t>
      </w:r>
      <w:r>
        <w:rPr>
          <w:rFonts w:ascii="Times New Roman" w:hAnsi="Times New Roman" w:cs="Times New Roman"/>
          <w:sz w:val="24"/>
          <w:szCs w:val="24"/>
        </w:rPr>
        <w:t>s</w:t>
      </w:r>
      <w:r w:rsidRPr="00D634C1">
        <w:rPr>
          <w:rFonts w:ascii="Times New Roman" w:hAnsi="Times New Roman" w:cs="Times New Roman"/>
          <w:sz w:val="24"/>
          <w:szCs w:val="24"/>
        </w:rPr>
        <w:t xml:space="preserve"> I</w:t>
      </w:r>
      <w:r>
        <w:rPr>
          <w:rFonts w:ascii="Times New Roman" w:hAnsi="Times New Roman" w:cs="Times New Roman"/>
          <w:sz w:val="24"/>
          <w:szCs w:val="24"/>
        </w:rPr>
        <w:t xml:space="preserve"> y II</w:t>
      </w:r>
      <w:r w:rsidRPr="00D634C1">
        <w:rPr>
          <w:rFonts w:ascii="Times New Roman" w:hAnsi="Times New Roman" w:cs="Times New Roman"/>
          <w:sz w:val="24"/>
          <w:szCs w:val="24"/>
        </w:rPr>
        <w:t>)</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t>15-5-2016</w:t>
      </w:r>
      <w:r w:rsidRPr="00D634C1">
        <w:rPr>
          <w:rFonts w:ascii="Times New Roman" w:hAnsi="Times New Roman" w:cs="Times New Roman"/>
          <w:sz w:val="24"/>
          <w:szCs w:val="24"/>
        </w:rPr>
        <w:tab/>
        <w:t>La economía bipolar (la "nueva normalidad" que la crisis nos legó) (</w:t>
      </w:r>
      <w:r>
        <w:rPr>
          <w:rFonts w:ascii="Times New Roman" w:hAnsi="Times New Roman" w:cs="Times New Roman"/>
          <w:sz w:val="24"/>
          <w:szCs w:val="24"/>
        </w:rPr>
        <w:t xml:space="preserve">Partes </w:t>
      </w:r>
      <w:r w:rsidRPr="00D634C1">
        <w:rPr>
          <w:rFonts w:ascii="Times New Roman" w:hAnsi="Times New Roman" w:cs="Times New Roman"/>
          <w:sz w:val="24"/>
          <w:szCs w:val="24"/>
        </w:rPr>
        <w:t>I</w:t>
      </w:r>
      <w:r>
        <w:rPr>
          <w:rFonts w:ascii="Times New Roman" w:hAnsi="Times New Roman" w:cs="Times New Roman"/>
          <w:sz w:val="24"/>
          <w:szCs w:val="24"/>
        </w:rPr>
        <w:t xml:space="preserve"> y II</w:t>
      </w:r>
      <w:r w:rsidRPr="00D634C1">
        <w:rPr>
          <w:rFonts w:ascii="Times New Roman" w:hAnsi="Times New Roman" w:cs="Times New Roman"/>
          <w:sz w:val="24"/>
          <w:szCs w:val="24"/>
        </w:rPr>
        <w:t>)</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t>15-6-2016</w:t>
      </w:r>
      <w:r w:rsidRPr="00D634C1">
        <w:rPr>
          <w:rFonts w:ascii="Times New Roman" w:hAnsi="Times New Roman" w:cs="Times New Roman"/>
          <w:sz w:val="24"/>
          <w:szCs w:val="24"/>
        </w:rPr>
        <w:tab/>
        <w:t>¿Se ha perdido la confianza en la "economía de mercado", en los países avanzados? (el costo de la desigualdad y la falta de oportunidades) (</w:t>
      </w:r>
      <w:r>
        <w:rPr>
          <w:rFonts w:ascii="Times New Roman" w:hAnsi="Times New Roman" w:cs="Times New Roman"/>
          <w:sz w:val="24"/>
          <w:szCs w:val="24"/>
        </w:rPr>
        <w:t xml:space="preserve">Partes </w:t>
      </w:r>
      <w:r w:rsidRPr="00D634C1">
        <w:rPr>
          <w:rFonts w:ascii="Times New Roman" w:hAnsi="Times New Roman" w:cs="Times New Roman"/>
          <w:sz w:val="24"/>
          <w:szCs w:val="24"/>
        </w:rPr>
        <w:t>I</w:t>
      </w:r>
      <w:r>
        <w:rPr>
          <w:rFonts w:ascii="Times New Roman" w:hAnsi="Times New Roman" w:cs="Times New Roman"/>
          <w:sz w:val="24"/>
          <w:szCs w:val="24"/>
        </w:rPr>
        <w:t xml:space="preserve"> y II</w:t>
      </w:r>
      <w:r w:rsidRPr="00D634C1">
        <w:rPr>
          <w:rFonts w:ascii="Times New Roman" w:hAnsi="Times New Roman" w:cs="Times New Roman"/>
          <w:sz w:val="24"/>
          <w:szCs w:val="24"/>
        </w:rPr>
        <w:t>)</w:t>
      </w:r>
    </w:p>
    <w:p w:rsidR="001D2BAF" w:rsidRDefault="001D2BAF" w:rsidP="001D2BAF">
      <w:pPr>
        <w:spacing w:line="240" w:lineRule="auto"/>
        <w:ind w:left="1410" w:hanging="1410"/>
        <w:jc w:val="both"/>
        <w:rPr>
          <w:rFonts w:ascii="Times New Roman" w:hAnsi="Times New Roman" w:cs="Times New Roman"/>
          <w:sz w:val="24"/>
          <w:szCs w:val="24"/>
        </w:rPr>
      </w:pPr>
      <w:r w:rsidRPr="00D634C1">
        <w:rPr>
          <w:rFonts w:ascii="Times New Roman" w:hAnsi="Times New Roman" w:cs="Times New Roman"/>
          <w:sz w:val="24"/>
          <w:szCs w:val="24"/>
        </w:rPr>
        <w:t>15-7-2016</w:t>
      </w:r>
      <w:r w:rsidRPr="00D634C1">
        <w:rPr>
          <w:rFonts w:ascii="Times New Roman" w:hAnsi="Times New Roman" w:cs="Times New Roman"/>
          <w:sz w:val="24"/>
          <w:szCs w:val="24"/>
        </w:rPr>
        <w:tab/>
        <w:t>La nueva normalidad: una economía desigual, dominada por la pobreza, la exclusión social y la marginalidad (</w:t>
      </w:r>
      <w:r>
        <w:rPr>
          <w:rFonts w:ascii="Times New Roman" w:hAnsi="Times New Roman" w:cs="Times New Roman"/>
          <w:sz w:val="24"/>
          <w:szCs w:val="24"/>
        </w:rPr>
        <w:t xml:space="preserve">Partes </w:t>
      </w:r>
      <w:r w:rsidRPr="00D634C1">
        <w:rPr>
          <w:rFonts w:ascii="Times New Roman" w:hAnsi="Times New Roman" w:cs="Times New Roman"/>
          <w:sz w:val="24"/>
          <w:szCs w:val="24"/>
        </w:rPr>
        <w:t>I</w:t>
      </w:r>
      <w:r>
        <w:rPr>
          <w:rFonts w:ascii="Times New Roman" w:hAnsi="Times New Roman" w:cs="Times New Roman"/>
          <w:sz w:val="24"/>
          <w:szCs w:val="24"/>
        </w:rPr>
        <w:t xml:space="preserve"> y II</w:t>
      </w:r>
      <w:r w:rsidRPr="00D634C1">
        <w:rPr>
          <w:rFonts w:ascii="Times New Roman" w:hAnsi="Times New Roman" w:cs="Times New Roman"/>
          <w:sz w:val="24"/>
          <w:szCs w:val="24"/>
        </w:rPr>
        <w:t>)</w:t>
      </w:r>
    </w:p>
    <w:p w:rsidR="001D2BAF" w:rsidRDefault="001D2BAF" w:rsidP="001D2BAF">
      <w:pPr>
        <w:spacing w:line="240" w:lineRule="auto"/>
        <w:ind w:left="1410" w:hanging="1410"/>
        <w:jc w:val="both"/>
        <w:rPr>
          <w:rFonts w:ascii="Times New Roman" w:hAnsi="Times New Roman" w:cs="Times New Roman"/>
          <w:sz w:val="24"/>
          <w:szCs w:val="24"/>
        </w:rPr>
      </w:pPr>
      <w:r w:rsidRPr="004C5F4D">
        <w:rPr>
          <w:rFonts w:ascii="Times New Roman" w:hAnsi="Times New Roman" w:cs="Times New Roman"/>
          <w:sz w:val="24"/>
          <w:szCs w:val="24"/>
        </w:rPr>
        <w:t>18-8-2016</w:t>
      </w:r>
      <w:r w:rsidRPr="004C5F4D">
        <w:rPr>
          <w:rFonts w:ascii="Times New Roman" w:hAnsi="Times New Roman" w:cs="Times New Roman"/>
          <w:sz w:val="24"/>
          <w:szCs w:val="24"/>
        </w:rPr>
        <w:tab/>
        <w:t>De la "histeria" del desempleo a la "histéresis" del fin del trabajo (too "insignificant" to fail?) (Parte</w:t>
      </w:r>
      <w:r>
        <w:rPr>
          <w:rFonts w:ascii="Times New Roman" w:hAnsi="Times New Roman" w:cs="Times New Roman"/>
          <w:sz w:val="24"/>
          <w:szCs w:val="24"/>
        </w:rPr>
        <w:t>s</w:t>
      </w:r>
      <w:r w:rsidRPr="004C5F4D">
        <w:rPr>
          <w:rFonts w:ascii="Times New Roman" w:hAnsi="Times New Roman" w:cs="Times New Roman"/>
          <w:sz w:val="24"/>
          <w:szCs w:val="24"/>
        </w:rPr>
        <w:t xml:space="preserve"> I</w:t>
      </w:r>
      <w:r>
        <w:rPr>
          <w:rFonts w:ascii="Times New Roman" w:hAnsi="Times New Roman" w:cs="Times New Roman"/>
          <w:sz w:val="24"/>
          <w:szCs w:val="24"/>
        </w:rPr>
        <w:t xml:space="preserve"> y II</w:t>
      </w:r>
      <w:r w:rsidRPr="004C5F4D">
        <w:rPr>
          <w:rFonts w:ascii="Times New Roman" w:hAnsi="Times New Roman" w:cs="Times New Roman"/>
          <w:sz w:val="24"/>
          <w:szCs w:val="24"/>
        </w:rPr>
        <w:t>)</w:t>
      </w:r>
    </w:p>
    <w:p w:rsidR="001D2BAF" w:rsidRDefault="001D2BAF" w:rsidP="001D2BAF">
      <w:pPr>
        <w:spacing w:line="240" w:lineRule="auto"/>
        <w:ind w:left="1410" w:hanging="1410"/>
        <w:jc w:val="both"/>
        <w:rPr>
          <w:rFonts w:ascii="Times New Roman" w:hAnsi="Times New Roman" w:cs="Times New Roman"/>
          <w:sz w:val="24"/>
          <w:szCs w:val="24"/>
        </w:rPr>
      </w:pPr>
      <w:r w:rsidRPr="004C5F4D">
        <w:rPr>
          <w:rFonts w:ascii="Times New Roman" w:hAnsi="Times New Roman" w:cs="Times New Roman"/>
          <w:sz w:val="24"/>
          <w:szCs w:val="24"/>
        </w:rPr>
        <w:t>15-11-2016</w:t>
      </w:r>
      <w:r w:rsidRPr="004C5F4D">
        <w:rPr>
          <w:rFonts w:ascii="Times New Roman" w:hAnsi="Times New Roman" w:cs="Times New Roman"/>
          <w:sz w:val="24"/>
          <w:szCs w:val="24"/>
        </w:rPr>
        <w:tab/>
        <w:t>El gran malestar: una era de expectativas limitadas</w:t>
      </w:r>
      <w:r>
        <w:rPr>
          <w:rFonts w:ascii="Times New Roman" w:hAnsi="Times New Roman" w:cs="Times New Roman"/>
          <w:sz w:val="24"/>
          <w:szCs w:val="24"/>
        </w:rPr>
        <w:t xml:space="preserve"> </w:t>
      </w:r>
      <w:r w:rsidRPr="004C5F4D">
        <w:rPr>
          <w:rFonts w:ascii="Times New Roman" w:hAnsi="Times New Roman" w:cs="Times New Roman"/>
          <w:sz w:val="24"/>
          <w:szCs w:val="24"/>
        </w:rPr>
        <w:t>(Análisis de los tres factores principales de la desigualdad: ingreso, riqueza y oportunidades) (Parte</w:t>
      </w:r>
      <w:r>
        <w:rPr>
          <w:rFonts w:ascii="Times New Roman" w:hAnsi="Times New Roman" w:cs="Times New Roman"/>
          <w:sz w:val="24"/>
          <w:szCs w:val="24"/>
        </w:rPr>
        <w:t>s</w:t>
      </w:r>
      <w:r w:rsidRPr="004C5F4D">
        <w:rPr>
          <w:rFonts w:ascii="Times New Roman" w:hAnsi="Times New Roman" w:cs="Times New Roman"/>
          <w:sz w:val="24"/>
          <w:szCs w:val="24"/>
        </w:rPr>
        <w:t xml:space="preserve"> I</w:t>
      </w:r>
      <w:r>
        <w:rPr>
          <w:rFonts w:ascii="Times New Roman" w:hAnsi="Times New Roman" w:cs="Times New Roman"/>
          <w:sz w:val="24"/>
          <w:szCs w:val="24"/>
        </w:rPr>
        <w:t xml:space="preserve"> y II</w:t>
      </w:r>
      <w:r w:rsidRPr="004C5F4D">
        <w:rPr>
          <w:rFonts w:ascii="Times New Roman" w:hAnsi="Times New Roman" w:cs="Times New Roman"/>
          <w:sz w:val="24"/>
          <w:szCs w:val="24"/>
        </w:rPr>
        <w:t>)</w:t>
      </w:r>
    </w:p>
    <w:p w:rsidR="001D2BAF" w:rsidRDefault="001D2BAF" w:rsidP="001D2BAF">
      <w:pPr>
        <w:spacing w:line="240" w:lineRule="auto"/>
        <w:ind w:left="1410" w:hanging="1410"/>
        <w:jc w:val="both"/>
        <w:rPr>
          <w:rFonts w:ascii="Times New Roman" w:hAnsi="Times New Roman" w:cs="Times New Roman"/>
          <w:sz w:val="24"/>
          <w:szCs w:val="24"/>
        </w:rPr>
      </w:pPr>
      <w:r w:rsidRPr="004C5F4D">
        <w:rPr>
          <w:rFonts w:ascii="Times New Roman" w:hAnsi="Times New Roman" w:cs="Times New Roman"/>
          <w:sz w:val="24"/>
          <w:szCs w:val="24"/>
        </w:rPr>
        <w:t>17-1-2017</w:t>
      </w:r>
      <w:r w:rsidRPr="004C5F4D">
        <w:rPr>
          <w:rFonts w:ascii="Times New Roman" w:hAnsi="Times New Roman" w:cs="Times New Roman"/>
          <w:sz w:val="24"/>
          <w:szCs w:val="24"/>
        </w:rPr>
        <w:tab/>
        <w:t>El "legado vital" de la globalización: del malestar económico al populismo emocional e irreflexivo (de aquellos polvos, estos lodos) (Parte</w:t>
      </w:r>
      <w:r>
        <w:rPr>
          <w:rFonts w:ascii="Times New Roman" w:hAnsi="Times New Roman" w:cs="Times New Roman"/>
          <w:sz w:val="24"/>
          <w:szCs w:val="24"/>
        </w:rPr>
        <w:t>s</w:t>
      </w:r>
      <w:r w:rsidRPr="004C5F4D">
        <w:rPr>
          <w:rFonts w:ascii="Times New Roman" w:hAnsi="Times New Roman" w:cs="Times New Roman"/>
          <w:sz w:val="24"/>
          <w:szCs w:val="24"/>
        </w:rPr>
        <w:t xml:space="preserve"> I</w:t>
      </w:r>
      <w:r>
        <w:rPr>
          <w:rFonts w:ascii="Times New Roman" w:hAnsi="Times New Roman" w:cs="Times New Roman"/>
          <w:sz w:val="24"/>
          <w:szCs w:val="24"/>
        </w:rPr>
        <w:t xml:space="preserve"> y II</w:t>
      </w:r>
      <w:r w:rsidRPr="004C5F4D">
        <w:rPr>
          <w:rFonts w:ascii="Times New Roman" w:hAnsi="Times New Roman" w:cs="Times New Roman"/>
          <w:sz w:val="24"/>
          <w:szCs w:val="24"/>
        </w:rPr>
        <w:t>)</w:t>
      </w:r>
    </w:p>
    <w:p w:rsidR="001D2BAF" w:rsidRDefault="001D2BAF" w:rsidP="001D2BAF">
      <w:pPr>
        <w:spacing w:line="240" w:lineRule="auto"/>
        <w:ind w:left="1410" w:hanging="1410"/>
        <w:jc w:val="both"/>
        <w:rPr>
          <w:rFonts w:ascii="Times New Roman" w:hAnsi="Times New Roman" w:cs="Times New Roman"/>
          <w:sz w:val="24"/>
          <w:szCs w:val="24"/>
        </w:rPr>
      </w:pPr>
      <w:r w:rsidRPr="004C5F4D">
        <w:rPr>
          <w:rFonts w:ascii="Times New Roman" w:hAnsi="Times New Roman" w:cs="Times New Roman"/>
          <w:sz w:val="24"/>
          <w:szCs w:val="24"/>
        </w:rPr>
        <w:t>15-5-2017</w:t>
      </w:r>
      <w:r w:rsidRPr="004C5F4D">
        <w:rPr>
          <w:rFonts w:ascii="Times New Roman" w:hAnsi="Times New Roman" w:cs="Times New Roman"/>
          <w:sz w:val="24"/>
          <w:szCs w:val="24"/>
        </w:rPr>
        <w:tab/>
        <w:t>El abandono del progreso (posibilidades e</w:t>
      </w:r>
      <w:r>
        <w:rPr>
          <w:rFonts w:ascii="Times New Roman" w:hAnsi="Times New Roman" w:cs="Times New Roman"/>
          <w:sz w:val="24"/>
          <w:szCs w:val="24"/>
        </w:rPr>
        <w:t xml:space="preserve">conómicas para nuestros nietos) - </w:t>
      </w:r>
      <w:r w:rsidRPr="004C5F4D">
        <w:rPr>
          <w:rFonts w:ascii="Times New Roman" w:hAnsi="Times New Roman" w:cs="Times New Roman"/>
          <w:sz w:val="24"/>
          <w:szCs w:val="24"/>
        </w:rPr>
        <w:t>El peligroso sendero del año 2017 (al borde del abismo), puede hacer bueno al 2016</w:t>
      </w:r>
    </w:p>
    <w:p w:rsidR="001D2BAF" w:rsidRDefault="001D2BAF" w:rsidP="001D2BAF">
      <w:pPr>
        <w:spacing w:line="240" w:lineRule="auto"/>
        <w:ind w:left="1410" w:hanging="1410"/>
        <w:jc w:val="both"/>
        <w:rPr>
          <w:rFonts w:ascii="Times New Roman" w:hAnsi="Times New Roman" w:cs="Times New Roman"/>
          <w:sz w:val="24"/>
          <w:szCs w:val="24"/>
        </w:rPr>
      </w:pPr>
      <w:r w:rsidRPr="004C5F4D">
        <w:rPr>
          <w:rFonts w:ascii="Times New Roman" w:hAnsi="Times New Roman" w:cs="Times New Roman"/>
          <w:sz w:val="24"/>
          <w:szCs w:val="24"/>
        </w:rPr>
        <w:t>15-7-2017</w:t>
      </w:r>
      <w:r w:rsidRPr="004C5F4D">
        <w:rPr>
          <w:rFonts w:ascii="Times New Roman" w:hAnsi="Times New Roman" w:cs="Times New Roman"/>
          <w:sz w:val="24"/>
          <w:szCs w:val="24"/>
        </w:rPr>
        <w:tab/>
        <w:t>La Renta Básica Universal y el hombre olvidado</w:t>
      </w:r>
    </w:p>
    <w:p w:rsidR="001D2BAF" w:rsidRDefault="001D2BAF" w:rsidP="001D2BAF">
      <w:pPr>
        <w:spacing w:line="240" w:lineRule="auto"/>
        <w:ind w:left="1410" w:hanging="1410"/>
        <w:jc w:val="both"/>
        <w:rPr>
          <w:rFonts w:ascii="Times New Roman" w:hAnsi="Times New Roman" w:cs="Times New Roman"/>
          <w:sz w:val="24"/>
          <w:szCs w:val="24"/>
        </w:rPr>
      </w:pPr>
      <w:r w:rsidRPr="004C5F4D">
        <w:rPr>
          <w:rFonts w:ascii="Times New Roman" w:hAnsi="Times New Roman" w:cs="Times New Roman"/>
          <w:sz w:val="24"/>
          <w:szCs w:val="24"/>
        </w:rPr>
        <w:t>15-11-2017</w:t>
      </w:r>
      <w:r w:rsidRPr="004C5F4D">
        <w:rPr>
          <w:rFonts w:ascii="Times New Roman" w:hAnsi="Times New Roman" w:cs="Times New Roman"/>
          <w:sz w:val="24"/>
          <w:szCs w:val="24"/>
        </w:rPr>
        <w:tab/>
        <w:t>Un cálculo (aproximado) sobre la pérdida de capital social en la Unión Europea (¿qué hubiera pasado si la crisis financiera no hubiera causado un desempleo extremo?)</w:t>
      </w:r>
    </w:p>
    <w:p w:rsidR="001D2BAF" w:rsidRDefault="001D2BAF" w:rsidP="001D2BAF">
      <w:pPr>
        <w:spacing w:line="240" w:lineRule="auto"/>
        <w:ind w:left="1410" w:hanging="1410"/>
        <w:jc w:val="both"/>
        <w:rPr>
          <w:rFonts w:ascii="Times New Roman" w:hAnsi="Times New Roman" w:cs="Times New Roman"/>
          <w:sz w:val="24"/>
          <w:szCs w:val="24"/>
        </w:rPr>
      </w:pPr>
      <w:r w:rsidRPr="004C5F4D">
        <w:rPr>
          <w:rFonts w:ascii="Times New Roman" w:hAnsi="Times New Roman" w:cs="Times New Roman"/>
          <w:sz w:val="24"/>
          <w:szCs w:val="24"/>
        </w:rPr>
        <w:t>15-3-2018</w:t>
      </w:r>
      <w:r w:rsidRPr="004C5F4D">
        <w:rPr>
          <w:rFonts w:ascii="Times New Roman" w:hAnsi="Times New Roman" w:cs="Times New Roman"/>
          <w:sz w:val="24"/>
          <w:szCs w:val="24"/>
        </w:rPr>
        <w:tab/>
        <w:t>¿Es la economía "disruptiva" una fábrica de "camareros"? (El lado oscuro de la economía "colaborativa")</w:t>
      </w:r>
    </w:p>
    <w:p w:rsidR="001D2BAF" w:rsidRDefault="001D2BAF" w:rsidP="001D2BAF">
      <w:pPr>
        <w:spacing w:line="240" w:lineRule="auto"/>
        <w:ind w:left="1410" w:hanging="1410"/>
        <w:jc w:val="both"/>
        <w:rPr>
          <w:rFonts w:ascii="Times New Roman" w:hAnsi="Times New Roman" w:cs="Times New Roman"/>
          <w:sz w:val="24"/>
          <w:szCs w:val="24"/>
        </w:rPr>
      </w:pPr>
      <w:r w:rsidRPr="004C5F4D">
        <w:rPr>
          <w:rFonts w:ascii="Times New Roman" w:hAnsi="Times New Roman" w:cs="Times New Roman"/>
          <w:sz w:val="24"/>
          <w:szCs w:val="24"/>
        </w:rPr>
        <w:t>15-5-2018</w:t>
      </w:r>
      <w:r w:rsidRPr="004C5F4D">
        <w:rPr>
          <w:rFonts w:ascii="Times New Roman" w:hAnsi="Times New Roman" w:cs="Times New Roman"/>
          <w:sz w:val="24"/>
          <w:szCs w:val="24"/>
        </w:rPr>
        <w:tab/>
        <w:t>Desigualdad económica extrema (período 2007-2017): la "globalización del malestar" (del "daño coyuntural" al "alzamiento de bienes" estructural)</w:t>
      </w:r>
    </w:p>
    <w:p w:rsidR="001D2BAF" w:rsidRDefault="001D2BAF" w:rsidP="001D2BAF">
      <w:pPr>
        <w:spacing w:line="240" w:lineRule="auto"/>
        <w:ind w:left="1410" w:hanging="1410"/>
        <w:jc w:val="both"/>
        <w:rPr>
          <w:rFonts w:ascii="Times New Roman" w:hAnsi="Times New Roman" w:cs="Times New Roman"/>
          <w:sz w:val="24"/>
          <w:szCs w:val="24"/>
        </w:rPr>
      </w:pPr>
      <w:r w:rsidRPr="004C5F4D">
        <w:rPr>
          <w:rFonts w:ascii="Times New Roman" w:hAnsi="Times New Roman" w:cs="Times New Roman"/>
          <w:sz w:val="24"/>
          <w:szCs w:val="24"/>
        </w:rPr>
        <w:t>15-6-2018</w:t>
      </w:r>
      <w:r w:rsidRPr="004C5F4D">
        <w:rPr>
          <w:rFonts w:ascii="Times New Roman" w:hAnsi="Times New Roman" w:cs="Times New Roman"/>
          <w:sz w:val="24"/>
          <w:szCs w:val="24"/>
        </w:rPr>
        <w:tab/>
        <w:t>El futuro del trabajo (entre la hipocresía y el desaliento)</w:t>
      </w:r>
    </w:p>
    <w:p w:rsidR="001D2BAF" w:rsidRDefault="001D2BAF" w:rsidP="001D2BAF">
      <w:pPr>
        <w:spacing w:line="240" w:lineRule="auto"/>
        <w:ind w:left="1410" w:hanging="1410"/>
        <w:jc w:val="both"/>
        <w:rPr>
          <w:rFonts w:ascii="Times New Roman" w:hAnsi="Times New Roman" w:cs="Times New Roman"/>
          <w:sz w:val="24"/>
          <w:szCs w:val="24"/>
        </w:rPr>
      </w:pPr>
      <w:r w:rsidRPr="004C5F4D">
        <w:rPr>
          <w:rFonts w:ascii="Times New Roman" w:hAnsi="Times New Roman" w:cs="Times New Roman"/>
          <w:sz w:val="24"/>
          <w:szCs w:val="24"/>
        </w:rPr>
        <w:t>16-12-2018</w:t>
      </w:r>
      <w:r w:rsidRPr="004C5F4D">
        <w:rPr>
          <w:rFonts w:ascii="Times New Roman" w:hAnsi="Times New Roman" w:cs="Times New Roman"/>
          <w:sz w:val="24"/>
          <w:szCs w:val="24"/>
        </w:rPr>
        <w:tab/>
        <w:t>La era de la distribución "regresiva" de la renta (2008-2018: una "década infame", de ilusiones perdidas): el ascensor social está "fuera de servicio" (¿se pueden reparar las averías del "viejo" modelo, o hay que cambiarlo por un "nuevo" modelo)?</w:t>
      </w:r>
    </w:p>
    <w:p w:rsidR="00120B38" w:rsidRDefault="00120B38" w:rsidP="001D2BAF">
      <w:pPr>
        <w:spacing w:line="240" w:lineRule="auto"/>
        <w:ind w:left="1410" w:hanging="1410"/>
        <w:jc w:val="both"/>
        <w:rPr>
          <w:rFonts w:ascii="Times New Roman" w:hAnsi="Times New Roman" w:cs="Times New Roman"/>
          <w:sz w:val="24"/>
          <w:szCs w:val="24"/>
        </w:rPr>
      </w:pPr>
      <w:r>
        <w:rPr>
          <w:rFonts w:ascii="Times New Roman" w:hAnsi="Times New Roman" w:cs="Times New Roman"/>
          <w:sz w:val="24"/>
          <w:szCs w:val="24"/>
        </w:rPr>
        <w:t>15-5-</w:t>
      </w:r>
      <w:r w:rsidR="00507956">
        <w:rPr>
          <w:rFonts w:ascii="Times New Roman" w:hAnsi="Times New Roman" w:cs="Times New Roman"/>
          <w:sz w:val="24"/>
          <w:szCs w:val="24"/>
        </w:rPr>
        <w:t>20</w:t>
      </w:r>
      <w:r w:rsidR="003A64CC">
        <w:rPr>
          <w:rFonts w:ascii="Times New Roman" w:hAnsi="Times New Roman" w:cs="Times New Roman"/>
          <w:sz w:val="24"/>
          <w:szCs w:val="24"/>
        </w:rPr>
        <w:t xml:space="preserve">19      </w:t>
      </w:r>
      <w:r w:rsidRPr="00120B38">
        <w:rPr>
          <w:rFonts w:ascii="Times New Roman" w:hAnsi="Times New Roman" w:cs="Times New Roman"/>
          <w:sz w:val="24"/>
          <w:szCs w:val="24"/>
        </w:rPr>
        <w:t>Descapitalización humana: cómo se propagan las desigualdades económicas de los padres, a las oportuni</w:t>
      </w:r>
      <w:r>
        <w:rPr>
          <w:rFonts w:ascii="Times New Roman" w:hAnsi="Times New Roman" w:cs="Times New Roman"/>
          <w:sz w:val="24"/>
          <w:szCs w:val="24"/>
        </w:rPr>
        <w:t>dades educativas de sus hijos (</w:t>
      </w:r>
      <w:r w:rsidRPr="004C5F4D">
        <w:rPr>
          <w:rFonts w:ascii="Times New Roman" w:hAnsi="Times New Roman" w:cs="Times New Roman"/>
          <w:sz w:val="24"/>
          <w:szCs w:val="24"/>
        </w:rPr>
        <w:t>"</w:t>
      </w:r>
      <w:r w:rsidRPr="00120B38">
        <w:rPr>
          <w:rFonts w:ascii="Times New Roman" w:hAnsi="Times New Roman" w:cs="Times New Roman"/>
          <w:sz w:val="24"/>
          <w:szCs w:val="24"/>
        </w:rPr>
        <w:t>heredaras mi pobreza y también… mi ignorancia</w:t>
      </w:r>
      <w:r w:rsidRPr="004C5F4D">
        <w:rPr>
          <w:rFonts w:ascii="Times New Roman" w:hAnsi="Times New Roman" w:cs="Times New Roman"/>
          <w:sz w:val="24"/>
          <w:szCs w:val="24"/>
        </w:rPr>
        <w:t>"</w:t>
      </w:r>
      <w:r w:rsidRPr="00120B38">
        <w:rPr>
          <w:rFonts w:ascii="Times New Roman" w:hAnsi="Times New Roman" w:cs="Times New Roman"/>
          <w:sz w:val="24"/>
          <w:szCs w:val="24"/>
        </w:rPr>
        <w:t>)</w:t>
      </w:r>
    </w:p>
    <w:p w:rsidR="000D1167" w:rsidRDefault="000D1167" w:rsidP="009720E1">
      <w:pPr>
        <w:pStyle w:val="Ttulo1"/>
        <w:shd w:val="clear" w:color="auto" w:fill="FFFFFF"/>
        <w:spacing w:before="0"/>
        <w:textAlignment w:val="baseline"/>
        <w:rPr>
          <w:rFonts w:ascii="Times New Roman" w:eastAsia="Times New Roman" w:hAnsi="Times New Roman" w:cs="Times New Roman"/>
          <w:b w:val="0"/>
          <w:bCs w:val="0"/>
          <w:color w:val="auto"/>
          <w:sz w:val="24"/>
          <w:szCs w:val="24"/>
          <w:lang w:eastAsia="en-US"/>
        </w:rPr>
      </w:pPr>
    </w:p>
    <w:p w:rsidR="003928E7" w:rsidRPr="003928E7" w:rsidRDefault="003928E7" w:rsidP="003928E7"/>
    <w:p w:rsidR="009720E1" w:rsidRPr="00C923FF" w:rsidRDefault="003928E7" w:rsidP="009720E1">
      <w:pPr>
        <w:pStyle w:val="Ttulo1"/>
        <w:shd w:val="clear" w:color="auto" w:fill="FFFFFF"/>
        <w:spacing w:before="0"/>
        <w:textAlignment w:val="baseline"/>
        <w:rPr>
          <w:rFonts w:ascii="Times New Roman" w:hAnsi="Times New Roman" w:cs="Times New Roman"/>
          <w:color w:val="1E1E1E"/>
          <w:sz w:val="24"/>
          <w:szCs w:val="24"/>
        </w:rPr>
      </w:pPr>
      <w:r>
        <w:rPr>
          <w:rFonts w:ascii="Times New Roman" w:hAnsi="Times New Roman" w:cs="Times New Roman"/>
          <w:color w:val="1E1E1E"/>
          <w:sz w:val="24"/>
          <w:szCs w:val="24"/>
        </w:rPr>
        <w:lastRenderedPageBreak/>
        <w:t xml:space="preserve">- </w:t>
      </w:r>
      <w:r w:rsidR="009720E1" w:rsidRPr="00C923FF">
        <w:rPr>
          <w:rFonts w:ascii="Times New Roman" w:hAnsi="Times New Roman" w:cs="Times New Roman"/>
          <w:color w:val="1E1E1E"/>
          <w:sz w:val="24"/>
          <w:szCs w:val="24"/>
        </w:rPr>
        <w:t>Antecedentes sobre China: la fábrica del mundo (</w:t>
      </w:r>
      <w:r w:rsidR="00A30400">
        <w:rPr>
          <w:rFonts w:ascii="Times New Roman" w:hAnsi="Times New Roman" w:cs="Times New Roman"/>
          <w:color w:val="1E1E1E"/>
          <w:sz w:val="24"/>
          <w:szCs w:val="24"/>
        </w:rPr>
        <w:t>¿</w:t>
      </w:r>
      <w:r w:rsidR="009720E1" w:rsidRPr="00C923FF">
        <w:rPr>
          <w:rFonts w:ascii="Times New Roman" w:hAnsi="Times New Roman" w:cs="Times New Roman"/>
          <w:color w:val="1E1E1E"/>
          <w:sz w:val="24"/>
          <w:szCs w:val="24"/>
        </w:rPr>
        <w:t>el hijo bastardo de Wall Street</w:t>
      </w:r>
      <w:r w:rsidR="00A30400">
        <w:rPr>
          <w:rFonts w:ascii="Times New Roman" w:hAnsi="Times New Roman" w:cs="Times New Roman"/>
          <w:color w:val="1E1E1E"/>
          <w:sz w:val="24"/>
          <w:szCs w:val="24"/>
        </w:rPr>
        <w:t>?</w:t>
      </w:r>
      <w:r w:rsidR="009720E1" w:rsidRPr="00C923FF">
        <w:rPr>
          <w:rFonts w:ascii="Times New Roman" w:hAnsi="Times New Roman" w:cs="Times New Roman"/>
          <w:color w:val="1E1E1E"/>
          <w:sz w:val="24"/>
          <w:szCs w:val="24"/>
        </w:rPr>
        <w:t>)</w:t>
      </w:r>
    </w:p>
    <w:p w:rsidR="009720E1" w:rsidRPr="00F953A3" w:rsidRDefault="009720E1" w:rsidP="009720E1"/>
    <w:p w:rsidR="009720E1" w:rsidRPr="00C65C0F" w:rsidRDefault="009720E1" w:rsidP="009720E1">
      <w:r w:rsidRPr="00980B03">
        <w:rPr>
          <w:rFonts w:ascii="Times New Roman" w:hAnsi="Times New Roman" w:cs="Times New Roman"/>
          <w:noProof/>
          <w:color w:val="404040"/>
          <w:sz w:val="24"/>
          <w:szCs w:val="24"/>
          <w:bdr w:val="none" w:sz="0" w:space="0" w:color="auto" w:frame="1"/>
          <w:lang w:eastAsia="es-ES"/>
        </w:rPr>
        <w:drawing>
          <wp:inline distT="0" distB="0" distL="0" distR="0" wp14:anchorId="29442A4B" wp14:editId="37175723">
            <wp:extent cx="5715000" cy="2489200"/>
            <wp:effectExtent l="0" t="0" r="0" b="6350"/>
            <wp:docPr id="192" name="Imagen 192" descr="Bandera de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andera de China"/>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15000" cy="2489200"/>
                    </a:xfrm>
                    <a:prstGeom prst="rect">
                      <a:avLst/>
                    </a:prstGeom>
                    <a:noFill/>
                    <a:ln>
                      <a:noFill/>
                    </a:ln>
                  </pic:spPr>
                </pic:pic>
              </a:graphicData>
            </a:graphic>
          </wp:inline>
        </w:drawing>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010918">
        <w:rPr>
          <w:rFonts w:ascii="Times New Roman" w:eastAsia="Times New Roman" w:hAnsi="Times New Roman" w:cs="Times New Roman"/>
          <w:sz w:val="24"/>
          <w:szCs w:val="24"/>
          <w:u w:val="single"/>
        </w:rPr>
        <w:t>China tiene una clase media más grande que Estados Unidos</w:t>
      </w:r>
      <w:r>
        <w:rPr>
          <w:rFonts w:ascii="Times New Roman" w:eastAsia="Times New Roman" w:hAnsi="Times New Roman" w:cs="Times New Roman"/>
          <w:sz w:val="24"/>
          <w:szCs w:val="24"/>
        </w:rPr>
        <w:t xml:space="preserve"> (CNN - </w:t>
      </w:r>
      <w:r w:rsidRPr="00010918">
        <w:rPr>
          <w:rFonts w:ascii="Times New Roman" w:eastAsia="Times New Roman" w:hAnsi="Times New Roman" w:cs="Times New Roman"/>
          <w:b/>
          <w:sz w:val="24"/>
          <w:szCs w:val="24"/>
        </w:rPr>
        <w:t>14/10/15</w:t>
      </w:r>
      <w:r>
        <w:rPr>
          <w:rFonts w:ascii="Times New Roman" w:eastAsia="Times New Roman" w:hAnsi="Times New Roman" w:cs="Times New Roman"/>
          <w:sz w:val="24"/>
          <w:szCs w:val="24"/>
        </w:rPr>
        <w:t>)</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10918"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2E0965">
        <w:rPr>
          <w:rFonts w:ascii="Times New Roman" w:eastAsia="Times New Roman" w:hAnsi="Times New Roman" w:cs="Times New Roman"/>
          <w:sz w:val="24"/>
          <w:szCs w:val="24"/>
          <w:u w:val="single"/>
        </w:rPr>
        <w:t>El “sueño chino” se está haciendo realidad para millones de personas. La clase media en China es ahora la más grande del mundo</w:t>
      </w:r>
      <w:r w:rsidRPr="00010918">
        <w:rPr>
          <w:rFonts w:ascii="Times New Roman" w:eastAsia="Times New Roman" w:hAnsi="Times New Roman" w:cs="Times New Roman"/>
          <w:sz w:val="24"/>
          <w:szCs w:val="24"/>
        </w:rPr>
        <w:t>, y crece mucho más rápido que la de Estados Unidos, según una investigación de Credit Suisse.</w:t>
      </w:r>
    </w:p>
    <w:p w:rsidR="009720E1" w:rsidRPr="00010918"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E0965"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E0965">
        <w:rPr>
          <w:rFonts w:ascii="Times New Roman" w:eastAsia="Times New Roman" w:hAnsi="Times New Roman" w:cs="Times New Roman"/>
          <w:color w:val="FF0000"/>
          <w:sz w:val="24"/>
          <w:szCs w:val="24"/>
          <w:u w:val="single"/>
        </w:rPr>
        <w:t>Hay 109 millones de chinos con un patrimonio entre 50.000 y 500.000 dólares. Desde el 2000, el doble de chinos se ha sumado a la clase media, comparado con los estadounidenses que han hecho lo propio.</w:t>
      </w:r>
    </w:p>
    <w:p w:rsidR="009720E1" w:rsidRPr="00010918"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10918"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Credit Suisse mide el patrimonio y no las ganancias para evitar cambios temporales causados por el desempleo, por ejemplo.</w:t>
      </w:r>
    </w:p>
    <w:p w:rsidR="009720E1" w:rsidRPr="00010918"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10918"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2E0965">
        <w:rPr>
          <w:rFonts w:ascii="Times New Roman" w:eastAsia="Times New Roman" w:hAnsi="Times New Roman" w:cs="Times New Roman"/>
          <w:sz w:val="24"/>
          <w:szCs w:val="24"/>
          <w:u w:val="single"/>
        </w:rPr>
        <w:t>Los chinos se están volviendo ricos a una tasa increíble</w:t>
      </w:r>
      <w:r w:rsidRPr="00010918">
        <w:rPr>
          <w:rFonts w:ascii="Times New Roman" w:eastAsia="Times New Roman" w:hAnsi="Times New Roman" w:cs="Times New Roman"/>
          <w:sz w:val="24"/>
          <w:szCs w:val="24"/>
        </w:rPr>
        <w:t>. La riqueza por cada adulto se ha cuadruplicado a 22.500 desde el 2000. El país ahora tiene una quint</w:t>
      </w:r>
      <w:r>
        <w:rPr>
          <w:rFonts w:ascii="Times New Roman" w:eastAsia="Times New Roman" w:hAnsi="Times New Roman" w:cs="Times New Roman"/>
          <w:sz w:val="24"/>
          <w:szCs w:val="24"/>
        </w:rPr>
        <w:t>a parte de la población y el 10%</w:t>
      </w:r>
      <w:r w:rsidRPr="00010918">
        <w:rPr>
          <w:rFonts w:ascii="Times New Roman" w:eastAsia="Times New Roman" w:hAnsi="Times New Roman" w:cs="Times New Roman"/>
          <w:sz w:val="24"/>
          <w:szCs w:val="24"/>
        </w:rPr>
        <w:t xml:space="preserve"> de la riqueza mundial.</w:t>
      </w:r>
    </w:p>
    <w:p w:rsidR="009720E1" w:rsidRPr="00010918"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E0965"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2E0965">
        <w:rPr>
          <w:rFonts w:ascii="Times New Roman" w:eastAsia="Times New Roman" w:hAnsi="Times New Roman" w:cs="Times New Roman"/>
          <w:sz w:val="24"/>
          <w:szCs w:val="24"/>
          <w:u w:val="single"/>
        </w:rPr>
        <w:t>“La riqueza de los hogares del país podría continuar aumentando por encima de las tasas de crecimiento de las econom</w:t>
      </w:r>
      <w:r w:rsidR="0036518C">
        <w:rPr>
          <w:rFonts w:ascii="Times New Roman" w:eastAsia="Times New Roman" w:hAnsi="Times New Roman" w:cs="Times New Roman"/>
          <w:sz w:val="24"/>
          <w:szCs w:val="24"/>
          <w:u w:val="single"/>
        </w:rPr>
        <w:t>ías desarrolladas”, dice Credit</w:t>
      </w:r>
      <w:r w:rsidRPr="002E0965">
        <w:rPr>
          <w:rFonts w:ascii="Times New Roman" w:eastAsia="Times New Roman" w:hAnsi="Times New Roman" w:cs="Times New Roman"/>
          <w:sz w:val="24"/>
          <w:szCs w:val="24"/>
          <w:u w:val="single"/>
        </w:rPr>
        <w:t xml:space="preserve"> Suisse.</w:t>
      </w:r>
    </w:p>
    <w:p w:rsidR="009720E1" w:rsidRPr="00010918"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10918"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China también verá su número de millonarios crecer un 74% hasta alcanzar 2,3 millones en 2020, de acuerdo con el reporte.</w:t>
      </w:r>
    </w:p>
    <w:p w:rsidR="009720E1" w:rsidRPr="00010918"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Otro informe hecho por PricewaterhouseCoopers encontró que un nuevo multimillonario se creaba casi cada semana en China en el primer cuarto del año.</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455D2">
        <w:rPr>
          <w:rFonts w:ascii="Times New Roman" w:eastAsia="Times New Roman" w:hAnsi="Times New Roman" w:cs="Times New Roman"/>
          <w:sz w:val="24"/>
          <w:szCs w:val="24"/>
          <w:u w:val="single"/>
        </w:rPr>
        <w:t>Casi 500 millones de chinos serán de clase media en 2030</w:t>
      </w:r>
      <w:r>
        <w:rPr>
          <w:rFonts w:ascii="Times New Roman" w:eastAsia="Times New Roman" w:hAnsi="Times New Roman" w:cs="Times New Roman"/>
          <w:sz w:val="24"/>
          <w:szCs w:val="24"/>
        </w:rPr>
        <w:t xml:space="preserve"> (ABC - </w:t>
      </w:r>
      <w:r w:rsidRPr="006455D2">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6455D2">
        <w:rPr>
          <w:rFonts w:ascii="Times New Roman" w:eastAsia="Times New Roman" w:hAnsi="Times New Roman" w:cs="Times New Roman"/>
          <w:sz w:val="24"/>
          <w:szCs w:val="24"/>
        </w:rPr>
        <w:t>Pablo M. Díez</w:t>
      </w:r>
      <w:r>
        <w:rPr>
          <w:rFonts w:ascii="Times New Roman" w:eastAsia="Times New Roman" w:hAnsi="Times New Roman" w:cs="Times New Roman"/>
          <w:sz w:val="24"/>
          <w:szCs w:val="24"/>
        </w:rPr>
        <w:t>)</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De ellos, unos 200 millones de consumidores podrán gastar más de 27.000 euros al año</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E0965"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E0965">
        <w:rPr>
          <w:rFonts w:ascii="Times New Roman" w:eastAsia="Times New Roman" w:hAnsi="Times New Roman" w:cs="Times New Roman"/>
          <w:color w:val="FF0000"/>
          <w:sz w:val="24"/>
          <w:szCs w:val="24"/>
          <w:u w:val="single"/>
        </w:rPr>
        <w:lastRenderedPageBreak/>
        <w:t>Mientras la clase media sigue menguando en número e ingresos en los avanzados países occidentales, en Asia no para de crecer. Son los efectos de una globalización que, acelerada por la crisis que estalló en 2008, está volviendo las tornas de la economía mundial hacia Oriente, especialmente hacia China.</w:t>
      </w:r>
    </w:p>
    <w:p w:rsidR="009720E1" w:rsidRPr="002E0965"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 xml:space="preserve">A pesar de la ralentización de su crecimiento económico, que ha llegado a su ritmo más bajo del último cuarto de siglo, </w:t>
      </w:r>
      <w:r w:rsidRPr="002E0965">
        <w:rPr>
          <w:rFonts w:ascii="Times New Roman" w:eastAsia="Times New Roman" w:hAnsi="Times New Roman" w:cs="Times New Roman"/>
          <w:sz w:val="24"/>
          <w:szCs w:val="24"/>
          <w:u w:val="single"/>
        </w:rPr>
        <w:t>el consumo privado continúa subiendo en China por el incremento de su clase media. Buena prueba de ello es que el año pasado se elevó un 8,4%, muy por encima del crecimiento del Producto Interior Bruto (PIB), que fue del 6,9%</w:t>
      </w:r>
      <w:r w:rsidRPr="006455D2">
        <w:rPr>
          <w:rFonts w:ascii="Times New Roman" w:eastAsia="Times New Roman" w:hAnsi="Times New Roman" w:cs="Times New Roman"/>
          <w:sz w:val="24"/>
          <w:szCs w:val="24"/>
        </w:rPr>
        <w:t>. Dentro del cambio de modelo que está acometiendo el autoritario régimen de Pekín, el consumo ya ha reemplazado como motor del crecimiento a los dos pilares en que se había basado el «milagro económico» chino: las exportaciones y la inversión. Y todo indica que esta será la tendencia a seguir en el futuro.</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E0965"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E0965">
        <w:rPr>
          <w:rFonts w:ascii="Times New Roman" w:eastAsia="Times New Roman" w:hAnsi="Times New Roman" w:cs="Times New Roman"/>
          <w:color w:val="FF0000"/>
          <w:sz w:val="24"/>
          <w:szCs w:val="24"/>
          <w:u w:val="single"/>
        </w:rPr>
        <w:t>Según prevé un informe de la Unidad de Inteligencia de la prestigiosa revista “The Economist”, que ha analizado 300 ciudades chinas, el consumo privado crecerá una media anual del 5,5% hasta 2030. En esa fecha, se calcula que unos 480 millones de personas (un 35% de la población) formarán parte de la clase media al disponer de unos ingresos medio-altos o altos y una capacidad de gasto anual superior a los 10.000 dólares (9.106 euros). En la actualidad, solo el 10% de los chinos (unos 132 millones de personas) disfruta de esas rentas y puede permitirse tales gastos.</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Dentro del progreso que seguirá viviendo China, cada vez más personas irán saliendo de la pobreza y ascendiendo en la escala social. A tenor del estudio</w:t>
      </w:r>
      <w:r>
        <w:rPr>
          <w:rFonts w:ascii="Times New Roman" w:eastAsia="Times New Roman" w:hAnsi="Times New Roman" w:cs="Times New Roman"/>
          <w:sz w:val="24"/>
          <w:szCs w:val="24"/>
        </w:rPr>
        <w:t xml:space="preserve"> de “The Economist”</w:t>
      </w:r>
      <w:r w:rsidRPr="006455D2">
        <w:rPr>
          <w:rFonts w:ascii="Times New Roman" w:eastAsia="Times New Roman" w:hAnsi="Times New Roman" w:cs="Times New Roman"/>
          <w:sz w:val="24"/>
          <w:szCs w:val="24"/>
        </w:rPr>
        <w:t>, 503 millones de chinos (36,9% de la población) formaban parte el año pasado del grupo con ingresos bajos, con menos de 13.000 yuanes (1.767 euros) al año para gastar. En 2030, su número se habrá reducido hasta los 155 millones de personas (11% de la población).</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Las cifras de la gran masa</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E0965"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6455D2">
        <w:rPr>
          <w:rFonts w:ascii="Times New Roman" w:eastAsia="Times New Roman" w:hAnsi="Times New Roman" w:cs="Times New Roman"/>
          <w:sz w:val="24"/>
          <w:szCs w:val="24"/>
        </w:rPr>
        <w:t xml:space="preserve">Los que salgan de dicho grupo pasarán a engrosar la gran masa de chinos con renta media-baja, que dispondrán de una capacidad de gasto anual de entre 13.000 y 67.000 yuanes (entre 1.767 y 9.106 euros) y sumarán la mitad de la población. Con respecto al año pasado, su número se mantendrá constante porque las nuevas incorporaciones suplirán el salto de sus capas superiores a una clase social más acomodada. Así, </w:t>
      </w:r>
      <w:r w:rsidRPr="002E0965">
        <w:rPr>
          <w:rFonts w:ascii="Times New Roman" w:eastAsia="Times New Roman" w:hAnsi="Times New Roman" w:cs="Times New Roman"/>
          <w:color w:val="FF0000"/>
          <w:sz w:val="24"/>
          <w:szCs w:val="24"/>
          <w:u w:val="single"/>
        </w:rPr>
        <w:t>la horquilla de población con ingresos medio-altos y una renta para gastar de entre 67.000 y 200.000 yuanes (entre 9.106 y 27.177 euros) pasará del 7,1% de 2015 (97 millones de personas) al 19,7% de 2030 (276 millones). Pero el sector que más aumentará será el de la renta alta y una capacidad de gasto superior a los 200.000 yuanes (27.177 euros) anuales, que subirá de los 35 millones de personas (2,6% de la población) de 2015 a los 205 millones (14,5%) que habrá en tres lustros.</w:t>
      </w:r>
    </w:p>
    <w:p w:rsidR="009720E1" w:rsidRPr="002E0965"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Debido al impulso del patrón de crecimiento vigente hasta ahora, que se ha concentrado en la industrializada costa china, megalópolis como Pekín, Shanghái, Cantón (Guangzhou) y Shenzhen doblarán el número de consumidores con ingresos altos. Especialmente Shanghái, donde habrá más de 10 millones de personas (43,2% de la población) con una capacidad de gasto anual superior a los 200.000 yuanes (27.177 euros).</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lastRenderedPageBreak/>
        <w:t>El consumo ha reemplazado como motor económico a la exportación y la inversión</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Además, esta proliferación de la clase media se extenderá al interior del país y a ciudades secundarias como Chengdú, capital de la provincia sureña de Sichuán; Xian, en Shaanxi, y Changsha, en Hunan. En los últimos tiempos, todas ellas han atraído abundante inversión que huye del encarecimiento de los costes laborales en la costa china, donde la progresiva mejora del nivel de vida ha elevado los salarios. En Chongqing, una metrópolis del suroeste bañada por el río Yangtsé y con más de 30 millones de habitantes, se multiplicará por diez el número de consumidores con rentas altas, hasta llegar a los cuatro millones de personas.</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E0965"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E0965">
        <w:rPr>
          <w:rFonts w:ascii="Times New Roman" w:eastAsia="Times New Roman" w:hAnsi="Times New Roman" w:cs="Times New Roman"/>
          <w:color w:val="FF0000"/>
          <w:sz w:val="24"/>
          <w:szCs w:val="24"/>
          <w:u w:val="single"/>
        </w:rPr>
        <w:t>“Aunque seguirá habiendo grandes desigualdades sociales, China parecerá entonces una verdadera sociedad de clase media y el poder adquisitivo medio de sus habitantes será similar al de Estados Unidos y Corea del Sur en el año 2000”, predice el análisis de la Unidad de Inteligencia de “The Economist”.</w:t>
      </w:r>
      <w:r w:rsidRPr="002E0965">
        <w:rPr>
          <w:rFonts w:ascii="Times New Roman" w:eastAsia="Times New Roman" w:hAnsi="Times New Roman" w:cs="Times New Roman"/>
          <w:color w:val="FF0000"/>
          <w:sz w:val="24"/>
          <w:szCs w:val="24"/>
        </w:rPr>
        <w:t xml:space="preserve"> </w:t>
      </w:r>
      <w:r w:rsidRPr="002E0965">
        <w:rPr>
          <w:rFonts w:ascii="Times New Roman" w:eastAsia="Times New Roman" w:hAnsi="Times New Roman" w:cs="Times New Roman"/>
          <w:color w:val="FF0000"/>
          <w:sz w:val="24"/>
          <w:szCs w:val="24"/>
          <w:u w:val="single"/>
        </w:rPr>
        <w:t>Dicha transformación social cambiará radicalmente el vasto mercado chino, cuyo crecimiento en estos quince años será mayor que toda la economía de consumo que hay actualmente en la Unión Europea.</w:t>
      </w:r>
    </w:p>
    <w:p w:rsidR="009720E1" w:rsidRPr="002E0965"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Pasión por lo extranjero</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Entre los nuevos hábitos de consumo que tendrá esta clase media, destacarán los gastos en vivienda, automóvil, aparatos electrónicos, ocio, turismo, educación y salud, con una especial predilección por la adquisición de marcas extranjeras y artículos de importación.</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 China, que ya es el mayor mercado automovilístico del mundo con 19 millones de vehículos vendidos el año pasado, todavía hay mucho margen de crecimiento. Aunque el país ya cuenta con más de 280 millones de automóviles, solo hay un coche por cada cinco personas y 132 millones de potenciales compradores con dinero para adquirir uno.</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T</w:t>
      </w:r>
      <w:r>
        <w:rPr>
          <w:rFonts w:ascii="Times New Roman" w:eastAsia="Times New Roman" w:hAnsi="Times New Roman" w:cs="Times New Roman"/>
          <w:sz w:val="24"/>
          <w:szCs w:val="24"/>
        </w:rPr>
        <w:t>al y como concluye el informe, “</w:t>
      </w:r>
      <w:r w:rsidRPr="006455D2">
        <w:rPr>
          <w:rFonts w:ascii="Times New Roman" w:eastAsia="Times New Roman" w:hAnsi="Times New Roman" w:cs="Times New Roman"/>
          <w:sz w:val="24"/>
          <w:szCs w:val="24"/>
        </w:rPr>
        <w:t xml:space="preserve">la economía de consumo de China está preparada para un apasionante periodo de </w:t>
      </w:r>
      <w:r>
        <w:rPr>
          <w:rFonts w:ascii="Times New Roman" w:eastAsia="Times New Roman" w:hAnsi="Times New Roman" w:cs="Times New Roman"/>
          <w:sz w:val="24"/>
          <w:szCs w:val="24"/>
        </w:rPr>
        <w:t>desarrollo y expansión”</w:t>
      </w:r>
      <w:r w:rsidRPr="006455D2">
        <w:rPr>
          <w:rFonts w:ascii="Times New Roman" w:eastAsia="Times New Roman" w:hAnsi="Times New Roman" w:cs="Times New Roman"/>
          <w:sz w:val="24"/>
          <w:szCs w:val="24"/>
        </w:rPr>
        <w:t>.</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Los turistas que más viajan y más gastan</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El auge de la clase media en China está revolucionando los hábitos de consumo y disparando algunos negocios como el turismo. El año pasado, 120 millones de chinos viajaron al extranjero y se gastaron 104.500 millones de dólares (casi 100.000 millones de euros).</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Aunque sus destinos favoritos siguen estando en Asia, cada vez más turistas chinos viajan a Europa, donde España captó el año pasado casi 400.000 visitantes de este país. Su número no deja de aumentar en los últimos tiempos, pero España aún está muy por detrás del Reino Unido, Francia y Alemania. Entre las nuevas tendencias del turismo chino, destacan las 60.00 personas que viajaron en 2014 a Corea del Sur para hacerse operaciones de cirugía estética.</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173B1">
        <w:rPr>
          <w:rFonts w:ascii="Times New Roman" w:eastAsia="Times New Roman" w:hAnsi="Times New Roman" w:cs="Times New Roman"/>
          <w:sz w:val="24"/>
          <w:szCs w:val="24"/>
          <w:u w:val="single"/>
        </w:rPr>
        <w:t>La inmensa clase media china podría convertirse en el mercado principal de Occidente</w:t>
      </w:r>
      <w:r>
        <w:rPr>
          <w:rFonts w:ascii="Times New Roman" w:eastAsia="Times New Roman" w:hAnsi="Times New Roman" w:cs="Times New Roman"/>
          <w:sz w:val="24"/>
          <w:szCs w:val="24"/>
        </w:rPr>
        <w:t xml:space="preserve"> (MIT Technology Review - </w:t>
      </w:r>
      <w:r w:rsidRPr="00E173B1">
        <w:rPr>
          <w:rFonts w:ascii="Times New Roman" w:eastAsia="Times New Roman" w:hAnsi="Times New Roman" w:cs="Times New Roman"/>
          <w:b/>
          <w:sz w:val="24"/>
          <w:szCs w:val="24"/>
        </w:rPr>
        <w:t>15/9/17</w:t>
      </w:r>
      <w:r>
        <w:rPr>
          <w:rFonts w:ascii="Times New Roman" w:eastAsia="Times New Roman" w:hAnsi="Times New Roman" w:cs="Times New Roman"/>
          <w:sz w:val="24"/>
          <w:szCs w:val="24"/>
        </w:rPr>
        <w:t>)</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Hasta 600 millones de ciudadanos chinos podrían estar dispuestos a adquirir productos con el sello de calidad de haber sido fabricados en Europa y EEUU, y Alibaba lo sabe. Ya hay varios casos de éxito de empresas extranjeras cuyas ventas en el país asiático se están disparando</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(Por Emily Parker) </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A principios de verano, el presidente ejecutivo de la empresa de comercio electrónico Alibaba, Jack Ma, fue a Detroit (EEUU) para convencer a los estadounidenses de que China y el comercio electrónico podrían salvar a sus pequeñas empresas. El multimillonario chino se paseaba por un enorme escenario, parecido al de una charla TED, intentando inspirar a los empresarios estadounidenses para luchar por la grandeza. Alibaba no es famosa por su sutileza ni por usar eufemismos, y el evento no decepcionó.</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 xml:space="preserve">Ma tiene razón, al menos en teoría, al recomendar China a las empresas del extranjero. En 2015, el mercado minorista en línea del país asiático era el más grande del mundo, con un tamaño un 80% más grande que el de Estados Unidos. Su comercio electrónico transfronterizo superó los 35.000 millones de euros. Y esta ventana de oportunidad no para de crecer. </w:t>
      </w:r>
      <w:r w:rsidRPr="002E0965">
        <w:rPr>
          <w:rFonts w:ascii="Times New Roman" w:eastAsia="Times New Roman" w:hAnsi="Times New Roman" w:cs="Times New Roman"/>
          <w:color w:val="FF0000"/>
          <w:sz w:val="24"/>
          <w:szCs w:val="24"/>
          <w:u w:val="single"/>
        </w:rPr>
        <w:t>Dentro de cinco años, la clase media de China podría estar conformada por más de 600 millones de personas</w:t>
      </w:r>
      <w:r w:rsidRPr="00E173B1">
        <w:rPr>
          <w:rFonts w:ascii="Times New Roman" w:eastAsia="Times New Roman" w:hAnsi="Times New Roman" w:cs="Times New Roman"/>
          <w:sz w:val="24"/>
          <w:szCs w:val="24"/>
        </w:rPr>
        <w:t>. Y gracias a internet, a las empresas de fuera del país les resulta cada vez más fácil llegar a este segmento de la población.</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Pregúnteselo a la directora ejecutiva de Timeless Skin Care, una empresa familiar con sede en California (EEUU), Veronica Pedersen. Timeless, que vende sueros y cremas antiedad, trabaja con un distribuidor para vender productos en China en la página global de compras de Alibaba, Taobao. Según la empresa, el año pasado Timeless generó unos 4,5 millones de euros en ingresos, de los cuales las ventas en China representan más de la mitad. Pedersen</w:t>
      </w:r>
      <w:r>
        <w:rPr>
          <w:rFonts w:ascii="Times New Roman" w:eastAsia="Times New Roman" w:hAnsi="Times New Roman" w:cs="Times New Roman"/>
          <w:sz w:val="24"/>
          <w:szCs w:val="24"/>
        </w:rPr>
        <w:t xml:space="preserve"> se refiere a su compañía como “comercio electrónico familiar”</w:t>
      </w:r>
      <w:r w:rsidRPr="00E173B1">
        <w:rPr>
          <w:rFonts w:ascii="Times New Roman" w:eastAsia="Times New Roman" w:hAnsi="Times New Roman" w:cs="Times New Roman"/>
          <w:sz w:val="24"/>
          <w:szCs w:val="24"/>
        </w:rPr>
        <w:t>. Timeless, que tiene alrededor de 20 empleados, no pretende co</w:t>
      </w:r>
      <w:r>
        <w:rPr>
          <w:rFonts w:ascii="Times New Roman" w:eastAsia="Times New Roman" w:hAnsi="Times New Roman" w:cs="Times New Roman"/>
          <w:sz w:val="24"/>
          <w:szCs w:val="24"/>
        </w:rPr>
        <w:t>nquistar China. La CEO afirma: “</w:t>
      </w:r>
      <w:r w:rsidRPr="00E173B1">
        <w:rPr>
          <w:rFonts w:ascii="Times New Roman" w:eastAsia="Times New Roman" w:hAnsi="Times New Roman" w:cs="Times New Roman"/>
          <w:sz w:val="24"/>
          <w:szCs w:val="24"/>
        </w:rPr>
        <w:t>Si consigues aprovechar el 1% del merc</w:t>
      </w:r>
      <w:r>
        <w:rPr>
          <w:rFonts w:ascii="Times New Roman" w:eastAsia="Times New Roman" w:hAnsi="Times New Roman" w:cs="Times New Roman"/>
          <w:sz w:val="24"/>
          <w:szCs w:val="24"/>
        </w:rPr>
        <w:t>ado chino, ya tienes un negocio”</w:t>
      </w:r>
      <w:r w:rsidRPr="00E173B1">
        <w:rPr>
          <w:rFonts w:ascii="Times New Roman" w:eastAsia="Times New Roman" w:hAnsi="Times New Roman" w:cs="Times New Roman"/>
          <w:sz w:val="24"/>
          <w:szCs w:val="24"/>
        </w:rPr>
        <w:t>.</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Alibaba afirma ser la mayor empresa de comercio minorista del mundo, con ingresos anuales que superan los 20.000 millones de euros. El año pasado, los productos estadounidenses ocuparon el segundo lugar de productos importados en el mercado de Alibaba Tmall. Los  productos más vendidos incluyen prendas de vestir, alimentos frescos, productos de maternidad y bebé, suplementos de salud y productos electrónicos. Muchos consumidores chinos están cansados ​​de preocuparse por la seguridad de los alimentos y los productos. No quieren vitaminas falsas ni productos peligrosos para bebés. Para los consumidores chinos, una etiqueta de Europa o EEUU es un sello</w:t>
      </w:r>
      <w:r>
        <w:rPr>
          <w:rFonts w:ascii="Times New Roman" w:eastAsia="Times New Roman" w:hAnsi="Times New Roman" w:cs="Times New Roman"/>
          <w:sz w:val="24"/>
          <w:szCs w:val="24"/>
        </w:rPr>
        <w:t xml:space="preserve"> de calidad. Pedersen detalla: “</w:t>
      </w:r>
      <w:r w:rsidRPr="00E173B1">
        <w:rPr>
          <w:rFonts w:ascii="Times New Roman" w:eastAsia="Times New Roman" w:hAnsi="Times New Roman" w:cs="Times New Roman"/>
          <w:sz w:val="24"/>
          <w:szCs w:val="24"/>
        </w:rPr>
        <w:t>El consumidor chino es mucho más consciente de dónde se fabrica todo. Nuestra est</w:t>
      </w:r>
      <w:r>
        <w:rPr>
          <w:rFonts w:ascii="Times New Roman" w:eastAsia="Times New Roman" w:hAnsi="Times New Roman" w:cs="Times New Roman"/>
          <w:sz w:val="24"/>
          <w:szCs w:val="24"/>
        </w:rPr>
        <w:t>rategia en el mercado chino es “Made in the USA””</w:t>
      </w:r>
      <w:r w:rsidRPr="00E173B1">
        <w:rPr>
          <w:rFonts w:ascii="Times New Roman" w:eastAsia="Times New Roman" w:hAnsi="Times New Roman" w:cs="Times New Roman"/>
          <w:sz w:val="24"/>
          <w:szCs w:val="24"/>
        </w:rPr>
        <w:t>.</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Timeless es sólo uno de los varios casos de éxito que Alibaba presentó durante su evento Gateway '17. La conferencia, celebrada en EEUU y que contó con unos 3.000 asistentes, estaba dirigida a los propietarios de pequeñas y medianas empresas, así como agricultores, que quieren aprender más sobre cómo vender sus productos a China. Las ponencias y las sesiones de grupo celebraron la oportunidad china y ofrecieron consejos sobre cómo vender a través de Alibaba.</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A principios de este año, Ma le dijo al presidente de EEUU, Donald Trump, que quería crear un millón de empleos en Estados Unidos, y el evento de junio fue un primer paso para cumpl</w:t>
      </w:r>
      <w:r>
        <w:rPr>
          <w:rFonts w:ascii="Times New Roman" w:eastAsia="Times New Roman" w:hAnsi="Times New Roman" w:cs="Times New Roman"/>
          <w:sz w:val="24"/>
          <w:szCs w:val="24"/>
        </w:rPr>
        <w:t>ir esa promesa. El CEO afirmó: “</w:t>
      </w:r>
      <w:r w:rsidRPr="00E173B1">
        <w:rPr>
          <w:rFonts w:ascii="Times New Roman" w:eastAsia="Times New Roman" w:hAnsi="Times New Roman" w:cs="Times New Roman"/>
          <w:sz w:val="24"/>
          <w:szCs w:val="24"/>
        </w:rPr>
        <w:t>Si podemos ayudar a un millón de pequeñas empresas en línea y cada pequeña empresa puede crear un empleo, podemos crear m</w:t>
      </w:r>
      <w:r>
        <w:rPr>
          <w:rFonts w:ascii="Times New Roman" w:eastAsia="Times New Roman" w:hAnsi="Times New Roman" w:cs="Times New Roman"/>
          <w:sz w:val="24"/>
          <w:szCs w:val="24"/>
        </w:rPr>
        <w:t>ás de un millón de empleos”</w:t>
      </w:r>
      <w:r w:rsidRPr="00E173B1">
        <w:rPr>
          <w:rFonts w:ascii="Times New Roman" w:eastAsia="Times New Roman" w:hAnsi="Times New Roman" w:cs="Times New Roman"/>
          <w:sz w:val="24"/>
          <w:szCs w:val="24"/>
        </w:rPr>
        <w:t>.</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lastRenderedPageBreak/>
        <w:t>Conseguir atraer a las pequeñas empresas del extranjero a Alibaba no será fácil. Uno de los retos clave de Alibaba consiste en cambiar la imagen que el resto del mundo tiene de China. El cambio de perspectiva requiere empezar a ver al país asiático como un mercado al que dirigir las</w:t>
      </w:r>
      <w:r>
        <w:rPr>
          <w:rFonts w:ascii="Times New Roman" w:eastAsia="Times New Roman" w:hAnsi="Times New Roman" w:cs="Times New Roman"/>
          <w:sz w:val="24"/>
          <w:szCs w:val="24"/>
        </w:rPr>
        <w:t xml:space="preserve"> ventas, en lugar de al revés. “</w:t>
      </w:r>
      <w:r w:rsidRPr="00E173B1">
        <w:rPr>
          <w:rFonts w:ascii="Times New Roman" w:eastAsia="Times New Roman" w:hAnsi="Times New Roman" w:cs="Times New Roman"/>
          <w:sz w:val="24"/>
          <w:szCs w:val="24"/>
        </w:rPr>
        <w:t>Las empresas estadounidenses han tenido el lujo de disponer de un mercado local fuerte. Pero después de construir una marca potente dentro de las fronteras, el siguiente paso no suele ser intentar penetrar en el mercado má</w:t>
      </w:r>
      <w:r>
        <w:rPr>
          <w:rFonts w:ascii="Times New Roman" w:eastAsia="Times New Roman" w:hAnsi="Times New Roman" w:cs="Times New Roman"/>
          <w:sz w:val="24"/>
          <w:szCs w:val="24"/>
        </w:rPr>
        <w:t>s grande y desafiante del mundo”</w:t>
      </w:r>
      <w:r w:rsidRPr="00E173B1">
        <w:rPr>
          <w:rFonts w:ascii="Times New Roman" w:eastAsia="Times New Roman" w:hAnsi="Times New Roman" w:cs="Times New Roman"/>
          <w:sz w:val="24"/>
          <w:szCs w:val="24"/>
        </w:rPr>
        <w:t>, explicó el director del Laboratorio de Innovación de Comercio Electrónico del Departamento de Comercio de Estados Unidos, Joshua Halpern.</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 xml:space="preserve">Algunas de las pequeñas empresas que asistieron a la conferencia parecían un poco intimidadas. Uno de los asistentes fue el CEO de Balti Virtual, Will Gee, cuya compañía de 10 personas hace tatuajes temporales de realidad aumentada. El responsable afirma que la conferencia de Alibaba le abrió sus ojos ante las posibilidades </w:t>
      </w:r>
      <w:r>
        <w:rPr>
          <w:rFonts w:ascii="Times New Roman" w:eastAsia="Times New Roman" w:hAnsi="Times New Roman" w:cs="Times New Roman"/>
          <w:sz w:val="24"/>
          <w:szCs w:val="24"/>
        </w:rPr>
        <w:t>de vender en China, así como a “</w:t>
      </w:r>
      <w:r w:rsidRPr="00E173B1">
        <w:rPr>
          <w:rFonts w:ascii="Times New Roman" w:eastAsia="Times New Roman" w:hAnsi="Times New Roman" w:cs="Times New Roman"/>
          <w:sz w:val="24"/>
          <w:szCs w:val="24"/>
        </w:rPr>
        <w:t>lo</w:t>
      </w:r>
      <w:r>
        <w:rPr>
          <w:rFonts w:ascii="Times New Roman" w:eastAsia="Times New Roman" w:hAnsi="Times New Roman" w:cs="Times New Roman"/>
          <w:sz w:val="24"/>
          <w:szCs w:val="24"/>
        </w:rPr>
        <w:t xml:space="preserve"> compleja que es la oportunidad”. Gee afirma: “</w:t>
      </w:r>
      <w:r w:rsidRPr="00E173B1">
        <w:rPr>
          <w:rFonts w:ascii="Times New Roman" w:eastAsia="Times New Roman" w:hAnsi="Times New Roman" w:cs="Times New Roman"/>
          <w:sz w:val="24"/>
          <w:szCs w:val="24"/>
        </w:rPr>
        <w:t>Hay que averiguar muchos detalles sobre marcas internacionales, derechos de autor, y todas las diferentes piezas de nuestro negocio en las que realmente no había pensado como pro</w:t>
      </w:r>
      <w:r>
        <w:rPr>
          <w:rFonts w:ascii="Times New Roman" w:eastAsia="Times New Roman" w:hAnsi="Times New Roman" w:cs="Times New Roman"/>
          <w:sz w:val="24"/>
          <w:szCs w:val="24"/>
        </w:rPr>
        <w:t>pietario de una empresa pequeña”</w:t>
      </w:r>
      <w:r w:rsidRPr="00E173B1">
        <w:rPr>
          <w:rFonts w:ascii="Times New Roman" w:eastAsia="Times New Roman" w:hAnsi="Times New Roman" w:cs="Times New Roman"/>
          <w:sz w:val="24"/>
          <w:szCs w:val="24"/>
        </w:rPr>
        <w:t>. Al final de la conferencia, el responsable seguía interesado en explorar Alibaba, solo que no de inmediato.</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 xml:space="preserve">El tema más delicado de la conferencia fue el de las falsificaciones, al que </w:t>
      </w:r>
      <w:r>
        <w:rPr>
          <w:rFonts w:ascii="Times New Roman" w:eastAsia="Times New Roman" w:hAnsi="Times New Roman" w:cs="Times New Roman"/>
          <w:sz w:val="24"/>
          <w:szCs w:val="24"/>
        </w:rPr>
        <w:t>el propio Ma describió como un “cáncer”</w:t>
      </w:r>
      <w:r w:rsidRPr="00E173B1">
        <w:rPr>
          <w:rFonts w:ascii="Times New Roman" w:eastAsia="Times New Roman" w:hAnsi="Times New Roman" w:cs="Times New Roman"/>
          <w:sz w:val="24"/>
          <w:szCs w:val="24"/>
        </w:rPr>
        <w:t xml:space="preserve"> que podría matar a su negocio. No está claro cuántos ciudadanos de fuera de China conocen Alibaba, pero los que sí, pueden haber oído historias de terror sobre pequeñas empresas dañadas por las falsificaciones chinas. Alibaba afirma que se está poniendo manos a la obra para conseguir que las empresas etiqueten sus productos antes de entrar en Tmall, respondiendo rápidamente a las violaciones denunciadas, utilizando algoritmos para erradicar falsificaciones y mostrando tolerancia cero respecto a las violaciones de la propiedad intelectual. Lo que está claro es que si Alibaba quiere tener éxito en Estados Unidos, tendrá que controlar este problema.</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Pero este no es el único reto. Puede que a los chinos les gusten los productos extranjeros, pero eso no significa que todos vayan a conseguir penetrar en este gigante mercado. A las empresas les puede resultar de ayuda demostrar un éxito previo en su mercado local. Timeless Skin Care, por ejemplo, tenía altas calificaciones en Amazon antes de aventurarse a entrar en China.</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A Alibaba le gusta alardear de sus asombrosas cifras: unos 489.000 millones de euros en volumen bruto de mercancías y 1.500 millones de listas de productos, pero esas cifras pueden ser un arma de doble filo. ¿Cómo puede una simple transacción dejar huella en una plataforma tan masiva? La respuesta consiste en hacer una inversión importante, especialmente en la comercialización. Es importante, por ejemplo, contar a los consumidores chinos la historia detrás de su marca. El CEO de Export Now, que opera tiendas de comercio electrónico en China para empresas internacionales, Frank Lavin, dice que un error  muy común de las empresas extranjeras consiste e</w:t>
      </w:r>
      <w:r>
        <w:rPr>
          <w:rFonts w:ascii="Times New Roman" w:eastAsia="Times New Roman" w:hAnsi="Times New Roman" w:cs="Times New Roman"/>
          <w:sz w:val="24"/>
          <w:szCs w:val="24"/>
        </w:rPr>
        <w:t>n creer que simplemente pueden “aparecer”</w:t>
      </w:r>
      <w:r w:rsidRPr="00E173B1">
        <w:rPr>
          <w:rFonts w:ascii="Times New Roman" w:eastAsia="Times New Roman" w:hAnsi="Times New Roman" w:cs="Times New Roman"/>
          <w:sz w:val="24"/>
          <w:szCs w:val="24"/>
        </w:rPr>
        <w:t xml:space="preserve"> en China.</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 xml:space="preserve">Pero tampoco pueden permitirse el lujo de ir mantenerse al margen, por lo menos ahora mismo. El año pasado, Stadium Goods, un negocio de zapatillas con sede en Nueva York (EEUU), comenzó a vender en Tmall Global, la plataforma de comercio electrónico transfronteriza de Alibaba. El CEO y cofundador de la compañía, John McPheters, señala que China representa entre el 10% y el 15% de su negocio digital. Al igual que otras compañías extranjeras que venden sus productos en Tmall, Stadium Goods trabaja con un tercero (el </w:t>
      </w:r>
      <w:r w:rsidRPr="00E173B1">
        <w:rPr>
          <w:rFonts w:ascii="Times New Roman" w:eastAsia="Times New Roman" w:hAnsi="Times New Roman" w:cs="Times New Roman"/>
          <w:sz w:val="24"/>
          <w:szCs w:val="24"/>
        </w:rPr>
        <w:lastRenderedPageBreak/>
        <w:t>suyo se llama Magic Panda) que gestiona cu</w:t>
      </w:r>
      <w:r>
        <w:rPr>
          <w:rFonts w:ascii="Times New Roman" w:eastAsia="Times New Roman" w:hAnsi="Times New Roman" w:cs="Times New Roman"/>
          <w:sz w:val="24"/>
          <w:szCs w:val="24"/>
        </w:rPr>
        <w:t xml:space="preserve">estiones como la atención al </w:t>
      </w:r>
      <w:r w:rsidRPr="00E173B1">
        <w:rPr>
          <w:rFonts w:ascii="Times New Roman" w:eastAsia="Times New Roman" w:hAnsi="Times New Roman" w:cs="Times New Roman"/>
          <w:sz w:val="24"/>
          <w:szCs w:val="24"/>
        </w:rPr>
        <w:t>cliente, el marketing, la logística y la administración para la tienda de la marca Tmall. McPheters ha llegado a apreciar el poder de los medios sociales chinos. Cuando visité la tienda Stadium Goods en Nueva York una semana antes del evento, había gente que transmitía a plataformas en línea de China. McPheters dice que Stadium Goods tiene menos de 50.000 seguidores en el servicio de microblog Weibo, pero ha escuchado histor</w:t>
      </w:r>
      <w:r>
        <w:rPr>
          <w:rFonts w:ascii="Times New Roman" w:eastAsia="Times New Roman" w:hAnsi="Times New Roman" w:cs="Times New Roman"/>
          <w:sz w:val="24"/>
          <w:szCs w:val="24"/>
        </w:rPr>
        <w:t>ias de China sobre “</w:t>
      </w:r>
      <w:r w:rsidRPr="00E173B1">
        <w:rPr>
          <w:rFonts w:ascii="Times New Roman" w:eastAsia="Times New Roman" w:hAnsi="Times New Roman" w:cs="Times New Roman"/>
          <w:sz w:val="24"/>
          <w:szCs w:val="24"/>
        </w:rPr>
        <w:t>personas que tienen cuotas relativamente pequeñas que pueden impuls</w:t>
      </w:r>
      <w:r>
        <w:rPr>
          <w:rFonts w:ascii="Times New Roman" w:eastAsia="Times New Roman" w:hAnsi="Times New Roman" w:cs="Times New Roman"/>
          <w:sz w:val="24"/>
          <w:szCs w:val="24"/>
        </w:rPr>
        <w:t>ar grandes cantidades de ventas”</w:t>
      </w:r>
      <w:r w:rsidRPr="00E173B1">
        <w:rPr>
          <w:rFonts w:ascii="Times New Roman" w:eastAsia="Times New Roman" w:hAnsi="Times New Roman" w:cs="Times New Roman"/>
          <w:sz w:val="24"/>
          <w:szCs w:val="24"/>
        </w:rPr>
        <w:t>.</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 xml:space="preserve">Para triunfar de verdad en Tmall hay que entender la mentalidad del consumidor chino. Los clientes pueden estar dispuestos a pagar más por los productos de calidad, pero todavía les encanta una buena ganga. McPheters dice que las transacciones </w:t>
      </w:r>
      <w:r>
        <w:rPr>
          <w:rFonts w:ascii="Times New Roman" w:eastAsia="Times New Roman" w:hAnsi="Times New Roman" w:cs="Times New Roman"/>
          <w:sz w:val="24"/>
          <w:szCs w:val="24"/>
        </w:rPr>
        <w:t>en China tienen un elemento de “videojuego”</w:t>
      </w:r>
      <w:r w:rsidRPr="00E173B1">
        <w:rPr>
          <w:rFonts w:ascii="Times New Roman" w:eastAsia="Times New Roman" w:hAnsi="Times New Roman" w:cs="Times New Roman"/>
          <w:sz w:val="24"/>
          <w:szCs w:val="24"/>
        </w:rPr>
        <w:t>, con un gran énfasis en cupones, descuentos y recompensas que va mucho más allá de lo que se ve en EEUU.</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Los escépticos se preguntarán si el impulso que Alibaba está dando a las pequeñas empresas, al menos en EEUU, no es más que una forma de contentar a Trump y fomentar buena voluntad para las ambiciones de la compañía china en Estados Unidos. La filial de pagos de Alibaba, por ejemplo, está intentando comprar MoneyGram, un procesador de pagos estadounidense. Ant Financial opera Alipay, un sistema de pagos móviles que tiene cientos de millones</w:t>
      </w:r>
      <w:r>
        <w:rPr>
          <w:rFonts w:ascii="Times New Roman" w:eastAsia="Times New Roman" w:hAnsi="Times New Roman" w:cs="Times New Roman"/>
          <w:sz w:val="24"/>
          <w:szCs w:val="24"/>
        </w:rPr>
        <w:t xml:space="preserve"> de clientes</w:t>
      </w:r>
      <w:r w:rsidRPr="00E173B1">
        <w:rPr>
          <w:rFonts w:ascii="Times New Roman" w:eastAsia="Times New Roman" w:hAnsi="Times New Roman" w:cs="Times New Roman"/>
          <w:sz w:val="24"/>
          <w:szCs w:val="24"/>
        </w:rPr>
        <w:t>.</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 xml:space="preserve">Pero Alibaba asegura que sus clientes quieren comprar productos de negocios más pequeños porque las grandes marcas ya no satisfacen a la ambiciosa clase media de </w:t>
      </w:r>
      <w:r>
        <w:rPr>
          <w:rFonts w:ascii="Times New Roman" w:eastAsia="Times New Roman" w:hAnsi="Times New Roman" w:cs="Times New Roman"/>
          <w:sz w:val="24"/>
          <w:szCs w:val="24"/>
        </w:rPr>
        <w:t>China. Los consumidores chinos “</w:t>
      </w:r>
      <w:r w:rsidRPr="00E173B1">
        <w:rPr>
          <w:rFonts w:ascii="Times New Roman" w:eastAsia="Times New Roman" w:hAnsi="Times New Roman" w:cs="Times New Roman"/>
          <w:sz w:val="24"/>
          <w:szCs w:val="24"/>
        </w:rPr>
        <w:t>ya no compran de acuerdo al model</w:t>
      </w:r>
      <w:r>
        <w:rPr>
          <w:rFonts w:ascii="Times New Roman" w:eastAsia="Times New Roman" w:hAnsi="Times New Roman" w:cs="Times New Roman"/>
          <w:sz w:val="24"/>
          <w:szCs w:val="24"/>
        </w:rPr>
        <w:t>o tradicional de consumo masivo”</w:t>
      </w:r>
      <w:r w:rsidRPr="00E173B1">
        <w:rPr>
          <w:rFonts w:ascii="Times New Roman" w:eastAsia="Times New Roman" w:hAnsi="Times New Roman" w:cs="Times New Roman"/>
          <w:sz w:val="24"/>
          <w:szCs w:val="24"/>
        </w:rPr>
        <w:t>, explica el vicepresiden</w:t>
      </w:r>
      <w:r>
        <w:rPr>
          <w:rFonts w:ascii="Times New Roman" w:eastAsia="Times New Roman" w:hAnsi="Times New Roman" w:cs="Times New Roman"/>
          <w:sz w:val="24"/>
          <w:szCs w:val="24"/>
        </w:rPr>
        <w:t>te de Alibaba Group, Jet Jing. “</w:t>
      </w:r>
      <w:r w:rsidRPr="00E173B1">
        <w:rPr>
          <w:rFonts w:ascii="Times New Roman" w:eastAsia="Times New Roman" w:hAnsi="Times New Roman" w:cs="Times New Roman"/>
          <w:sz w:val="24"/>
          <w:szCs w:val="24"/>
        </w:rPr>
        <w:t xml:space="preserve">Quieren algo que </w:t>
      </w:r>
      <w:r>
        <w:rPr>
          <w:rFonts w:ascii="Times New Roman" w:eastAsia="Times New Roman" w:hAnsi="Times New Roman" w:cs="Times New Roman"/>
          <w:sz w:val="24"/>
          <w:szCs w:val="24"/>
        </w:rPr>
        <w:t>represente su gusto y su estilo”</w:t>
      </w:r>
      <w:r w:rsidRPr="00E173B1">
        <w:rPr>
          <w:rFonts w:ascii="Times New Roman" w:eastAsia="Times New Roman" w:hAnsi="Times New Roman" w:cs="Times New Roman"/>
          <w:sz w:val="24"/>
          <w:szCs w:val="24"/>
        </w:rPr>
        <w:t>, añade.</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Las pequeñas empresas ya están aumentando la rentabilidad de Alibaba, según el vicepresidente de la consultora Tompkins International, uno de los patrocinadores del evento de Detroit, Michae</w:t>
      </w:r>
      <w:r>
        <w:rPr>
          <w:rFonts w:ascii="Times New Roman" w:eastAsia="Times New Roman" w:hAnsi="Times New Roman" w:cs="Times New Roman"/>
          <w:sz w:val="24"/>
          <w:szCs w:val="24"/>
        </w:rPr>
        <w:t>l Zakkour. El experto detalla: “</w:t>
      </w:r>
      <w:r w:rsidRPr="00E173B1">
        <w:rPr>
          <w:rFonts w:ascii="Times New Roman" w:eastAsia="Times New Roman" w:hAnsi="Times New Roman" w:cs="Times New Roman"/>
          <w:sz w:val="24"/>
          <w:szCs w:val="24"/>
        </w:rPr>
        <w:t>La razón por la que Alibaba va tras las pequeñas empresas a nivel mundial es que su mayor fabricante de dinero es Taobao, un mercado para pequeñas empre</w:t>
      </w:r>
      <w:r>
        <w:rPr>
          <w:rFonts w:ascii="Times New Roman" w:eastAsia="Times New Roman" w:hAnsi="Times New Roman" w:cs="Times New Roman"/>
          <w:sz w:val="24"/>
          <w:szCs w:val="24"/>
        </w:rPr>
        <w:t>sas y comerciantes individuales”</w:t>
      </w:r>
      <w:r w:rsidRPr="00E173B1">
        <w:rPr>
          <w:rFonts w:ascii="Times New Roman" w:eastAsia="Times New Roman" w:hAnsi="Times New Roman" w:cs="Times New Roman"/>
          <w:sz w:val="24"/>
          <w:szCs w:val="24"/>
        </w:rPr>
        <w:t>.</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Ma afirma que ya hay millones de pequeñas empresas que utilizan los servicios en línea de Alibaba, y que la compañía ya ha creado más de 33 millones de empleos en China. La pregunta es si podrá escalar este modelo. Las empresas que están rindiendo bien en Alibaba, como Timeless, afirman que ya han contratado más personal para satisfacer la demanda china. El potencial existe: Occidente tiene muchas cosas que los chinos quieren comprar. Ahora, Alibaba tendrá que persuadir a más pequeñas empresas de que las recompensas del mercado chino superan los riesgos.</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w:t>
      </w:r>
      <w:r w:rsidRPr="00E173B1">
        <w:rPr>
          <w:rFonts w:ascii="Times New Roman" w:eastAsia="Times New Roman" w:hAnsi="Times New Roman" w:cs="Times New Roman"/>
          <w:sz w:val="24"/>
          <w:szCs w:val="24"/>
        </w:rPr>
        <w:t xml:space="preserve">Emily Parker ha cubierto China para el Wall Street Journal y ha sido consejera del Departamento de Estado de Estados Unidos. </w:t>
      </w:r>
      <w:r>
        <w:rPr>
          <w:rFonts w:ascii="Times New Roman" w:eastAsia="Times New Roman" w:hAnsi="Times New Roman" w:cs="Times New Roman"/>
          <w:sz w:val="24"/>
          <w:szCs w:val="24"/>
          <w:lang w:val="en-US"/>
        </w:rPr>
        <w:t>Ella es la autora de “</w:t>
      </w:r>
      <w:r w:rsidRPr="00E173B1">
        <w:rPr>
          <w:rFonts w:ascii="Times New Roman" w:eastAsia="Times New Roman" w:hAnsi="Times New Roman" w:cs="Times New Roman"/>
          <w:sz w:val="24"/>
          <w:szCs w:val="24"/>
          <w:lang w:val="en-US"/>
        </w:rPr>
        <w:t>Now I Know Who My Comrades Are: Voices from the Internet Undergrou</w:t>
      </w:r>
      <w:r>
        <w:rPr>
          <w:rFonts w:ascii="Times New Roman" w:eastAsia="Times New Roman" w:hAnsi="Times New Roman" w:cs="Times New Roman"/>
          <w:sz w:val="24"/>
          <w:szCs w:val="24"/>
          <w:lang w:val="en-US"/>
        </w:rPr>
        <w:t>nd”)</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4E5204">
        <w:rPr>
          <w:rFonts w:ascii="Times New Roman" w:eastAsia="Times New Roman" w:hAnsi="Times New Roman" w:cs="Times New Roman"/>
          <w:sz w:val="24"/>
          <w:szCs w:val="24"/>
          <w:u w:val="single"/>
        </w:rPr>
        <w:t>El crecimiento del consumo en China es el mayor del mundo</w:t>
      </w:r>
      <w:r>
        <w:rPr>
          <w:rFonts w:ascii="Times New Roman" w:eastAsia="Times New Roman" w:hAnsi="Times New Roman" w:cs="Times New Roman"/>
          <w:sz w:val="24"/>
          <w:szCs w:val="24"/>
        </w:rPr>
        <w:t xml:space="preserve"> (Clarín - </w:t>
      </w:r>
      <w:r w:rsidRPr="004E5204">
        <w:rPr>
          <w:rFonts w:ascii="Times New Roman" w:eastAsia="Times New Roman" w:hAnsi="Times New Roman" w:cs="Times New Roman"/>
          <w:b/>
          <w:sz w:val="24"/>
          <w:szCs w:val="24"/>
        </w:rPr>
        <w:t>8/4/18</w:t>
      </w:r>
      <w:r>
        <w:rPr>
          <w:rFonts w:ascii="Times New Roman" w:eastAsia="Times New Roman" w:hAnsi="Times New Roman" w:cs="Times New Roman"/>
          <w:sz w:val="24"/>
          <w:szCs w:val="24"/>
        </w:rPr>
        <w:t xml:space="preserve">) </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A562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2A5624">
        <w:rPr>
          <w:rFonts w:ascii="Times New Roman" w:eastAsia="Times New Roman" w:hAnsi="Times New Roman" w:cs="Times New Roman"/>
          <w:sz w:val="24"/>
          <w:szCs w:val="24"/>
          <w:u w:val="single"/>
        </w:rPr>
        <w:t xml:space="preserve">El PBI chino creció 6.9% en 2017, y la contribución del consumo final al alza del producto ascendió a 58,8%, en tanto que la inversión fija (formación de capital) disminuyó a 32,1% del total, una diferencia de casi 30 puntos. Lo notable es que el PBI nominal medido en dólares </w:t>
      </w:r>
      <w:r w:rsidRPr="002A5624">
        <w:rPr>
          <w:rFonts w:ascii="Times New Roman" w:eastAsia="Times New Roman" w:hAnsi="Times New Roman" w:cs="Times New Roman"/>
          <w:sz w:val="24"/>
          <w:szCs w:val="24"/>
          <w:u w:val="single"/>
        </w:rPr>
        <w:lastRenderedPageBreak/>
        <w:t>constantes alcanzó a US$ 12,7 billones, lo que ocurrió con una apreciación del reminbi de más de 20% en los 2 años previos.</w:t>
      </w:r>
    </w:p>
    <w:p w:rsidR="009720E1" w:rsidRPr="002A562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9720E1" w:rsidRPr="002A5624"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A5624">
        <w:rPr>
          <w:rFonts w:ascii="Times New Roman" w:eastAsia="Times New Roman" w:hAnsi="Times New Roman" w:cs="Times New Roman"/>
          <w:color w:val="FF0000"/>
          <w:sz w:val="24"/>
          <w:szCs w:val="24"/>
          <w:u w:val="single"/>
        </w:rPr>
        <w:t>Significa que el producto de la República Popular aumentó 13% en sólo 12 meses (+US$ 1,5 billones), lo que implica la creación en ese periodo de una economía del tamaño de Australia o Corea del Sur; y que el impulso fundamental de este auge de excepción provino del consumo, no de la inversión.</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A5624"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A5624">
        <w:rPr>
          <w:rFonts w:ascii="Times New Roman" w:eastAsia="Times New Roman" w:hAnsi="Times New Roman" w:cs="Times New Roman"/>
          <w:color w:val="FF0000"/>
          <w:sz w:val="24"/>
          <w:szCs w:val="24"/>
          <w:u w:val="single"/>
        </w:rPr>
        <w:t>Es un consumo de nuevo tipo, una novedad en la historia del capitalismo. La razón es que mientras el consumo crece 1 punto porcentual por año a partir de 2010, el ingreso per cápita aumentó 8,1% anual en ese periodo (por encima del PBI nominal) y se duplica cada 8 años.</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A562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4E5204">
        <w:rPr>
          <w:rFonts w:ascii="Times New Roman" w:eastAsia="Times New Roman" w:hAnsi="Times New Roman" w:cs="Times New Roman"/>
          <w:sz w:val="24"/>
          <w:szCs w:val="24"/>
        </w:rPr>
        <w:t xml:space="preserve">Dentro de esta tendencia de fondo </w:t>
      </w:r>
      <w:r w:rsidRPr="002A5624">
        <w:rPr>
          <w:rFonts w:ascii="Times New Roman" w:eastAsia="Times New Roman" w:hAnsi="Times New Roman" w:cs="Times New Roman"/>
          <w:sz w:val="24"/>
          <w:szCs w:val="24"/>
          <w:u w:val="single"/>
        </w:rPr>
        <w:t>el ingreso disponible</w:t>
      </w:r>
      <w:r w:rsidRPr="004E5204">
        <w:rPr>
          <w:rFonts w:ascii="Times New Roman" w:eastAsia="Times New Roman" w:hAnsi="Times New Roman" w:cs="Times New Roman"/>
          <w:sz w:val="24"/>
          <w:szCs w:val="24"/>
        </w:rPr>
        <w:t xml:space="preserve"> (la diferencia entre ingreso y consumo tras satisfacer las necesidades básicas de alimentación, vivienda, transporte, etc</w:t>
      </w:r>
      <w:r>
        <w:rPr>
          <w:rFonts w:ascii="Times New Roman" w:eastAsia="Times New Roman" w:hAnsi="Times New Roman" w:cs="Times New Roman"/>
          <w:sz w:val="24"/>
          <w:szCs w:val="24"/>
        </w:rPr>
        <w:t>.</w:t>
      </w:r>
      <w:r w:rsidRPr="004E5204">
        <w:rPr>
          <w:rFonts w:ascii="Times New Roman" w:eastAsia="Times New Roman" w:hAnsi="Times New Roman" w:cs="Times New Roman"/>
          <w:sz w:val="24"/>
          <w:szCs w:val="24"/>
        </w:rPr>
        <w:t xml:space="preserve">) </w:t>
      </w:r>
      <w:r w:rsidRPr="002A5624">
        <w:rPr>
          <w:rFonts w:ascii="Times New Roman" w:eastAsia="Times New Roman" w:hAnsi="Times New Roman" w:cs="Times New Roman"/>
          <w:sz w:val="24"/>
          <w:szCs w:val="24"/>
          <w:u w:val="single"/>
        </w:rPr>
        <w:t>aumentó 15% por año de forma acumulativa.</w:t>
      </w:r>
    </w:p>
    <w:p w:rsidR="009720E1" w:rsidRPr="002A562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 xml:space="preserve">Esto ocurre cuando </w:t>
      </w:r>
      <w:r w:rsidRPr="002A5624">
        <w:rPr>
          <w:rFonts w:ascii="Times New Roman" w:eastAsia="Times New Roman" w:hAnsi="Times New Roman" w:cs="Times New Roman"/>
          <w:sz w:val="24"/>
          <w:szCs w:val="24"/>
          <w:u w:val="single"/>
        </w:rPr>
        <w:t>la urbanización se ha acelerado y abarca ya a 58,6% de la población</w:t>
      </w:r>
      <w:r w:rsidRPr="004E5204">
        <w:rPr>
          <w:rFonts w:ascii="Times New Roman" w:eastAsia="Times New Roman" w:hAnsi="Times New Roman" w:cs="Times New Roman"/>
          <w:sz w:val="24"/>
          <w:szCs w:val="24"/>
        </w:rPr>
        <w:t>. A partir de 1998 el incremento anual de la ta</w:t>
      </w:r>
      <w:r>
        <w:rPr>
          <w:rFonts w:ascii="Times New Roman" w:eastAsia="Times New Roman" w:hAnsi="Times New Roman" w:cs="Times New Roman"/>
          <w:sz w:val="24"/>
          <w:szCs w:val="24"/>
        </w:rPr>
        <w:t>sa de urbanización ascendió a 1,</w:t>
      </w:r>
      <w:r w:rsidRPr="004E5204">
        <w:rPr>
          <w:rFonts w:ascii="Times New Roman" w:eastAsia="Times New Roman" w:hAnsi="Times New Roman" w:cs="Times New Roman"/>
          <w:sz w:val="24"/>
          <w:szCs w:val="24"/>
        </w:rPr>
        <w:t>25 puntos porcentuales (compa</w:t>
      </w:r>
      <w:r>
        <w:rPr>
          <w:rFonts w:ascii="Times New Roman" w:eastAsia="Times New Roman" w:hAnsi="Times New Roman" w:cs="Times New Roman"/>
          <w:sz w:val="24"/>
          <w:szCs w:val="24"/>
        </w:rPr>
        <w:t>rada con el nivel promedio de 0,</w:t>
      </w:r>
      <w:r w:rsidRPr="004E5204">
        <w:rPr>
          <w:rFonts w:ascii="Times New Roman" w:eastAsia="Times New Roman" w:hAnsi="Times New Roman" w:cs="Times New Roman"/>
          <w:sz w:val="24"/>
          <w:szCs w:val="24"/>
        </w:rPr>
        <w:t>7% p.p. por año entre 1978 y 1997).</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A562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2A5624">
        <w:rPr>
          <w:rFonts w:ascii="Times New Roman" w:eastAsia="Times New Roman" w:hAnsi="Times New Roman" w:cs="Times New Roman"/>
          <w:sz w:val="24"/>
          <w:szCs w:val="24"/>
          <w:u w:val="single"/>
        </w:rPr>
        <w:t>En la etapa 1978/2017, el consumo urbano aumentó más de 10 puntos porcentuales (pasó de 20% a 30% del PBI), mientras que disminuyó en el sector rural más de 20 p.p. (cayó de 30% a 10% del producto).</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Esta tendencia se aceleró a partir de 1994, y el consumo urbano per cápita fue 2.25 veces superior al rural, arrastrado por una intensificación d</w:t>
      </w:r>
      <w:r>
        <w:rPr>
          <w:rFonts w:ascii="Times New Roman" w:eastAsia="Times New Roman" w:hAnsi="Times New Roman" w:cs="Times New Roman"/>
          <w:sz w:val="24"/>
          <w:szCs w:val="24"/>
        </w:rPr>
        <w:t>e la urbanización que creció 17,</w:t>
      </w:r>
      <w:r w:rsidRPr="004E5204">
        <w:rPr>
          <w:rFonts w:ascii="Times New Roman" w:eastAsia="Times New Roman" w:hAnsi="Times New Roman" w:cs="Times New Roman"/>
          <w:sz w:val="24"/>
          <w:szCs w:val="24"/>
        </w:rPr>
        <w:t>1 puntos porcentuales entre 2001 y 2014.</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A5624"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A5624">
        <w:rPr>
          <w:rFonts w:ascii="Times New Roman" w:eastAsia="Times New Roman" w:hAnsi="Times New Roman" w:cs="Times New Roman"/>
          <w:color w:val="FF0000"/>
          <w:sz w:val="24"/>
          <w:szCs w:val="24"/>
          <w:u w:val="single"/>
        </w:rPr>
        <w:t>Los salarios reales de los trabajadores urbanos han aumentado 20% por año desde 2011, y creció 3 puntos la proporción de los ingresos salariales en el PBI (pasaron de 45% a 48% del producto).</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A5624"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A5624">
        <w:rPr>
          <w:rFonts w:ascii="Times New Roman" w:eastAsia="Times New Roman" w:hAnsi="Times New Roman" w:cs="Times New Roman"/>
          <w:color w:val="FF0000"/>
          <w:sz w:val="24"/>
          <w:szCs w:val="24"/>
          <w:u w:val="single"/>
        </w:rPr>
        <w:t>El dato estratégico central, absolutamente decisivo, ha sido que el ingreso disponible per cápita de la nueva clase media urbana se duplicó entre 2010 y 2017 (aumentó acumulativamente 15% por año).</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A562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4E5204">
        <w:rPr>
          <w:rFonts w:ascii="Times New Roman" w:eastAsia="Times New Roman" w:hAnsi="Times New Roman" w:cs="Times New Roman"/>
          <w:sz w:val="24"/>
          <w:szCs w:val="24"/>
        </w:rPr>
        <w:t xml:space="preserve">A esto hay que agregarle que el uso del crédito se ha generalizado, y esto multiplica y amplía la capacidad de consumo y la compra de activos (automóviles, viviendas) de la nueva clase media. </w:t>
      </w:r>
      <w:r w:rsidRPr="002A5624">
        <w:rPr>
          <w:rFonts w:ascii="Times New Roman" w:eastAsia="Times New Roman" w:hAnsi="Times New Roman" w:cs="Times New Roman"/>
          <w:sz w:val="24"/>
          <w:szCs w:val="24"/>
          <w:u w:val="single"/>
        </w:rPr>
        <w:t>El Banco de Basilea (BIS) señala que el nivel de endeudamiento era 27,2% de los ingresos en 2010 y trepó a 46,8% el año pasado, un incremento de 20 puntos.</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 xml:space="preserve">El resultado es que </w:t>
      </w:r>
      <w:r w:rsidRPr="002A5624">
        <w:rPr>
          <w:rFonts w:ascii="Times New Roman" w:eastAsia="Times New Roman" w:hAnsi="Times New Roman" w:cs="Times New Roman"/>
          <w:sz w:val="24"/>
          <w:szCs w:val="24"/>
          <w:u w:val="single"/>
        </w:rPr>
        <w:t>se ha revertido la tendencia a la creciente disparidad en los ingresos</w:t>
      </w:r>
      <w:r w:rsidRPr="004E5204">
        <w:rPr>
          <w:rFonts w:ascii="Times New Roman" w:eastAsia="Times New Roman" w:hAnsi="Times New Roman" w:cs="Times New Roman"/>
          <w:sz w:val="24"/>
          <w:szCs w:val="24"/>
        </w:rPr>
        <w:t>, y por lo tanto en el consumo, entre los 2 extremos de la sociedad china, con un coeficiente Gini que trepó de 0</w:t>
      </w:r>
      <w:r>
        <w:rPr>
          <w:rFonts w:ascii="Times New Roman" w:eastAsia="Times New Roman" w:hAnsi="Times New Roman" w:cs="Times New Roman"/>
          <w:sz w:val="24"/>
          <w:szCs w:val="24"/>
        </w:rPr>
        <w:t>,465 a 0,</w:t>
      </w:r>
      <w:r w:rsidRPr="004E5204">
        <w:rPr>
          <w:rFonts w:ascii="Times New Roman" w:eastAsia="Times New Roman" w:hAnsi="Times New Roman" w:cs="Times New Roman"/>
          <w:sz w:val="24"/>
          <w:szCs w:val="24"/>
        </w:rPr>
        <w:t>469, y lo mismo ocurrió con la diferencia entre ingresos rurales y urbanos, en los que también se ha revertido la disparidad en los ingresos.</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A medida que aumenta el nivel de consumo, crece el sector servicios como porcentaje del PBI. Por eso alca</w:t>
      </w:r>
      <w:r>
        <w:rPr>
          <w:rFonts w:ascii="Times New Roman" w:eastAsia="Times New Roman" w:hAnsi="Times New Roman" w:cs="Times New Roman"/>
          <w:sz w:val="24"/>
          <w:szCs w:val="24"/>
        </w:rPr>
        <w:t>nzó a 51,</w:t>
      </w:r>
      <w:r w:rsidRPr="004E5204">
        <w:rPr>
          <w:rFonts w:ascii="Times New Roman" w:eastAsia="Times New Roman" w:hAnsi="Times New Roman" w:cs="Times New Roman"/>
          <w:sz w:val="24"/>
          <w:szCs w:val="24"/>
        </w:rPr>
        <w:t>6% del producto en 2017, 10 puntos más que la actividad manufacturera (41% del PBI).</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2A5624"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A5624">
        <w:rPr>
          <w:rFonts w:ascii="Times New Roman" w:eastAsia="Times New Roman" w:hAnsi="Times New Roman" w:cs="Times New Roman"/>
          <w:color w:val="FF0000"/>
          <w:sz w:val="24"/>
          <w:szCs w:val="24"/>
          <w:u w:val="single"/>
        </w:rPr>
        <w:lastRenderedPageBreak/>
        <w:t>La regla en el incremento del consumo en China es nítida: el ingreso per cápita (inmediatamente disponible) de la nueva clase media china, que ya tiene 400 millones de integrantes, que serían 580 millones en 2021/2022 y 780 millones en 2025, aumenta 15% anual en forma acumulativa, mientras que los gastos destinados a cubrir las necesidades básicas disminuyen un porcentaje prácticamente similar (-10% por año).</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De ahí que la flexibilidad en la capacidad de compra (ingresos disponibles) es cada vez mayor, y que el denominado índice Engel s</w:t>
      </w:r>
      <w:r>
        <w:rPr>
          <w:rFonts w:ascii="Times New Roman" w:eastAsia="Times New Roman" w:hAnsi="Times New Roman" w:cs="Times New Roman"/>
          <w:sz w:val="24"/>
          <w:szCs w:val="24"/>
        </w:rPr>
        <w:t>e hunda y se haya reducido a 29,</w:t>
      </w:r>
      <w:r w:rsidRPr="004E5204">
        <w:rPr>
          <w:rFonts w:ascii="Times New Roman" w:eastAsia="Times New Roman" w:hAnsi="Times New Roman" w:cs="Times New Roman"/>
          <w:sz w:val="24"/>
          <w:szCs w:val="24"/>
        </w:rPr>
        <w:t>3% de los ingresos, cuando ascendió hasta 60% en 2000, un nivel propio de los países avanzados (20% / 30%).</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Todo esto sucede cuando los instrumentos de créditos han crecido más de 3 veces en los últimos 10 años, sin distinción entre residentes rurales y urbanos, debido a la proliferación de la banca digital (Fintech).</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De ahí que aumenten excepcionalmente los gastos en educación, tanto en China como en el exterior, el cuidado de la salud, y los viajes turísticos (el año pasado viajaron fuera de China 135 millones de personas,</w:t>
      </w:r>
      <w:r>
        <w:rPr>
          <w:rFonts w:ascii="Times New Roman" w:eastAsia="Times New Roman" w:hAnsi="Times New Roman" w:cs="Times New Roman"/>
          <w:sz w:val="24"/>
          <w:szCs w:val="24"/>
        </w:rPr>
        <w:t xml:space="preserve"> y la mitad fue a Europa y a EEUU</w:t>
      </w:r>
      <w:r w:rsidRPr="004E5204">
        <w:rPr>
          <w:rFonts w:ascii="Times New Roman" w:eastAsia="Times New Roman" w:hAnsi="Times New Roman" w:cs="Times New Roman"/>
          <w:sz w:val="24"/>
          <w:szCs w:val="24"/>
        </w:rPr>
        <w:t>, con un gasto per cápita y viaje de US$</w:t>
      </w:r>
      <w:r>
        <w:rPr>
          <w:rFonts w:ascii="Times New Roman" w:eastAsia="Times New Roman" w:hAnsi="Times New Roman" w:cs="Times New Roman"/>
          <w:sz w:val="24"/>
          <w:szCs w:val="24"/>
        </w:rPr>
        <w:t xml:space="preserve"> </w:t>
      </w:r>
      <w:r w:rsidRPr="004E5204">
        <w:rPr>
          <w:rFonts w:ascii="Times New Roman" w:eastAsia="Times New Roman" w:hAnsi="Times New Roman" w:cs="Times New Roman"/>
          <w:sz w:val="24"/>
          <w:szCs w:val="24"/>
        </w:rPr>
        <w:t>8.700, una cifra superior a la de sus congéneres alemanes y norteamericanos. También se ha modificado la alimentación y se ha tornado más sofisticada y exigente, acorde a la época y a las preocupaciones de salud.</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CF50BE"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CF50BE">
        <w:rPr>
          <w:rFonts w:ascii="Times New Roman" w:eastAsia="Times New Roman" w:hAnsi="Times New Roman" w:cs="Times New Roman"/>
          <w:color w:val="FF0000"/>
          <w:sz w:val="24"/>
          <w:szCs w:val="24"/>
          <w:u w:val="single"/>
        </w:rPr>
        <w:t>Las perspectivas son nítidas. El Foro de Davos ha realizado la siguiente estimación: el consumo de la clase media china se duplicaría entre 2016 y 2027, con una tasa de crecimiento de 12% por año, y pasaría de US$ 4,3 billones en 2016 a US$  8,2 billones en 2027.</w:t>
      </w:r>
    </w:p>
    <w:p w:rsidR="009720E1" w:rsidRPr="00CF50BE"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La consecuencia es que los ingresos disponibles de la nueva clase media china ya son superiores a los de Japón y Corea del Sur, y ascenderían a 70% de los norteamericanos en 2027, en una línea claramente ascendente.</w:t>
      </w:r>
    </w:p>
    <w:p w:rsidR="009720E1" w:rsidRPr="004E5204"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4E5204">
        <w:rPr>
          <w:rFonts w:ascii="Times New Roman" w:eastAsia="Times New Roman" w:hAnsi="Times New Roman" w:cs="Times New Roman"/>
          <w:sz w:val="24"/>
          <w:szCs w:val="24"/>
        </w:rPr>
        <w:t>El crecimiento del consumo en China es un fenómeno mundial, el más relevante en términos macroeconómicos de la historia del capitalismo</w:t>
      </w:r>
      <w:r>
        <w:rPr>
          <w:rFonts w:ascii="Times New Roman" w:eastAsia="Times New Roman" w:hAnsi="Times New Roman" w:cs="Times New Roman"/>
          <w:sz w:val="24"/>
          <w:szCs w:val="24"/>
        </w:rPr>
        <w:t>.</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La clase media china “salva”</w:t>
      </w:r>
      <w:r w:rsidRPr="00E173B1">
        <w:rPr>
          <w:rFonts w:ascii="Times New Roman" w:eastAsia="Times New Roman" w:hAnsi="Times New Roman" w:cs="Times New Roman"/>
          <w:sz w:val="24"/>
          <w:szCs w:val="24"/>
          <w:u w:val="single"/>
        </w:rPr>
        <w:t xml:space="preserve"> el mercado del gran consumo</w:t>
      </w:r>
      <w:r>
        <w:rPr>
          <w:rFonts w:ascii="Times New Roman" w:eastAsia="Times New Roman" w:hAnsi="Times New Roman" w:cs="Times New Roman"/>
          <w:sz w:val="24"/>
          <w:szCs w:val="24"/>
        </w:rPr>
        <w:t xml:space="preserve"> (Foodretail - </w:t>
      </w:r>
      <w:r w:rsidRPr="00E173B1">
        <w:rPr>
          <w:rFonts w:ascii="Times New Roman" w:eastAsia="Times New Roman" w:hAnsi="Times New Roman" w:cs="Times New Roman"/>
          <w:b/>
          <w:sz w:val="24"/>
          <w:szCs w:val="24"/>
        </w:rPr>
        <w:t>10/7/18</w:t>
      </w:r>
      <w:r>
        <w:rPr>
          <w:rFonts w:ascii="Times New Roman" w:eastAsia="Times New Roman" w:hAnsi="Times New Roman" w:cs="Times New Roman"/>
          <w:sz w:val="24"/>
          <w:szCs w:val="24"/>
        </w:rPr>
        <w:t>)</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Este segmento de la población mostró signos de mejora en sus esfuerzos por llevar vidas más saludables, según Bain &amp; Company.</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El mercado del gran consumo de China se recuperó en 2017 debido a que un mayor número de consumidores de clase media mostró signos de mejora en sus esfuerzos por llevar vidas más saludables y placenteras. El resultado es un aumento del 4,3% en el crecimiento del valor total para el mercado en 2017, frente al 3,6% en 2016, y es, además, la primera vez que las ventas crecieron más rápido que el año anterior. Estos son los principales resultados del informe anual elaborado por Bain &amp; Company y Kantar Worldpanel sobre los compradores de China.</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 xml:space="preserve">Desde champú sin silicona hasta zumo no concentrado, que es más natural y nutritivo, los consumidores chinos están gastando más en productos premium que brindan beneficios para la salud o mejoran su estilo de vida. De hecho, el estudio revela que pueden permitírselo cada </w:t>
      </w:r>
      <w:r w:rsidRPr="00E173B1">
        <w:rPr>
          <w:rFonts w:ascii="Times New Roman" w:eastAsia="Times New Roman" w:hAnsi="Times New Roman" w:cs="Times New Roman"/>
          <w:sz w:val="24"/>
          <w:szCs w:val="24"/>
        </w:rPr>
        <w:lastRenderedPageBreak/>
        <w:t>vez más: el ingreso familiar disponible per cápita ha crecido a una tasa compuesta anual del 8,2% en los últimos seis años.</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E173B1">
        <w:rPr>
          <w:rFonts w:ascii="Times New Roman" w:eastAsia="Times New Roman" w:hAnsi="Times New Roman" w:cs="Times New Roman"/>
          <w:sz w:val="24"/>
          <w:szCs w:val="24"/>
        </w:rPr>
        <w:t>A medida que la creciente clase media de China continúa buscando productos premium y más saludables, estamos comenzando a ver un patrón claro entre las trayectorias de crecimi</w:t>
      </w:r>
      <w:r>
        <w:rPr>
          <w:rFonts w:ascii="Times New Roman" w:eastAsia="Times New Roman" w:hAnsi="Times New Roman" w:cs="Times New Roman"/>
          <w:sz w:val="24"/>
          <w:szCs w:val="24"/>
        </w:rPr>
        <w:t>ento a dos velocidades en China”</w:t>
      </w:r>
      <w:r w:rsidRPr="00E173B1">
        <w:rPr>
          <w:rFonts w:ascii="Times New Roman" w:eastAsia="Times New Roman" w:hAnsi="Times New Roman" w:cs="Times New Roman"/>
          <w:sz w:val="24"/>
          <w:szCs w:val="24"/>
        </w:rPr>
        <w:t>, comenta Jason Yu, director general de Kantar Wor</w:t>
      </w:r>
      <w:r>
        <w:rPr>
          <w:rFonts w:ascii="Times New Roman" w:eastAsia="Times New Roman" w:hAnsi="Times New Roman" w:cs="Times New Roman"/>
          <w:sz w:val="24"/>
          <w:szCs w:val="24"/>
        </w:rPr>
        <w:t>ldpanel y coautor del informe. “</w:t>
      </w:r>
      <w:r w:rsidRPr="00E173B1">
        <w:rPr>
          <w:rFonts w:ascii="Times New Roman" w:eastAsia="Times New Roman" w:hAnsi="Times New Roman" w:cs="Times New Roman"/>
          <w:sz w:val="24"/>
          <w:szCs w:val="24"/>
        </w:rPr>
        <w:t>Nuestros hallazgos muestran que el escenario de crecimiento a dos velocidades que presentamos en 2016 ha seguido evolucionando, con un número creciente de categorías aumentado a mayor velocidad. Son impulsados por la mayor búsqueda de productos premium y la mayor sofisticaci</w:t>
      </w:r>
      <w:r>
        <w:rPr>
          <w:rFonts w:ascii="Times New Roman" w:eastAsia="Times New Roman" w:hAnsi="Times New Roman" w:cs="Times New Roman"/>
          <w:sz w:val="24"/>
          <w:szCs w:val="24"/>
        </w:rPr>
        <w:t>ón de los consumidores chinos”</w:t>
      </w:r>
      <w:r w:rsidRPr="00E173B1">
        <w:rPr>
          <w:rFonts w:ascii="Times New Roman" w:eastAsia="Times New Roman" w:hAnsi="Times New Roman" w:cs="Times New Roman"/>
          <w:sz w:val="24"/>
          <w:szCs w:val="24"/>
        </w:rPr>
        <w:t>, explica.</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El placer, la salud y el bienestar, el estilo de vida o los regalos fueron las principales motivaciones detrás de la tendencia del mayor consumo de productos premium. Así, los productos que crecen a una mayor velocidad, como el enjuague bucal, la comida para mascotas y el maquillaje, están ganando cada vez más terreno, mientras que muchos productos de crecimiento a menor velocidad, como el chicle y productos con aditivos como el glutamato de sodio (GMS), siguen siendo lentas.</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Tendencias clave</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El informe incluye una serie de tendencias clave que afectan el mercado de bienes de consumo de alta rotación en China:</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1.- Las ventas de comercio electrónico crecieron en más del 28 por ciento el año pasado y ahora representan alrededor del 10 por ciento del mercado, el doble que hace dos años.</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2.- El crecimiento de la penetración online se está moviendo de las principales ciudades a las secundarias. Con el 73%, las ciudades principales aún tienen la mayor penetración online, sin embargo, ciudades más pequeñas están alcanzándolas: la penetración online en las ciudades de nivel 3 y nivel 4 tiene un crecimiento anual del 18 y 17%, respectivamente y las ciudades de nivel 5 están experimentando un aumento anual del 21%.</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3.- El mercado online to offline de China ha seguido creciendo en alrededor del 30% en 2017, con servicios O2O para hogares como la entrega de com</w:t>
      </w:r>
      <w:r>
        <w:rPr>
          <w:rFonts w:ascii="Times New Roman" w:eastAsia="Times New Roman" w:hAnsi="Times New Roman" w:cs="Times New Roman"/>
          <w:sz w:val="24"/>
          <w:szCs w:val="24"/>
        </w:rPr>
        <w:t>ida y el lavado de ropa con un “asombroso”</w:t>
      </w:r>
      <w:r w:rsidRPr="00E173B1">
        <w:rPr>
          <w:rFonts w:ascii="Times New Roman" w:eastAsia="Times New Roman" w:hAnsi="Times New Roman" w:cs="Times New Roman"/>
          <w:sz w:val="24"/>
          <w:szCs w:val="24"/>
        </w:rPr>
        <w:t xml:space="preserve"> 76%, indica el análisis.</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4.- Los canales de tiendas de conveniencia y alimentación continúan enfocándose hacia el consumo fuera del hogar, que representa, aproximadamente, el 85% de sus ventas en 10 categorías principales de bienes de consumo de alta rotación. Los canales de conveniencia crecieron un 6,8% para el consumo fuera del hogar, pero solo un 1,9 por ciento para el consumo en el hogar.</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5.- Los hipermercados continúan perdiendo tráfico, lo que explica por qué ese canal disminuyó en un 2,5% en 2017.</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6.- Las marcas locales crecieron un 7,7% en 2017, contribuyendo al 98% del crecimiento del mercado, mientras que las marcas extranjeras aumentaron apenas un 0,4% en 2017. Una vez más, en forma agregada, las marcas extranjeras perdieron cuota sobre las marcas locales.</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E173B1">
        <w:rPr>
          <w:rFonts w:ascii="Times New Roman" w:eastAsia="Times New Roman" w:hAnsi="Times New Roman" w:cs="Times New Roman"/>
          <w:sz w:val="24"/>
          <w:szCs w:val="24"/>
        </w:rPr>
        <w:t xml:space="preserve">Es el sexto año que vemos que las marcas locales ganan </w:t>
      </w:r>
      <w:r>
        <w:rPr>
          <w:rFonts w:ascii="Times New Roman" w:eastAsia="Times New Roman" w:hAnsi="Times New Roman" w:cs="Times New Roman"/>
          <w:sz w:val="24"/>
          <w:szCs w:val="24"/>
        </w:rPr>
        <w:t>frente a las marcas extranjeras”</w:t>
      </w:r>
      <w:r w:rsidRPr="00E173B1">
        <w:rPr>
          <w:rFonts w:ascii="Times New Roman" w:eastAsia="Times New Roman" w:hAnsi="Times New Roman" w:cs="Times New Roman"/>
          <w:sz w:val="24"/>
          <w:szCs w:val="24"/>
        </w:rPr>
        <w:t>, ha recordado Bruno Lannes, socio de Bain &amp; Company e</w:t>
      </w:r>
      <w:r>
        <w:rPr>
          <w:rFonts w:ascii="Times New Roman" w:eastAsia="Times New Roman" w:hAnsi="Times New Roman" w:cs="Times New Roman"/>
          <w:sz w:val="24"/>
          <w:szCs w:val="24"/>
        </w:rPr>
        <w:t>n China y coautor del informe. “</w:t>
      </w:r>
      <w:r w:rsidRPr="00E173B1">
        <w:rPr>
          <w:rFonts w:ascii="Times New Roman" w:eastAsia="Times New Roman" w:hAnsi="Times New Roman" w:cs="Times New Roman"/>
          <w:sz w:val="24"/>
          <w:szCs w:val="24"/>
        </w:rPr>
        <w:t>Hay varias razones para esto, pero una de las principales es la velocidad y un modelo operativo ágil, tan importantes en este mercado</w:t>
      </w:r>
      <w:r>
        <w:rPr>
          <w:rFonts w:ascii="Times New Roman" w:eastAsia="Times New Roman" w:hAnsi="Times New Roman" w:cs="Times New Roman"/>
          <w:sz w:val="24"/>
          <w:szCs w:val="24"/>
        </w:rPr>
        <w:t xml:space="preserve"> en rápida evolución”</w:t>
      </w:r>
      <w:r w:rsidRPr="00E173B1">
        <w:rPr>
          <w:rFonts w:ascii="Times New Roman" w:eastAsia="Times New Roman" w:hAnsi="Times New Roman" w:cs="Times New Roman"/>
          <w:sz w:val="24"/>
          <w:szCs w:val="24"/>
        </w:rPr>
        <w:t>, afirma.</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Así ganan minoristas y marcas</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Basándose en estas tendencias, el estudio identifica tres formas en que las compañías y las marcas pueden ganar en medio de estos importantes cambios que afectan al mercado:</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1.- Aprovechar la dinámica del canal y anticipar la futura consolidación minorista.</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2.- Desarrollar productos personalizados y de alto valor para aprovechar al máximo la tendencia de la mayor búsqueda de productos premium.</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3.- Convertirse en una empresa impulsada por datos y centrada en el consumidor, generando datos propios y asociándose estrechamente con plataformas para campañas de marketing y ventas más centradas y para operaciones más eficientes.</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Los minoristas también pueden tomar las siguientes medidas para tener éxito:</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1.- Prepararse para el “nuevo retail”</w:t>
      </w:r>
      <w:r w:rsidRPr="00E173B1">
        <w:rPr>
          <w:rFonts w:ascii="Times New Roman" w:eastAsia="Times New Roman" w:hAnsi="Times New Roman" w:cs="Times New Roman"/>
          <w:sz w:val="24"/>
          <w:szCs w:val="24"/>
        </w:rPr>
        <w:t>, como ilustra la reciente alianza entre Sun Art y Alibaba.</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Los retailers deben rediseñar la cartera y los formatos de la tienda para captar mejor las necesidades de los clientes</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2.- Integrar la cadena de suministro y de gestión del inventario con los minoristas de ecommerce o las plataformas de soluciones.</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3.- Rediseñar la cartera y los formatos de la tienda para captar mejor las necesidades de los clientes.</w:t>
      </w:r>
    </w:p>
    <w:p w:rsidR="009720E1" w:rsidRPr="00E173B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E173B1">
        <w:rPr>
          <w:rFonts w:ascii="Times New Roman" w:eastAsia="Times New Roman" w:hAnsi="Times New Roman" w:cs="Times New Roman"/>
          <w:sz w:val="24"/>
          <w:szCs w:val="24"/>
        </w:rPr>
        <w:t>4.- Conseguir que la experiencia de la tienda sea nuevamente atractiva.</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455D2">
        <w:rPr>
          <w:rFonts w:ascii="Times New Roman" w:eastAsia="Times New Roman" w:hAnsi="Times New Roman" w:cs="Times New Roman"/>
          <w:sz w:val="24"/>
          <w:szCs w:val="24"/>
          <w:u w:val="single"/>
        </w:rPr>
        <w:t>China ya concentra la mitad de la clase media mundial</w:t>
      </w:r>
      <w:r>
        <w:rPr>
          <w:rFonts w:ascii="Times New Roman" w:eastAsia="Times New Roman" w:hAnsi="Times New Roman" w:cs="Times New Roman"/>
          <w:sz w:val="24"/>
          <w:szCs w:val="24"/>
        </w:rPr>
        <w:t xml:space="preserve"> (La Vanguardia - </w:t>
      </w:r>
      <w:r w:rsidRPr="006455D2">
        <w:rPr>
          <w:rFonts w:ascii="Times New Roman" w:eastAsia="Times New Roman" w:hAnsi="Times New Roman" w:cs="Times New Roman"/>
          <w:b/>
          <w:sz w:val="24"/>
          <w:szCs w:val="24"/>
        </w:rPr>
        <w:t>21/10/18</w:t>
      </w:r>
      <w:r>
        <w:rPr>
          <w:rFonts w:ascii="Times New Roman" w:eastAsia="Times New Roman" w:hAnsi="Times New Roman" w:cs="Times New Roman"/>
          <w:sz w:val="24"/>
          <w:szCs w:val="24"/>
        </w:rPr>
        <w:t>)</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 xml:space="preserve">(Por </w:t>
      </w:r>
      <w:r>
        <w:rPr>
          <w:rFonts w:ascii="Times New Roman" w:eastAsia="Times New Roman" w:hAnsi="Times New Roman" w:cs="Times New Roman"/>
          <w:sz w:val="24"/>
          <w:szCs w:val="24"/>
        </w:rPr>
        <w:t>Piergiorgio M. Sandri)</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CF50BE"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CF50BE">
        <w:rPr>
          <w:rFonts w:ascii="Times New Roman" w:eastAsia="Times New Roman" w:hAnsi="Times New Roman" w:cs="Times New Roman"/>
          <w:color w:val="FF0000"/>
          <w:sz w:val="24"/>
          <w:szCs w:val="24"/>
          <w:u w:val="single"/>
        </w:rPr>
        <w:t>China ya concentra la mitad de la clase media mundial. Es uno de los datos destacados del informe anual del Credit Suisse Wealth Report</w:t>
      </w:r>
      <w:r w:rsidRPr="00CF50BE">
        <w:rPr>
          <w:rFonts w:ascii="Times New Roman" w:eastAsia="Times New Roman" w:hAnsi="Times New Roman" w:cs="Times New Roman"/>
          <w:sz w:val="24"/>
          <w:szCs w:val="24"/>
        </w:rPr>
        <w:t>, que también pone de relieve que en España hay 852.000 ciudadanos que tienen un patrimonio superior al millón de dólares (867.000 euros).</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Con las cifras españolas en la mano, se trata de un número superior al que se registra de países como Suiza u Holanda. Y además España se sitúa entre los primeros diez países del mundo donde más creció esta categoría respecto al año anterior, superando los incrementos registrados en Canadá o los Países Bajos.</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 xml:space="preserve">Respecto al 2017, ya hay 60.000 millonarios más que circulan por las calles españolas. En la actualidad, vive en España el 2% del total de los millonarios mundiales. “El aumento de la </w:t>
      </w:r>
      <w:r w:rsidRPr="006455D2">
        <w:rPr>
          <w:rFonts w:ascii="Times New Roman" w:eastAsia="Times New Roman" w:hAnsi="Times New Roman" w:cs="Times New Roman"/>
          <w:sz w:val="24"/>
          <w:szCs w:val="24"/>
        </w:rPr>
        <w:lastRenderedPageBreak/>
        <w:t>riqueza en España se debe a una multitud de factores. El rebote de la economía ha afianzado el precio de los inmuebles, ha estabilizado el euro y ha mejorado el precio de los activos en los últimos doce meses”, declara Michael O’Sullivan, responsable r</w:t>
      </w:r>
      <w:r w:rsidR="0036518C">
        <w:rPr>
          <w:rFonts w:ascii="Times New Roman" w:eastAsia="Times New Roman" w:hAnsi="Times New Roman" w:cs="Times New Roman"/>
          <w:sz w:val="24"/>
          <w:szCs w:val="24"/>
        </w:rPr>
        <w:t>egional de inversiones de Cre</w:t>
      </w:r>
      <w:r w:rsidRPr="006455D2">
        <w:rPr>
          <w:rFonts w:ascii="Times New Roman" w:eastAsia="Times New Roman" w:hAnsi="Times New Roman" w:cs="Times New Roman"/>
          <w:sz w:val="24"/>
          <w:szCs w:val="24"/>
        </w:rPr>
        <w:t>dit Suisse.</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 que más sorprende es la tendencia: pese a que los indicadores confirman la desaceleración de la economía española en los próximos, años, según este análisis para el 2023 España contará con 1.201 millonarios, un 41% más que en la actualidad.</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noProof/>
          <w:lang w:eastAsia="es-ES"/>
        </w:rPr>
        <w:drawing>
          <wp:inline distT="0" distB="0" distL="0" distR="0" wp14:anchorId="1576B608" wp14:editId="0631FBFE">
            <wp:extent cx="5731510" cy="6271524"/>
            <wp:effectExtent l="0" t="0" r="0" b="0"/>
            <wp:docPr id="193" name="Imagen 193" descr="Millonar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llonarios"/>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31510" cy="6271524"/>
                    </a:xfrm>
                    <a:prstGeom prst="rect">
                      <a:avLst/>
                    </a:prstGeom>
                    <a:noFill/>
                    <a:ln>
                      <a:noFill/>
                    </a:ln>
                  </pic:spPr>
                </pic:pic>
              </a:graphicData>
            </a:graphic>
          </wp:inline>
        </w:drawing>
      </w:r>
    </w:p>
    <w:p w:rsidR="003928E7" w:rsidRDefault="003928E7"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Si se sube la horquilla, entonces se descubre que España tampoco está mal situada en la cima de la pirámide mundial de la riqueza: ocupa puesto 14 de la lista de países con más cantidad de ultrarricos, es decir aquellas personas que tienen más de 50 millones de patrimonio. Dentro de esta categoría de ultrarricos están situadas 2.086 personas.</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lastRenderedPageBreak/>
        <w:t>En lo que se refiere a la comparación anterior con Suiza, los helvéticos tienen una población menor, con lo que su posición, en términos relativos sigue siendo envidiable: los suizos encabezan la lista mundial de la riqueza media por adulto: unos 530.000 dólares cada uno.</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CF50BE"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El estudio ofrece varias con</w:t>
      </w:r>
      <w:r w:rsidRPr="006455D2">
        <w:rPr>
          <w:rFonts w:ascii="Times New Roman" w:eastAsia="Times New Roman" w:hAnsi="Times New Roman" w:cs="Times New Roman"/>
          <w:sz w:val="24"/>
          <w:szCs w:val="24"/>
        </w:rPr>
        <w:t xml:space="preserve">clusiones a escala global. De entrada, hay que señalar que la riqueza crece: en el 2018 a nivel mundial aumentó en 14 billones de dólares, un 4,6%(entre julio del 2017 y junio de 2018), hasta alcanzar los 317 billones de dólares. La riqueza por adulto ha aumentado en un 3,2%, elevando la riqueza media mundial a un máximo histórico de 63.100 dólares por persona. </w:t>
      </w:r>
      <w:r w:rsidRPr="00CF50BE">
        <w:rPr>
          <w:rFonts w:ascii="Times New Roman" w:eastAsia="Times New Roman" w:hAnsi="Times New Roman" w:cs="Times New Roman"/>
          <w:color w:val="FF0000"/>
          <w:sz w:val="24"/>
          <w:szCs w:val="24"/>
          <w:u w:val="single"/>
        </w:rPr>
        <w:t>En el ranking de riqueza en el primer lugar se sitúa Estados Unidos, con 98 billones de dólares. Con 52 billones de dólares, China se consolida en el segundo puesto, al sumar este año 2,3 billones de dólares.</w:t>
      </w:r>
    </w:p>
    <w:p w:rsidR="009720E1" w:rsidRPr="00CF50BE"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9720E1" w:rsidRPr="00CF50BE"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CF50BE">
        <w:rPr>
          <w:rFonts w:ascii="Times New Roman" w:eastAsia="Times New Roman" w:hAnsi="Times New Roman" w:cs="Times New Roman"/>
          <w:color w:val="FF0000"/>
          <w:sz w:val="24"/>
          <w:szCs w:val="24"/>
          <w:u w:val="single"/>
        </w:rPr>
        <w:t>Pero China merece sin lugar a dudas un discurso aparte. Los cálculos del informe señalan que en su territorio, hoy por hoy, ya se sitúa la mitad de la clase media del mundo.</w:t>
      </w:r>
    </w:p>
    <w:p w:rsidR="009720E1" w:rsidRPr="00CF50BE"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9720E1" w:rsidRPr="00CF50BE"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CF50BE">
        <w:rPr>
          <w:rFonts w:ascii="Times New Roman" w:eastAsia="Times New Roman" w:hAnsi="Times New Roman" w:cs="Times New Roman"/>
          <w:sz w:val="24"/>
          <w:szCs w:val="24"/>
          <w:u w:val="single"/>
        </w:rPr>
        <w:t>Para definirla, los economistas han examinado la franja de patrimonio entre los 10.000 y 100.000 dólares y un promedio que se coloca en 33.100 dólares. Pues bien, el dominio en este apartado de China es abrumador, porque concentra el 48% de los miembros de esta categoría.</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CF50BE" w:rsidRDefault="009720E1" w:rsidP="009720E1">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CF50BE">
        <w:rPr>
          <w:rFonts w:ascii="Times New Roman" w:eastAsia="Times New Roman" w:hAnsi="Times New Roman" w:cs="Times New Roman"/>
          <w:color w:val="FF0000"/>
          <w:sz w:val="24"/>
          <w:szCs w:val="24"/>
          <w:u w:val="single"/>
        </w:rPr>
        <w:t>En otras palabras, el gigante asiático, que durante años ha sido considerado como la fábrica del mundo gracias a su mano de obra barata, ya puede presumir, tras casi dos décadas de crecimiento económico prodigioso, de 641 millones de consumidores con cierto poder adquisitivo. Un dato que las empresas globales deben empezar (si no lo hacen ya) a tener en cuenta a la hora de definir sus estrategias de expansión al exterior.</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La consolidació</w:t>
      </w:r>
      <w:r w:rsidR="0036518C">
        <w:rPr>
          <w:rFonts w:ascii="Times New Roman" w:eastAsia="Times New Roman" w:hAnsi="Times New Roman" w:cs="Times New Roman"/>
          <w:sz w:val="24"/>
          <w:szCs w:val="24"/>
        </w:rPr>
        <w:t>n de esta clase media, según Cre</w:t>
      </w:r>
      <w:r w:rsidRPr="006455D2">
        <w:rPr>
          <w:rFonts w:ascii="Times New Roman" w:eastAsia="Times New Roman" w:hAnsi="Times New Roman" w:cs="Times New Roman"/>
          <w:sz w:val="24"/>
          <w:szCs w:val="24"/>
        </w:rPr>
        <w:t>dit Suisse, se debe a varios elementos. “Si bien la desigualdad entre el área urbana y la rural en China es significativa, la desigualdad de la riqueza es más baja. Esto se debe, en parte a la ausencia de fortunas heredadas y la división relativamente equitativa de la tierra rural y la vivienda privatizada”, explican.</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Por primera vez el informe dedica un apartado a la presencia de las mujeres. Los datos indican que, en cuanto a paridad, no estamos lejos porque ellas disponen del 40% de la riqueza global. “Desde el 2000, sus niveles han subido de forma considerable, de especial manera en Asia. La tendencia demuestra que cada vez más mujeres hechas a sí mismas están teniendo éxito en los negocios y están entrando en la parte alta de la tabla”, escriben. Para añadir un matiz: “Pese a esta tendencia, ­incluso en los países donde el pro</w:t>
      </w:r>
      <w:r w:rsidR="00A30400">
        <w:rPr>
          <w:rFonts w:ascii="Times New Roman" w:eastAsia="Times New Roman" w:hAnsi="Times New Roman" w:cs="Times New Roman"/>
          <w:sz w:val="24"/>
          <w:szCs w:val="24"/>
        </w:rPr>
        <w:t>greso es más fuerte, algunas ca</w:t>
      </w:r>
      <w:r w:rsidRPr="006455D2">
        <w:rPr>
          <w:rFonts w:ascii="Times New Roman" w:eastAsia="Times New Roman" w:hAnsi="Times New Roman" w:cs="Times New Roman"/>
          <w:sz w:val="24"/>
          <w:szCs w:val="24"/>
        </w:rPr>
        <w:t>tegorías de mujeres, como las madres solteras y las divorciadas, ­siguen estando en posición de desventaja”.</w:t>
      </w:r>
    </w:p>
    <w:p w:rsidR="009720E1" w:rsidRPr="006455D2"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pStyle w:val="Ttulo1"/>
        <w:shd w:val="clear" w:color="auto" w:fill="FFFFFF"/>
        <w:spacing w:before="0"/>
        <w:textAlignment w:val="baseline"/>
        <w:rPr>
          <w:rFonts w:ascii="Times New Roman" w:hAnsi="Times New Roman" w:cs="Times New Roman"/>
          <w:b w:val="0"/>
          <w:color w:val="1E1E1E"/>
          <w:sz w:val="24"/>
          <w:szCs w:val="24"/>
        </w:rPr>
      </w:pPr>
      <w:r w:rsidRPr="00980B03">
        <w:rPr>
          <w:rFonts w:ascii="Times New Roman" w:hAnsi="Times New Roman" w:cs="Times New Roman"/>
          <w:b w:val="0"/>
          <w:color w:val="1E1E1E"/>
          <w:sz w:val="24"/>
          <w:szCs w:val="24"/>
        </w:rPr>
        <w:t xml:space="preserve">- </w:t>
      </w:r>
      <w:r w:rsidRPr="00980B03">
        <w:rPr>
          <w:rFonts w:ascii="Times New Roman" w:hAnsi="Times New Roman" w:cs="Times New Roman"/>
          <w:b w:val="0"/>
          <w:color w:val="1E1E1E"/>
          <w:sz w:val="24"/>
          <w:szCs w:val="24"/>
          <w:u w:val="single"/>
        </w:rPr>
        <w:t>China: 9 gráficos para entender la extraordinaria transformación del gigante asiático a 40 años de sus reformas económicas</w:t>
      </w:r>
      <w:r w:rsidRPr="00980B03">
        <w:rPr>
          <w:rFonts w:ascii="Times New Roman" w:hAnsi="Times New Roman" w:cs="Times New Roman"/>
          <w:b w:val="0"/>
          <w:color w:val="1E1E1E"/>
          <w:sz w:val="24"/>
          <w:szCs w:val="24"/>
        </w:rPr>
        <w:t xml:space="preserve"> (BBCMundo - </w:t>
      </w:r>
      <w:r w:rsidRPr="00980B03">
        <w:rPr>
          <w:rFonts w:ascii="Times New Roman" w:hAnsi="Times New Roman" w:cs="Times New Roman"/>
          <w:color w:val="1E1E1E"/>
          <w:sz w:val="24"/>
          <w:szCs w:val="24"/>
        </w:rPr>
        <w:t>18/12/18</w:t>
      </w:r>
      <w:r w:rsidRPr="00980B03">
        <w:rPr>
          <w:rFonts w:ascii="Times New Roman" w:hAnsi="Times New Roman" w:cs="Times New Roman"/>
          <w:b w:val="0"/>
          <w:color w:val="1E1E1E"/>
          <w:sz w:val="24"/>
          <w:szCs w:val="24"/>
        </w:rPr>
        <w:t>)</w:t>
      </w:r>
    </w:p>
    <w:p w:rsidR="009720E1" w:rsidRPr="00C65C0F" w:rsidRDefault="009720E1" w:rsidP="009720E1">
      <w:pPr>
        <w:pStyle w:val="Ttulo1"/>
        <w:shd w:val="clear" w:color="auto" w:fill="FFFFFF"/>
        <w:spacing w:before="0"/>
        <w:textAlignment w:val="baseline"/>
        <w:rPr>
          <w:rStyle w:val="media-captiontext"/>
          <w:rFonts w:ascii="Times New Roman" w:hAnsi="Times New Roman" w:cs="Times New Roman"/>
          <w:b w:val="0"/>
          <w:color w:val="1E1E1E"/>
          <w:sz w:val="24"/>
          <w:szCs w:val="24"/>
        </w:rPr>
      </w:pPr>
      <w:r w:rsidRPr="00980B03">
        <w:rPr>
          <w:rStyle w:val="media-captiontext"/>
          <w:rFonts w:ascii="Times New Roman" w:hAnsi="Times New Roman" w:cs="Times New Roman"/>
          <w:color w:val="ECECEC"/>
          <w:sz w:val="24"/>
          <w:szCs w:val="24"/>
          <w:bdr w:val="none" w:sz="0" w:space="0" w:color="auto" w:frame="1"/>
        </w:rPr>
        <w:t xml:space="preserve"> </w:t>
      </w:r>
    </w:p>
    <w:p w:rsidR="009720E1" w:rsidRPr="002F2FED" w:rsidRDefault="009720E1" w:rsidP="009720E1">
      <w:pPr>
        <w:shd w:val="clear" w:color="auto" w:fill="FFFFFF"/>
        <w:spacing w:line="240" w:lineRule="auto"/>
        <w:jc w:val="both"/>
        <w:textAlignment w:val="baseline"/>
        <w:rPr>
          <w:rFonts w:ascii="Times New Roman" w:hAnsi="Times New Roman" w:cs="Times New Roman"/>
          <w:sz w:val="24"/>
          <w:szCs w:val="24"/>
        </w:rPr>
      </w:pPr>
      <w:r w:rsidRPr="002F2FED">
        <w:rPr>
          <w:rFonts w:ascii="Times New Roman" w:hAnsi="Times New Roman" w:cs="Times New Roman"/>
          <w:bCs/>
          <w:sz w:val="24"/>
          <w:szCs w:val="24"/>
        </w:rPr>
        <w:t>Hace 40 años China se embarcó en un ambicioso programa de reformas económicas y empezó a abrirse de forma gradual -y cautelosamente- al resto del mundo.</w:t>
      </w:r>
    </w:p>
    <w:p w:rsidR="009720E1" w:rsidRPr="00D614F1" w:rsidRDefault="009720E1" w:rsidP="009720E1">
      <w:pPr>
        <w:pStyle w:val="NormalWeb"/>
        <w:shd w:val="clear" w:color="auto" w:fill="FFFFFF"/>
        <w:spacing w:before="270" w:beforeAutospacing="0" w:after="0" w:afterAutospacing="0"/>
        <w:jc w:val="both"/>
        <w:textAlignment w:val="baseline"/>
      </w:pPr>
      <w:r w:rsidRPr="00D614F1">
        <w:t>En diciembre de 1978 -una década después de la Revolución Cultural, impulsada por Mao Zedong para librarse de las influencias capitalistas- el nuevo liderazgo decidió dejar atrás el maoísmo y llevar al país por un camino diferente.</w:t>
      </w:r>
    </w:p>
    <w:p w:rsidR="009720E1" w:rsidRPr="00D614F1" w:rsidRDefault="009720E1" w:rsidP="009720E1">
      <w:pPr>
        <w:pStyle w:val="NormalWeb"/>
        <w:shd w:val="clear" w:color="auto" w:fill="FFFFFF"/>
        <w:spacing w:before="270" w:beforeAutospacing="0" w:after="0" w:afterAutospacing="0"/>
        <w:textAlignment w:val="baseline"/>
      </w:pPr>
      <w:r w:rsidRPr="00D614F1">
        <w:lastRenderedPageBreak/>
        <w:t>Y, como demuestran estos gráficos, cuatro décadas después la transformación económica de China no tiene comparación en el mundo.</w:t>
      </w:r>
    </w:p>
    <w:p w:rsidR="009720E1" w:rsidRPr="00D614F1" w:rsidRDefault="009720E1" w:rsidP="009720E1">
      <w:pPr>
        <w:pStyle w:val="NormalWeb"/>
        <w:shd w:val="clear" w:color="auto" w:fill="FFFFFF"/>
        <w:spacing w:before="270" w:beforeAutospacing="0" w:after="0" w:afterAutospacing="0"/>
        <w:jc w:val="both"/>
        <w:textAlignment w:val="baseline"/>
      </w:pPr>
      <w:r w:rsidRPr="00D614F1">
        <w:rPr>
          <w:rStyle w:val="Textoennegrita"/>
          <w:bdr w:val="none" w:sz="0" w:space="0" w:color="auto" w:frame="1"/>
          <w:shd w:val="clear" w:color="auto" w:fill="FFFFFF"/>
        </w:rPr>
        <w:t>1. Entre 1978 y 2018 el Producto Interno Bruto (PIB) de China pasó de US$</w:t>
      </w:r>
      <w:r>
        <w:rPr>
          <w:rStyle w:val="Textoennegrita"/>
          <w:bdr w:val="none" w:sz="0" w:space="0" w:color="auto" w:frame="1"/>
          <w:shd w:val="clear" w:color="auto" w:fill="FFFFFF"/>
        </w:rPr>
        <w:t xml:space="preserve"> </w:t>
      </w:r>
      <w:r w:rsidRPr="00D614F1">
        <w:rPr>
          <w:rStyle w:val="Textoennegrita"/>
          <w:bdr w:val="none" w:sz="0" w:space="0" w:color="auto" w:frame="1"/>
          <w:shd w:val="clear" w:color="auto" w:fill="FFFFFF"/>
        </w:rPr>
        <w:t>150.000 millones a US$</w:t>
      </w:r>
      <w:r>
        <w:rPr>
          <w:rStyle w:val="Textoennegrita"/>
          <w:bdr w:val="none" w:sz="0" w:space="0" w:color="auto" w:frame="1"/>
          <w:shd w:val="clear" w:color="auto" w:fill="FFFFFF"/>
        </w:rPr>
        <w:t xml:space="preserve"> </w:t>
      </w:r>
      <w:r w:rsidRPr="00D614F1">
        <w:rPr>
          <w:rStyle w:val="Textoennegrita"/>
          <w:bdr w:val="none" w:sz="0" w:space="0" w:color="auto" w:frame="1"/>
          <w:shd w:val="clear" w:color="auto" w:fill="FFFFFF"/>
        </w:rPr>
        <w:t>12.240.000</w:t>
      </w:r>
      <w:r>
        <w:rPr>
          <w:rStyle w:val="Textoennegrita"/>
          <w:bdr w:val="none" w:sz="0" w:space="0" w:color="auto" w:frame="1"/>
          <w:shd w:val="clear" w:color="auto" w:fill="FFFFFF"/>
        </w:rPr>
        <w:t xml:space="preserve"> </w:t>
      </w:r>
      <w:r w:rsidRPr="00D614F1">
        <w:rPr>
          <w:rStyle w:val="Textoennegrita"/>
          <w:bdr w:val="none" w:sz="0" w:space="0" w:color="auto" w:frame="1"/>
          <w:shd w:val="clear" w:color="auto" w:fill="FFFFFF"/>
        </w:rPr>
        <w:t>millones (según cifras de la ONU)</w:t>
      </w:r>
    </w:p>
    <w:p w:rsidR="009720E1" w:rsidRPr="00D614F1" w:rsidRDefault="009720E1" w:rsidP="009720E1">
      <w:pPr>
        <w:pStyle w:val="NormalWeb"/>
        <w:shd w:val="clear" w:color="auto" w:fill="FFFFFF"/>
        <w:spacing w:before="270" w:beforeAutospacing="0" w:after="0" w:afterAutospacing="0"/>
        <w:textAlignment w:val="baseline"/>
      </w:pPr>
      <w:r w:rsidRPr="00D614F1">
        <w:rPr>
          <w:noProof/>
        </w:rPr>
        <w:drawing>
          <wp:inline distT="0" distB="0" distL="0" distR="0" wp14:anchorId="469D03C2" wp14:editId="10A60411">
            <wp:extent cx="5568950" cy="2444750"/>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572654" cy="2446376"/>
                    </a:xfrm>
                    <a:prstGeom prst="rect">
                      <a:avLst/>
                    </a:prstGeom>
                  </pic:spPr>
                </pic:pic>
              </a:graphicData>
            </a:graphic>
          </wp:inline>
        </w:drawing>
      </w:r>
    </w:p>
    <w:p w:rsidR="009720E1" w:rsidRDefault="009720E1" w:rsidP="009720E1">
      <w:pPr>
        <w:pStyle w:val="NormalWeb"/>
        <w:shd w:val="clear" w:color="auto" w:fill="FFFFFF"/>
        <w:spacing w:before="270" w:beforeAutospacing="0" w:after="0" w:afterAutospacing="0"/>
        <w:textAlignment w:val="baseline"/>
        <w:rPr>
          <w:b/>
        </w:rPr>
      </w:pPr>
      <w:r w:rsidRPr="00D614F1">
        <w:rPr>
          <w:b/>
        </w:rPr>
        <w:t>2. Las bicicletas ya no son el principal medio de transporte del país</w:t>
      </w:r>
    </w:p>
    <w:p w:rsidR="003928E7" w:rsidRPr="00D614F1" w:rsidRDefault="003928E7" w:rsidP="009720E1">
      <w:pPr>
        <w:pStyle w:val="NormalWeb"/>
        <w:shd w:val="clear" w:color="auto" w:fill="FFFFFF"/>
        <w:spacing w:before="270" w:beforeAutospacing="0" w:after="0" w:afterAutospacing="0"/>
        <w:textAlignment w:val="baseline"/>
        <w:rPr>
          <w:b/>
        </w:rPr>
      </w:pPr>
    </w:p>
    <w:p w:rsidR="000D1167" w:rsidRDefault="009720E1" w:rsidP="009720E1">
      <w:pPr>
        <w:shd w:val="clear" w:color="auto" w:fill="FFFFFF"/>
        <w:textAlignment w:val="baseline"/>
        <w:rPr>
          <w:rFonts w:ascii="Times New Roman" w:hAnsi="Times New Roman" w:cs="Times New Roman"/>
          <w:sz w:val="24"/>
          <w:szCs w:val="24"/>
        </w:rPr>
      </w:pPr>
      <w:r w:rsidRPr="00D614F1">
        <w:rPr>
          <w:rFonts w:ascii="Times New Roman" w:hAnsi="Times New Roman" w:cs="Times New Roman"/>
          <w:noProof/>
          <w:sz w:val="24"/>
          <w:szCs w:val="24"/>
          <w:bdr w:val="none" w:sz="0" w:space="0" w:color="auto" w:frame="1"/>
          <w:lang w:eastAsia="es-ES"/>
        </w:rPr>
        <w:drawing>
          <wp:inline distT="0" distB="0" distL="0" distR="0" wp14:anchorId="4BF6CACE" wp14:editId="55CF1761">
            <wp:extent cx="5689600" cy="4146550"/>
            <wp:effectExtent l="0" t="0" r="6350" b="6350"/>
            <wp:docPr id="195" name="Imagen 195" descr="Gráfico bicicle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ráfico bicicletas"/>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689600" cy="4146550"/>
                    </a:xfrm>
                    <a:prstGeom prst="rect">
                      <a:avLst/>
                    </a:prstGeom>
                    <a:noFill/>
                    <a:ln>
                      <a:noFill/>
                    </a:ln>
                  </pic:spPr>
                </pic:pic>
              </a:graphicData>
            </a:graphic>
          </wp:inline>
        </w:drawing>
      </w:r>
    </w:p>
    <w:p w:rsidR="003928E7" w:rsidRDefault="003928E7" w:rsidP="009720E1">
      <w:pPr>
        <w:shd w:val="clear" w:color="auto" w:fill="FFFFFF"/>
        <w:textAlignment w:val="baseline"/>
        <w:rPr>
          <w:rFonts w:ascii="Times New Roman" w:hAnsi="Times New Roman" w:cs="Times New Roman"/>
          <w:b/>
          <w:sz w:val="24"/>
          <w:szCs w:val="24"/>
        </w:rPr>
      </w:pPr>
    </w:p>
    <w:p w:rsidR="009720E1" w:rsidRPr="000D1167" w:rsidRDefault="009720E1" w:rsidP="009720E1">
      <w:pPr>
        <w:shd w:val="clear" w:color="auto" w:fill="FFFFFF"/>
        <w:textAlignment w:val="baseline"/>
        <w:rPr>
          <w:rFonts w:ascii="Times New Roman" w:hAnsi="Times New Roman" w:cs="Times New Roman"/>
          <w:sz w:val="24"/>
          <w:szCs w:val="24"/>
        </w:rPr>
      </w:pPr>
      <w:r w:rsidRPr="00D614F1">
        <w:rPr>
          <w:rFonts w:ascii="Times New Roman" w:hAnsi="Times New Roman" w:cs="Times New Roman"/>
          <w:b/>
          <w:sz w:val="24"/>
          <w:szCs w:val="24"/>
        </w:rPr>
        <w:lastRenderedPageBreak/>
        <w:t>3. China también aumentó dramáticamente sus emisiones y su huella de carbono</w:t>
      </w:r>
    </w:p>
    <w:p w:rsidR="009720E1" w:rsidRDefault="009720E1" w:rsidP="009720E1">
      <w:pPr>
        <w:rPr>
          <w:rFonts w:ascii="Times New Roman" w:hAnsi="Times New Roman" w:cs="Times New Roman"/>
          <w:sz w:val="24"/>
          <w:szCs w:val="24"/>
        </w:rPr>
      </w:pPr>
      <w:r w:rsidRPr="00D614F1">
        <w:rPr>
          <w:rFonts w:ascii="Times New Roman" w:hAnsi="Times New Roman" w:cs="Times New Roman"/>
          <w:noProof/>
          <w:sz w:val="24"/>
          <w:szCs w:val="24"/>
          <w:lang w:eastAsia="es-ES"/>
        </w:rPr>
        <w:drawing>
          <wp:inline distT="0" distB="0" distL="0" distR="0" wp14:anchorId="04C0B637" wp14:editId="701B0484">
            <wp:extent cx="5733074" cy="3016250"/>
            <wp:effectExtent l="0" t="0" r="127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731510" cy="3015427"/>
                    </a:xfrm>
                    <a:prstGeom prst="rect">
                      <a:avLst/>
                    </a:prstGeom>
                  </pic:spPr>
                </pic:pic>
              </a:graphicData>
            </a:graphic>
          </wp:inline>
        </w:drawing>
      </w:r>
    </w:p>
    <w:p w:rsidR="009720E1" w:rsidRPr="00D614F1" w:rsidRDefault="009720E1" w:rsidP="009720E1">
      <w:pPr>
        <w:pStyle w:val="Ttulo2"/>
        <w:shd w:val="clear" w:color="auto" w:fill="FFFFFF"/>
        <w:spacing w:before="480"/>
        <w:jc w:val="both"/>
        <w:textAlignment w:val="baseline"/>
        <w:rPr>
          <w:rFonts w:ascii="Times New Roman" w:hAnsi="Times New Roman" w:cs="Times New Roman"/>
          <w:color w:val="auto"/>
          <w:sz w:val="24"/>
          <w:szCs w:val="24"/>
        </w:rPr>
      </w:pPr>
      <w:r w:rsidRPr="00D614F1">
        <w:rPr>
          <w:rFonts w:ascii="Times New Roman" w:hAnsi="Times New Roman" w:cs="Times New Roman"/>
          <w:color w:val="auto"/>
          <w:sz w:val="24"/>
          <w:szCs w:val="24"/>
        </w:rPr>
        <w:t>4. En un período de cuatro décadas, China se convirtió en uno de los principales consumidores de energía eléctrica del planeta</w:t>
      </w:r>
    </w:p>
    <w:p w:rsidR="009720E1" w:rsidRPr="00D614F1" w:rsidRDefault="009720E1" w:rsidP="009720E1"/>
    <w:p w:rsidR="009720E1" w:rsidRPr="00D614F1" w:rsidRDefault="009720E1" w:rsidP="009720E1">
      <w:pPr>
        <w:rPr>
          <w:rFonts w:ascii="Times New Roman" w:hAnsi="Times New Roman" w:cs="Times New Roman"/>
          <w:sz w:val="24"/>
          <w:szCs w:val="24"/>
        </w:rPr>
      </w:pPr>
      <w:r w:rsidRPr="00D614F1">
        <w:rPr>
          <w:rFonts w:ascii="Times New Roman" w:hAnsi="Times New Roman" w:cs="Times New Roman"/>
          <w:noProof/>
          <w:sz w:val="24"/>
          <w:szCs w:val="24"/>
          <w:lang w:eastAsia="es-ES"/>
        </w:rPr>
        <w:drawing>
          <wp:inline distT="0" distB="0" distL="0" distR="0" wp14:anchorId="5789200E" wp14:editId="429FACB3">
            <wp:extent cx="5733721" cy="3314700"/>
            <wp:effectExtent l="0" t="0" r="635"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731510" cy="3313422"/>
                    </a:xfrm>
                    <a:prstGeom prst="rect">
                      <a:avLst/>
                    </a:prstGeom>
                  </pic:spPr>
                </pic:pic>
              </a:graphicData>
            </a:graphic>
          </wp:inline>
        </w:drawing>
      </w:r>
    </w:p>
    <w:p w:rsidR="009720E1" w:rsidRPr="00D614F1" w:rsidRDefault="009720E1" w:rsidP="009720E1">
      <w:pPr>
        <w:pStyle w:val="NormalWeb"/>
        <w:shd w:val="clear" w:color="auto" w:fill="FFFFFF"/>
        <w:spacing w:before="0" w:beforeAutospacing="0" w:after="0" w:afterAutospacing="0"/>
        <w:textAlignment w:val="baseline"/>
        <w:rPr>
          <w:rStyle w:val="Textoennegrita"/>
          <w:bdr w:val="none" w:sz="0" w:space="0" w:color="auto" w:frame="1"/>
        </w:rPr>
      </w:pPr>
    </w:p>
    <w:p w:rsidR="009720E1" w:rsidRPr="00D614F1" w:rsidRDefault="009720E1" w:rsidP="009720E1">
      <w:pPr>
        <w:pStyle w:val="NormalWeb"/>
        <w:shd w:val="clear" w:color="auto" w:fill="FFFFFF"/>
        <w:spacing w:before="0" w:beforeAutospacing="0" w:after="0" w:afterAutospacing="0"/>
        <w:textAlignment w:val="baseline"/>
        <w:rPr>
          <w:rStyle w:val="Textoennegrita"/>
          <w:bdr w:val="none" w:sz="0" w:space="0" w:color="auto" w:frame="1"/>
        </w:rPr>
      </w:pPr>
    </w:p>
    <w:p w:rsidR="009720E1" w:rsidRPr="00D614F1" w:rsidRDefault="009720E1" w:rsidP="009720E1">
      <w:pPr>
        <w:pStyle w:val="NormalWeb"/>
        <w:shd w:val="clear" w:color="auto" w:fill="FFFFFF"/>
        <w:spacing w:before="0" w:beforeAutospacing="0" w:after="0" w:afterAutospacing="0"/>
        <w:textAlignment w:val="baseline"/>
        <w:rPr>
          <w:rStyle w:val="Textoennegrita"/>
          <w:bdr w:val="none" w:sz="0" w:space="0" w:color="auto" w:frame="1"/>
        </w:rPr>
      </w:pPr>
    </w:p>
    <w:p w:rsidR="009720E1" w:rsidRPr="00D614F1" w:rsidRDefault="009720E1" w:rsidP="009720E1">
      <w:pPr>
        <w:pStyle w:val="NormalWeb"/>
        <w:shd w:val="clear" w:color="auto" w:fill="FFFFFF"/>
        <w:spacing w:before="0" w:beforeAutospacing="0" w:after="0" w:afterAutospacing="0"/>
        <w:jc w:val="both"/>
        <w:textAlignment w:val="baseline"/>
        <w:rPr>
          <w:rStyle w:val="Textoennegrita"/>
          <w:bdr w:val="none" w:sz="0" w:space="0" w:color="auto" w:frame="1"/>
        </w:rPr>
      </w:pPr>
      <w:r w:rsidRPr="00D614F1">
        <w:rPr>
          <w:rStyle w:val="Textoennegrita"/>
          <w:bdr w:val="none" w:sz="0" w:space="0" w:color="auto" w:frame="1"/>
        </w:rPr>
        <w:lastRenderedPageBreak/>
        <w:t>5. Entre 1978 y 2018, China sacó a 740 millones de personas de la pobreza (según la Oficina de Información del Consejo de Estado y la Oficina Nacional de Estadísticas de China)</w:t>
      </w:r>
    </w:p>
    <w:p w:rsidR="009720E1" w:rsidRPr="00D614F1" w:rsidRDefault="009720E1" w:rsidP="009720E1">
      <w:pPr>
        <w:pStyle w:val="NormalWeb"/>
        <w:shd w:val="clear" w:color="auto" w:fill="FFFFFF"/>
        <w:spacing w:before="0" w:beforeAutospacing="0" w:after="0" w:afterAutospacing="0"/>
        <w:jc w:val="both"/>
        <w:textAlignment w:val="baseline"/>
        <w:rPr>
          <w:rStyle w:val="Textoennegrita"/>
          <w:bdr w:val="none" w:sz="0" w:space="0" w:color="auto" w:frame="1"/>
        </w:rPr>
      </w:pPr>
    </w:p>
    <w:p w:rsidR="009720E1" w:rsidRDefault="009720E1" w:rsidP="009720E1">
      <w:pPr>
        <w:pStyle w:val="NormalWeb"/>
        <w:shd w:val="clear" w:color="auto" w:fill="FFFFFF"/>
        <w:spacing w:before="0" w:beforeAutospacing="0" w:after="0" w:afterAutospacing="0"/>
        <w:jc w:val="both"/>
        <w:textAlignment w:val="baseline"/>
        <w:rPr>
          <w:b/>
        </w:rPr>
      </w:pPr>
      <w:r w:rsidRPr="00D614F1">
        <w:rPr>
          <w:noProof/>
        </w:rPr>
        <w:drawing>
          <wp:inline distT="0" distB="0" distL="0" distR="0" wp14:anchorId="02B13349" wp14:editId="63092C58">
            <wp:extent cx="5727700" cy="3028950"/>
            <wp:effectExtent l="0" t="0" r="635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31510" cy="3030965"/>
                    </a:xfrm>
                    <a:prstGeom prst="rect">
                      <a:avLst/>
                    </a:prstGeom>
                  </pic:spPr>
                </pic:pic>
              </a:graphicData>
            </a:graphic>
          </wp:inline>
        </w:drawing>
      </w:r>
    </w:p>
    <w:p w:rsidR="009720E1" w:rsidRDefault="009720E1" w:rsidP="009720E1">
      <w:pPr>
        <w:pStyle w:val="NormalWeb"/>
        <w:shd w:val="clear" w:color="auto" w:fill="FFFFFF"/>
        <w:spacing w:before="0" w:beforeAutospacing="0" w:after="0" w:afterAutospacing="0"/>
        <w:jc w:val="both"/>
        <w:textAlignment w:val="baseline"/>
        <w:rPr>
          <w:b/>
        </w:rPr>
      </w:pPr>
    </w:p>
    <w:p w:rsidR="009720E1" w:rsidRPr="00D614F1" w:rsidRDefault="009720E1" w:rsidP="009720E1">
      <w:pPr>
        <w:pStyle w:val="NormalWeb"/>
        <w:shd w:val="clear" w:color="auto" w:fill="FFFFFF"/>
        <w:spacing w:before="0" w:beforeAutospacing="0" w:after="0" w:afterAutospacing="0"/>
        <w:jc w:val="both"/>
        <w:textAlignment w:val="baseline"/>
        <w:rPr>
          <w:b/>
        </w:rPr>
      </w:pPr>
      <w:r w:rsidRPr="00D614F1">
        <w:rPr>
          <w:b/>
        </w:rPr>
        <w:t>6. China se ha convertido en uno de los principales exportadores mundiales de estudiantes de educación superior</w:t>
      </w:r>
    </w:p>
    <w:p w:rsidR="009720E1" w:rsidRPr="00D614F1" w:rsidRDefault="009720E1" w:rsidP="009720E1">
      <w:pPr>
        <w:shd w:val="clear" w:color="auto" w:fill="FFFFFF"/>
        <w:jc w:val="both"/>
        <w:textAlignment w:val="baseline"/>
        <w:rPr>
          <w:rFonts w:ascii="Times New Roman" w:hAnsi="Times New Roman" w:cs="Times New Roman"/>
          <w:sz w:val="24"/>
          <w:szCs w:val="24"/>
        </w:rPr>
      </w:pPr>
      <w:r w:rsidRPr="00D614F1">
        <w:rPr>
          <w:rFonts w:ascii="Times New Roman" w:hAnsi="Times New Roman" w:cs="Times New Roman"/>
          <w:noProof/>
          <w:sz w:val="24"/>
          <w:szCs w:val="24"/>
          <w:bdr w:val="none" w:sz="0" w:space="0" w:color="auto" w:frame="1"/>
          <w:lang w:eastAsia="es-ES"/>
        </w:rPr>
        <w:drawing>
          <wp:inline distT="0" distB="0" distL="0" distR="0" wp14:anchorId="71F707FB" wp14:editId="2CFA1B20">
            <wp:extent cx="6096000" cy="4508500"/>
            <wp:effectExtent l="0" t="0" r="0" b="6350"/>
            <wp:docPr id="199" name="Imagen 199" descr="Estudios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studios China"/>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096000" cy="4508500"/>
                    </a:xfrm>
                    <a:prstGeom prst="rect">
                      <a:avLst/>
                    </a:prstGeom>
                    <a:noFill/>
                    <a:ln>
                      <a:noFill/>
                    </a:ln>
                  </pic:spPr>
                </pic:pic>
              </a:graphicData>
            </a:graphic>
          </wp:inline>
        </w:drawing>
      </w:r>
    </w:p>
    <w:p w:rsidR="009720E1" w:rsidRPr="00D614F1" w:rsidRDefault="009720E1" w:rsidP="009720E1">
      <w:pPr>
        <w:shd w:val="clear" w:color="auto" w:fill="FFFFFF"/>
        <w:jc w:val="both"/>
        <w:textAlignment w:val="baseline"/>
        <w:rPr>
          <w:rFonts w:ascii="Times New Roman" w:hAnsi="Times New Roman" w:cs="Times New Roman"/>
          <w:b/>
          <w:sz w:val="24"/>
          <w:szCs w:val="24"/>
        </w:rPr>
      </w:pPr>
      <w:r w:rsidRPr="00D614F1">
        <w:rPr>
          <w:rFonts w:ascii="Times New Roman" w:hAnsi="Times New Roman" w:cs="Times New Roman"/>
          <w:b/>
          <w:sz w:val="24"/>
          <w:szCs w:val="24"/>
        </w:rPr>
        <w:lastRenderedPageBreak/>
        <w:t>7. La población de China por grupo de edad también experimentó una transformación significativa: está envejeciendo</w:t>
      </w:r>
    </w:p>
    <w:p w:rsidR="009720E1" w:rsidRPr="00D614F1" w:rsidRDefault="009720E1" w:rsidP="009720E1">
      <w:pPr>
        <w:shd w:val="clear" w:color="auto" w:fill="FFFFFF"/>
        <w:textAlignment w:val="baseline"/>
        <w:rPr>
          <w:rFonts w:ascii="Times New Roman" w:hAnsi="Times New Roman" w:cs="Times New Roman"/>
          <w:sz w:val="24"/>
          <w:szCs w:val="24"/>
        </w:rPr>
      </w:pPr>
      <w:r w:rsidRPr="00D614F1">
        <w:rPr>
          <w:rFonts w:ascii="Times New Roman" w:hAnsi="Times New Roman" w:cs="Times New Roman"/>
          <w:noProof/>
          <w:sz w:val="24"/>
          <w:szCs w:val="24"/>
          <w:bdr w:val="none" w:sz="0" w:space="0" w:color="auto" w:frame="1"/>
          <w:lang w:eastAsia="es-ES"/>
        </w:rPr>
        <w:drawing>
          <wp:inline distT="0" distB="0" distL="0" distR="0" wp14:anchorId="11EF66AE" wp14:editId="2842E2B3">
            <wp:extent cx="5556250" cy="3117850"/>
            <wp:effectExtent l="0" t="0" r="6350" b="6350"/>
            <wp:docPr id="200" name="Imagen 200" descr="Población de 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oblación de China"/>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556250" cy="3117850"/>
                    </a:xfrm>
                    <a:prstGeom prst="rect">
                      <a:avLst/>
                    </a:prstGeom>
                    <a:noFill/>
                    <a:ln>
                      <a:noFill/>
                    </a:ln>
                  </pic:spPr>
                </pic:pic>
              </a:graphicData>
            </a:graphic>
          </wp:inline>
        </w:drawing>
      </w:r>
    </w:p>
    <w:p w:rsidR="009720E1" w:rsidRDefault="009720E1" w:rsidP="009720E1">
      <w:pPr>
        <w:pStyle w:val="Ttulo2"/>
        <w:shd w:val="clear" w:color="auto" w:fill="FFFFFF"/>
        <w:spacing w:before="480"/>
        <w:textAlignment w:val="baseline"/>
        <w:rPr>
          <w:rFonts w:ascii="Times New Roman" w:hAnsi="Times New Roman" w:cs="Times New Roman"/>
          <w:color w:val="auto"/>
          <w:sz w:val="24"/>
          <w:szCs w:val="24"/>
        </w:rPr>
      </w:pPr>
      <w:r>
        <w:rPr>
          <w:rFonts w:ascii="Times New Roman" w:hAnsi="Times New Roman" w:cs="Times New Roman"/>
          <w:color w:val="auto"/>
          <w:sz w:val="24"/>
          <w:szCs w:val="24"/>
        </w:rPr>
        <w:t>8. …</w:t>
      </w:r>
      <w:r w:rsidRPr="00D614F1">
        <w:rPr>
          <w:rFonts w:ascii="Times New Roman" w:hAnsi="Times New Roman" w:cs="Times New Roman"/>
          <w:color w:val="auto"/>
          <w:sz w:val="24"/>
          <w:szCs w:val="24"/>
        </w:rPr>
        <w:t>como resultado de una caída de la tasa de fertilidad</w:t>
      </w:r>
    </w:p>
    <w:p w:rsidR="009720E1" w:rsidRPr="00636EEB" w:rsidRDefault="009720E1" w:rsidP="009720E1"/>
    <w:p w:rsidR="009720E1" w:rsidRPr="00D614F1" w:rsidRDefault="009720E1" w:rsidP="009720E1">
      <w:pPr>
        <w:shd w:val="clear" w:color="auto" w:fill="FFFFFF"/>
        <w:textAlignment w:val="baseline"/>
        <w:rPr>
          <w:rFonts w:ascii="Times New Roman" w:hAnsi="Times New Roman" w:cs="Times New Roman"/>
          <w:sz w:val="24"/>
          <w:szCs w:val="24"/>
        </w:rPr>
      </w:pPr>
      <w:r w:rsidRPr="00D614F1">
        <w:rPr>
          <w:rFonts w:ascii="Times New Roman" w:hAnsi="Times New Roman" w:cs="Times New Roman"/>
          <w:noProof/>
          <w:sz w:val="24"/>
          <w:szCs w:val="24"/>
          <w:bdr w:val="none" w:sz="0" w:space="0" w:color="auto" w:frame="1"/>
          <w:lang w:eastAsia="es-ES"/>
        </w:rPr>
        <w:drawing>
          <wp:inline distT="0" distB="0" distL="0" distR="0" wp14:anchorId="28FFBD6D" wp14:editId="7612D49D">
            <wp:extent cx="5600700" cy="3352800"/>
            <wp:effectExtent l="0" t="0" r="0" b="0"/>
            <wp:docPr id="201" name="Imagen 201" descr="China fertil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hina fertilidad"/>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600700" cy="3352800"/>
                    </a:xfrm>
                    <a:prstGeom prst="rect">
                      <a:avLst/>
                    </a:prstGeom>
                    <a:noFill/>
                    <a:ln>
                      <a:noFill/>
                    </a:ln>
                  </pic:spPr>
                </pic:pic>
              </a:graphicData>
            </a:graphic>
          </wp:inline>
        </w:drawing>
      </w:r>
    </w:p>
    <w:p w:rsidR="009720E1" w:rsidRDefault="009720E1" w:rsidP="009720E1">
      <w:pPr>
        <w:shd w:val="clear" w:color="auto" w:fill="FFFFFF"/>
        <w:spacing w:after="0" w:line="240" w:lineRule="auto"/>
        <w:jc w:val="both"/>
        <w:textAlignment w:val="baseline"/>
        <w:rPr>
          <w:rFonts w:ascii="Times New Roman" w:hAnsi="Times New Roman" w:cs="Times New Roman"/>
          <w:b/>
          <w:color w:val="1E1E1E"/>
          <w:sz w:val="24"/>
          <w:szCs w:val="24"/>
        </w:rPr>
      </w:pPr>
    </w:p>
    <w:p w:rsidR="009720E1" w:rsidRDefault="009720E1" w:rsidP="009720E1">
      <w:pPr>
        <w:shd w:val="clear" w:color="auto" w:fill="FFFFFF"/>
        <w:spacing w:after="0" w:line="240" w:lineRule="auto"/>
        <w:jc w:val="both"/>
        <w:textAlignment w:val="baseline"/>
        <w:rPr>
          <w:rFonts w:ascii="Times New Roman" w:hAnsi="Times New Roman" w:cs="Times New Roman"/>
          <w:b/>
          <w:color w:val="1E1E1E"/>
          <w:sz w:val="24"/>
          <w:szCs w:val="24"/>
        </w:rPr>
      </w:pPr>
    </w:p>
    <w:p w:rsidR="009720E1" w:rsidRDefault="009720E1" w:rsidP="009720E1">
      <w:pPr>
        <w:shd w:val="clear" w:color="auto" w:fill="FFFFFF"/>
        <w:spacing w:after="0" w:line="240" w:lineRule="auto"/>
        <w:jc w:val="both"/>
        <w:textAlignment w:val="baseline"/>
        <w:rPr>
          <w:rFonts w:ascii="Times New Roman" w:hAnsi="Times New Roman" w:cs="Times New Roman"/>
          <w:b/>
          <w:color w:val="1E1E1E"/>
          <w:sz w:val="24"/>
          <w:szCs w:val="24"/>
        </w:rPr>
      </w:pPr>
    </w:p>
    <w:p w:rsidR="009720E1" w:rsidRDefault="009720E1" w:rsidP="009720E1">
      <w:pPr>
        <w:shd w:val="clear" w:color="auto" w:fill="FFFFFF"/>
        <w:spacing w:after="0" w:line="240" w:lineRule="auto"/>
        <w:jc w:val="both"/>
        <w:textAlignment w:val="baseline"/>
        <w:rPr>
          <w:rFonts w:ascii="Times New Roman" w:hAnsi="Times New Roman" w:cs="Times New Roman"/>
          <w:b/>
          <w:color w:val="1E1E1E"/>
          <w:sz w:val="24"/>
          <w:szCs w:val="24"/>
        </w:rPr>
      </w:pPr>
      <w:r w:rsidRPr="00C65C0F">
        <w:rPr>
          <w:rFonts w:ascii="Times New Roman" w:hAnsi="Times New Roman" w:cs="Times New Roman"/>
          <w:b/>
          <w:color w:val="1E1E1E"/>
          <w:sz w:val="24"/>
          <w:szCs w:val="24"/>
        </w:rPr>
        <w:lastRenderedPageBreak/>
        <w:t>9. Para 2018, los jóvenes chinos tienen el doble de probabilidades de ser dueños de su casa si se los compara con sus similares estadounidenses</w:t>
      </w:r>
    </w:p>
    <w:p w:rsidR="009720E1" w:rsidRPr="00C65C0F" w:rsidRDefault="009720E1" w:rsidP="009720E1">
      <w:pPr>
        <w:shd w:val="clear" w:color="auto" w:fill="FFFFFF"/>
        <w:spacing w:after="0" w:line="240" w:lineRule="auto"/>
        <w:jc w:val="both"/>
        <w:textAlignment w:val="baseline"/>
        <w:rPr>
          <w:rFonts w:ascii="Times New Roman" w:eastAsia="Times New Roman" w:hAnsi="Times New Roman" w:cs="Times New Roman"/>
          <w:b/>
          <w:sz w:val="24"/>
          <w:szCs w:val="24"/>
        </w:rPr>
      </w:pPr>
    </w:p>
    <w:p w:rsidR="009720E1" w:rsidRDefault="009720E1" w:rsidP="009720E1">
      <w:pPr>
        <w:shd w:val="clear" w:color="auto" w:fill="FFFFFF"/>
        <w:textAlignment w:val="baseline"/>
        <w:rPr>
          <w:rFonts w:ascii="Times New Roman" w:hAnsi="Times New Roman" w:cs="Times New Roman"/>
          <w:color w:val="404040"/>
          <w:sz w:val="24"/>
          <w:szCs w:val="24"/>
        </w:rPr>
      </w:pPr>
      <w:r w:rsidRPr="00980B03">
        <w:rPr>
          <w:rFonts w:ascii="Times New Roman" w:hAnsi="Times New Roman" w:cs="Times New Roman"/>
          <w:noProof/>
          <w:color w:val="404040"/>
          <w:sz w:val="24"/>
          <w:szCs w:val="24"/>
          <w:bdr w:val="none" w:sz="0" w:space="0" w:color="auto" w:frame="1"/>
          <w:lang w:eastAsia="es-ES"/>
        </w:rPr>
        <w:drawing>
          <wp:inline distT="0" distB="0" distL="0" distR="0" wp14:anchorId="4B7378F4" wp14:editId="27F41477">
            <wp:extent cx="5892800" cy="3200400"/>
            <wp:effectExtent l="0" t="0" r="0" b="0"/>
            <wp:docPr id="202" name="Imagen 202" descr="China propie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hina propiedad"/>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892800" cy="3200400"/>
                    </a:xfrm>
                    <a:prstGeom prst="rect">
                      <a:avLst/>
                    </a:prstGeom>
                    <a:noFill/>
                    <a:ln>
                      <a:noFill/>
                    </a:ln>
                  </pic:spPr>
                </pic:pic>
              </a:graphicData>
            </a:graphic>
          </wp:inline>
        </w:drawing>
      </w:r>
    </w:p>
    <w:p w:rsidR="009720E1" w:rsidRPr="00D614F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D614F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“Reforma y apertura”</w:t>
      </w:r>
      <w:r w:rsidRPr="00D614F1">
        <w:rPr>
          <w:rFonts w:ascii="Times New Roman" w:eastAsia="Times New Roman" w:hAnsi="Times New Roman" w:cs="Times New Roman"/>
          <w:sz w:val="24"/>
          <w:szCs w:val="24"/>
          <w:u w:val="single"/>
        </w:rPr>
        <w:t>: cómo China pasó en solo 40 años de ser un país pobre y rural a una superpotencia mundial</w:t>
      </w:r>
      <w:r w:rsidRPr="00D614F1">
        <w:rPr>
          <w:rFonts w:ascii="Times New Roman" w:eastAsia="Times New Roman" w:hAnsi="Times New Roman" w:cs="Times New Roman"/>
          <w:sz w:val="24"/>
          <w:szCs w:val="24"/>
        </w:rPr>
        <w:t xml:space="preserve"> (BBCMundo - </w:t>
      </w:r>
      <w:r w:rsidRPr="00D614F1">
        <w:rPr>
          <w:rFonts w:ascii="Times New Roman" w:eastAsia="Times New Roman" w:hAnsi="Times New Roman" w:cs="Times New Roman"/>
          <w:b/>
          <w:sz w:val="24"/>
          <w:szCs w:val="24"/>
        </w:rPr>
        <w:t>18/12/18</w:t>
      </w:r>
      <w:r w:rsidRPr="00D614F1">
        <w:rPr>
          <w:rFonts w:ascii="Times New Roman" w:eastAsia="Times New Roman" w:hAnsi="Times New Roman" w:cs="Times New Roman"/>
          <w:sz w:val="24"/>
          <w:szCs w:val="24"/>
        </w:rPr>
        <w:t>)</w:t>
      </w:r>
    </w:p>
    <w:p w:rsidR="009720E1" w:rsidRPr="00D614F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D614F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D614F1">
        <w:rPr>
          <w:rFonts w:ascii="Times New Roman" w:eastAsia="Times New Roman" w:hAnsi="Times New Roman" w:cs="Times New Roman"/>
          <w:sz w:val="24"/>
          <w:szCs w:val="24"/>
        </w:rPr>
        <w:t>Hace 40 años, era común que muchas familias chinas tuvieran dificultades para comprar ropa o alimentos.</w:t>
      </w:r>
    </w:p>
    <w:p w:rsidR="009720E1" w:rsidRPr="00D614F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D614F1">
        <w:rPr>
          <w:rFonts w:ascii="Times New Roman" w:eastAsia="Times New Roman" w:hAnsi="Times New Roman" w:cs="Times New Roman"/>
          <w:sz w:val="24"/>
          <w:szCs w:val="24"/>
        </w:rPr>
        <w:t>Hoy, una de las imágenes más típicas en Pekín es la de largas colas en las tiendas de Apple: la de jóvenes saliendo con varias bolsas con nuevos iPhones o computadores al mismo tiempo.</w:t>
      </w:r>
    </w:p>
    <w:p w:rsidR="009720E1" w:rsidRPr="00D614F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D614F1">
        <w:rPr>
          <w:rFonts w:ascii="Times New Roman" w:eastAsia="Times New Roman" w:hAnsi="Times New Roman" w:cs="Times New Roman"/>
          <w:sz w:val="24"/>
          <w:szCs w:val="24"/>
        </w:rPr>
        <w:t xml:space="preserve">En </w:t>
      </w:r>
      <w:r w:rsidRPr="00026CC3">
        <w:rPr>
          <w:rFonts w:ascii="Times New Roman" w:eastAsia="Times New Roman" w:hAnsi="Times New Roman" w:cs="Times New Roman"/>
          <w:sz w:val="24"/>
          <w:szCs w:val="24"/>
        </w:rPr>
        <w:t>tan sólo cuatro décadas, el país asiático ha experimentado un cambio incomparable, que le ha enriquecido hasta convertirlo en la segunda economía mundial y ha permitido sacar a 740 millones de personas de la pobreza, según cifras oficiales.</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 xml:space="preserve">El programa al que se le atribuye el </w:t>
      </w:r>
      <w:r>
        <w:rPr>
          <w:rFonts w:ascii="Times New Roman" w:eastAsia="Times New Roman" w:hAnsi="Times New Roman" w:cs="Times New Roman"/>
          <w:sz w:val="24"/>
          <w:szCs w:val="24"/>
        </w:rPr>
        <w:t>éxito se llamó “Reforma y apertura”</w:t>
      </w:r>
      <w:r w:rsidRPr="00026CC3">
        <w:rPr>
          <w:rFonts w:ascii="Times New Roman" w:eastAsia="Times New Roman" w:hAnsi="Times New Roman" w:cs="Times New Roman"/>
          <w:sz w:val="24"/>
          <w:szCs w:val="24"/>
        </w:rPr>
        <w:t>, y fue impulsado por el fallecido líder Deng Xiaoping.</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Bajo la idea de un “</w:t>
      </w:r>
      <w:r w:rsidRPr="00026CC3">
        <w:rPr>
          <w:rFonts w:ascii="Times New Roman" w:eastAsia="Times New Roman" w:hAnsi="Times New Roman" w:cs="Times New Roman"/>
          <w:sz w:val="24"/>
          <w:szCs w:val="24"/>
        </w:rPr>
        <w:t>social</w:t>
      </w:r>
      <w:r>
        <w:rPr>
          <w:rFonts w:ascii="Times New Roman" w:eastAsia="Times New Roman" w:hAnsi="Times New Roman" w:cs="Times New Roman"/>
          <w:sz w:val="24"/>
          <w:szCs w:val="24"/>
        </w:rPr>
        <w:t>ismo con características chinas”</w:t>
      </w:r>
      <w:r w:rsidRPr="00026CC3">
        <w:rPr>
          <w:rFonts w:ascii="Times New Roman" w:eastAsia="Times New Roman" w:hAnsi="Times New Roman" w:cs="Times New Roman"/>
          <w:sz w:val="24"/>
          <w:szCs w:val="24"/>
        </w:rPr>
        <w:t>, Deng rompió con lo establecido e impulsó una serie de reformas económicas, centradas en la agricultura, la liberalización del sector privado, la modernización de la industria y la apertura de China al comercio exterior.</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36EEB"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36EEB">
        <w:rPr>
          <w:rFonts w:ascii="Times New Roman" w:eastAsia="Times New Roman" w:hAnsi="Times New Roman" w:cs="Times New Roman"/>
          <w:sz w:val="24"/>
          <w:szCs w:val="24"/>
        </w:rPr>
        <w:t>Un país pobre</w:t>
      </w:r>
    </w:p>
    <w:p w:rsidR="009720E1" w:rsidRPr="00636EEB"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A30400"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36EEB">
        <w:rPr>
          <w:rFonts w:ascii="Times New Roman" w:eastAsia="Times New Roman" w:hAnsi="Times New Roman" w:cs="Times New Roman"/>
          <w:sz w:val="24"/>
          <w:szCs w:val="24"/>
        </w:rPr>
        <w:t xml:space="preserve">El cambio comenzó en </w:t>
      </w:r>
      <w:r w:rsidRPr="00A30400">
        <w:rPr>
          <w:rFonts w:ascii="Times New Roman" w:eastAsia="Times New Roman" w:hAnsi="Times New Roman" w:cs="Times New Roman"/>
          <w:sz w:val="24"/>
          <w:szCs w:val="24"/>
        </w:rPr>
        <w:t>1978.</w:t>
      </w:r>
    </w:p>
    <w:p w:rsidR="009720E1" w:rsidRPr="00636EEB"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36EEB"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36EEB">
        <w:rPr>
          <w:rFonts w:ascii="Times New Roman" w:eastAsia="Times New Roman" w:hAnsi="Times New Roman" w:cs="Times New Roman"/>
          <w:sz w:val="24"/>
          <w:szCs w:val="24"/>
        </w:rPr>
        <w:t>Entonces, China era muy diferente a la nación que hoy puede situarse al nivel de Estados Unidos o la Unión Europea.</w:t>
      </w:r>
    </w:p>
    <w:p w:rsidR="009720E1" w:rsidRPr="00636EEB"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636EEB"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636EEB">
        <w:rPr>
          <w:rFonts w:ascii="Times New Roman" w:eastAsia="Times New Roman" w:hAnsi="Times New Roman" w:cs="Times New Roman"/>
          <w:sz w:val="24"/>
          <w:szCs w:val="24"/>
        </w:rPr>
        <w:lastRenderedPageBreak/>
        <w:t>Era un país empobrecido, con un Producto Interno Bruto (PIB) de US$ 150.000 millones para sus más de 800 millones de ciudadanos, muy por debajo de los US$ 12,2 billones de este 2018, según cifras de la ONU.</w:t>
      </w:r>
    </w:p>
    <w:p w:rsidR="009720E1" w:rsidRPr="00636EEB"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noProof/>
          <w:sz w:val="24"/>
          <w:szCs w:val="24"/>
          <w:lang w:eastAsia="es-ES"/>
        </w:rPr>
        <w:drawing>
          <wp:inline distT="0" distB="0" distL="0" distR="0" wp14:anchorId="59C1DB51" wp14:editId="7D079434">
            <wp:extent cx="5726955" cy="3149600"/>
            <wp:effectExtent l="0" t="0" r="7620" b="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731510" cy="3152105"/>
                    </a:xfrm>
                    <a:prstGeom prst="rect">
                      <a:avLst/>
                    </a:prstGeom>
                  </pic:spPr>
                </pic:pic>
              </a:graphicData>
            </a:graphic>
          </wp:inline>
        </w:drawing>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El histórico fundador de la República Popular China, Mao Zedong, había fallecido dos años antes, dejando un controvertido legado.</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 xml:space="preserve">Entre sus grandes proyectos, se encuentran el Gran Salto Adelante (1958-1962), que buscaba transformar la economía agraria del país, que provocó una hambruna por la que murieron al menos 10 millones de personas; o la Revolución Cultural (1966-1976), la campaña de </w:t>
      </w:r>
      <w:r>
        <w:rPr>
          <w:rFonts w:ascii="Times New Roman" w:eastAsia="Times New Roman" w:hAnsi="Times New Roman" w:cs="Times New Roman"/>
          <w:sz w:val="24"/>
          <w:szCs w:val="24"/>
        </w:rPr>
        <w:t>Mao contra los partidarios del “capitalismo”</w:t>
      </w:r>
      <w:r w:rsidRPr="00026CC3">
        <w:rPr>
          <w:rFonts w:ascii="Times New Roman" w:eastAsia="Times New Roman" w:hAnsi="Times New Roman" w:cs="Times New Roman"/>
          <w:sz w:val="24"/>
          <w:szCs w:val="24"/>
        </w:rPr>
        <w:t>, que dejó entre centenares de miles y varios millones de fallecidos, según la fuente, y paralizó la economía.</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Fue en esa situación de pobreza y hambre cuando Deng Xiaoping, entonces el secretario general del gobernante Partido Comunista de China (PCCh), propuso un cambio.</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Nueva fórmula</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Deng</w:t>
      </w:r>
      <w:r>
        <w:rPr>
          <w:rFonts w:ascii="Times New Roman" w:eastAsia="Times New Roman" w:hAnsi="Times New Roman" w:cs="Times New Roman"/>
          <w:sz w:val="24"/>
          <w:szCs w:val="24"/>
        </w:rPr>
        <w:t xml:space="preserve"> apostó por las llamadas “cuatro modernizaciones”</w:t>
      </w:r>
      <w:r w:rsidRPr="00026CC3">
        <w:rPr>
          <w:rFonts w:ascii="Times New Roman" w:eastAsia="Times New Roman" w:hAnsi="Times New Roman" w:cs="Times New Roman"/>
          <w:sz w:val="24"/>
          <w:szCs w:val="24"/>
        </w:rPr>
        <w:t xml:space="preserve"> y por evolucionar hacia una economía en la que el mercado tuviera un protagonismo creciente.</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Su programa fue ratificado el 18 de diciembre de 1978 por parte del Comité Central del PCCh y en él se situó la modernización económica como principal prioridad.</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En los años posteriores, se fueron poniendo en práctica cambios que entonces se consideraron ambiciosos y que salieron adelante pese a la oposición del ala más conservadora del partido.</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En el sector agrícola, por ejemplo, se abandonó progresivamente el sistema maoísta de economía rural planificada, lo que permitió incrementar la productividad y sacar a zonas del país de la pobreza, fomentando la migración de mano de obra hacia las ciudades.</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lastRenderedPageBreak/>
        <w:t>También se afl</w:t>
      </w:r>
      <w:r>
        <w:rPr>
          <w:rFonts w:ascii="Times New Roman" w:eastAsia="Times New Roman" w:hAnsi="Times New Roman" w:cs="Times New Roman"/>
          <w:sz w:val="24"/>
          <w:szCs w:val="24"/>
        </w:rPr>
        <w:t>ojaron “las cadenas”</w:t>
      </w:r>
      <w:r w:rsidRPr="00026CC3">
        <w:rPr>
          <w:rFonts w:ascii="Times New Roman" w:eastAsia="Times New Roman" w:hAnsi="Times New Roman" w:cs="Times New Roman"/>
          <w:sz w:val="24"/>
          <w:szCs w:val="24"/>
        </w:rPr>
        <w:t xml:space="preserve"> del sector privado y, por primera vez desde la creación de la República Popular en 1949, el país se abrió a la inversión extranjera.</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Se crearon zonas económicas especiales, como la de la ciudad de Shenzhen, que sufrió una increíble transformación y hoy en</w:t>
      </w:r>
      <w:r>
        <w:rPr>
          <w:rFonts w:ascii="Times New Roman" w:eastAsia="Times New Roman" w:hAnsi="Times New Roman" w:cs="Times New Roman"/>
          <w:sz w:val="24"/>
          <w:szCs w:val="24"/>
        </w:rPr>
        <w:t xml:space="preserve"> día suele describirse como el “Silicon Valley chino”</w:t>
      </w:r>
      <w:r w:rsidRPr="00026CC3">
        <w:rPr>
          <w:rFonts w:ascii="Times New Roman" w:eastAsia="Times New Roman" w:hAnsi="Times New Roman" w:cs="Times New Roman"/>
          <w:sz w:val="24"/>
          <w:szCs w:val="24"/>
        </w:rPr>
        <w:t>.</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noProof/>
          <w:sz w:val="24"/>
          <w:szCs w:val="24"/>
          <w:lang w:eastAsia="es-ES"/>
        </w:rPr>
        <w:drawing>
          <wp:inline distT="0" distB="0" distL="0" distR="0" wp14:anchorId="26CD90AB" wp14:editId="3733BAAD">
            <wp:extent cx="5727700" cy="3111500"/>
            <wp:effectExtent l="0" t="0" r="635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5731510" cy="3113570"/>
                    </a:xfrm>
                    <a:prstGeom prst="rect">
                      <a:avLst/>
                    </a:prstGeom>
                  </pic:spPr>
                </pic:pic>
              </a:graphicData>
            </a:graphic>
          </wp:inline>
        </w:drawing>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Esa apertura al exterior contribuyó a aumentar la capacidad productiva de China y nuevos métodos de gestión.</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Sus cambios llevaron a que, tras un largo proceso, China consiguiera entrar a la Organización Mundial del Comercio en 2001, lo que le abrió definitivamente las puertas a la globalización, que tanto ayudó a su auge económico.</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Y es que, en 2008, cuando la crisis financiera mundial estalló y Occidente emprendió la búsqueda de nuevos mercados, China destacó entre todos ellos, lo qu</w:t>
      </w:r>
      <w:r>
        <w:rPr>
          <w:rFonts w:ascii="Times New Roman" w:eastAsia="Times New Roman" w:hAnsi="Times New Roman" w:cs="Times New Roman"/>
          <w:sz w:val="24"/>
          <w:szCs w:val="24"/>
        </w:rPr>
        <w:t>e le llevó a convertirse en la “fábrica del mundo”</w:t>
      </w:r>
      <w:r w:rsidRPr="00026CC3">
        <w:rPr>
          <w:rFonts w:ascii="Times New Roman" w:eastAsia="Times New Roman" w:hAnsi="Times New Roman" w:cs="Times New Roman"/>
          <w:sz w:val="24"/>
          <w:szCs w:val="24"/>
        </w:rPr>
        <w:t>.</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Tras su boom económico, no obstante, Pekín lucha ahora para desprenderse de ese nombre: dejar atrás la manufactura y ser un país caracterizado por la innovación.</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¿Y el cambio político?</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Pese al éxito económico, las reformas también trajeron consecuencias negativas para el país, como la grave contaminación del aire que sufre la mayoría de sus ciudades o una gran desigualdad.</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noProof/>
          <w:sz w:val="24"/>
          <w:szCs w:val="24"/>
          <w:lang w:eastAsia="es-ES"/>
        </w:rPr>
        <w:lastRenderedPageBreak/>
        <w:drawing>
          <wp:inline distT="0" distB="0" distL="0" distR="0" wp14:anchorId="568D4E6C" wp14:editId="06065B55">
            <wp:extent cx="5727699" cy="2527300"/>
            <wp:effectExtent l="0" t="0" r="6985" b="635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5731510" cy="2528982"/>
                    </a:xfrm>
                    <a:prstGeom prst="rect">
                      <a:avLst/>
                    </a:prstGeom>
                  </pic:spPr>
                </pic:pic>
              </a:graphicData>
            </a:graphic>
          </wp:inline>
        </w:drawing>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Además, las últimas décadas no han traído ningún cambio al rígido sistema de gobierno de un solo partido en el país.</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Los críticos denuncian que la “represión”</w:t>
      </w:r>
      <w:r w:rsidRPr="00026CC3">
        <w:rPr>
          <w:rFonts w:ascii="Times New Roman" w:eastAsia="Times New Roman" w:hAnsi="Times New Roman" w:cs="Times New Roman"/>
          <w:sz w:val="24"/>
          <w:szCs w:val="24"/>
        </w:rPr>
        <w:t xml:space="preserve"> de los derechos humanos va en aumento y que el actual presidente, Xi Jinping, está coartando cada vez más libertades de la población.</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 xml:space="preserve">Xi enfatizó </w:t>
      </w:r>
      <w:r>
        <w:rPr>
          <w:rFonts w:ascii="Times New Roman" w:eastAsia="Times New Roman" w:hAnsi="Times New Roman" w:cs="Times New Roman"/>
          <w:sz w:val="24"/>
          <w:szCs w:val="24"/>
        </w:rPr>
        <w:t>esta semana la importancia del “liderazgo”</w:t>
      </w:r>
      <w:r w:rsidRPr="00026CC3">
        <w:rPr>
          <w:rFonts w:ascii="Times New Roman" w:eastAsia="Times New Roman" w:hAnsi="Times New Roman" w:cs="Times New Roman"/>
          <w:sz w:val="24"/>
          <w:szCs w:val="24"/>
        </w:rPr>
        <w:t xml:space="preserve"> del Partido Comunista en un discurso por los 40 años de reforma y apertura en el Gran Palacio del Pueblo de Tiananmen, la plaza pequinesa donde el Ejército acabó a la fuerza con las manifestaciones a favor de reformas políticas dejando un número aún indeterminado de muertes.</w:t>
      </w:r>
    </w:p>
    <w:p w:rsidR="009720E1" w:rsidRPr="00026CC3"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026CC3">
        <w:rPr>
          <w:rFonts w:ascii="Times New Roman" w:eastAsia="Times New Roman" w:hAnsi="Times New Roman" w:cs="Times New Roman"/>
          <w:sz w:val="24"/>
          <w:szCs w:val="24"/>
        </w:rPr>
        <w:t>Ese oscuro capítulo de la historia reciente de China sigue siendo un tabú, como cualquier crítica sobre el sistema político.</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91DE0">
        <w:rPr>
          <w:rFonts w:ascii="Times New Roman" w:eastAsia="Times New Roman" w:hAnsi="Times New Roman" w:cs="Times New Roman"/>
          <w:sz w:val="24"/>
          <w:szCs w:val="24"/>
          <w:u w:val="single"/>
        </w:rPr>
        <w:t>La nueva clase alta china dispara los ingresos de la industria mundial del lujo</w:t>
      </w:r>
      <w:r>
        <w:rPr>
          <w:rFonts w:ascii="Times New Roman" w:eastAsia="Times New Roman" w:hAnsi="Times New Roman" w:cs="Times New Roman"/>
          <w:sz w:val="24"/>
          <w:szCs w:val="24"/>
        </w:rPr>
        <w:t xml:space="preserve"> (El Confidencial - </w:t>
      </w:r>
      <w:r w:rsidRPr="00191DE0">
        <w:rPr>
          <w:rFonts w:ascii="Times New Roman" w:eastAsia="Times New Roman" w:hAnsi="Times New Roman" w:cs="Times New Roman"/>
          <w:b/>
          <w:sz w:val="24"/>
          <w:szCs w:val="24"/>
        </w:rPr>
        <w:t>26/12/18</w:t>
      </w:r>
      <w:r>
        <w:rPr>
          <w:rFonts w:ascii="Times New Roman" w:eastAsia="Times New Roman" w:hAnsi="Times New Roman" w:cs="Times New Roman"/>
          <w:sz w:val="24"/>
          <w:szCs w:val="24"/>
        </w:rPr>
        <w:t>)</w:t>
      </w:r>
    </w:p>
    <w:p w:rsidR="009720E1" w:rsidRPr="00191DE0"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r w:rsidRPr="00191DE0">
        <w:rPr>
          <w:rFonts w:ascii="Times New Roman" w:eastAsia="Times New Roman" w:hAnsi="Times New Roman" w:cs="Times New Roman"/>
          <w:sz w:val="24"/>
          <w:szCs w:val="24"/>
        </w:rPr>
        <w:t>Estados Unidos continúa dominando el mercado del lujo, mientras que los consumidores chinos representan con sus compras el 30% de este negocio a nivel global</w:t>
      </w:r>
    </w:p>
    <w:p w:rsidR="009720E1" w:rsidRDefault="009720E1" w:rsidP="009720E1">
      <w:pPr>
        <w:shd w:val="clear" w:color="auto" w:fill="FFFFFF"/>
        <w:spacing w:after="0" w:line="240" w:lineRule="auto"/>
        <w:jc w:val="both"/>
        <w:textAlignment w:val="baseline"/>
        <w:rPr>
          <w:rFonts w:ascii="Times New Roman" w:eastAsia="Times New Roman" w:hAnsi="Times New Roman" w:cs="Times New Roman"/>
          <w:sz w:val="24"/>
          <w:szCs w:val="24"/>
        </w:rPr>
      </w:pPr>
    </w:p>
    <w:p w:rsidR="009720E1" w:rsidRPr="00B47F7D" w:rsidRDefault="009720E1" w:rsidP="009720E1">
      <w:pPr>
        <w:pStyle w:val="NormalWeb"/>
        <w:shd w:val="clear" w:color="auto" w:fill="FFFFFF"/>
        <w:spacing w:before="0" w:beforeAutospacing="0" w:after="0" w:afterAutospacing="0"/>
        <w:jc w:val="both"/>
        <w:textAlignment w:val="baseline"/>
        <w:rPr>
          <w:color w:val="1A1A1A"/>
          <w:u w:val="single"/>
        </w:rPr>
      </w:pPr>
      <w:r w:rsidRPr="00B47F7D">
        <w:rPr>
          <w:color w:val="1A1A1A"/>
          <w:u w:val="single"/>
        </w:rPr>
        <w:t>China representa una de las economías más boyantes del mundo y lleva dos décadas en las que</w:t>
      </w:r>
      <w:r w:rsidRPr="00B47F7D">
        <w:rPr>
          <w:rStyle w:val="Textoennegrita"/>
          <w:color w:val="1A1A1A"/>
          <w:u w:val="single"/>
          <w:bdr w:val="none" w:sz="0" w:space="0" w:color="auto" w:frame="1"/>
        </w:rPr>
        <w:t> no solo está creciendo a un ritmo casi imparable</w:t>
      </w:r>
      <w:r w:rsidRPr="00B47F7D">
        <w:rPr>
          <w:color w:val="1A1A1A"/>
          <w:u w:val="single"/>
        </w:rPr>
        <w:t>, sino que además empieza a tocar con la punta de los dedos las cotas alcanzadas por países tradicionalmente más ricos como Estados Unidos.</w:t>
      </w: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p>
    <w:p w:rsidR="009720E1" w:rsidRPr="00B47F7D" w:rsidRDefault="009720E1" w:rsidP="009720E1">
      <w:pPr>
        <w:pStyle w:val="NormalWeb"/>
        <w:shd w:val="clear" w:color="auto" w:fill="FFFFFF"/>
        <w:spacing w:before="0" w:beforeAutospacing="0" w:after="0" w:afterAutospacing="0"/>
        <w:jc w:val="both"/>
        <w:textAlignment w:val="baseline"/>
        <w:rPr>
          <w:color w:val="FF0000"/>
          <w:u w:val="single"/>
        </w:rPr>
      </w:pPr>
      <w:r w:rsidRPr="00B47F7D">
        <w:rPr>
          <w:color w:val="FF0000"/>
          <w:u w:val="single"/>
        </w:rPr>
        <w:t>Las cifras lo dejan claro: en los últimos 19 años, </w:t>
      </w:r>
      <w:r w:rsidRPr="00B47F7D">
        <w:rPr>
          <w:rStyle w:val="Textoennegrita"/>
          <w:color w:val="FF0000"/>
          <w:u w:val="single"/>
          <w:bdr w:val="none" w:sz="0" w:space="0" w:color="auto" w:frame="1"/>
        </w:rPr>
        <w:t>el Producto Interior Bruto (PIB) del país se ha multiplicado por diez</w:t>
      </w:r>
      <w:r w:rsidRPr="00B47F7D">
        <w:rPr>
          <w:color w:val="FF0000"/>
          <w:u w:val="single"/>
        </w:rPr>
        <w:t>, de los 1,02 billones de euros de 1999 hasta los 10,84 billones actuales. Y eso ha traído consigo una consecuencia inmediata: el nivel de vida de muchos chinos ha subido de manera exponencial.</w:t>
      </w:r>
    </w:p>
    <w:p w:rsidR="009720E1" w:rsidRDefault="009720E1" w:rsidP="009720E1">
      <w:pPr>
        <w:pStyle w:val="NormalWeb"/>
        <w:shd w:val="clear" w:color="auto" w:fill="FFFFFF"/>
        <w:spacing w:before="0" w:beforeAutospacing="0" w:after="0" w:afterAutospacing="0"/>
        <w:jc w:val="both"/>
        <w:textAlignment w:val="baseline"/>
        <w:rPr>
          <w:color w:val="1A1A1A"/>
        </w:rPr>
      </w:pP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r w:rsidRPr="00191DE0">
        <w:rPr>
          <w:noProof/>
          <w:color w:val="1A1A1A"/>
        </w:rPr>
        <w:lastRenderedPageBreak/>
        <w:drawing>
          <wp:inline distT="0" distB="0" distL="0" distR="0" wp14:anchorId="3CEA740A" wp14:editId="09728B43">
            <wp:extent cx="5731660" cy="2800350"/>
            <wp:effectExtent l="0" t="0" r="254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5731510" cy="2800277"/>
                    </a:xfrm>
                    <a:prstGeom prst="rect">
                      <a:avLst/>
                    </a:prstGeom>
                  </pic:spPr>
                </pic:pic>
              </a:graphicData>
            </a:graphic>
          </wp:inline>
        </w:drawing>
      </w:r>
    </w:p>
    <w:p w:rsidR="009720E1" w:rsidRDefault="009720E1" w:rsidP="009720E1">
      <w:pPr>
        <w:pStyle w:val="NormalWeb"/>
        <w:shd w:val="clear" w:color="auto" w:fill="FFFFFF"/>
        <w:spacing w:before="0" w:beforeAutospacing="0" w:after="0" w:afterAutospacing="0"/>
        <w:jc w:val="both"/>
        <w:textAlignment w:val="baseline"/>
        <w:rPr>
          <w:color w:val="1A1A1A"/>
        </w:rPr>
      </w:pPr>
    </w:p>
    <w:p w:rsidR="009720E1" w:rsidRPr="00B47F7D" w:rsidRDefault="009720E1" w:rsidP="009720E1">
      <w:pPr>
        <w:pStyle w:val="NormalWeb"/>
        <w:shd w:val="clear" w:color="auto" w:fill="FFFFFF"/>
        <w:spacing w:before="0" w:beforeAutospacing="0" w:after="0" w:afterAutospacing="0"/>
        <w:jc w:val="both"/>
        <w:textAlignment w:val="baseline"/>
        <w:rPr>
          <w:color w:val="FF0000"/>
          <w:u w:val="single"/>
        </w:rPr>
      </w:pPr>
      <w:r w:rsidRPr="00191DE0">
        <w:rPr>
          <w:color w:val="1A1A1A"/>
        </w:rPr>
        <w:t xml:space="preserve">Dicho crecimiento se ha reflejado en el aumento de su comercio a nivel mundial, pero mucho más especialmente en el sector del lujo. </w:t>
      </w:r>
      <w:r w:rsidRPr="00B47F7D">
        <w:rPr>
          <w:color w:val="FF0000"/>
          <w:u w:val="single"/>
        </w:rPr>
        <w:t>Según el </w:t>
      </w:r>
      <w:hyperlink r:id="rId258" w:anchor="002" w:tgtFrame="_blank" w:history="1">
        <w:r w:rsidRPr="00B47F7D">
          <w:rPr>
            <w:rStyle w:val="Hipervnculo"/>
            <w:rFonts w:eastAsiaTheme="majorEastAsia"/>
            <w:color w:val="FF0000"/>
          </w:rPr>
          <w:t>informe Luxury and cosmetics financial factbook 2018</w:t>
        </w:r>
      </w:hyperlink>
      <w:r w:rsidRPr="00B47F7D">
        <w:rPr>
          <w:color w:val="FF0000"/>
          <w:u w:val="single"/>
        </w:rPr>
        <w:t>, elaborado por el </w:t>
      </w:r>
      <w:r w:rsidRPr="00B47F7D">
        <w:rPr>
          <w:rStyle w:val="Textoennegrita"/>
          <w:color w:val="FF0000"/>
          <w:u w:val="single"/>
          <w:bdr w:val="none" w:sz="0" w:space="0" w:color="auto" w:frame="1"/>
        </w:rPr>
        <w:t>Centro de Estudios de EY</w:t>
      </w:r>
      <w:r w:rsidRPr="00B47F7D">
        <w:rPr>
          <w:color w:val="FF0000"/>
          <w:u w:val="single"/>
        </w:rPr>
        <w:t>, los consumidores chinos son responsables de cerca del 30% del volumen de negocio generado por la industria del lujo en todo el mundo.</w:t>
      </w: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p>
    <w:p w:rsidR="009720E1"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Si ampliamos el foco hacia las industrias del lujo, perfumería y cosméticos, el papel de China sigue siendo muy representativo: generó en su mercado unos ingresos de 24.000 millones de euros. Este auge se debe, principalmente, a dos factores: en primer lugar, </w:t>
      </w:r>
      <w:r w:rsidRPr="00B47F7D">
        <w:rPr>
          <w:rStyle w:val="Textoennegrita"/>
          <w:color w:val="1A1A1A"/>
          <w:bdr w:val="none" w:sz="0" w:space="0" w:color="auto" w:frame="1"/>
        </w:rPr>
        <w:t>la expansión de la clase alta</w:t>
      </w:r>
      <w:r w:rsidRPr="00191DE0">
        <w:rPr>
          <w:rStyle w:val="Textoennegrita"/>
          <w:color w:val="1A1A1A"/>
          <w:bdr w:val="none" w:sz="0" w:space="0" w:color="auto" w:frame="1"/>
        </w:rPr>
        <w:t> </w:t>
      </w:r>
      <w:r w:rsidRPr="00191DE0">
        <w:rPr>
          <w:color w:val="1A1A1A"/>
        </w:rPr>
        <w:t>gracias al aumento del nivel económico del país; en segundo, el aumento de</w:t>
      </w:r>
      <w:r w:rsidRPr="00191DE0">
        <w:rPr>
          <w:rStyle w:val="Textoennegrita"/>
          <w:color w:val="1A1A1A"/>
          <w:bdr w:val="none" w:sz="0" w:space="0" w:color="auto" w:frame="1"/>
        </w:rPr>
        <w:t> </w:t>
      </w:r>
      <w:r w:rsidRPr="00B47F7D">
        <w:rPr>
          <w:rStyle w:val="Textoennegrita"/>
          <w:color w:val="1A1A1A"/>
          <w:bdr w:val="none" w:sz="0" w:space="0" w:color="auto" w:frame="1"/>
        </w:rPr>
        <w:t>consumidores chinos que viajan por el mundo</w:t>
      </w:r>
      <w:r>
        <w:rPr>
          <w:rStyle w:val="Textoennegrita"/>
          <w:color w:val="1A1A1A"/>
          <w:bdr w:val="none" w:sz="0" w:space="0" w:color="auto" w:frame="1"/>
        </w:rPr>
        <w:t xml:space="preserve"> </w:t>
      </w:r>
      <w:r w:rsidRPr="00191DE0">
        <w:rPr>
          <w:color w:val="1A1A1A"/>
        </w:rPr>
        <w:t>y que incrementan su gasto en productos de lujo.</w:t>
      </w: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p>
    <w:p w:rsidR="009720E1"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De hecho, las empresas de cosméticos incrementa</w:t>
      </w:r>
      <w:r>
        <w:rPr>
          <w:color w:val="1A1A1A"/>
        </w:rPr>
        <w:t>rán un 6,1% sus ventas en 2018 -</w:t>
      </w:r>
      <w:r w:rsidRPr="00191DE0">
        <w:rPr>
          <w:color w:val="1A1A1A"/>
        </w:rPr>
        <w:t xml:space="preserve">frente al 5,8% de 2017 o el </w:t>
      </w:r>
      <w:r>
        <w:rPr>
          <w:color w:val="1A1A1A"/>
        </w:rPr>
        <w:t>4% de 2016-</w:t>
      </w:r>
      <w:r w:rsidRPr="00191DE0">
        <w:rPr>
          <w:color w:val="1A1A1A"/>
        </w:rPr>
        <w:t xml:space="preserve"> gracias precisamente a estos consumidores, que han de sumarse a los del resto de </w:t>
      </w:r>
      <w:r w:rsidRPr="00B47F7D">
        <w:rPr>
          <w:rStyle w:val="Textoennegrita"/>
          <w:color w:val="1A1A1A"/>
          <w:bdr w:val="none" w:sz="0" w:space="0" w:color="auto" w:frame="1"/>
        </w:rPr>
        <w:t>países emergentes</w:t>
      </w:r>
      <w:r w:rsidRPr="00191DE0">
        <w:rPr>
          <w:color w:val="1A1A1A"/>
        </w:rPr>
        <w:t>, cuyas economías también llevan impulsando la industria mundial del lujo en los últimos años.</w:t>
      </w:r>
    </w:p>
    <w:p w:rsidR="009720E1" w:rsidRDefault="009720E1" w:rsidP="009720E1">
      <w:pPr>
        <w:pStyle w:val="NormalWeb"/>
        <w:shd w:val="clear" w:color="auto" w:fill="FFFFFF"/>
        <w:spacing w:before="0" w:beforeAutospacing="0" w:after="0" w:afterAutospacing="0"/>
        <w:jc w:val="both"/>
        <w:textAlignment w:val="baseline"/>
        <w:rPr>
          <w:color w:val="1A1A1A"/>
        </w:rPr>
      </w:pPr>
    </w:p>
    <w:p w:rsidR="009720E1" w:rsidRPr="00B47F7D" w:rsidRDefault="009720E1" w:rsidP="009720E1">
      <w:pPr>
        <w:pStyle w:val="NormalWeb"/>
        <w:shd w:val="clear" w:color="auto" w:fill="FFFFFF"/>
        <w:spacing w:before="0" w:beforeAutospacing="0" w:after="0" w:afterAutospacing="0"/>
        <w:jc w:val="both"/>
        <w:textAlignment w:val="baseline"/>
        <w:rPr>
          <w:color w:val="1A1A1A"/>
        </w:rPr>
      </w:pPr>
      <w:r w:rsidRPr="00B47F7D">
        <w:rPr>
          <w:color w:val="1A1A1A"/>
        </w:rPr>
        <w:t>Una industria de 435.000 millones</w:t>
      </w:r>
    </w:p>
    <w:p w:rsidR="009720E1" w:rsidRDefault="009720E1" w:rsidP="009720E1">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9720E1" w:rsidRPr="00B47F7D"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El informe de EY ofrece una radiografía completa de la industria del lujo, la perfumería y la cosmética, que alcanzó el año pasado unos ingresos totales de 435.000 millones de euros, lo que supone </w:t>
      </w:r>
      <w:r w:rsidRPr="00B47F7D">
        <w:rPr>
          <w:rStyle w:val="Textoennegrita"/>
          <w:color w:val="1A1A1A"/>
          <w:bdr w:val="none" w:sz="0" w:space="0" w:color="auto" w:frame="1"/>
        </w:rPr>
        <w:t>un incremento del 3,8% respecto a 2016</w:t>
      </w:r>
      <w:r w:rsidRPr="00B47F7D">
        <w:rPr>
          <w:color w:val="1A1A1A"/>
        </w:rPr>
        <w:t>.</w:t>
      </w:r>
    </w:p>
    <w:p w:rsidR="009720E1" w:rsidRPr="00B47F7D" w:rsidRDefault="009720E1" w:rsidP="009720E1">
      <w:pPr>
        <w:pStyle w:val="NormalWeb"/>
        <w:shd w:val="clear" w:color="auto" w:fill="FFFFFF"/>
        <w:spacing w:before="0" w:beforeAutospacing="0" w:after="0" w:afterAutospacing="0"/>
        <w:jc w:val="both"/>
        <w:textAlignment w:val="baseline"/>
        <w:rPr>
          <w:color w:val="1A1A1A"/>
        </w:rPr>
      </w:pP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En el ámbito geográfico, </w:t>
      </w:r>
      <w:r w:rsidRPr="00B47F7D">
        <w:rPr>
          <w:rStyle w:val="Textoennegrita"/>
          <w:color w:val="1A1A1A"/>
          <w:bdr w:val="none" w:sz="0" w:space="0" w:color="auto" w:frame="1"/>
        </w:rPr>
        <w:t>Estados Unidos y Europa son los principales mercados de la industria</w:t>
      </w:r>
      <w:r w:rsidRPr="00191DE0">
        <w:rPr>
          <w:color w:val="1A1A1A"/>
        </w:rPr>
        <w:t>, que generó en 2017 unos ingresos de 109.000 millones de euros en Estados Unidos y se prevé que alcance los 127.000 millones en 2021. En el caso del segme</w:t>
      </w:r>
      <w:r w:rsidR="0036518C">
        <w:rPr>
          <w:color w:val="1A1A1A"/>
        </w:rPr>
        <w:t>nto pre</w:t>
      </w:r>
      <w:r>
        <w:rPr>
          <w:color w:val="1A1A1A"/>
        </w:rPr>
        <w:t>mium y entrada al lujo (“</w:t>
      </w:r>
      <w:r w:rsidRPr="00191DE0">
        <w:rPr>
          <w:color w:val="1A1A1A"/>
        </w:rPr>
        <w:t>premium an</w:t>
      </w:r>
      <w:r>
        <w:rPr>
          <w:color w:val="1A1A1A"/>
        </w:rPr>
        <w:t>d entre-to-luxury”</w:t>
      </w:r>
      <w:r w:rsidRPr="00191DE0">
        <w:rPr>
          <w:color w:val="1A1A1A"/>
        </w:rPr>
        <w:t>), los ingresos registrados en el país fueron de 28.000 millones de euros en 2017 y se estima que lleguen a los 39.000 millones para 2021, mientras que en Europa fueron de 35.000 millones y se prevé que alcancen los 40.000 millones en 2021.</w:t>
      </w:r>
    </w:p>
    <w:p w:rsidR="009720E1" w:rsidRDefault="009720E1" w:rsidP="009720E1">
      <w:pPr>
        <w:pStyle w:val="NormalWeb"/>
        <w:shd w:val="clear" w:color="auto" w:fill="FFFFFF"/>
        <w:spacing w:before="0" w:beforeAutospacing="0" w:after="0" w:afterAutospacing="0"/>
        <w:jc w:val="both"/>
        <w:textAlignment w:val="baseline"/>
        <w:rPr>
          <w:color w:val="1A1A1A"/>
        </w:rPr>
      </w:pPr>
    </w:p>
    <w:p w:rsidR="009720E1"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lastRenderedPageBreak/>
        <w:t>Además del crecimiento de las economías emergentes, hay otro factor que explica el aumento de los volúmenes de negocio en el sector del lujo: </w:t>
      </w:r>
      <w:r w:rsidRPr="00B47F7D">
        <w:rPr>
          <w:rStyle w:val="Textoennegrita"/>
          <w:color w:val="1A1A1A"/>
          <w:bdr w:val="none" w:sz="0" w:space="0" w:color="auto" w:frame="1"/>
        </w:rPr>
        <w:t>la digitalización</w:t>
      </w:r>
      <w:r w:rsidRPr="00191DE0">
        <w:rPr>
          <w:color w:val="1A1A1A"/>
        </w:rPr>
        <w:t>. Al lujo le costaba entrar en el comercio electrónico, sobre todo frente a otros sectores de un perfil más bajo, pero a día de hoy, según el informe de EY, más del 60% de las compras viene influida desde internet y más del 70% de los consumidores conecta con sus marcas favoritas a través de las redes sociales.</w:t>
      </w: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p>
    <w:p w:rsidR="009720E1"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Para </w:t>
      </w:r>
      <w:r w:rsidRPr="002F2FED">
        <w:rPr>
          <w:rStyle w:val="Textoennegrita"/>
          <w:b w:val="0"/>
          <w:color w:val="1A1A1A"/>
          <w:bdr w:val="none" w:sz="0" w:space="0" w:color="auto" w:frame="1"/>
        </w:rPr>
        <w:t>Patricia Fernández Mesa</w:t>
      </w:r>
      <w:r w:rsidRPr="00191DE0">
        <w:rPr>
          <w:color w:val="1A1A1A"/>
        </w:rPr>
        <w:t>, la socia de EY responsable de Moda y Lujo, la tecnología marca pr</w:t>
      </w:r>
      <w:r>
        <w:rPr>
          <w:color w:val="1A1A1A"/>
        </w:rPr>
        <w:t>ecisamente el camino a seguir: “</w:t>
      </w:r>
      <w:r w:rsidRPr="00191DE0">
        <w:rPr>
          <w:color w:val="1A1A1A"/>
        </w:rPr>
        <w:t>El sector debe reinventarse y seguir innovando para continuar creciendo. De hecho, esta industria dispone ya de numerosas herramientas y tecnologías para conocer mejor al nuevo consumidor y cumplir sus exigencias. Un cliente que, sin lugar a dudas, valora cada vez más el factor experiencial en el proceso de compra, además de la calidad, la exclusivida</w:t>
      </w:r>
      <w:r>
        <w:rPr>
          <w:color w:val="1A1A1A"/>
        </w:rPr>
        <w:t>d y la artesanía del producto”.</w:t>
      </w: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p>
    <w:p w:rsidR="009720E1" w:rsidRPr="00B47F7D" w:rsidRDefault="009720E1" w:rsidP="009720E1">
      <w:pPr>
        <w:pStyle w:val="Ttulo4"/>
        <w:shd w:val="clear" w:color="auto" w:fill="FFFFFF"/>
        <w:spacing w:before="0" w:line="240" w:lineRule="auto"/>
        <w:jc w:val="both"/>
        <w:textAlignment w:val="baseline"/>
        <w:rPr>
          <w:rFonts w:ascii="Times New Roman" w:hAnsi="Times New Roman" w:cs="Times New Roman"/>
          <w:b w:val="0"/>
          <w:i w:val="0"/>
          <w:color w:val="1A1A1A"/>
          <w:sz w:val="24"/>
          <w:szCs w:val="24"/>
        </w:rPr>
      </w:pPr>
      <w:r w:rsidRPr="00B47F7D">
        <w:rPr>
          <w:rFonts w:ascii="Times New Roman" w:hAnsi="Times New Roman" w:cs="Times New Roman"/>
          <w:b w:val="0"/>
          <w:i w:val="0"/>
          <w:color w:val="1A1A1A"/>
          <w:sz w:val="24"/>
          <w:szCs w:val="24"/>
        </w:rPr>
        <w:t>El futuro: 517.000 millones en 2021</w:t>
      </w:r>
    </w:p>
    <w:p w:rsidR="009720E1" w:rsidRPr="00B47F7D" w:rsidRDefault="009720E1" w:rsidP="009720E1">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9720E1"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La industria del lujo no ha tocado techo y lo mejor está por llegar. Según el informe de EY, dentro de poco los 435.000 millones de negocio actuales se quedarán pequeños y </w:t>
      </w:r>
      <w:r w:rsidRPr="00B47F7D">
        <w:rPr>
          <w:rStyle w:val="Textoennegrita"/>
          <w:color w:val="1A1A1A"/>
          <w:bdr w:val="none" w:sz="0" w:space="0" w:color="auto" w:frame="1"/>
        </w:rPr>
        <w:t>el sector alcanzará los 517.000 millones de euros de facturación en 2021</w:t>
      </w:r>
      <w:r w:rsidRPr="00191DE0">
        <w:rPr>
          <w:color w:val="1A1A1A"/>
        </w:rPr>
        <w:t>, lo que da buena cuenta de hasta qué punto, según las previsiones, seguirá creciendo esta industria.</w:t>
      </w: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p>
    <w:p w:rsidR="009720E1"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 xml:space="preserve">Los mayores crecimientos vendrán de la mano de </w:t>
      </w:r>
      <w:r w:rsidR="002F2FED">
        <w:rPr>
          <w:color w:val="1A1A1A"/>
        </w:rPr>
        <w:t>las firmas clasificadas como pre</w:t>
      </w:r>
      <w:r w:rsidRPr="00191DE0">
        <w:rPr>
          <w:color w:val="1A1A1A"/>
        </w:rPr>
        <w:t>mium y de entrada al lujo. Concretamente, este segmento cerró 2017 con </w:t>
      </w:r>
      <w:r w:rsidRPr="00B47F7D">
        <w:rPr>
          <w:rStyle w:val="Textoennegrita"/>
          <w:color w:val="1A1A1A"/>
          <w:bdr w:val="none" w:sz="0" w:space="0" w:color="auto" w:frame="1"/>
        </w:rPr>
        <w:t>unos ingresos de 108.000 millones de euros</w:t>
      </w:r>
      <w:r>
        <w:rPr>
          <w:rStyle w:val="Textoennegrita"/>
          <w:color w:val="1A1A1A"/>
          <w:bdr w:val="none" w:sz="0" w:space="0" w:color="auto" w:frame="1"/>
        </w:rPr>
        <w:t xml:space="preserve"> </w:t>
      </w:r>
      <w:r w:rsidRPr="00191DE0">
        <w:rPr>
          <w:color w:val="1A1A1A"/>
        </w:rPr>
        <w:t>y se prevé una tasa de crecimiento anual compuesto (CAGR, por sus siglas en inglés) del 7,5% para el período 2017-2021.</w:t>
      </w:r>
    </w:p>
    <w:p w:rsidR="009720E1" w:rsidRDefault="009720E1" w:rsidP="009720E1">
      <w:pPr>
        <w:pStyle w:val="NormalWeb"/>
        <w:shd w:val="clear" w:color="auto" w:fill="FFFFFF"/>
        <w:spacing w:before="0" w:beforeAutospacing="0" w:after="0" w:afterAutospacing="0"/>
        <w:jc w:val="both"/>
        <w:textAlignment w:val="baseline"/>
        <w:rPr>
          <w:color w:val="1A1A1A"/>
        </w:rPr>
      </w:pPr>
    </w:p>
    <w:p w:rsidR="009720E1"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En el caso de los productos de perfumería y cosmética, las previsiones anticipan </w:t>
      </w:r>
      <w:r w:rsidRPr="00B47F7D">
        <w:rPr>
          <w:rStyle w:val="Textoennegrita"/>
          <w:color w:val="1A1A1A"/>
          <w:bdr w:val="none" w:sz="0" w:space="0" w:color="auto" w:frame="1"/>
        </w:rPr>
        <w:t>un crecimiento anual del 4,5%</w:t>
      </w:r>
      <w:r w:rsidRPr="00191DE0">
        <w:rPr>
          <w:color w:val="1A1A1A"/>
        </w:rPr>
        <w:t>, tras alcanzar el año pasado unos ingresos de 51.000 millones de euros, mientras que el CAGR estimado para el segmento del lujo (tradicionalmente el más elevado de la industria y cuya facturación ascendió a 276.000 millones en 2017) se sitúa en el 3% para 2017-2021.</w:t>
      </w:r>
    </w:p>
    <w:p w:rsidR="009720E1" w:rsidRDefault="009720E1" w:rsidP="009720E1">
      <w:pPr>
        <w:pStyle w:val="NormalWeb"/>
        <w:shd w:val="clear" w:color="auto" w:fill="FFFFFF"/>
        <w:spacing w:before="0" w:beforeAutospacing="0" w:after="0" w:afterAutospacing="0"/>
        <w:jc w:val="both"/>
        <w:textAlignment w:val="baseline"/>
        <w:rPr>
          <w:color w:val="1A1A1A"/>
        </w:rPr>
      </w:pP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p>
    <w:p w:rsidR="009720E1" w:rsidRPr="00191DE0" w:rsidRDefault="009720E1" w:rsidP="009720E1">
      <w:pPr>
        <w:shd w:val="clear" w:color="auto" w:fill="FFFFFF"/>
        <w:spacing w:line="240" w:lineRule="auto"/>
        <w:jc w:val="both"/>
        <w:textAlignment w:val="baseline"/>
        <w:rPr>
          <w:rFonts w:ascii="Times New Roman" w:hAnsi="Times New Roman" w:cs="Times New Roman"/>
          <w:color w:val="1A1A1A"/>
          <w:sz w:val="24"/>
          <w:szCs w:val="24"/>
          <w:lang w:val="en-US"/>
        </w:rPr>
      </w:pPr>
      <w:r w:rsidRPr="00191DE0">
        <w:rPr>
          <w:rFonts w:ascii="Times New Roman" w:hAnsi="Times New Roman" w:cs="Times New Roman"/>
          <w:noProof/>
          <w:color w:val="1A1A1A"/>
          <w:sz w:val="24"/>
          <w:szCs w:val="24"/>
          <w:lang w:eastAsia="es-ES"/>
        </w:rPr>
        <w:drawing>
          <wp:inline distT="0" distB="0" distL="0" distR="0" wp14:anchorId="0A5544D6" wp14:editId="043E81C4">
            <wp:extent cx="6229350" cy="2324100"/>
            <wp:effectExtent l="0" t="0" r="0" b="0"/>
            <wp:docPr id="207" name="Imagen 207" descr="Fuente: Luxury and cosmetics financial factbook 2018 (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uente: Luxury and cosmetics financial factbook 2018 (EY)."/>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229350" cy="2324100"/>
                    </a:xfrm>
                    <a:prstGeom prst="rect">
                      <a:avLst/>
                    </a:prstGeom>
                    <a:noFill/>
                    <a:ln>
                      <a:noFill/>
                    </a:ln>
                  </pic:spPr>
                </pic:pic>
              </a:graphicData>
            </a:graphic>
          </wp:inline>
        </w:drawing>
      </w:r>
      <w:r w:rsidRPr="00191DE0">
        <w:rPr>
          <w:rFonts w:ascii="Times New Roman" w:hAnsi="Times New Roman" w:cs="Times New Roman"/>
          <w:color w:val="1A1A1A"/>
          <w:sz w:val="24"/>
          <w:szCs w:val="24"/>
          <w:lang w:val="en-US"/>
        </w:rPr>
        <w:t>Fuente: Luxury and cosmetics financial factbook 2018 (EY).</w:t>
      </w:r>
    </w:p>
    <w:p w:rsidR="009720E1"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Además, el informe destaca varios aspectos más que marcarán el devenir de la industria: la tendencia haci</w:t>
      </w:r>
      <w:r w:rsidR="002F2FED">
        <w:rPr>
          <w:color w:val="1A1A1A"/>
        </w:rPr>
        <w:t>a el desarrollo de productos pre</w:t>
      </w:r>
      <w:r w:rsidRPr="00191DE0">
        <w:rPr>
          <w:color w:val="1A1A1A"/>
        </w:rPr>
        <w:t>mium, un mayor uso del maquillaje ent</w:t>
      </w:r>
      <w:r>
        <w:rPr>
          <w:color w:val="1A1A1A"/>
        </w:rPr>
        <w:t xml:space="preserve">re los </w:t>
      </w:r>
      <w:r>
        <w:rPr>
          <w:color w:val="1A1A1A"/>
        </w:rPr>
        <w:lastRenderedPageBreak/>
        <w:t>“millennials” (especialmente en la “</w:t>
      </w:r>
      <w:r w:rsidRPr="00191DE0">
        <w:rPr>
          <w:color w:val="1A1A1A"/>
        </w:rPr>
        <w:t>generación</w:t>
      </w:r>
      <w:r>
        <w:rPr>
          <w:color w:val="1A1A1A"/>
        </w:rPr>
        <w:t xml:space="preserve"> del selfi”</w:t>
      </w:r>
      <w:r w:rsidRPr="00191DE0">
        <w:rPr>
          <w:color w:val="1A1A1A"/>
        </w:rPr>
        <w:t>) y la generación Z, la promoción</w:t>
      </w:r>
      <w:r>
        <w:rPr>
          <w:color w:val="1A1A1A"/>
        </w:rPr>
        <w:t xml:space="preserve"> realizada por los “bloggers”</w:t>
      </w:r>
      <w:r w:rsidRPr="00191DE0">
        <w:rPr>
          <w:color w:val="1A1A1A"/>
        </w:rPr>
        <w:t xml:space="preserve"> de belleza y apoyo de famosos, una </w:t>
      </w:r>
      <w:r w:rsidRPr="00B47F7D">
        <w:rPr>
          <w:rStyle w:val="Textoennegrita"/>
          <w:color w:val="1A1A1A"/>
          <w:bdr w:val="none" w:sz="0" w:space="0" w:color="auto" w:frame="1"/>
        </w:rPr>
        <w:t>mayor tasa de mujeres trabajadoras en mercados emergentes</w:t>
      </w:r>
      <w:r w:rsidRPr="00191DE0">
        <w:rPr>
          <w:color w:val="1A1A1A"/>
        </w:rPr>
        <w:t>, un mayor turismo internacional y la proliferación de nuevos productos y marcas de nicho.</w:t>
      </w: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p>
    <w:p w:rsidR="009720E1" w:rsidRPr="00B47F7D" w:rsidRDefault="009720E1" w:rsidP="009720E1">
      <w:pPr>
        <w:pStyle w:val="Ttulo4"/>
        <w:shd w:val="clear" w:color="auto" w:fill="FFFFFF"/>
        <w:spacing w:before="0" w:line="240" w:lineRule="auto"/>
        <w:jc w:val="both"/>
        <w:textAlignment w:val="baseline"/>
        <w:rPr>
          <w:rFonts w:ascii="Times New Roman" w:hAnsi="Times New Roman" w:cs="Times New Roman"/>
          <w:b w:val="0"/>
          <w:i w:val="0"/>
          <w:color w:val="1A1A1A"/>
          <w:sz w:val="24"/>
          <w:szCs w:val="24"/>
        </w:rPr>
      </w:pPr>
      <w:r w:rsidRPr="00B47F7D">
        <w:rPr>
          <w:rFonts w:ascii="Times New Roman" w:hAnsi="Times New Roman" w:cs="Times New Roman"/>
          <w:b w:val="0"/>
          <w:i w:val="0"/>
          <w:color w:val="1A1A1A"/>
          <w:sz w:val="24"/>
          <w:szCs w:val="24"/>
        </w:rPr>
        <w:t>Las empresas, en estado de gracia</w:t>
      </w:r>
    </w:p>
    <w:p w:rsidR="009720E1" w:rsidRDefault="009720E1" w:rsidP="009720E1">
      <w:pPr>
        <w:pStyle w:val="NormalWeb"/>
        <w:shd w:val="clear" w:color="auto" w:fill="FFFFFF"/>
        <w:spacing w:before="0" w:beforeAutospacing="0" w:after="0" w:afterAutospacing="0"/>
        <w:jc w:val="both"/>
        <w:textAlignment w:val="baseline"/>
        <w:rPr>
          <w:rFonts w:asciiTheme="minorHAnsi" w:eastAsiaTheme="minorEastAsia" w:hAnsiTheme="minorHAnsi" w:cstheme="minorBidi"/>
          <w:sz w:val="22"/>
          <w:szCs w:val="22"/>
        </w:rPr>
      </w:pPr>
    </w:p>
    <w:p w:rsidR="009720E1"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A menudo nos encontramos con industrias al alza que, sin embargo, no ven reflejado ese crecimiento en los resultados empresariales de las compañías que forman su sector. No es este el caso: según el informe de EY, las compañías de lujo también registrarán en 2018 un buen comportamiento, con </w:t>
      </w:r>
      <w:r w:rsidRPr="00B47F7D">
        <w:rPr>
          <w:rStyle w:val="Textoennegrita"/>
          <w:color w:val="1A1A1A"/>
          <w:bdr w:val="none" w:sz="0" w:space="0" w:color="auto" w:frame="1"/>
        </w:rPr>
        <w:t>un crecimiento interanual de ventas esperado del 4,8%</w:t>
      </w:r>
      <w:r w:rsidRPr="00191DE0">
        <w:rPr>
          <w:color w:val="1A1A1A"/>
        </w:rPr>
        <w:t> (el año pasado fue del 3,7% y en 2016 del 0,4%).</w:t>
      </w: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p>
    <w:p w:rsidR="009720E1" w:rsidRDefault="009720E1" w:rsidP="009720E1">
      <w:pPr>
        <w:shd w:val="clear" w:color="auto" w:fill="FFFFFF"/>
        <w:spacing w:line="240" w:lineRule="auto"/>
        <w:jc w:val="both"/>
        <w:textAlignment w:val="baseline"/>
        <w:rPr>
          <w:rFonts w:ascii="Times New Roman" w:hAnsi="Times New Roman" w:cs="Times New Roman"/>
          <w:color w:val="1A1A1A"/>
          <w:sz w:val="24"/>
          <w:szCs w:val="24"/>
          <w:lang w:val="en-US"/>
        </w:rPr>
      </w:pPr>
      <w:r w:rsidRPr="00191DE0">
        <w:rPr>
          <w:rFonts w:ascii="Times New Roman" w:hAnsi="Times New Roman" w:cs="Times New Roman"/>
          <w:noProof/>
          <w:color w:val="1A1A1A"/>
          <w:sz w:val="24"/>
          <w:szCs w:val="24"/>
          <w:lang w:eastAsia="es-ES"/>
        </w:rPr>
        <w:drawing>
          <wp:inline distT="0" distB="0" distL="0" distR="0" wp14:anchorId="6D04DC45" wp14:editId="6E833960">
            <wp:extent cx="5803900" cy="2584450"/>
            <wp:effectExtent l="0" t="0" r="6350" b="6350"/>
            <wp:docPr id="208" name="Imagen 208" descr="Fuente: Luxury and cosmetics financial factbook 2018 (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uente: Luxury and cosmetics financial factbook 2018 (EY)."/>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803900" cy="2584450"/>
                    </a:xfrm>
                    <a:prstGeom prst="rect">
                      <a:avLst/>
                    </a:prstGeom>
                    <a:noFill/>
                    <a:ln>
                      <a:noFill/>
                    </a:ln>
                  </pic:spPr>
                </pic:pic>
              </a:graphicData>
            </a:graphic>
          </wp:inline>
        </w:drawing>
      </w:r>
      <w:r w:rsidRPr="00191DE0">
        <w:rPr>
          <w:rFonts w:ascii="Times New Roman" w:hAnsi="Times New Roman" w:cs="Times New Roman"/>
          <w:color w:val="1A1A1A"/>
          <w:sz w:val="24"/>
          <w:szCs w:val="24"/>
          <w:lang w:val="en-US"/>
        </w:rPr>
        <w:t>Fuente: Luxury and cosmetics financial factbook 2018 (EY).</w:t>
      </w:r>
    </w:p>
    <w:p w:rsidR="009720E1" w:rsidRPr="00B47F7D" w:rsidRDefault="009720E1" w:rsidP="009720E1">
      <w:pPr>
        <w:pStyle w:val="NormalWeb"/>
        <w:shd w:val="clear" w:color="auto" w:fill="FFFFFF"/>
        <w:spacing w:before="0" w:beforeAutospacing="0" w:after="0" w:afterAutospacing="0"/>
        <w:jc w:val="both"/>
        <w:textAlignment w:val="baseline"/>
        <w:rPr>
          <w:b/>
          <w:color w:val="1A1A1A"/>
          <w:u w:val="single"/>
        </w:rPr>
      </w:pPr>
      <w:r w:rsidRPr="00B47F7D">
        <w:rPr>
          <w:color w:val="1A1A1A"/>
          <w:u w:val="single"/>
        </w:rPr>
        <w:t>Las empresas del sector no solo se han visto beneficiadas por el aumento de las ventas, sino también por su implementación de estrategias digitales, por el crecimiento en los mercados emergentes (con China a la cabeza) y por la importancia de los “millennials” como nuevos consumidores del lujo. En total, las compañías de lujo reflejan, de media, </w:t>
      </w:r>
      <w:r w:rsidRPr="00B47F7D">
        <w:rPr>
          <w:rStyle w:val="Textoennegrita"/>
          <w:color w:val="1A1A1A"/>
          <w:u w:val="single"/>
          <w:bdr w:val="none" w:sz="0" w:space="0" w:color="auto" w:frame="1"/>
        </w:rPr>
        <w:t>un margen de ebitda del 20,9%</w:t>
      </w:r>
      <w:r w:rsidRPr="00B47F7D">
        <w:rPr>
          <w:b/>
          <w:color w:val="1A1A1A"/>
          <w:u w:val="single"/>
        </w:rPr>
        <w:t>.</w:t>
      </w:r>
    </w:p>
    <w:p w:rsidR="009720E1" w:rsidRPr="00B47F7D" w:rsidRDefault="009720E1" w:rsidP="009720E1">
      <w:pPr>
        <w:pStyle w:val="NormalWeb"/>
        <w:shd w:val="clear" w:color="auto" w:fill="FFFFFF"/>
        <w:spacing w:before="0" w:beforeAutospacing="0" w:after="0" w:afterAutospacing="0"/>
        <w:jc w:val="both"/>
        <w:textAlignment w:val="baseline"/>
        <w:rPr>
          <w:color w:val="1A1A1A"/>
          <w:u w:val="single"/>
        </w:rPr>
      </w:pPr>
    </w:p>
    <w:p w:rsidR="009720E1"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Como consecuencia, el buen estado de salud de las empresas y la necesidad de seguir invirtiendo ha propiciado que numerosas compañías de la industria del lujo se hayan lanzado a hacer </w:t>
      </w:r>
      <w:r w:rsidRPr="00B47F7D">
        <w:rPr>
          <w:rStyle w:val="Textoennegrita"/>
          <w:color w:val="1A1A1A"/>
          <w:bdr w:val="none" w:sz="0" w:space="0" w:color="auto" w:frame="1"/>
        </w:rPr>
        <w:t>operaciones corporativas para ganar tamaño</w:t>
      </w:r>
      <w:r w:rsidRPr="00191DE0">
        <w:rPr>
          <w:color w:val="1A1A1A"/>
        </w:rPr>
        <w:t>, aumentar sus volúmenes de negocio y, al final, ser más competitivas dentro de un mercado cada vez más global.</w:t>
      </w:r>
    </w:p>
    <w:p w:rsidR="009720E1" w:rsidRPr="00191DE0" w:rsidRDefault="009720E1" w:rsidP="009720E1">
      <w:pPr>
        <w:pStyle w:val="NormalWeb"/>
        <w:shd w:val="clear" w:color="auto" w:fill="FFFFFF"/>
        <w:spacing w:before="0" w:beforeAutospacing="0" w:after="0" w:afterAutospacing="0"/>
        <w:jc w:val="both"/>
        <w:textAlignment w:val="baseline"/>
        <w:rPr>
          <w:color w:val="1A1A1A"/>
        </w:rPr>
      </w:pPr>
    </w:p>
    <w:p w:rsidR="009720E1" w:rsidRDefault="009720E1" w:rsidP="009720E1">
      <w:pPr>
        <w:pStyle w:val="NormalWeb"/>
        <w:shd w:val="clear" w:color="auto" w:fill="FFFFFF"/>
        <w:spacing w:before="0" w:beforeAutospacing="0" w:after="0" w:afterAutospacing="0"/>
        <w:jc w:val="both"/>
        <w:textAlignment w:val="baseline"/>
        <w:rPr>
          <w:color w:val="1A1A1A"/>
        </w:rPr>
      </w:pPr>
      <w:r w:rsidRPr="00191DE0">
        <w:rPr>
          <w:color w:val="1A1A1A"/>
        </w:rPr>
        <w:t>De hecho, en 2017 se realizaron un 20% más de fusiones y adquisiciones (140 operaciones, frente a las 117 de 2016), confirmando, en definitiva, las positivas expectativas que tienen los inversores sobre el potencial del mercado del lujo.</w:t>
      </w:r>
    </w:p>
    <w:p w:rsidR="009720E1" w:rsidRPr="009720E1" w:rsidRDefault="009720E1" w:rsidP="009720E1">
      <w:pPr>
        <w:shd w:val="clear" w:color="auto" w:fill="FFFFFF"/>
        <w:textAlignment w:val="baseline"/>
        <w:rPr>
          <w:rFonts w:ascii="Times New Roman" w:hAnsi="Times New Roman" w:cs="Times New Roman"/>
          <w:color w:val="404040"/>
          <w:sz w:val="24"/>
          <w:szCs w:val="24"/>
        </w:rPr>
      </w:pPr>
    </w:p>
    <w:p w:rsidR="00517943" w:rsidRPr="009720E1" w:rsidRDefault="00517943" w:rsidP="00D17674">
      <w:pPr>
        <w:shd w:val="clear" w:color="auto" w:fill="FFFFFF"/>
        <w:spacing w:after="0" w:line="240" w:lineRule="auto"/>
        <w:jc w:val="both"/>
        <w:textAlignment w:val="baseline"/>
        <w:rPr>
          <w:rFonts w:ascii="Times New Roman" w:eastAsia="Times New Roman" w:hAnsi="Times New Roman" w:cs="Times New Roman"/>
          <w:b/>
          <w:sz w:val="24"/>
          <w:szCs w:val="24"/>
        </w:rPr>
      </w:pPr>
    </w:p>
    <w:p w:rsidR="00517943" w:rsidRPr="009720E1" w:rsidRDefault="00517943" w:rsidP="00D17674">
      <w:pPr>
        <w:shd w:val="clear" w:color="auto" w:fill="FFFFFF"/>
        <w:spacing w:after="0" w:line="240" w:lineRule="auto"/>
        <w:jc w:val="both"/>
        <w:textAlignment w:val="baseline"/>
        <w:rPr>
          <w:rFonts w:ascii="Times New Roman" w:eastAsia="Times New Roman" w:hAnsi="Times New Roman" w:cs="Times New Roman"/>
          <w:b/>
          <w:sz w:val="24"/>
          <w:szCs w:val="24"/>
        </w:rPr>
      </w:pPr>
    </w:p>
    <w:p w:rsidR="00D17674" w:rsidRPr="009720E1" w:rsidRDefault="00D17674" w:rsidP="00717D41">
      <w:pPr>
        <w:shd w:val="clear" w:color="auto" w:fill="FFFFFF"/>
        <w:spacing w:after="0" w:line="240" w:lineRule="auto"/>
        <w:jc w:val="both"/>
        <w:textAlignment w:val="baseline"/>
        <w:rPr>
          <w:rFonts w:ascii="Times New Roman" w:eastAsia="Times New Roman" w:hAnsi="Times New Roman" w:cs="Times New Roman"/>
          <w:sz w:val="24"/>
          <w:szCs w:val="24"/>
        </w:rPr>
      </w:pPr>
    </w:p>
    <w:p w:rsidR="00717D41" w:rsidRPr="009720E1" w:rsidRDefault="00717D41" w:rsidP="00717D41">
      <w:pPr>
        <w:shd w:val="clear" w:color="auto" w:fill="FFFFFF"/>
        <w:spacing w:after="0" w:line="240" w:lineRule="auto"/>
        <w:jc w:val="both"/>
        <w:textAlignment w:val="baseline"/>
        <w:rPr>
          <w:rFonts w:ascii="Times New Roman" w:eastAsia="Times New Roman" w:hAnsi="Times New Roman" w:cs="Times New Roman"/>
          <w:sz w:val="24"/>
          <w:szCs w:val="24"/>
        </w:rPr>
      </w:pPr>
    </w:p>
    <w:p w:rsidR="00AC42F7" w:rsidRPr="009720E1" w:rsidRDefault="00AC42F7" w:rsidP="00AD499D">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3D1C72" w:rsidRDefault="003928E7" w:rsidP="00844212">
      <w:pPr>
        <w:pStyle w:val="Ttulo1"/>
        <w:shd w:val="clear" w:color="auto" w:fill="FFFFFF"/>
        <w:spacing w:before="0"/>
        <w:textAlignment w:val="baseline"/>
        <w:rPr>
          <w:rFonts w:ascii="Times New Roman" w:hAnsi="Times New Roman" w:cs="Times New Roman"/>
          <w:color w:val="1E1E1E"/>
          <w:sz w:val="24"/>
          <w:szCs w:val="24"/>
        </w:rPr>
      </w:pPr>
      <w:r>
        <w:rPr>
          <w:rFonts w:ascii="Times New Roman" w:hAnsi="Times New Roman" w:cs="Times New Roman"/>
          <w:color w:val="1E1E1E"/>
          <w:sz w:val="24"/>
          <w:szCs w:val="24"/>
        </w:rPr>
        <w:lastRenderedPageBreak/>
        <w:t xml:space="preserve">- </w:t>
      </w:r>
      <w:r w:rsidR="00844212" w:rsidRPr="003D1C72">
        <w:rPr>
          <w:rFonts w:ascii="Times New Roman" w:hAnsi="Times New Roman" w:cs="Times New Roman"/>
          <w:color w:val="1E1E1E"/>
          <w:sz w:val="24"/>
          <w:szCs w:val="24"/>
        </w:rPr>
        <w:t>Antecedentes sobre EEUU: el fin del sueño americano</w:t>
      </w:r>
    </w:p>
    <w:p w:rsidR="00844212" w:rsidRDefault="00844212" w:rsidP="00844212">
      <w:pPr>
        <w:rPr>
          <w:lang w:eastAsia="es-ES"/>
        </w:rPr>
      </w:pPr>
    </w:p>
    <w:p w:rsidR="00844212" w:rsidRPr="003C3950" w:rsidRDefault="00844212" w:rsidP="00844212">
      <w:pPr>
        <w:rPr>
          <w:lang w:eastAsia="es-ES"/>
        </w:rPr>
      </w:pPr>
      <w:r>
        <w:rPr>
          <w:noProof/>
          <w:lang w:eastAsia="es-ES"/>
        </w:rPr>
        <w:drawing>
          <wp:inline distT="0" distB="0" distL="0" distR="0" wp14:anchorId="2E5FC82E" wp14:editId="2B8F52D8">
            <wp:extent cx="5715000" cy="2603500"/>
            <wp:effectExtent l="0" t="0" r="0" b="6350"/>
            <wp:docPr id="209" name="Imagen 209" descr="Image result for fotos pobreza de la clase media en los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fotos pobreza de la clase media en los EEUU"/>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715000" cy="2603500"/>
                    </a:xfrm>
                    <a:prstGeom prst="rect">
                      <a:avLst/>
                    </a:prstGeom>
                    <a:noFill/>
                    <a:ln>
                      <a:noFill/>
                    </a:ln>
                  </pic:spPr>
                </pic:pic>
              </a:graphicData>
            </a:graphic>
          </wp:inline>
        </w:drawing>
      </w:r>
    </w:p>
    <w:p w:rsidR="00844212" w:rsidRDefault="00844212" w:rsidP="00844212">
      <w:pPr>
        <w:rPr>
          <w:lang w:eastAsia="es-ES"/>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2E1EF3">
        <w:rPr>
          <w:rFonts w:ascii="Times New Roman" w:eastAsia="Times New Roman" w:hAnsi="Times New Roman" w:cs="Times New Roman"/>
          <w:sz w:val="24"/>
          <w:szCs w:val="24"/>
          <w:u w:val="single"/>
        </w:rPr>
        <w:t>Las cifras de la desigualdad en EE UU</w:t>
      </w:r>
      <w:r>
        <w:rPr>
          <w:rFonts w:ascii="Times New Roman" w:eastAsia="Times New Roman" w:hAnsi="Times New Roman" w:cs="Times New Roman"/>
          <w:sz w:val="24"/>
          <w:szCs w:val="24"/>
        </w:rPr>
        <w:t xml:space="preserve"> (El País - </w:t>
      </w:r>
      <w:r w:rsidRPr="002E1EF3">
        <w:rPr>
          <w:rFonts w:ascii="Times New Roman" w:eastAsia="Times New Roman" w:hAnsi="Times New Roman" w:cs="Times New Roman"/>
          <w:b/>
          <w:sz w:val="24"/>
          <w:szCs w:val="24"/>
        </w:rPr>
        <w:t>28/1/14</w:t>
      </w:r>
      <w:r>
        <w:rPr>
          <w:rFonts w:ascii="Times New Roman" w:eastAsia="Times New Roman" w:hAnsi="Times New Roman" w:cs="Times New Roman"/>
          <w:sz w:val="24"/>
          <w:szCs w:val="24"/>
        </w:rPr>
        <w:t>)</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recesión económica ha aumentado la brecha entre los ciudadanos con más recursos y aquellos que todavía no ven los efectos de la recuperación</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C</w:t>
      </w:r>
      <w:r>
        <w:rPr>
          <w:rFonts w:ascii="Times New Roman" w:eastAsia="Times New Roman" w:hAnsi="Times New Roman" w:cs="Times New Roman"/>
          <w:sz w:val="24"/>
          <w:szCs w:val="24"/>
        </w:rPr>
        <w:t>ristina F. Pereda)</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 tercio de las familias lideradas por una madre soltera vive por debajo del umbral de la pobreza, se</w:t>
      </w:r>
      <w:r>
        <w:rPr>
          <w:rFonts w:ascii="Times New Roman" w:eastAsia="Times New Roman" w:hAnsi="Times New Roman" w:cs="Times New Roman"/>
          <w:sz w:val="24"/>
          <w:szCs w:val="24"/>
        </w:rPr>
        <w:t xml:space="preserve">gún un estudio reciente. </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0522C5">
        <w:rPr>
          <w:rFonts w:ascii="Times New Roman" w:eastAsia="Times New Roman" w:hAnsi="Times New Roman" w:cs="Times New Roman"/>
          <w:sz w:val="24"/>
          <w:szCs w:val="24"/>
          <w:u w:val="single"/>
        </w:rPr>
        <w:t>El presidente de Estados Unidos, Barack Obama, aseguró en uno de sus últimos discursos de 2013 que “la desigualdad es el mayor desafío de nuestro tiempo”.</w:t>
      </w:r>
      <w:r w:rsidRPr="002E1EF3">
        <w:rPr>
          <w:rFonts w:ascii="Times New Roman" w:eastAsia="Times New Roman" w:hAnsi="Times New Roman" w:cs="Times New Roman"/>
          <w:sz w:val="24"/>
          <w:szCs w:val="24"/>
        </w:rPr>
        <w:t xml:space="preserve"> Medio siglo después de que el presidente Lyndon B. Johnson declarase la “guerra contra la pobreza”, y a pesar del progreso alcanzado, las dificultades económicas que atraviesan gran parte de los ciudadanos estadounidenses amenazan la salida definitiva de la recesión.</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desigualdad, tema central del discurso sobre el estado de la Unión que ofrece Obama esta noche, es también uno de los asuntos que el Partido Demócrata quiere convertir en protagonista de las elecciones legislativas del próximo otoño. A continuación, repasamos algunas de las</w:t>
      </w:r>
      <w:r>
        <w:rPr>
          <w:rFonts w:ascii="Times New Roman" w:eastAsia="Times New Roman" w:hAnsi="Times New Roman" w:cs="Times New Roman"/>
          <w:sz w:val="24"/>
          <w:szCs w:val="24"/>
        </w:rPr>
        <w:t xml:space="preserve"> cifras de la desigualdad en EE</w:t>
      </w:r>
      <w:r w:rsidRPr="002E1EF3">
        <w:rPr>
          <w:rFonts w:ascii="Times New Roman" w:eastAsia="Times New Roman" w:hAnsi="Times New Roman" w:cs="Times New Roman"/>
          <w:sz w:val="24"/>
          <w:szCs w:val="24"/>
        </w:rPr>
        <w:t>UU:</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Distribución de la riqueza</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0522C5"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0522C5">
        <w:rPr>
          <w:rFonts w:ascii="Times New Roman" w:eastAsia="Times New Roman" w:hAnsi="Times New Roman" w:cs="Times New Roman"/>
          <w:color w:val="FF0000"/>
          <w:sz w:val="24"/>
          <w:szCs w:val="24"/>
          <w:u w:val="single"/>
        </w:rPr>
        <w:t>Durante las tres últimas décadas, coincidiendo con el momento en que se estancaron los efectos de la guerra contra la pobreza de Johnson, la mayor parte de la riqueza ha sido amasada por el 1% de los estadounidenses, con ingresos medios de 27 millones de dólares anuales por familia, mientras que ese mismo índice se ha quedado clavado en unos 31.000 dólares para el 90% de los hogares estadounidenses, según datos de la Universidad de California Berkeley.</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lastRenderedPageBreak/>
        <w:t>Más de la mitad de los hijos de mujeres menores de 30 años son hijos de madres solteras, lo que aumenta sus probabilidades de vivir en la pobreza</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0522C5"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0522C5">
        <w:rPr>
          <w:rFonts w:ascii="Times New Roman" w:eastAsia="Times New Roman" w:hAnsi="Times New Roman" w:cs="Times New Roman"/>
          <w:color w:val="FF0000"/>
          <w:sz w:val="24"/>
          <w:szCs w:val="24"/>
          <w:u w:val="single"/>
        </w:rPr>
        <w:t>El presidente Obama alertó de las graves consecuencias de la desigualdad, un problema que ya padecía la economía estadounidense incluso antes de la recesión y que se ha agravado después. En 2007, el 1% de los ciudadanos poseía el 34 % de la riqueza. El siguiente 9% más rico manejaba el 38,5%, mientras que el 90% controlaba el tercio restante, un 26,9%, según datos de la Reserva Federal.</w:t>
      </w:r>
    </w:p>
    <w:p w:rsidR="00844212" w:rsidRPr="000522C5"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Nivel de ingresos</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0522C5"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0522C5">
        <w:rPr>
          <w:rFonts w:ascii="Times New Roman" w:eastAsia="Times New Roman" w:hAnsi="Times New Roman" w:cs="Times New Roman"/>
          <w:color w:val="FF0000"/>
          <w:sz w:val="24"/>
          <w:szCs w:val="24"/>
          <w:u w:val="single"/>
        </w:rPr>
        <w:t>La Universidad de Yale y la de California Berkeley se preguntaron qué había pasado para alcanzar ese nivel de desigualdad. Tras estudiar los ingresos medios de las familias estadounidenses entre 1979 y 2005, descubrieron que el 90% de los hogares había obtenido de media menos ingresos que al comienzo de ese período, mientras que el 1% de las familias ingresaba más de medio millón de dólares más de promedio.</w:t>
      </w:r>
    </w:p>
    <w:p w:rsidR="00844212" w:rsidRPr="000522C5"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Una de esas disparidades ha sido denunciada por el Centro para la Política Responsable, una organización de Washington. En un informe reciente, revelaron que la riqueza media de las familias estadounidenses es de 120.000 dólares, mientras que la de los miembros del Congreso es de 912.000 dólares.</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Pobreza</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6F5067"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2E1EF3">
        <w:rPr>
          <w:rFonts w:ascii="Times New Roman" w:eastAsia="Times New Roman" w:hAnsi="Times New Roman" w:cs="Times New Roman"/>
          <w:sz w:val="24"/>
          <w:szCs w:val="24"/>
        </w:rPr>
        <w:t>La recesi</w:t>
      </w:r>
      <w:r>
        <w:rPr>
          <w:rFonts w:ascii="Times New Roman" w:eastAsia="Times New Roman" w:hAnsi="Times New Roman" w:cs="Times New Roman"/>
          <w:sz w:val="24"/>
          <w:szCs w:val="24"/>
        </w:rPr>
        <w:t>ón económica ha disparado en EE</w:t>
      </w:r>
      <w:r w:rsidRPr="002E1EF3">
        <w:rPr>
          <w:rFonts w:ascii="Times New Roman" w:eastAsia="Times New Roman" w:hAnsi="Times New Roman" w:cs="Times New Roman"/>
          <w:sz w:val="24"/>
          <w:szCs w:val="24"/>
        </w:rPr>
        <w:t xml:space="preserve">UU el número de menores de 18 años que viven bajo el umbral de la pobreza, desplazando al país por detrás de la mayoría del resto de naciones ricas. </w:t>
      </w:r>
      <w:r w:rsidRPr="006F5067">
        <w:rPr>
          <w:rFonts w:ascii="Times New Roman" w:eastAsia="Times New Roman" w:hAnsi="Times New Roman" w:cs="Times New Roman"/>
          <w:sz w:val="24"/>
          <w:szCs w:val="24"/>
          <w:u w:val="single"/>
        </w:rPr>
        <w:t>El 21% de los menores estadounidenses vive en condiciones de pobreza, según la OCDE, un porcentaje solo superior al de Turquía, Rumanía, México e Israel.</w:t>
      </w:r>
    </w:p>
    <w:p w:rsidR="00844212" w:rsidRPr="006F5067"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844212" w:rsidRPr="006F5067"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6F5067">
        <w:rPr>
          <w:rFonts w:ascii="Times New Roman" w:eastAsia="Times New Roman" w:hAnsi="Times New Roman" w:cs="Times New Roman"/>
          <w:sz w:val="24"/>
          <w:szCs w:val="24"/>
          <w:u w:val="single"/>
        </w:rPr>
        <w:t>En EEUU, más de la mitad de los hijos de mujeres menores de 30 años son hijos de madres solteras, lo que aumenta sus probabilidades de vivir en la pobreza</w:t>
      </w:r>
      <w:r w:rsidRPr="002E1EF3">
        <w:rPr>
          <w:rFonts w:ascii="Times New Roman" w:eastAsia="Times New Roman" w:hAnsi="Times New Roman" w:cs="Times New Roman"/>
          <w:sz w:val="24"/>
          <w:szCs w:val="24"/>
        </w:rPr>
        <w:t xml:space="preserve">. Según un informe reciente del Center for American Progress, un tercio de las familias lideradas por una madre soltera es pobre. </w:t>
      </w:r>
      <w:r w:rsidRPr="006F5067">
        <w:rPr>
          <w:rFonts w:ascii="Times New Roman" w:eastAsia="Times New Roman" w:hAnsi="Times New Roman" w:cs="Times New Roman"/>
          <w:sz w:val="24"/>
          <w:szCs w:val="24"/>
          <w:u w:val="single"/>
        </w:rPr>
        <w:t>La desigualdad también se mide en el porcentaje de ciudadanos que viven en la pobreza, el 15% de la población. Esta proporción aumenta sin embargo al 25% de los hispanos y al 27% de los afroamericanos, muy por encima del resto de la población.</w:t>
      </w:r>
    </w:p>
    <w:p w:rsidR="00844212" w:rsidRPr="006F5067"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Empleo</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6F5067"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6F5067">
        <w:rPr>
          <w:rFonts w:ascii="Times New Roman" w:eastAsia="Times New Roman" w:hAnsi="Times New Roman" w:cs="Times New Roman"/>
          <w:sz w:val="24"/>
          <w:szCs w:val="24"/>
          <w:u w:val="single"/>
        </w:rPr>
        <w:t>Mientras que la tasa media de desempleo estaba situada en noviembre en el 6,7%, en el caso de los blancos era del 5,9%, para un 11,9% de los afroamericanos y un 8,3% de los hispanos. La falta de empleo se ha unido además al descenso en los beneficios que ofrecían las empresas a los trabajadores -en forma de planes de pensión o seguros médicos- en el período de 2007 a 2012, reduciendo la seguridad económica de las familias.</w:t>
      </w:r>
    </w:p>
    <w:p w:rsidR="00844212" w:rsidRPr="006F5067"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Acceso a educación superior</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En materia de educación, el abandono escolar sigue estando liderado por los estudiantes hispanos -más del 20%-, seguidos de los afroamericanos -cerca del 10%-; mientras que la mayoría de los estudiantes universitarios son blancos, según datos del Centro Nacional de Estadísticas de Educación. El acceso a la educación superior por parte de estudiantes de </w:t>
      </w:r>
      <w:r w:rsidRPr="002E1EF3">
        <w:rPr>
          <w:rFonts w:ascii="Times New Roman" w:eastAsia="Times New Roman" w:hAnsi="Times New Roman" w:cs="Times New Roman"/>
          <w:sz w:val="24"/>
          <w:szCs w:val="24"/>
        </w:rPr>
        <w:lastRenderedPageBreak/>
        <w:t>minorías raciales ha aumentado en las últimas décadas, pero nunca al ritmo de los alumnos blancos. Las dificultades de acceso, motivadas por la falta de recursos tanto de los estudiantes como de sus familias, además de otras causas, ha empujado a la primera dama, Michelle Obama, a convertir esta en una de sus causas para los próximos tres años.</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6F5067"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lang w:val="en-US"/>
        </w:rPr>
      </w:pPr>
      <w:r w:rsidRPr="006F5067">
        <w:rPr>
          <w:rFonts w:ascii="Times New Roman" w:eastAsia="Times New Roman" w:hAnsi="Times New Roman" w:cs="Times New Roman"/>
          <w:sz w:val="24"/>
          <w:szCs w:val="24"/>
          <w:u w:val="single"/>
        </w:rPr>
        <w:t xml:space="preserve">Varios estudios han demostrado la relación entre el abandono escolar -especialmente entre los estudiantes de minorías raciales- y la entrada en prisión. Según un informe realizado por una investigadora de Harvard, un 37% de los jóvenes afroamericanos de entre 20 y 34 años y que no terminó el instituto, está en la cárcel. </w:t>
      </w:r>
      <w:r w:rsidRPr="006F5067">
        <w:rPr>
          <w:rFonts w:ascii="Times New Roman" w:eastAsia="Times New Roman" w:hAnsi="Times New Roman" w:cs="Times New Roman"/>
          <w:sz w:val="24"/>
          <w:szCs w:val="24"/>
          <w:u w:val="single"/>
          <w:lang w:val="en-US"/>
        </w:rPr>
        <w:t>Este porcentaje se ha triplicado además desde los años 80.</w:t>
      </w:r>
      <w:r>
        <w:rPr>
          <w:rFonts w:ascii="Times New Roman" w:eastAsia="Times New Roman" w:hAnsi="Times New Roman" w:cs="Times New Roman"/>
          <w:sz w:val="24"/>
          <w:szCs w:val="24"/>
          <w:u w:val="single"/>
          <w:lang w:val="en-US"/>
        </w:rPr>
        <w:t xml:space="preserve">                                                                                                                                                                                                                                                                                                                                                                                                 </w:t>
      </w:r>
    </w:p>
    <w:p w:rsidR="00844212" w:rsidRPr="006F5067"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lang w:val="en-US"/>
        </w:rPr>
      </w:pPr>
    </w:p>
    <w:p w:rsidR="00844212" w:rsidRPr="00E4425C" w:rsidRDefault="00844212" w:rsidP="00844212">
      <w:pPr>
        <w:pStyle w:val="NormalWeb"/>
        <w:spacing w:before="0" w:beforeAutospacing="0" w:after="0" w:afterAutospacing="0"/>
        <w:jc w:val="both"/>
        <w:textAlignment w:val="baseline"/>
        <w:rPr>
          <w:iCs/>
          <w:lang w:val="en-US"/>
        </w:rPr>
      </w:pPr>
      <w:r>
        <w:rPr>
          <w:iCs/>
          <w:lang w:val="en-US"/>
        </w:rPr>
        <w:t xml:space="preserve">- </w:t>
      </w:r>
      <w:r w:rsidRPr="00E4425C">
        <w:rPr>
          <w:color w:val="000000"/>
          <w:u w:val="single"/>
          <w:lang w:val="en-US"/>
        </w:rPr>
        <w:t>The American Middle Class Is Losing Ground</w:t>
      </w:r>
      <w:r>
        <w:rPr>
          <w:color w:val="000000"/>
          <w:lang w:val="en-US"/>
        </w:rPr>
        <w:t xml:space="preserve"> (Pew Research Center - </w:t>
      </w:r>
      <w:r w:rsidRPr="00E4425C">
        <w:rPr>
          <w:b/>
          <w:color w:val="000000"/>
          <w:lang w:val="en-US"/>
        </w:rPr>
        <w:t>9/12/15</w:t>
      </w:r>
      <w:r>
        <w:rPr>
          <w:color w:val="000000"/>
          <w:lang w:val="en-US"/>
        </w:rPr>
        <w:t>)</w:t>
      </w:r>
    </w:p>
    <w:p w:rsidR="00844212" w:rsidRDefault="00844212" w:rsidP="00844212">
      <w:pPr>
        <w:pStyle w:val="subhead"/>
        <w:spacing w:before="133" w:beforeAutospacing="0" w:after="267" w:afterAutospacing="0"/>
        <w:jc w:val="both"/>
        <w:textAlignment w:val="baseline"/>
        <w:rPr>
          <w:i/>
          <w:iCs/>
          <w:color w:val="000000"/>
          <w:lang w:val="en-US"/>
        </w:rPr>
      </w:pPr>
      <w:r w:rsidRPr="00E4425C">
        <w:rPr>
          <w:i/>
          <w:iCs/>
          <w:color w:val="000000"/>
          <w:lang w:val="en-US"/>
        </w:rPr>
        <w:t>No longer the majority and falling behind financially</w:t>
      </w:r>
    </w:p>
    <w:p w:rsidR="00844212" w:rsidRPr="00E4425C" w:rsidRDefault="00844212" w:rsidP="00844212">
      <w:pPr>
        <w:pStyle w:val="NormalWeb"/>
        <w:spacing w:before="0" w:beforeAutospacing="0" w:after="0" w:afterAutospacing="0"/>
        <w:jc w:val="both"/>
        <w:textAlignment w:val="baseline"/>
        <w:rPr>
          <w:color w:val="000000"/>
          <w:lang w:val="en-US"/>
        </w:rPr>
      </w:pPr>
      <w:r w:rsidRPr="00E4425C">
        <w:rPr>
          <w:color w:val="000000"/>
          <w:lang w:val="en-US"/>
        </w:rPr>
        <w:t xml:space="preserve">After more than four decades of serving as the nation’s economic majority, the American middle class is now matched in number by those in the economic tiers above and below it. </w:t>
      </w:r>
      <w:r w:rsidRPr="006F5067">
        <w:rPr>
          <w:color w:val="000000"/>
          <w:u w:val="single"/>
          <w:lang w:val="en-US"/>
        </w:rPr>
        <w:t>In early 2015, 120.8 million adults were in middle-income households, compared with 121.3 million in lower- and upper-income households combined, a demographic shift that could signal a tipping point, according to a new Pew Research Center analysis of government data.</w:t>
      </w:r>
    </w:p>
    <w:p w:rsidR="00844212" w:rsidRPr="006F5067" w:rsidRDefault="00844212" w:rsidP="00844212">
      <w:pPr>
        <w:pStyle w:val="NormalWeb"/>
        <w:spacing w:before="0" w:beforeAutospacing="0" w:after="300" w:afterAutospacing="0"/>
        <w:jc w:val="both"/>
        <w:textAlignment w:val="baseline"/>
        <w:rPr>
          <w:color w:val="000000"/>
          <w:u w:val="single"/>
          <w:lang w:val="en-US"/>
        </w:rPr>
      </w:pPr>
      <w:r w:rsidRPr="006F5067">
        <w:rPr>
          <w:color w:val="000000"/>
          <w:u w:val="single"/>
          <w:lang w:val="en-US"/>
        </w:rPr>
        <w:t>In at least one sense, the shift represents economic progress: While the share of U.S. adults living in both upper- and lower-income households rose alongside the declining share in the middle from 1971 to 2015, the share in the upper-income tier grew more.</w:t>
      </w:r>
    </w:p>
    <w:p w:rsidR="00844212" w:rsidRPr="006F5067" w:rsidRDefault="00844212" w:rsidP="00844212">
      <w:pPr>
        <w:pStyle w:val="NormalWeb"/>
        <w:spacing w:before="0" w:beforeAutospacing="0" w:after="0" w:afterAutospacing="0"/>
        <w:jc w:val="both"/>
        <w:textAlignment w:val="baseline"/>
        <w:rPr>
          <w:color w:val="FF0000"/>
          <w:u w:val="single"/>
          <w:bdr w:val="none" w:sz="0" w:space="0" w:color="auto" w:frame="1"/>
          <w:vertAlign w:val="superscript"/>
          <w:lang w:val="en-US"/>
        </w:rPr>
      </w:pPr>
      <w:r w:rsidRPr="00E4425C">
        <w:rPr>
          <w:color w:val="000000"/>
          <w:lang w:val="en-US"/>
        </w:rPr>
        <w:t>Over the same period, however, the nation’s aggregate household income has substantially shifted from middle-income to upper-income households, driven by the growing size of the upper-income tier and more rapid gains in income at the top. </w:t>
      </w:r>
      <w:hyperlink r:id="rId262" w:tgtFrame="_blank" w:history="1">
        <w:r w:rsidRPr="006F5067">
          <w:rPr>
            <w:rStyle w:val="Hipervnculo"/>
            <w:color w:val="FF0000"/>
            <w:bdr w:val="none" w:sz="0" w:space="0" w:color="auto" w:frame="1"/>
            <w:lang w:val="en-US"/>
          </w:rPr>
          <w:t>Fully 49% of U.S. aggregate income went to upper-income households in 2014, up from 29% in 1970.</w:t>
        </w:r>
      </w:hyperlink>
      <w:r w:rsidRPr="006F5067">
        <w:rPr>
          <w:color w:val="FF0000"/>
          <w:u w:val="single"/>
          <w:lang w:val="en-US"/>
        </w:rPr>
        <w:t> The share accruing to middle-income households was 43% in 2014, down substantially from 62% in 1970.</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Pr="002A0FD9" w:rsidRDefault="00844212" w:rsidP="00844212">
      <w:pPr>
        <w:pStyle w:val="NormalWeb"/>
        <w:spacing w:before="0" w:beforeAutospacing="0" w:after="300" w:afterAutospacing="0"/>
        <w:jc w:val="both"/>
        <w:textAlignment w:val="baseline"/>
        <w:rPr>
          <w:color w:val="FF0000"/>
          <w:u w:val="single"/>
          <w:lang w:val="en-US"/>
        </w:rPr>
      </w:pPr>
      <w:r w:rsidRPr="002A0FD9">
        <w:rPr>
          <w:color w:val="FF0000"/>
          <w:u w:val="single"/>
          <w:lang w:val="en-US"/>
        </w:rPr>
        <w:t>And middle-income Americans have fallen further behind financially in the new century. In 2014, the median income of these households was 4% less than in 2000. Moreover, because of the housing market crisis and the Great Recession of 2007-09, their median wealth (assets minus debts) fell by 28% from 2001 to 2013.</w:t>
      </w:r>
    </w:p>
    <w:p w:rsidR="00844212" w:rsidRPr="002A0FD9" w:rsidRDefault="00844212" w:rsidP="00844212">
      <w:pPr>
        <w:pStyle w:val="NormalWeb"/>
        <w:spacing w:before="0" w:beforeAutospacing="0" w:after="300" w:afterAutospacing="0"/>
        <w:jc w:val="both"/>
        <w:textAlignment w:val="baseline"/>
        <w:rPr>
          <w:color w:val="000000"/>
          <w:u w:val="single"/>
          <w:lang w:val="en-US"/>
        </w:rPr>
      </w:pPr>
      <w:r w:rsidRPr="002A0FD9">
        <w:rPr>
          <w:color w:val="000000"/>
          <w:u w:val="single"/>
          <w:lang w:val="en-US"/>
        </w:rPr>
        <w:t>Meanwhile, the far edges of the income spectrum have shown the most growth. In 2015, 20% of American adults were in the lowest-income tier, up from 16% in 1971. On the opposite side, 9% are in the highest-income tier, more than double the 4% share in 1971. At the same time, the shares of adults in the lower-middle or upper-middle income tiers were nearly unchanged.</w:t>
      </w:r>
    </w:p>
    <w:p w:rsidR="00844212" w:rsidRPr="002A0FD9" w:rsidRDefault="00844212" w:rsidP="00844212">
      <w:pPr>
        <w:pStyle w:val="NormalWeb"/>
        <w:spacing w:before="0" w:beforeAutospacing="0" w:after="0" w:afterAutospacing="0"/>
        <w:jc w:val="both"/>
        <w:textAlignment w:val="baseline"/>
        <w:rPr>
          <w:color w:val="FF0000"/>
          <w:u w:val="single"/>
          <w:lang w:val="en-US"/>
        </w:rPr>
      </w:pPr>
      <w:r w:rsidRPr="00E4425C">
        <w:rPr>
          <w:color w:val="000000"/>
          <w:lang w:val="en-US"/>
        </w:rPr>
        <w:t xml:space="preserve">These findings emerge from a new Pew Research Center analysis of data from the U.S. Census Bureau and the Federal Reserve Board of Governors. In this study, which examines the changing size, demographic composition and economic fortunes of the American middle class, “middle-income” </w:t>
      </w:r>
      <w:r w:rsidRPr="002A0FD9">
        <w:rPr>
          <w:color w:val="FF0000"/>
          <w:u w:val="single"/>
          <w:lang w:val="en-US"/>
        </w:rPr>
        <w:t>Americans are defined as adults whose annual household income is two-thirds to double the national median, about $</w:t>
      </w:r>
      <w:r w:rsidR="00B82BCE">
        <w:rPr>
          <w:color w:val="FF0000"/>
          <w:u w:val="single"/>
          <w:lang w:val="en-US"/>
        </w:rPr>
        <w:t xml:space="preserve"> </w:t>
      </w:r>
      <w:r w:rsidRPr="002A0FD9">
        <w:rPr>
          <w:color w:val="FF0000"/>
          <w:u w:val="single"/>
          <w:lang w:val="en-US"/>
        </w:rPr>
        <w:t>42,000 to $</w:t>
      </w:r>
      <w:r w:rsidR="00B82BCE">
        <w:rPr>
          <w:color w:val="FF0000"/>
          <w:u w:val="single"/>
          <w:lang w:val="en-US"/>
        </w:rPr>
        <w:t xml:space="preserve"> </w:t>
      </w:r>
      <w:r w:rsidRPr="002A0FD9">
        <w:rPr>
          <w:color w:val="FF0000"/>
          <w:u w:val="single"/>
          <w:lang w:val="en-US"/>
        </w:rPr>
        <w:t>126,000 annually in 2014 dollars for a household of three. Under this definition, </w:t>
      </w:r>
      <w:hyperlink r:id="rId263" w:tgtFrame="_blank" w:history="1">
        <w:r w:rsidRPr="002A0FD9">
          <w:rPr>
            <w:rStyle w:val="Hipervnculo"/>
            <w:color w:val="FF0000"/>
            <w:bdr w:val="none" w:sz="0" w:space="0" w:color="auto" w:frame="1"/>
            <w:lang w:val="en-US"/>
          </w:rPr>
          <w:t>the middle class made up 50% of the U.S. adult population in 2015, down from 61% in 1971.</w:t>
        </w:r>
      </w:hyperlink>
    </w:p>
    <w:p w:rsidR="00844212" w:rsidRPr="002A0FD9" w:rsidRDefault="00844212" w:rsidP="00844212">
      <w:pPr>
        <w:pStyle w:val="NormalWeb"/>
        <w:spacing w:before="0" w:beforeAutospacing="0" w:after="300" w:afterAutospacing="0"/>
        <w:jc w:val="both"/>
        <w:textAlignment w:val="baseline"/>
        <w:rPr>
          <w:color w:val="FF0000"/>
          <w:u w:val="single"/>
          <w:lang w:val="en-US"/>
        </w:rPr>
      </w:pPr>
    </w:p>
    <w:p w:rsidR="00844212" w:rsidRDefault="00844212" w:rsidP="00844212">
      <w:pPr>
        <w:pStyle w:val="NormalWeb"/>
        <w:spacing w:before="0" w:beforeAutospacing="0" w:after="0" w:afterAutospacing="0"/>
        <w:jc w:val="both"/>
        <w:textAlignment w:val="baseline"/>
        <w:rPr>
          <w:color w:val="000000"/>
          <w:lang w:val="en-US"/>
        </w:rPr>
      </w:pPr>
      <w:r w:rsidRPr="00E4425C">
        <w:rPr>
          <w:noProof/>
          <w:color w:val="BC7B2B"/>
          <w:bdr w:val="none" w:sz="0" w:space="0" w:color="auto" w:frame="1"/>
        </w:rPr>
        <w:lastRenderedPageBreak/>
        <w:drawing>
          <wp:inline distT="0" distB="0" distL="0" distR="0" wp14:anchorId="346A02E9" wp14:editId="61FE6156">
            <wp:extent cx="1905000" cy="6089650"/>
            <wp:effectExtent l="0" t="0" r="0" b="6350"/>
            <wp:docPr id="210" name="Imagen 210" descr="The middle class is losing ground">
              <a:hlinkClick xmlns:a="http://schemas.openxmlformats.org/drawingml/2006/main" r:id="rId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he middle class is losing ground">
                      <a:hlinkClick r:id="rId264"/>
                    </pic:cNvPr>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905000" cy="60896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bdr w:val="none" w:sz="0" w:space="0" w:color="auto" w:frame="1"/>
          <w:lang w:val="en-US"/>
        </w:rPr>
      </w:pPr>
      <w:bookmarkStart w:id="0" w:name="are-you-in-the-american-middle-class"/>
      <w:bookmarkEnd w:id="0"/>
      <w:r w:rsidRPr="00E4425C">
        <w:rPr>
          <w:color w:val="000000"/>
          <w:lang w:val="en-US"/>
        </w:rPr>
        <w:t>The state of the American middle class is at the heart of the economic platforms of many presidential candidates ahead of the 2016 election. Policymakers are engaged in debates about the need to raise the floor on wages and on how best to curb rising income inequality. Meanwhile, President Barack Obama uses the term “middle-class economics” to describe his economic agenda. And a flurry of new research points to the potential of a larger middle class to provide the economic boost sought by many advanced economies.</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bdr w:val="none" w:sz="0" w:space="0" w:color="auto" w:frame="1"/>
          <w:lang w:val="en-US"/>
        </w:rPr>
      </w:pPr>
      <w:r w:rsidRPr="00E4425C">
        <w:rPr>
          <w:color w:val="000000"/>
          <w:lang w:val="en-US"/>
        </w:rPr>
        <w:t>The news regarding the American middle class is not all bad. Although the middle class has not kept pace with upper-income households, its median income, adjusted for household size, has risen over the long haul, increasing 34% since 1970. That is not as strong as the 47% increase in income for upper-income households, though it is greater than the 28% increase among lower-income households.</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lastRenderedPageBreak/>
        <w:t>Moreover, some demographic groups have fared better than others in moving up the income tiers, while some groups have slipped down the ladder. The groups making notable progress include older Americans, married couples and blacks. Despite this progress, older Americans and blacks remain more likely to be lower income and less likely to be upper income than adults overall. Those Americans without a college degree stand out as experiencing a substantial loss in economic status.</w:t>
      </w: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In addition to changes in the size and economic standing of the American middle class, its demographic profile has changed significantly in recent decades. Some of the changes reflect long-term demographic trends in the U.S., as the middle class is in many ways a mirror of the broader population. For example, the aging of the country, the growing racial and ethnic diversity, the decline in marriage rates and the overall rise in educational attainment are all reflected in the changing composition of the middle class.</w:t>
      </w:r>
    </w:p>
    <w:p w:rsidR="00844212" w:rsidRDefault="00844212" w:rsidP="00844212">
      <w:pPr>
        <w:pStyle w:val="Ttulo3"/>
        <w:spacing w:before="120" w:after="240"/>
        <w:jc w:val="both"/>
        <w:textAlignment w:val="baseline"/>
        <w:rPr>
          <w:b w:val="0"/>
          <w:color w:val="000000"/>
          <w:sz w:val="24"/>
          <w:szCs w:val="24"/>
          <w:lang w:val="en-US"/>
        </w:rPr>
      </w:pPr>
      <w:bookmarkStart w:id="1" w:name="who-is-middle-income"/>
      <w:bookmarkEnd w:id="1"/>
      <w:r w:rsidRPr="00E4425C">
        <w:rPr>
          <w:b w:val="0"/>
          <w:color w:val="000000"/>
          <w:sz w:val="24"/>
          <w:szCs w:val="24"/>
          <w:lang w:val="en-US"/>
        </w:rPr>
        <w:t>Who is middle income?</w:t>
      </w:r>
    </w:p>
    <w:p w:rsidR="00844212" w:rsidRPr="0065149F" w:rsidRDefault="00844212" w:rsidP="00844212">
      <w:pPr>
        <w:pStyle w:val="NormalWeb"/>
        <w:spacing w:before="0" w:beforeAutospacing="0" w:after="0" w:afterAutospacing="0"/>
        <w:jc w:val="both"/>
        <w:textAlignment w:val="baseline"/>
        <w:rPr>
          <w:color w:val="000000"/>
          <w:u w:val="single"/>
          <w:lang w:val="en-US"/>
        </w:rPr>
      </w:pPr>
      <w:r w:rsidRPr="0065149F">
        <w:rPr>
          <w:color w:val="000000"/>
          <w:u w:val="single"/>
          <w:lang w:val="en-US"/>
        </w:rPr>
        <w:t>In this report, “middle-income” households are defined as those with an income that is 67% to 200% (two-thirds to double) of the overall median household income, after incomes have been adjusted for household size. Lower-income households have incomes less than 67% of the median, and upper-income households have incomes that are more than double the median.</w:t>
      </w:r>
    </w:p>
    <w:p w:rsidR="00844212" w:rsidRPr="0065149F" w:rsidRDefault="00844212" w:rsidP="00844212">
      <w:pPr>
        <w:pStyle w:val="Ttulo3"/>
        <w:spacing w:before="120" w:after="240"/>
        <w:jc w:val="both"/>
        <w:textAlignment w:val="baseline"/>
        <w:rPr>
          <w:b w:val="0"/>
          <w:color w:val="000000"/>
          <w:sz w:val="24"/>
          <w:szCs w:val="24"/>
          <w:u w:val="single"/>
          <w:lang w:val="en-US"/>
        </w:rPr>
      </w:pPr>
    </w:p>
    <w:p w:rsidR="00844212" w:rsidRDefault="00844212" w:rsidP="00844212">
      <w:pPr>
        <w:pStyle w:val="NormalWeb"/>
        <w:spacing w:before="0" w:beforeAutospacing="0" w:after="0" w:afterAutospacing="0"/>
        <w:jc w:val="both"/>
        <w:textAlignment w:val="baseline"/>
        <w:rPr>
          <w:color w:val="000000"/>
          <w:lang w:val="en-US"/>
        </w:rPr>
      </w:pPr>
      <w:r w:rsidRPr="00E4425C">
        <w:rPr>
          <w:noProof/>
          <w:color w:val="BC7B2B"/>
          <w:bdr w:val="none" w:sz="0" w:space="0" w:color="auto" w:frame="1"/>
        </w:rPr>
        <w:drawing>
          <wp:inline distT="0" distB="0" distL="0" distR="0" wp14:anchorId="76E8FF06" wp14:editId="638C80C3">
            <wp:extent cx="4000500" cy="2857500"/>
            <wp:effectExtent l="0" t="0" r="0" b="0"/>
            <wp:docPr id="211" name="Imagen 211" descr="Who is “middle income” and “upper income”?">
              <a:hlinkClick xmlns:a="http://schemas.openxmlformats.org/drawingml/2006/main" r:id="rId2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ho is “middle income” and “upper income”?">
                      <a:hlinkClick r:id="rId266"/>
                    </pic:cNvPr>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000500" cy="285750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bdr w:val="none" w:sz="0" w:space="0" w:color="auto" w:frame="1"/>
          <w:lang w:val="en-US"/>
        </w:rPr>
      </w:pPr>
      <w:r w:rsidRPr="00E4425C">
        <w:rPr>
          <w:color w:val="000000"/>
          <w:lang w:val="en-US"/>
        </w:rPr>
        <w:t>The income it takes to be middle income varies by household size, with smaller households requiring less to support the same lifestyle as larger households. For a three-person household, the middle-income range was about $</w:t>
      </w:r>
      <w:r w:rsidR="00B82BCE">
        <w:rPr>
          <w:color w:val="000000"/>
          <w:lang w:val="en-US"/>
        </w:rPr>
        <w:t xml:space="preserve"> </w:t>
      </w:r>
      <w:r w:rsidRPr="00E4425C">
        <w:rPr>
          <w:color w:val="000000"/>
          <w:lang w:val="en-US"/>
        </w:rPr>
        <w:t>42,000 to $</w:t>
      </w:r>
      <w:r w:rsidR="00B82BCE">
        <w:rPr>
          <w:color w:val="000000"/>
          <w:lang w:val="en-US"/>
        </w:rPr>
        <w:t xml:space="preserve"> </w:t>
      </w:r>
      <w:r w:rsidRPr="00E4425C">
        <w:rPr>
          <w:color w:val="000000"/>
          <w:lang w:val="en-US"/>
        </w:rPr>
        <w:t>126,000 annually in 2014. However, a one-person household needed only about $</w:t>
      </w:r>
      <w:r w:rsidR="00B82BCE">
        <w:rPr>
          <w:color w:val="000000"/>
          <w:lang w:val="en-US"/>
        </w:rPr>
        <w:t xml:space="preserve"> </w:t>
      </w:r>
      <w:r w:rsidRPr="00E4425C">
        <w:rPr>
          <w:color w:val="000000"/>
          <w:lang w:val="en-US"/>
        </w:rPr>
        <w:t>24,000 to $</w:t>
      </w:r>
      <w:r w:rsidR="00B82BCE">
        <w:rPr>
          <w:color w:val="000000"/>
          <w:lang w:val="en-US"/>
        </w:rPr>
        <w:t xml:space="preserve"> </w:t>
      </w:r>
      <w:r w:rsidRPr="00E4425C">
        <w:rPr>
          <w:color w:val="000000"/>
          <w:lang w:val="en-US"/>
        </w:rPr>
        <w:t>73,000 to be middle income. For a five-person household to be considered middle income, its 2014 income had to range from $</w:t>
      </w:r>
      <w:r w:rsidR="00B82BCE">
        <w:rPr>
          <w:color w:val="000000"/>
          <w:lang w:val="en-US"/>
        </w:rPr>
        <w:t xml:space="preserve"> </w:t>
      </w:r>
      <w:r w:rsidRPr="00E4425C">
        <w:rPr>
          <w:color w:val="000000"/>
          <w:lang w:val="en-US"/>
        </w:rPr>
        <w:t>54,000 to $</w:t>
      </w:r>
      <w:r w:rsidR="00B82BCE">
        <w:rPr>
          <w:color w:val="000000"/>
          <w:lang w:val="en-US"/>
        </w:rPr>
        <w:t xml:space="preserve"> </w:t>
      </w:r>
      <w:r w:rsidRPr="00E4425C">
        <w:rPr>
          <w:color w:val="000000"/>
          <w:lang w:val="en-US"/>
        </w:rPr>
        <w:t>162,000.</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bdr w:val="none" w:sz="0" w:space="0" w:color="auto" w:frame="1"/>
          <w:lang w:val="en-US"/>
        </w:rPr>
      </w:pPr>
      <w:r w:rsidRPr="00E4425C">
        <w:rPr>
          <w:color w:val="000000"/>
          <w:lang w:val="en-US"/>
        </w:rPr>
        <w:t xml:space="preserve">In addition, the lower-income group is divided into lowest-income households (with income less than half of the overall median) and lower-middle income households (with incomes </w:t>
      </w:r>
      <w:r w:rsidRPr="00E4425C">
        <w:rPr>
          <w:color w:val="000000"/>
          <w:lang w:val="en-US"/>
        </w:rPr>
        <w:lastRenderedPageBreak/>
        <w:t>from half to less than two-thirds of the overall median). In 2014, a lowest-income household with three people lived on about $</w:t>
      </w:r>
      <w:r w:rsidR="00B82BCE">
        <w:rPr>
          <w:color w:val="000000"/>
          <w:lang w:val="en-US"/>
        </w:rPr>
        <w:t xml:space="preserve"> </w:t>
      </w:r>
      <w:r w:rsidRPr="00E4425C">
        <w:rPr>
          <w:color w:val="000000"/>
          <w:lang w:val="en-US"/>
        </w:rPr>
        <w:t>31,000 or less, and a lower-middle income household lived on about $</w:t>
      </w:r>
      <w:r w:rsidR="00B82BCE">
        <w:rPr>
          <w:color w:val="000000"/>
          <w:lang w:val="en-US"/>
        </w:rPr>
        <w:t xml:space="preserve"> </w:t>
      </w:r>
      <w:r w:rsidRPr="00E4425C">
        <w:rPr>
          <w:color w:val="000000"/>
          <w:lang w:val="en-US"/>
        </w:rPr>
        <w:t>31,000 to $</w:t>
      </w:r>
      <w:r w:rsidR="00B82BCE">
        <w:rPr>
          <w:color w:val="000000"/>
          <w:lang w:val="en-US"/>
        </w:rPr>
        <w:t xml:space="preserve"> </w:t>
      </w:r>
      <w:r w:rsidRPr="00E4425C">
        <w:rPr>
          <w:color w:val="000000"/>
          <w:lang w:val="en-US"/>
        </w:rPr>
        <w:t>42,000.</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Likewise, upper-income households are divided into upper-middle income households (with more than twice the overall median income and up to three times the median) and highest-income households (with more than three times the overall median income). In 2014, an upper-middle income household with three people lived on about $</w:t>
      </w:r>
      <w:r w:rsidR="00B82BCE">
        <w:rPr>
          <w:color w:val="000000"/>
          <w:lang w:val="en-US"/>
        </w:rPr>
        <w:t xml:space="preserve"> </w:t>
      </w:r>
      <w:r w:rsidRPr="00E4425C">
        <w:rPr>
          <w:color w:val="000000"/>
          <w:lang w:val="en-US"/>
        </w:rPr>
        <w:t>126,000 to $</w:t>
      </w:r>
      <w:r w:rsidR="00B82BCE">
        <w:rPr>
          <w:color w:val="000000"/>
          <w:lang w:val="en-US"/>
        </w:rPr>
        <w:t xml:space="preserve"> </w:t>
      </w:r>
      <w:r w:rsidRPr="00E4425C">
        <w:rPr>
          <w:color w:val="000000"/>
          <w:lang w:val="en-US"/>
        </w:rPr>
        <w:t>188,000, and a highest-income household lived on more than $</w:t>
      </w:r>
      <w:r w:rsidR="00B82BCE">
        <w:rPr>
          <w:color w:val="000000"/>
          <w:lang w:val="en-US"/>
        </w:rPr>
        <w:t xml:space="preserve"> </w:t>
      </w:r>
      <w:r w:rsidRPr="00E4425C">
        <w:rPr>
          <w:color w:val="000000"/>
          <w:lang w:val="en-US"/>
        </w:rPr>
        <w:t>188,000.</w:t>
      </w:r>
    </w:p>
    <w:p w:rsidR="00844212" w:rsidRPr="00E4425C" w:rsidRDefault="00844212" w:rsidP="00844212">
      <w:pPr>
        <w:pStyle w:val="Ttulo4"/>
        <w:shd w:val="clear" w:color="auto" w:fill="F7F7F1"/>
        <w:spacing w:before="60" w:after="120" w:line="240" w:lineRule="auto"/>
        <w:jc w:val="both"/>
        <w:textAlignment w:val="baseline"/>
        <w:rPr>
          <w:rFonts w:ascii="Times New Roman" w:hAnsi="Times New Roman" w:cs="Times New Roman"/>
          <w:color w:val="000000"/>
          <w:sz w:val="24"/>
          <w:szCs w:val="24"/>
          <w:lang w:val="en-US"/>
        </w:rPr>
      </w:pPr>
      <w:bookmarkStart w:id="2" w:name="middle-income-or-middle-class"/>
      <w:bookmarkEnd w:id="2"/>
      <w:r w:rsidRPr="00E4425C">
        <w:rPr>
          <w:rFonts w:ascii="Times New Roman" w:hAnsi="Times New Roman" w:cs="Times New Roman"/>
          <w:color w:val="000000"/>
          <w:sz w:val="24"/>
          <w:szCs w:val="24"/>
          <w:lang w:val="en-US"/>
        </w:rPr>
        <w:t>Middle income or middle class?</w:t>
      </w:r>
    </w:p>
    <w:p w:rsidR="00844212" w:rsidRPr="00B82BCE" w:rsidRDefault="00844212" w:rsidP="00844212">
      <w:pPr>
        <w:pStyle w:val="NormalWeb"/>
        <w:shd w:val="clear" w:color="auto" w:fill="F7F7F1"/>
        <w:spacing w:before="0" w:beforeAutospacing="0" w:after="0" w:afterAutospacing="0"/>
        <w:jc w:val="both"/>
        <w:textAlignment w:val="baseline"/>
        <w:rPr>
          <w:lang w:val="en-US"/>
        </w:rPr>
      </w:pPr>
      <w:r w:rsidRPr="0065149F">
        <w:rPr>
          <w:u w:val="single"/>
          <w:lang w:val="en-US"/>
        </w:rPr>
        <w:t>The terms “middle income” and “middle class” are often used interchangeably. This is especially true among economists who typically define the middle class in terms of income or consumption. But being middle class can connote more than income, be it a college education, white-collar work, economic security, owning a home, or having certain social and political values</w:t>
      </w:r>
      <w:r w:rsidRPr="00E4425C">
        <w:rPr>
          <w:lang w:val="en-US"/>
        </w:rPr>
        <w:t xml:space="preserve">. Class could also be a state of mind, that is, it could be a matter of self-identification (Pew </w:t>
      </w:r>
      <w:r w:rsidRPr="00B82BCE">
        <w:rPr>
          <w:lang w:val="en-US"/>
        </w:rPr>
        <w:t>Research Center, </w:t>
      </w:r>
      <w:hyperlink r:id="rId268" w:history="1">
        <w:r w:rsidRPr="00B82BCE">
          <w:rPr>
            <w:rStyle w:val="Hipervnculo"/>
            <w:color w:val="auto"/>
            <w:u w:val="none"/>
            <w:bdr w:val="none" w:sz="0" w:space="0" w:color="auto" w:frame="1"/>
            <w:lang w:val="en-US"/>
          </w:rPr>
          <w:t>2008</w:t>
        </w:r>
      </w:hyperlink>
      <w:r w:rsidRPr="00B82BCE">
        <w:rPr>
          <w:lang w:val="en-US"/>
        </w:rPr>
        <w:t>, </w:t>
      </w:r>
      <w:hyperlink r:id="rId269" w:history="1">
        <w:r w:rsidRPr="00B82BCE">
          <w:rPr>
            <w:rStyle w:val="Hipervnculo"/>
            <w:color w:val="auto"/>
            <w:u w:val="none"/>
            <w:bdr w:val="none" w:sz="0" w:space="0" w:color="auto" w:frame="1"/>
            <w:lang w:val="en-US"/>
          </w:rPr>
          <w:t>2012</w:t>
        </w:r>
      </w:hyperlink>
      <w:r w:rsidRPr="00B82BCE">
        <w:rPr>
          <w:lang w:val="en-US"/>
        </w:rPr>
        <w:t>). The interplay among these many factors is examined in studies by Hout (</w:t>
      </w:r>
      <w:hyperlink r:id="rId270" w:history="1">
        <w:r w:rsidRPr="00B82BCE">
          <w:rPr>
            <w:rStyle w:val="Hipervnculo"/>
            <w:color w:val="auto"/>
            <w:u w:val="none"/>
            <w:bdr w:val="none" w:sz="0" w:space="0" w:color="auto" w:frame="1"/>
            <w:lang w:val="en-US"/>
          </w:rPr>
          <w:t>2007</w:t>
        </w:r>
      </w:hyperlink>
      <w:r w:rsidRPr="00B82BCE">
        <w:rPr>
          <w:lang w:val="en-US"/>
        </w:rPr>
        <w:t>) and Savage et al. (</w:t>
      </w:r>
      <w:hyperlink r:id="rId271" w:history="1">
        <w:r w:rsidRPr="00B82BCE">
          <w:rPr>
            <w:rStyle w:val="Hipervnculo"/>
            <w:color w:val="auto"/>
            <w:u w:val="none"/>
            <w:bdr w:val="none" w:sz="0" w:space="0" w:color="auto" w:frame="1"/>
            <w:lang w:val="en-US"/>
          </w:rPr>
          <w:t>2013</w:t>
        </w:r>
      </w:hyperlink>
      <w:r w:rsidRPr="00B82BCE">
        <w:rPr>
          <w:lang w:val="en-US"/>
        </w:rPr>
        <w:t>), among others.</w:t>
      </w:r>
    </w:p>
    <w:p w:rsidR="00844212" w:rsidRPr="00B82BCE" w:rsidRDefault="00844212" w:rsidP="00844212">
      <w:pPr>
        <w:pStyle w:val="NormalWeb"/>
        <w:shd w:val="clear" w:color="auto" w:fill="F7F7F1"/>
        <w:spacing w:before="0" w:beforeAutospacing="0" w:after="0" w:afterAutospacing="0"/>
        <w:jc w:val="both"/>
        <w:textAlignment w:val="baseline"/>
        <w:rPr>
          <w:lang w:val="en-US"/>
        </w:rPr>
      </w:pPr>
    </w:p>
    <w:p w:rsidR="00844212" w:rsidRPr="0065149F" w:rsidRDefault="00844212" w:rsidP="00844212">
      <w:pPr>
        <w:pStyle w:val="NormalWeb"/>
        <w:shd w:val="clear" w:color="auto" w:fill="F7F7F1"/>
        <w:spacing w:before="0" w:beforeAutospacing="0" w:after="300" w:afterAutospacing="0"/>
        <w:jc w:val="both"/>
        <w:textAlignment w:val="baseline"/>
        <w:rPr>
          <w:u w:val="single"/>
          <w:lang w:val="en-US"/>
        </w:rPr>
      </w:pPr>
      <w:r w:rsidRPr="00B82BCE">
        <w:rPr>
          <w:u w:val="single"/>
          <w:lang w:val="en-US"/>
        </w:rPr>
        <w:t xml:space="preserve">This report uses household income to group people. For that reason, the term </w:t>
      </w:r>
      <w:r w:rsidRPr="0065149F">
        <w:rPr>
          <w:u w:val="single"/>
          <w:lang w:val="en-US"/>
        </w:rPr>
        <w:t>“middle income” is used more often than not. However, “middle class” is also used at times for the sake of exposition.</w:t>
      </w:r>
    </w:p>
    <w:p w:rsidR="00844212" w:rsidRPr="00E4425C" w:rsidRDefault="00844212" w:rsidP="00844212">
      <w:pPr>
        <w:pStyle w:val="Ttulo3"/>
        <w:spacing w:before="120" w:after="240"/>
        <w:jc w:val="both"/>
        <w:textAlignment w:val="baseline"/>
        <w:rPr>
          <w:color w:val="000000"/>
          <w:sz w:val="24"/>
          <w:szCs w:val="24"/>
          <w:lang w:val="en-US"/>
        </w:rPr>
      </w:pPr>
      <w:bookmarkStart w:id="3" w:name="the-middle-class-shrinks"/>
      <w:bookmarkEnd w:id="3"/>
      <w:r w:rsidRPr="00E4425C">
        <w:rPr>
          <w:color w:val="000000"/>
          <w:sz w:val="24"/>
          <w:szCs w:val="24"/>
          <w:lang w:val="en-US"/>
        </w:rPr>
        <w:t>The middle class shrinks</w:t>
      </w:r>
    </w:p>
    <w:p w:rsidR="00844212" w:rsidRDefault="00844212" w:rsidP="00844212">
      <w:pPr>
        <w:pStyle w:val="NormalWeb"/>
        <w:spacing w:before="0" w:beforeAutospacing="0" w:after="0" w:afterAutospacing="0"/>
        <w:jc w:val="both"/>
        <w:textAlignment w:val="baseline"/>
        <w:rPr>
          <w:color w:val="000000"/>
          <w:lang w:val="en-US"/>
        </w:rPr>
      </w:pPr>
      <w:r w:rsidRPr="00E4425C">
        <w:rPr>
          <w:noProof/>
          <w:color w:val="BC7B2B"/>
          <w:bdr w:val="none" w:sz="0" w:space="0" w:color="auto" w:frame="1"/>
        </w:rPr>
        <w:drawing>
          <wp:inline distT="0" distB="0" distL="0" distR="0" wp14:anchorId="2034B526" wp14:editId="21163365">
            <wp:extent cx="2952750" cy="3956050"/>
            <wp:effectExtent l="0" t="0" r="0" b="6350"/>
            <wp:docPr id="212" name="Imagen 212" descr="Share of adults living in middle-income households is falling">
              <a:hlinkClick xmlns:a="http://schemas.openxmlformats.org/drawingml/2006/main" r:id="rId2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hare of adults living in middle-income households is falling">
                      <a:hlinkClick r:id="rId272"/>
                    </pic:cNvPr>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952750" cy="39560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u w:val="single"/>
          <w:lang w:val="en-US"/>
        </w:rPr>
      </w:pPr>
    </w:p>
    <w:p w:rsidR="00844212" w:rsidRPr="0065149F" w:rsidRDefault="00844212" w:rsidP="00844212">
      <w:pPr>
        <w:pStyle w:val="NormalWeb"/>
        <w:spacing w:before="0" w:beforeAutospacing="0" w:after="0" w:afterAutospacing="0"/>
        <w:jc w:val="both"/>
        <w:textAlignment w:val="baseline"/>
        <w:rPr>
          <w:color w:val="000000"/>
          <w:u w:val="single"/>
          <w:lang w:val="en-US"/>
        </w:rPr>
      </w:pPr>
      <w:r w:rsidRPr="0065149F">
        <w:rPr>
          <w:color w:val="000000"/>
          <w:u w:val="single"/>
          <w:lang w:val="en-US"/>
        </w:rPr>
        <w:lastRenderedPageBreak/>
        <w:t>The hollowing of the American middle class has proceeded steadily for more than four decades. Since 1971, each decade has ended with a smaller share of adults living in middle-income households than at the beginning of the decade, and no single decade stands out as having triggered or hastened the decline in the middle.</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Pr="0065149F" w:rsidRDefault="00844212" w:rsidP="00844212">
      <w:pPr>
        <w:pStyle w:val="NormalWeb"/>
        <w:spacing w:before="0" w:beforeAutospacing="0" w:after="300" w:afterAutospacing="0"/>
        <w:jc w:val="both"/>
        <w:textAlignment w:val="baseline"/>
        <w:rPr>
          <w:color w:val="FF0000"/>
          <w:u w:val="single"/>
          <w:lang w:val="en-US"/>
        </w:rPr>
      </w:pPr>
      <w:r w:rsidRPr="0065149F">
        <w:rPr>
          <w:color w:val="FF0000"/>
          <w:u w:val="single"/>
          <w:lang w:val="en-US"/>
        </w:rPr>
        <w:t>Based on the definition used in this report, the share of American adults living in middle-income households has fallen from 61% in 1971 to 50% in 2015. The share living in the upper-income tier rose from 14% to 21% over the same period. Meanwhile, the share in the lower-income tier increased from 25% to 29%. Notably, the 7 percentage point increase in the share at the top is nearly double the 4 percentage point increase at the bottom.</w:t>
      </w:r>
    </w:p>
    <w:p w:rsidR="00844212" w:rsidRPr="0065149F" w:rsidRDefault="00844212" w:rsidP="00844212">
      <w:pPr>
        <w:pStyle w:val="NormalWeb"/>
        <w:spacing w:before="0" w:beforeAutospacing="0" w:after="300" w:afterAutospacing="0"/>
        <w:jc w:val="both"/>
        <w:textAlignment w:val="baseline"/>
        <w:rPr>
          <w:color w:val="000000"/>
          <w:u w:val="single"/>
          <w:lang w:val="en-US"/>
        </w:rPr>
      </w:pPr>
      <w:r w:rsidRPr="0065149F">
        <w:rPr>
          <w:color w:val="000000"/>
          <w:u w:val="single"/>
          <w:lang w:val="en-US"/>
        </w:rPr>
        <w:t>The rising share of adults in the lower- and upper-income tiers is at the farthest points of the income distribution, distant from the vicinity of the middle. The share of American adults in the lowest-income tier rose from 16% in 1971 to 20% in 2015. Over the same period, the share of American adults in lower-middle income households did not change, holding at 9%.</w:t>
      </w:r>
    </w:p>
    <w:p w:rsidR="00844212" w:rsidRPr="0065149F" w:rsidRDefault="00844212" w:rsidP="00844212">
      <w:pPr>
        <w:pStyle w:val="NormalWeb"/>
        <w:spacing w:before="0" w:beforeAutospacing="0" w:after="300" w:afterAutospacing="0"/>
        <w:jc w:val="both"/>
        <w:textAlignment w:val="baseline"/>
        <w:rPr>
          <w:color w:val="000000"/>
          <w:u w:val="single"/>
          <w:lang w:val="en-US"/>
        </w:rPr>
      </w:pPr>
      <w:r w:rsidRPr="0065149F">
        <w:rPr>
          <w:color w:val="000000"/>
          <w:u w:val="single"/>
          <w:lang w:val="en-US"/>
        </w:rPr>
        <w:t>The growth at the top is similarly skewed. The share of adults in highest-income households more than doubled, from 4% in 1971 to 9% in 2015. But the increase in the share in upper-middle income households was modest, rising from 10% to 12%. Thus, the closer look at the shift out of the middle reveals that a deeper polarization is underway in the American economy.</w:t>
      </w:r>
    </w:p>
    <w:p w:rsidR="00844212" w:rsidRPr="00E4425C" w:rsidRDefault="00844212" w:rsidP="00844212">
      <w:pPr>
        <w:pStyle w:val="Ttulo3"/>
        <w:spacing w:before="120" w:after="240"/>
        <w:jc w:val="both"/>
        <w:textAlignment w:val="baseline"/>
        <w:rPr>
          <w:color w:val="000000"/>
          <w:sz w:val="24"/>
          <w:szCs w:val="24"/>
          <w:lang w:val="en-US"/>
        </w:rPr>
      </w:pPr>
      <w:bookmarkStart w:id="4" w:name="the-middle-class-falls-further-behind-up"/>
      <w:bookmarkEnd w:id="4"/>
      <w:r w:rsidRPr="00E4425C">
        <w:rPr>
          <w:color w:val="000000"/>
          <w:sz w:val="24"/>
          <w:szCs w:val="24"/>
          <w:lang w:val="en-US"/>
        </w:rPr>
        <w:t>The middle class falls further behind upper-income households financially</w:t>
      </w:r>
    </w:p>
    <w:p w:rsidR="00844212" w:rsidRDefault="00844212" w:rsidP="00844212">
      <w:pPr>
        <w:pStyle w:val="NormalWeb"/>
        <w:spacing w:before="0" w:beforeAutospacing="0" w:after="0" w:afterAutospacing="0"/>
        <w:jc w:val="both"/>
        <w:textAlignment w:val="baseline"/>
        <w:rPr>
          <w:color w:val="000000"/>
          <w:lang w:val="en-US"/>
        </w:rPr>
      </w:pPr>
      <w:r w:rsidRPr="00E4425C">
        <w:rPr>
          <w:noProof/>
          <w:color w:val="BC7B2B"/>
          <w:bdr w:val="none" w:sz="0" w:space="0" w:color="auto" w:frame="1"/>
        </w:rPr>
        <w:drawing>
          <wp:inline distT="0" distB="0" distL="0" distR="0" wp14:anchorId="6BBE7332" wp14:editId="04562646">
            <wp:extent cx="2952750" cy="4241800"/>
            <wp:effectExtent l="0" t="0" r="0" b="6350"/>
            <wp:docPr id="213" name="Imagen 213" descr="Growth in income for middle-income households is less than the growth for upper-income households since 1970">
              <a:hlinkClick xmlns:a="http://schemas.openxmlformats.org/drawingml/2006/main" r:id="rId2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rowth in income for middle-income households is less than the growth for upper-income households since 1970">
                      <a:hlinkClick r:id="rId274"/>
                    </pic:cNvPr>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952750" cy="424180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Pr="004236DE" w:rsidRDefault="00844212" w:rsidP="00844212">
      <w:pPr>
        <w:pStyle w:val="NormalWeb"/>
        <w:spacing w:before="0" w:beforeAutospacing="0" w:after="0" w:afterAutospacing="0"/>
        <w:jc w:val="both"/>
        <w:textAlignment w:val="baseline"/>
        <w:rPr>
          <w:color w:val="FF0000"/>
          <w:u w:val="single"/>
          <w:lang w:val="en-US"/>
        </w:rPr>
      </w:pPr>
      <w:r w:rsidRPr="004236DE">
        <w:rPr>
          <w:color w:val="FF0000"/>
          <w:u w:val="single"/>
          <w:lang w:val="en-US"/>
        </w:rPr>
        <w:lastRenderedPageBreak/>
        <w:t>The gaps in income and wealth between middle- and upper-income households widened substantially in the past three to four decades. As noted, one result is that the share of U.S. aggregate household income held by upper-income households climbed sharply, from 29% in 1970 to 49% in 2014.</w:t>
      </w:r>
      <w:r w:rsidRPr="004236DE">
        <w:rPr>
          <w:color w:val="FF0000"/>
          <w:u w:val="single"/>
          <w:bdr w:val="none" w:sz="0" w:space="0" w:color="auto" w:frame="1"/>
          <w:lang w:val="en-US"/>
        </w:rPr>
        <w:t xml:space="preserve"> </w:t>
      </w:r>
      <w:r w:rsidRPr="004236DE">
        <w:rPr>
          <w:color w:val="FF0000"/>
          <w:u w:val="single"/>
          <w:lang w:val="en-US"/>
        </w:rPr>
        <w:t>More recently, upper-income families, which had three times as much wealth as middle-income families in 1983, more than doubled the wealth gap; by 2013, they had seven times as much wealth as middle-income families.</w:t>
      </w:r>
    </w:p>
    <w:p w:rsidR="00844212" w:rsidRPr="00E4425C" w:rsidRDefault="00844212" w:rsidP="00844212">
      <w:pPr>
        <w:pStyle w:val="Ttulo4"/>
        <w:spacing w:before="133" w:after="267" w:line="240" w:lineRule="auto"/>
        <w:jc w:val="both"/>
        <w:textAlignment w:val="baseline"/>
        <w:rPr>
          <w:rFonts w:ascii="Times New Roman" w:hAnsi="Times New Roman" w:cs="Times New Roman"/>
          <w:color w:val="000000"/>
          <w:sz w:val="24"/>
          <w:szCs w:val="24"/>
          <w:lang w:val="en-US"/>
        </w:rPr>
      </w:pPr>
      <w:bookmarkStart w:id="5" w:name="trends-in-income"/>
      <w:bookmarkEnd w:id="5"/>
      <w:r w:rsidRPr="00E4425C">
        <w:rPr>
          <w:rFonts w:ascii="Times New Roman" w:hAnsi="Times New Roman" w:cs="Times New Roman"/>
          <w:color w:val="000000"/>
          <w:sz w:val="24"/>
          <w:szCs w:val="24"/>
          <w:lang w:val="en-US"/>
        </w:rPr>
        <w:t>Trends in income</w:t>
      </w:r>
    </w:p>
    <w:p w:rsidR="00844212" w:rsidRPr="004236DE" w:rsidRDefault="00844212" w:rsidP="00844212">
      <w:pPr>
        <w:pStyle w:val="NormalWeb"/>
        <w:spacing w:before="0" w:beforeAutospacing="0" w:after="300" w:afterAutospacing="0"/>
        <w:jc w:val="both"/>
        <w:textAlignment w:val="baseline"/>
        <w:rPr>
          <w:color w:val="FF0000"/>
          <w:u w:val="single"/>
          <w:lang w:val="en-US"/>
        </w:rPr>
      </w:pPr>
      <w:r w:rsidRPr="004236DE">
        <w:rPr>
          <w:color w:val="FF0000"/>
          <w:u w:val="single"/>
          <w:lang w:val="en-US"/>
        </w:rPr>
        <w:t>Households in all income tiers experienced gains in income from 1970 to 2014. But the gains for middle- and lower-income households lagged behind the gains for upper-income households.</w:t>
      </w:r>
    </w:p>
    <w:p w:rsidR="00844212" w:rsidRPr="004236DE" w:rsidRDefault="00844212" w:rsidP="00844212">
      <w:pPr>
        <w:pStyle w:val="NormalWeb"/>
        <w:spacing w:before="0" w:beforeAutospacing="0" w:after="300" w:afterAutospacing="0"/>
        <w:jc w:val="both"/>
        <w:textAlignment w:val="baseline"/>
        <w:rPr>
          <w:color w:val="FF0000"/>
          <w:u w:val="single"/>
          <w:lang w:val="en-US"/>
        </w:rPr>
      </w:pPr>
      <w:r w:rsidRPr="004236DE">
        <w:rPr>
          <w:color w:val="FF0000"/>
          <w:u w:val="single"/>
          <w:lang w:val="en-US"/>
        </w:rPr>
        <w:t>The median income of upper-income households increased from $</w:t>
      </w:r>
      <w:r w:rsidR="00B82BCE">
        <w:rPr>
          <w:color w:val="FF0000"/>
          <w:u w:val="single"/>
          <w:lang w:val="en-US"/>
        </w:rPr>
        <w:t xml:space="preserve"> </w:t>
      </w:r>
      <w:r w:rsidRPr="004236DE">
        <w:rPr>
          <w:color w:val="FF0000"/>
          <w:u w:val="single"/>
          <w:lang w:val="en-US"/>
        </w:rPr>
        <w:t>118,617 in 1970 to $</w:t>
      </w:r>
      <w:r w:rsidR="00B82BCE">
        <w:rPr>
          <w:color w:val="FF0000"/>
          <w:u w:val="single"/>
          <w:lang w:val="en-US"/>
        </w:rPr>
        <w:t xml:space="preserve"> </w:t>
      </w:r>
      <w:r w:rsidRPr="004236DE">
        <w:rPr>
          <w:color w:val="FF0000"/>
          <w:u w:val="single"/>
          <w:lang w:val="en-US"/>
        </w:rPr>
        <w:t>174,625 in 2014, or by 47%. That was significantly greater than the 34% gain for middle-income households, whose median income rose from $</w:t>
      </w:r>
      <w:r w:rsidR="00B82BCE">
        <w:rPr>
          <w:color w:val="FF0000"/>
          <w:u w:val="single"/>
          <w:lang w:val="en-US"/>
        </w:rPr>
        <w:t xml:space="preserve"> </w:t>
      </w:r>
      <w:r w:rsidRPr="004236DE">
        <w:rPr>
          <w:color w:val="FF0000"/>
          <w:u w:val="single"/>
          <w:lang w:val="en-US"/>
        </w:rPr>
        <w:t>54,682 to $</w:t>
      </w:r>
      <w:r w:rsidR="00B82BCE">
        <w:rPr>
          <w:color w:val="FF0000"/>
          <w:u w:val="single"/>
          <w:lang w:val="en-US"/>
        </w:rPr>
        <w:t xml:space="preserve"> </w:t>
      </w:r>
      <w:r w:rsidRPr="004236DE">
        <w:rPr>
          <w:color w:val="FF0000"/>
          <w:u w:val="single"/>
          <w:lang w:val="en-US"/>
        </w:rPr>
        <w:t>73,392. Lower-income households fell behind even more as their median income increased by only 28% over this period.</w:t>
      </w:r>
    </w:p>
    <w:p w:rsidR="00844212" w:rsidRPr="004236DE" w:rsidRDefault="00844212" w:rsidP="00844212">
      <w:pPr>
        <w:pStyle w:val="NormalWeb"/>
        <w:spacing w:before="0" w:beforeAutospacing="0" w:after="300" w:afterAutospacing="0"/>
        <w:jc w:val="both"/>
        <w:textAlignment w:val="baseline"/>
        <w:rPr>
          <w:color w:val="FF0000"/>
          <w:u w:val="single"/>
          <w:lang w:val="en-US"/>
        </w:rPr>
      </w:pPr>
      <w:r w:rsidRPr="004236DE">
        <w:rPr>
          <w:color w:val="FF0000"/>
          <w:u w:val="single"/>
          <w:lang w:val="en-US"/>
        </w:rPr>
        <w:t>Although 2014 incomes are generally higher than in 1970, all households experienced a lengthy period of decline in the 21st century thanks to the 2001 recession and the Great Recession of 2007-09. The greatest loss was felt by lower-income households, whose median income fell 9% from 2000 to 2014, followed by a 4% loss for middle-income households and a 3% loss for upper-income households.</w:t>
      </w:r>
    </w:p>
    <w:p w:rsidR="00844212" w:rsidRPr="00E4425C" w:rsidRDefault="00844212" w:rsidP="00844212">
      <w:pPr>
        <w:pStyle w:val="Ttulo4"/>
        <w:spacing w:before="133" w:after="267" w:line="240" w:lineRule="auto"/>
        <w:jc w:val="both"/>
        <w:textAlignment w:val="baseline"/>
        <w:rPr>
          <w:rFonts w:ascii="Times New Roman" w:hAnsi="Times New Roman" w:cs="Times New Roman"/>
          <w:color w:val="000000"/>
          <w:sz w:val="24"/>
          <w:szCs w:val="24"/>
          <w:lang w:val="en-US"/>
        </w:rPr>
      </w:pPr>
      <w:bookmarkStart w:id="6" w:name="trends-in-wealth"/>
      <w:bookmarkEnd w:id="6"/>
      <w:r w:rsidRPr="00E4425C">
        <w:rPr>
          <w:rFonts w:ascii="Times New Roman" w:hAnsi="Times New Roman" w:cs="Times New Roman"/>
          <w:color w:val="000000"/>
          <w:sz w:val="24"/>
          <w:szCs w:val="24"/>
          <w:lang w:val="en-US"/>
        </w:rPr>
        <w:t>Trends in wealth</w:t>
      </w:r>
    </w:p>
    <w:p w:rsidR="00844212" w:rsidRDefault="00844212" w:rsidP="00844212">
      <w:pPr>
        <w:pStyle w:val="NormalWeb"/>
        <w:spacing w:before="0" w:beforeAutospacing="0" w:after="0" w:afterAutospacing="0"/>
        <w:jc w:val="both"/>
        <w:textAlignment w:val="baseline"/>
        <w:rPr>
          <w:color w:val="000000"/>
          <w:lang w:val="en-US"/>
        </w:rPr>
      </w:pPr>
      <w:r w:rsidRPr="00E4425C">
        <w:rPr>
          <w:noProof/>
          <w:color w:val="BC7B2B"/>
          <w:bdr w:val="none" w:sz="0" w:space="0" w:color="auto" w:frame="1"/>
        </w:rPr>
        <w:drawing>
          <wp:inline distT="0" distB="0" distL="0" distR="0" wp14:anchorId="78070E7D" wp14:editId="41C3C10E">
            <wp:extent cx="2952750" cy="3778250"/>
            <wp:effectExtent l="0" t="0" r="0" b="0"/>
            <wp:docPr id="214" name="Imagen 214" descr="The wealth gap between upper- and middle-income families is growing">
              <a:hlinkClick xmlns:a="http://schemas.openxmlformats.org/drawingml/2006/main" r:id="rId2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he wealth gap between upper- and middle-income families is growing">
                      <a:hlinkClick r:id="rId276"/>
                    </pic:cNvPr>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952750" cy="37782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Pr="004236DE" w:rsidRDefault="00844212" w:rsidP="00844212">
      <w:pPr>
        <w:pStyle w:val="NormalWeb"/>
        <w:spacing w:before="0" w:beforeAutospacing="0" w:after="0" w:afterAutospacing="0"/>
        <w:jc w:val="both"/>
        <w:textAlignment w:val="baseline"/>
        <w:rPr>
          <w:color w:val="000000"/>
          <w:u w:val="single"/>
          <w:lang w:val="en-US"/>
        </w:rPr>
      </w:pPr>
      <w:r w:rsidRPr="004236DE">
        <w:rPr>
          <w:color w:val="000000"/>
          <w:u w:val="single"/>
          <w:lang w:val="en-US"/>
        </w:rPr>
        <w:lastRenderedPageBreak/>
        <w:t>The Great Recession of 2007-09, which caused the latest downturn in incomes, had an even greater impact on the wealth (assets minus debts) of families. The losses were so large that only upper-income families realized notable gains in wealth over the span of 30 years from 1983 to 2013 (the period for which data on wealth are available).</w:t>
      </w:r>
    </w:p>
    <w:p w:rsidR="00844212" w:rsidRPr="004236DE" w:rsidRDefault="00844212" w:rsidP="00844212">
      <w:pPr>
        <w:pStyle w:val="NormalWeb"/>
        <w:spacing w:before="0" w:beforeAutospacing="0" w:after="0" w:afterAutospacing="0"/>
        <w:jc w:val="both"/>
        <w:textAlignment w:val="baseline"/>
        <w:rPr>
          <w:color w:val="000000"/>
          <w:u w:val="single"/>
          <w:bdr w:val="none" w:sz="0" w:space="0" w:color="auto" w:frame="1"/>
          <w:lang w:val="en-US"/>
        </w:rPr>
      </w:pPr>
    </w:p>
    <w:p w:rsidR="00844212" w:rsidRPr="004236DE" w:rsidRDefault="00844212" w:rsidP="00844212">
      <w:pPr>
        <w:pStyle w:val="NormalWeb"/>
        <w:spacing w:before="0" w:beforeAutospacing="0" w:after="0" w:afterAutospacing="0"/>
        <w:jc w:val="both"/>
        <w:textAlignment w:val="baseline"/>
        <w:rPr>
          <w:color w:val="000000"/>
          <w:u w:val="single"/>
          <w:lang w:val="en-US"/>
        </w:rPr>
      </w:pPr>
      <w:r w:rsidRPr="004236DE">
        <w:rPr>
          <w:color w:val="000000"/>
          <w:u w:val="single"/>
          <w:lang w:val="en-US"/>
        </w:rPr>
        <w:t>Before the onset of the Great Recession, the median wealth of middle-income families increased from $</w:t>
      </w:r>
      <w:r w:rsidR="00B82BCE">
        <w:rPr>
          <w:color w:val="000000"/>
          <w:u w:val="single"/>
          <w:lang w:val="en-US"/>
        </w:rPr>
        <w:t xml:space="preserve"> </w:t>
      </w:r>
      <w:r w:rsidRPr="004236DE">
        <w:rPr>
          <w:color w:val="000000"/>
          <w:u w:val="single"/>
          <w:lang w:val="en-US"/>
        </w:rPr>
        <w:t>95,879 in 1983 to $</w:t>
      </w:r>
      <w:r w:rsidR="00B82BCE">
        <w:rPr>
          <w:color w:val="000000"/>
          <w:u w:val="single"/>
          <w:lang w:val="en-US"/>
        </w:rPr>
        <w:t xml:space="preserve"> </w:t>
      </w:r>
      <w:r w:rsidRPr="004236DE">
        <w:rPr>
          <w:color w:val="000000"/>
          <w:u w:val="single"/>
          <w:lang w:val="en-US"/>
        </w:rPr>
        <w:t>161,050 in 2007, a gain of 68%. But the economic downturn eliminated that gain almost entirely. By 2010, the median wealth of middle-income families had fallen to about $</w:t>
      </w:r>
      <w:r w:rsidR="00B82BCE">
        <w:rPr>
          <w:color w:val="000000"/>
          <w:u w:val="single"/>
          <w:lang w:val="en-US"/>
        </w:rPr>
        <w:t xml:space="preserve"> </w:t>
      </w:r>
      <w:r w:rsidRPr="004236DE">
        <w:rPr>
          <w:color w:val="000000"/>
          <w:u w:val="single"/>
          <w:lang w:val="en-US"/>
        </w:rPr>
        <w:t>98,000, where it still stood in 2013.</w:t>
      </w:r>
    </w:p>
    <w:p w:rsidR="00844212" w:rsidRPr="004236DE" w:rsidRDefault="00844212" w:rsidP="00844212">
      <w:pPr>
        <w:pStyle w:val="NormalWeb"/>
        <w:spacing w:before="0" w:beforeAutospacing="0" w:after="0" w:afterAutospacing="0"/>
        <w:jc w:val="both"/>
        <w:textAlignment w:val="baseline"/>
        <w:rPr>
          <w:color w:val="000000"/>
          <w:u w:val="single"/>
          <w:bdr w:val="none" w:sz="0" w:space="0" w:color="auto" w:frame="1"/>
          <w:lang w:val="en-US"/>
        </w:rPr>
      </w:pPr>
    </w:p>
    <w:p w:rsidR="00844212" w:rsidRPr="004236DE" w:rsidRDefault="00844212" w:rsidP="00844212">
      <w:pPr>
        <w:pStyle w:val="NormalWeb"/>
        <w:spacing w:before="0" w:beforeAutospacing="0" w:after="300" w:afterAutospacing="0"/>
        <w:jc w:val="both"/>
        <w:textAlignment w:val="baseline"/>
        <w:rPr>
          <w:color w:val="000000"/>
          <w:u w:val="single"/>
          <w:lang w:val="en-US"/>
        </w:rPr>
      </w:pPr>
      <w:r w:rsidRPr="004236DE">
        <w:rPr>
          <w:color w:val="000000"/>
          <w:u w:val="single"/>
          <w:lang w:val="en-US"/>
        </w:rPr>
        <w:t>Upper-income families more than doubled their wealth from 1983 to 2007 as it climbed from $</w:t>
      </w:r>
      <w:r w:rsidR="00B82BCE">
        <w:rPr>
          <w:color w:val="000000"/>
          <w:u w:val="single"/>
          <w:lang w:val="en-US"/>
        </w:rPr>
        <w:t xml:space="preserve"> </w:t>
      </w:r>
      <w:r w:rsidRPr="004236DE">
        <w:rPr>
          <w:color w:val="000000"/>
          <w:u w:val="single"/>
          <w:lang w:val="en-US"/>
        </w:rPr>
        <w:t>323,402 to $</w:t>
      </w:r>
      <w:r w:rsidR="00B82BCE">
        <w:rPr>
          <w:color w:val="000000"/>
          <w:u w:val="single"/>
          <w:lang w:val="en-US"/>
        </w:rPr>
        <w:t xml:space="preserve"> </w:t>
      </w:r>
      <w:r w:rsidRPr="004236DE">
        <w:rPr>
          <w:color w:val="000000"/>
          <w:u w:val="single"/>
          <w:lang w:val="en-US"/>
        </w:rPr>
        <w:t>729,980. Despite losses during the recession, these families recovered somewhat since 2010 and had a median wealth of $650,074 in 2013, about double their wealth in 1983.</w:t>
      </w: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The disparate trends in the wealth of middle-income and upper-income families are due to the fact that housing assumes a greater role in the portfolios of middle-income families. The crash in the housing market that preceded the Great Recession was more severe and of longer duration than the turmoil in the stock market. Thus, the portfolios of upper-income families performed better than the portfolios of middle-income families from 2007 to 2013. When all is said and done, upper-income families, which had three times as much wealth as middle-income families in 1983, had seven times as much in 2013.</w:t>
      </w:r>
    </w:p>
    <w:p w:rsidR="00844212" w:rsidRPr="00E4425C" w:rsidRDefault="00844212" w:rsidP="00844212">
      <w:pPr>
        <w:pStyle w:val="Ttulo3"/>
        <w:spacing w:before="120" w:after="240"/>
        <w:jc w:val="both"/>
        <w:textAlignment w:val="baseline"/>
        <w:rPr>
          <w:color w:val="000000"/>
          <w:sz w:val="24"/>
          <w:szCs w:val="24"/>
          <w:lang w:val="en-US"/>
        </w:rPr>
      </w:pPr>
      <w:bookmarkStart w:id="7" w:name="demographic-winners-and-losers"/>
      <w:bookmarkEnd w:id="7"/>
      <w:r w:rsidRPr="00E4425C">
        <w:rPr>
          <w:color w:val="000000"/>
          <w:sz w:val="24"/>
          <w:szCs w:val="24"/>
          <w:lang w:val="en-US"/>
        </w:rPr>
        <w:t>Demographic winners and losers</w:t>
      </w:r>
    </w:p>
    <w:p w:rsidR="00844212" w:rsidRDefault="00844212" w:rsidP="00844212">
      <w:pPr>
        <w:pStyle w:val="NormalWeb"/>
        <w:spacing w:before="0" w:beforeAutospacing="0" w:after="0" w:afterAutospacing="0"/>
        <w:jc w:val="both"/>
        <w:textAlignment w:val="baseline"/>
        <w:rPr>
          <w:color w:val="000000"/>
          <w:lang w:val="en-US"/>
        </w:rPr>
      </w:pPr>
      <w:r w:rsidRPr="00E4425C">
        <w:rPr>
          <w:noProof/>
          <w:color w:val="BC7B2B"/>
          <w:bdr w:val="none" w:sz="0" w:space="0" w:color="auto" w:frame="1"/>
        </w:rPr>
        <w:drawing>
          <wp:inline distT="0" distB="0" distL="0" distR="0" wp14:anchorId="0DD20271" wp14:editId="4CB4600C">
            <wp:extent cx="4000500" cy="4387850"/>
            <wp:effectExtent l="0" t="0" r="0" b="0"/>
            <wp:docPr id="215" name="Imagen 215" descr="Older people, married couples and black adults improved their income status more than other groups from 1971 to 2015">
              <a:hlinkClick xmlns:a="http://schemas.openxmlformats.org/drawingml/2006/main" r:id="rId2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Older people, married couples and black adults improved their income status more than other groups from 1971 to 2015">
                      <a:hlinkClick r:id="rId278"/>
                    </pic:cNvPr>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000500" cy="43878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r w:rsidRPr="00E4425C">
        <w:rPr>
          <w:color w:val="000000"/>
          <w:lang w:val="en-US"/>
        </w:rPr>
        <w:lastRenderedPageBreak/>
        <w:t>As the middle has hollowed, some demographic groups have been more likely to advance up the income tiers (winners) while others were more likely to retreat down the economic ladder (losers).</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E4425C">
        <w:rPr>
          <w:color w:val="000000"/>
          <w:lang w:val="en-US"/>
        </w:rPr>
        <w:t xml:space="preserve">Nationally, the share of adults in the upper-income tier increased from 14% in 1971 to 21% in 2015, a gain of 7 percentage points. Meanwhile, the share of adults in the lower-income tier also </w:t>
      </w:r>
      <w:r w:rsidR="0036518C" w:rsidRPr="00E4425C">
        <w:rPr>
          <w:color w:val="000000"/>
          <w:lang w:val="en-US"/>
        </w:rPr>
        <w:t>raised</w:t>
      </w:r>
      <w:r w:rsidRPr="00E4425C">
        <w:rPr>
          <w:color w:val="000000"/>
          <w:lang w:val="en-US"/>
        </w:rPr>
        <w:t>, from 25% to 29%, an increase of 4 perc</w:t>
      </w:r>
      <w:r>
        <w:rPr>
          <w:color w:val="000000"/>
          <w:lang w:val="en-US"/>
        </w:rPr>
        <w:t>entage points. The difference -3 percentage points-</w:t>
      </w:r>
      <w:r w:rsidRPr="00E4425C">
        <w:rPr>
          <w:color w:val="000000"/>
          <w:lang w:val="en-US"/>
        </w:rPr>
        <w:t xml:space="preserve"> is the </w:t>
      </w:r>
      <w:r w:rsidRPr="00E4425C">
        <w:rPr>
          <w:rStyle w:val="nfasis"/>
          <w:rFonts w:eastAsiaTheme="majorEastAsia"/>
          <w:color w:val="000000"/>
          <w:bdr w:val="none" w:sz="0" w:space="0" w:color="auto" w:frame="1"/>
          <w:lang w:val="en-US"/>
        </w:rPr>
        <w:t>net</w:t>
      </w:r>
      <w:r w:rsidRPr="00E4425C">
        <w:rPr>
          <w:color w:val="000000"/>
          <w:lang w:val="en-US"/>
        </w:rPr>
        <w:t> gain for American adults. By the same measure, the net gain in economic status varied across demographic groups.</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4236DE">
        <w:rPr>
          <w:color w:val="000000"/>
          <w:u w:val="single"/>
          <w:lang w:val="en-US"/>
        </w:rPr>
        <w:t>The biggest winners since 1971 are people 65 and older</w:t>
      </w:r>
      <w:r w:rsidRPr="00E4425C">
        <w:rPr>
          <w:color w:val="000000"/>
          <w:lang w:val="en-US"/>
        </w:rPr>
        <w:t>. </w:t>
      </w:r>
      <w:hyperlink r:id="rId280" w:tgtFrame="_blank" w:history="1">
        <w:r w:rsidRPr="00E96CD0">
          <w:rPr>
            <w:rStyle w:val="Hipervnculo"/>
            <w:color w:val="000000"/>
            <w:bdr w:val="none" w:sz="0" w:space="0" w:color="auto" w:frame="1"/>
            <w:lang w:val="en-US"/>
          </w:rPr>
          <w:t>This age group was the only one that had a smaller share in the lower-income tier in 2015 than in 1971.</w:t>
        </w:r>
      </w:hyperlink>
      <w:r w:rsidRPr="00E4425C">
        <w:rPr>
          <w:color w:val="000000"/>
          <w:lang w:val="en-US"/>
        </w:rPr>
        <w:t> Not coincidentally, the poverty rate among people 65 and older fell from 24.6% in 1970 to 10% in 2014.</w:t>
      </w:r>
      <w:r>
        <w:rPr>
          <w:color w:val="000000"/>
          <w:bdr w:val="none" w:sz="0" w:space="0" w:color="auto" w:frame="1"/>
          <w:lang w:val="en-US"/>
        </w:rPr>
        <w:t xml:space="preserve"> </w:t>
      </w:r>
      <w:r w:rsidRPr="00E4425C">
        <w:rPr>
          <w:color w:val="000000"/>
          <w:lang w:val="en-US"/>
        </w:rPr>
        <w:t>Evidence shows that rising Social Security benefits have played a key role in improving the economic status of older adults.</w:t>
      </w:r>
      <w:r>
        <w:rPr>
          <w:color w:val="000000"/>
          <w:lang w:val="en-US"/>
        </w:rPr>
        <w:t xml:space="preserve"> </w:t>
      </w:r>
      <w:r w:rsidRPr="00E4425C">
        <w:rPr>
          <w:color w:val="000000"/>
          <w:lang w:val="en-US"/>
        </w:rPr>
        <w:t>The youngest adults, ages 18 to 29, are among the notable losers with a significant rise in their share in the lower-income tiers.</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The economic status of adults with a bachelor’s degree changed little from 1971 to 2015, meaning that similar shares of these adults were lower-, middle- or upper-income in those two years. Those without a bachelor’s degree tumbled down the income tiers, however. Among the various demographic groups examined, adults with no more than a high school diploma lost the most ground economically.</w:t>
      </w: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Winners also include married adults, especially couples where both work. On the flip side, being unmarried is associated with an economic loss. This coincides with a period in which marriage overall is on the decline but is increasingly linked to higher educational attainment.</w:t>
      </w:r>
    </w:p>
    <w:p w:rsidR="00844212" w:rsidRDefault="00844212" w:rsidP="00844212">
      <w:pPr>
        <w:pStyle w:val="NormalWeb"/>
        <w:spacing w:before="0" w:beforeAutospacing="0" w:after="0" w:afterAutospacing="0"/>
        <w:jc w:val="both"/>
        <w:textAlignment w:val="baseline"/>
        <w:rPr>
          <w:color w:val="000000"/>
          <w:bdr w:val="none" w:sz="0" w:space="0" w:color="auto" w:frame="1"/>
          <w:lang w:val="en-US"/>
        </w:rPr>
      </w:pPr>
      <w:r w:rsidRPr="00E4425C">
        <w:rPr>
          <w:color w:val="000000"/>
          <w:lang w:val="en-US"/>
        </w:rPr>
        <w:t>Gains for women edged out gains for men, a reflection of their streaming into the labor force in greater numbers in the past four decades, their educational attainment rising faster than among men, and the narrowing of the gender wage gap.</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Among racial and ethnic groups, blacks and whites came out winners, but Hispanics slipped down the ladder. Although blacks advanced in income status, they are still more likely to be lower income and less likely to be upper income than whites or adults overall. For Hispanics, the overall loss in income status reflects the rising share of lower-earning immigrants in the adult population, from 29% in 1970 to 49% in 2015. Considered separately, both U.S.-born and foreign-born Hispanics edged up the economic tiers.</w:t>
      </w:r>
      <w:bookmarkStart w:id="8" w:name="road-map-to-the-report"/>
      <w:bookmarkEnd w:id="8"/>
    </w:p>
    <w:p w:rsidR="00844212" w:rsidRPr="00E4425C" w:rsidRDefault="00844212" w:rsidP="00844212">
      <w:pPr>
        <w:pStyle w:val="Ttulo2"/>
        <w:spacing w:before="0" w:after="375" w:line="240" w:lineRule="auto"/>
        <w:jc w:val="both"/>
        <w:textAlignment w:val="baseline"/>
        <w:rPr>
          <w:rFonts w:ascii="Times New Roman" w:hAnsi="Times New Roman" w:cs="Times New Roman"/>
          <w:color w:val="000000"/>
          <w:sz w:val="24"/>
          <w:szCs w:val="24"/>
          <w:lang w:val="en-US"/>
        </w:rPr>
      </w:pPr>
      <w:r w:rsidRPr="00E4425C">
        <w:rPr>
          <w:rFonts w:ascii="Times New Roman" w:hAnsi="Times New Roman" w:cs="Times New Roman"/>
          <w:color w:val="000000"/>
          <w:sz w:val="24"/>
          <w:szCs w:val="24"/>
          <w:lang w:val="en-US"/>
        </w:rPr>
        <w:t>1. The hollowing of the American middle class</w:t>
      </w:r>
    </w:p>
    <w:p w:rsidR="00844212" w:rsidRPr="004236DE" w:rsidRDefault="00844212" w:rsidP="00844212">
      <w:pPr>
        <w:pStyle w:val="NormalWeb"/>
        <w:spacing w:before="0" w:beforeAutospacing="0" w:after="300" w:afterAutospacing="0"/>
        <w:jc w:val="both"/>
        <w:textAlignment w:val="baseline"/>
        <w:rPr>
          <w:color w:val="000000"/>
          <w:u w:val="single"/>
          <w:lang w:val="en-US"/>
        </w:rPr>
      </w:pPr>
      <w:r w:rsidRPr="004236DE">
        <w:rPr>
          <w:color w:val="000000"/>
          <w:u w:val="single"/>
          <w:lang w:val="en-US"/>
        </w:rPr>
        <w:t>The share of the American adult population that is middle income is falling, and rising shares are living in economic tiers above and below the middle. The hollowing of the middle has proceeded steadily for four decades, and it may have reached a tipping point. Once in the clear majority, adults in middle-income households (based on the definition of “middle income” used in this report) in 2015 were matched in number by those in lower- and upper-income households combined.</w:t>
      </w: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The analysis also finds that the movement out of the middle has not s</w:t>
      </w:r>
      <w:r>
        <w:rPr>
          <w:color w:val="000000"/>
          <w:lang w:val="en-US"/>
        </w:rPr>
        <w:t>imply been at the margins -</w:t>
      </w:r>
      <w:r w:rsidRPr="00E4425C">
        <w:rPr>
          <w:color w:val="000000"/>
          <w:lang w:val="en-US"/>
        </w:rPr>
        <w:t xml:space="preserve"> the growth has been at the extreme ends of the income ladder. The shares of adults </w:t>
      </w:r>
      <w:r w:rsidRPr="00E4425C">
        <w:rPr>
          <w:color w:val="000000"/>
          <w:lang w:val="en-US"/>
        </w:rPr>
        <w:lastRenderedPageBreak/>
        <w:t>living in lower-middle income or upper-middle income brackets are relatively unchanged since 1971. Meanwhile, the fastest-growing numbers are in the very lowest and very highest income tiers.</w:t>
      </w:r>
    </w:p>
    <w:p w:rsidR="00844212" w:rsidRPr="004236DE" w:rsidRDefault="00844212" w:rsidP="00844212">
      <w:pPr>
        <w:pStyle w:val="NormalWeb"/>
        <w:spacing w:before="0" w:beforeAutospacing="0" w:after="300" w:afterAutospacing="0"/>
        <w:jc w:val="both"/>
        <w:textAlignment w:val="baseline"/>
        <w:rPr>
          <w:color w:val="000000"/>
          <w:u w:val="single"/>
          <w:lang w:val="en-US"/>
        </w:rPr>
      </w:pPr>
      <w:r w:rsidRPr="004236DE">
        <w:rPr>
          <w:color w:val="000000"/>
          <w:u w:val="single"/>
          <w:lang w:val="en-US"/>
        </w:rPr>
        <w:t>The diminishing size of the middle is not all bad news, however. The share of U.S. adults living in both upper- and lower-income households rose from 1971 to 2015, but the share in the upper-income tier grew more. On balance, there is more economic progress than regression.</w:t>
      </w:r>
    </w:p>
    <w:p w:rsidR="00844212" w:rsidRPr="00E4425C" w:rsidRDefault="00844212" w:rsidP="00844212">
      <w:pPr>
        <w:pStyle w:val="NormalWeb"/>
        <w:spacing w:before="0" w:beforeAutospacing="0" w:after="0" w:afterAutospacing="0"/>
        <w:jc w:val="both"/>
        <w:textAlignment w:val="baseline"/>
        <w:rPr>
          <w:color w:val="000000"/>
          <w:lang w:val="en-US"/>
        </w:rPr>
      </w:pPr>
      <w:r w:rsidRPr="00E4425C">
        <w:rPr>
          <w:color w:val="000000"/>
          <w:lang w:val="en-US"/>
        </w:rPr>
        <w:t>These findings emerge from Pew Research Center’s analysis of data from the Census Bureau’s Current Population Survey for 1971 to 2015. The specific data analyzed are from the Annual Social and Economic Supplement, conducted in March of each year, in which respondents provide household income data for the previous calendar year.</w:t>
      </w:r>
      <w:r>
        <w:rPr>
          <w:color w:val="000000"/>
          <w:bdr w:val="none" w:sz="0" w:space="0" w:color="auto" w:frame="1"/>
          <w:lang w:val="en-US"/>
        </w:rPr>
        <w:t xml:space="preserve"> </w:t>
      </w:r>
      <w:r w:rsidRPr="00E4425C">
        <w:rPr>
          <w:color w:val="000000"/>
          <w:lang w:val="en-US"/>
        </w:rPr>
        <w:t>For this reason, adults who were surveyed in a given year are classified as lower, middle or upper income based on their household income in the previous year. In this report, income data refer to the 1970-2014 period and the demographic data from the same survey refer to the 1971-2015 period.</w:t>
      </w:r>
    </w:p>
    <w:p w:rsidR="00844212" w:rsidRPr="00E4425C" w:rsidRDefault="00844212" w:rsidP="00844212">
      <w:pPr>
        <w:pStyle w:val="Ttulo3"/>
        <w:spacing w:before="120" w:after="240"/>
        <w:jc w:val="both"/>
        <w:textAlignment w:val="baseline"/>
        <w:rPr>
          <w:color w:val="000000"/>
          <w:sz w:val="24"/>
          <w:szCs w:val="24"/>
          <w:lang w:val="en-US"/>
        </w:rPr>
      </w:pPr>
      <w:bookmarkStart w:id="9" w:name="what-it-takes-to-be-middle-income-has-ch"/>
      <w:bookmarkEnd w:id="9"/>
      <w:r w:rsidRPr="00E4425C">
        <w:rPr>
          <w:color w:val="000000"/>
          <w:sz w:val="24"/>
          <w:szCs w:val="24"/>
          <w:lang w:val="en-US"/>
        </w:rPr>
        <w:t>What it takes to be middle income has changed over time</w:t>
      </w:r>
    </w:p>
    <w:p w:rsidR="00844212" w:rsidRDefault="00844212" w:rsidP="00844212">
      <w:pPr>
        <w:pStyle w:val="NormalWeb"/>
        <w:spacing w:before="0" w:beforeAutospacing="0" w:after="0" w:afterAutospacing="0"/>
        <w:jc w:val="both"/>
        <w:textAlignment w:val="baseline"/>
        <w:rPr>
          <w:color w:val="000000"/>
          <w:lang w:val="en-US"/>
        </w:rPr>
      </w:pPr>
      <w:r w:rsidRPr="00E4425C">
        <w:rPr>
          <w:noProof/>
          <w:color w:val="BC7B2B"/>
          <w:bdr w:val="none" w:sz="0" w:space="0" w:color="auto" w:frame="1"/>
        </w:rPr>
        <w:drawing>
          <wp:inline distT="0" distB="0" distL="0" distR="0" wp14:anchorId="3ED592A3" wp14:editId="22674EBC">
            <wp:extent cx="2952750" cy="3816350"/>
            <wp:effectExtent l="0" t="0" r="0" b="0"/>
            <wp:docPr id="216" name="Imagen 216" descr="Who is middle income?">
              <a:hlinkClick xmlns:a="http://schemas.openxmlformats.org/drawingml/2006/main" r:id="rId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Who is middle income?">
                      <a:hlinkClick r:id="rId281"/>
                    </pic:cNvPr>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952750" cy="38163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bdr w:val="none" w:sz="0" w:space="0" w:color="auto" w:frame="1"/>
          <w:lang w:val="en-US"/>
        </w:rPr>
      </w:pPr>
      <w:r w:rsidRPr="00E4425C">
        <w:rPr>
          <w:color w:val="000000"/>
          <w:lang w:val="en-US"/>
        </w:rPr>
        <w:t>Middle-income households are defined as those with an income that is 67% to 200% (two-thirds to double) of the overall median household income, after incomes have been adjusted for household size. Lower-income households have incomes less than 67% of the median, and upper-income households have incomes that are more than double the median.</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 xml:space="preserve">Because overall median household income in the U.S. has changed over time, the minimum amount it takes to be middle income has also changed. As shown in more detail in section 4, household incomes overall increased from 1970 to 2000 and then fell thereafter. The setbacks </w:t>
      </w:r>
      <w:r w:rsidRPr="00E4425C">
        <w:rPr>
          <w:color w:val="000000"/>
          <w:lang w:val="en-US"/>
        </w:rPr>
        <w:lastRenderedPageBreak/>
        <w:t>since 2000 ma</w:t>
      </w:r>
      <w:r>
        <w:rPr>
          <w:color w:val="000000"/>
          <w:lang w:val="en-US"/>
        </w:rPr>
        <w:t>y be traced to two recessions -</w:t>
      </w:r>
      <w:r w:rsidRPr="00E4425C">
        <w:rPr>
          <w:color w:val="000000"/>
          <w:lang w:val="en-US"/>
        </w:rPr>
        <w:t xml:space="preserve">the 2001 recession and </w:t>
      </w:r>
      <w:r>
        <w:rPr>
          <w:color w:val="000000"/>
          <w:lang w:val="en-US"/>
        </w:rPr>
        <w:t>the Great Recession of 2007-09-</w:t>
      </w:r>
      <w:r w:rsidRPr="00E4425C">
        <w:rPr>
          <w:color w:val="000000"/>
          <w:lang w:val="en-US"/>
        </w:rPr>
        <w:t xml:space="preserve"> and the slow economic recoveries after each.</w:t>
      </w: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As the median income overall increased in the years prior to 2000, the threshold for attaining middle-income status increased, from about $</w:t>
      </w:r>
      <w:r w:rsidR="00B82BCE">
        <w:rPr>
          <w:color w:val="000000"/>
          <w:lang w:val="en-US"/>
        </w:rPr>
        <w:t xml:space="preserve"> </w:t>
      </w:r>
      <w:r w:rsidRPr="00E4425C">
        <w:rPr>
          <w:color w:val="000000"/>
          <w:lang w:val="en-US"/>
        </w:rPr>
        <w:t>31,000 in 1970 to about $</w:t>
      </w:r>
      <w:r w:rsidR="00B82BCE">
        <w:rPr>
          <w:color w:val="000000"/>
          <w:lang w:val="en-US"/>
        </w:rPr>
        <w:t xml:space="preserve"> </w:t>
      </w:r>
      <w:r w:rsidRPr="00E4425C">
        <w:rPr>
          <w:color w:val="000000"/>
          <w:lang w:val="en-US"/>
        </w:rPr>
        <w:t>44,000 in 2000, for three-person households. With the economic reversals in the 21st century, the threshold fell to $</w:t>
      </w:r>
      <w:r w:rsidR="00B82BCE">
        <w:rPr>
          <w:color w:val="000000"/>
          <w:lang w:val="en-US"/>
        </w:rPr>
        <w:t xml:space="preserve"> </w:t>
      </w:r>
      <w:r w:rsidRPr="00E4425C">
        <w:rPr>
          <w:color w:val="000000"/>
          <w:lang w:val="en-US"/>
        </w:rPr>
        <w:t>41,000 in 2010. The economic stability more recently has pushed the threshold closer to $</w:t>
      </w:r>
      <w:r w:rsidR="00B82BCE">
        <w:rPr>
          <w:color w:val="000000"/>
          <w:lang w:val="en-US"/>
        </w:rPr>
        <w:t xml:space="preserve"> </w:t>
      </w:r>
      <w:r w:rsidRPr="00E4425C">
        <w:rPr>
          <w:color w:val="000000"/>
          <w:lang w:val="en-US"/>
        </w:rPr>
        <w:t>42,000 in 2014.</w:t>
      </w: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The top end of the middle-income range has changed similarly over time. In 1970, middle-income households could have an income as high as $</w:t>
      </w:r>
      <w:r w:rsidR="00B82BCE">
        <w:rPr>
          <w:color w:val="000000"/>
          <w:lang w:val="en-US"/>
        </w:rPr>
        <w:t xml:space="preserve"> </w:t>
      </w:r>
      <w:r w:rsidRPr="00E4425C">
        <w:rPr>
          <w:color w:val="000000"/>
          <w:lang w:val="en-US"/>
        </w:rPr>
        <w:t>94,000. This limit rose to $</w:t>
      </w:r>
      <w:r w:rsidR="00B82BCE">
        <w:rPr>
          <w:color w:val="000000"/>
          <w:lang w:val="en-US"/>
        </w:rPr>
        <w:t xml:space="preserve"> </w:t>
      </w:r>
      <w:r w:rsidRPr="00E4425C">
        <w:rPr>
          <w:color w:val="000000"/>
          <w:lang w:val="en-US"/>
        </w:rPr>
        <w:t>133,000 by 2000, but then decreased to $</w:t>
      </w:r>
      <w:r w:rsidR="00B82BCE">
        <w:rPr>
          <w:color w:val="000000"/>
          <w:lang w:val="en-US"/>
        </w:rPr>
        <w:t xml:space="preserve"> </w:t>
      </w:r>
      <w:r w:rsidRPr="00E4425C">
        <w:rPr>
          <w:color w:val="000000"/>
          <w:lang w:val="en-US"/>
        </w:rPr>
        <w:t>126,000 by 2014.</w:t>
      </w:r>
    </w:p>
    <w:p w:rsidR="00844212" w:rsidRPr="00E4425C" w:rsidRDefault="00844212" w:rsidP="00844212">
      <w:pPr>
        <w:pStyle w:val="Ttulo3"/>
        <w:spacing w:before="120" w:after="240"/>
        <w:jc w:val="both"/>
        <w:textAlignment w:val="baseline"/>
        <w:rPr>
          <w:color w:val="000000"/>
          <w:sz w:val="24"/>
          <w:szCs w:val="24"/>
          <w:lang w:val="en-US"/>
        </w:rPr>
      </w:pPr>
      <w:bookmarkStart w:id="10" w:name="how-many-adults-are-middle-income"/>
      <w:bookmarkEnd w:id="10"/>
      <w:r w:rsidRPr="00E4425C">
        <w:rPr>
          <w:color w:val="000000"/>
          <w:sz w:val="24"/>
          <w:szCs w:val="24"/>
          <w:lang w:val="en-US"/>
        </w:rPr>
        <w:t>How many adults are middle income?</w:t>
      </w:r>
    </w:p>
    <w:p w:rsidR="00844212" w:rsidRDefault="00844212" w:rsidP="00844212">
      <w:pPr>
        <w:pStyle w:val="NormalWeb"/>
        <w:spacing w:before="0" w:beforeAutospacing="0" w:after="0" w:afterAutospacing="0"/>
        <w:jc w:val="both"/>
        <w:textAlignment w:val="baseline"/>
        <w:rPr>
          <w:color w:val="000000"/>
          <w:lang w:val="en-US"/>
        </w:rPr>
      </w:pPr>
      <w:r w:rsidRPr="00E4425C">
        <w:rPr>
          <w:noProof/>
          <w:color w:val="BC7B2B"/>
          <w:bdr w:val="none" w:sz="0" w:space="0" w:color="auto" w:frame="1"/>
        </w:rPr>
        <w:drawing>
          <wp:inline distT="0" distB="0" distL="0" distR="0" wp14:anchorId="70443BC4" wp14:editId="04B5B442">
            <wp:extent cx="4000500" cy="3848100"/>
            <wp:effectExtent l="0" t="0" r="0" b="0"/>
            <wp:docPr id="217" name="Imagen 217" descr="Share of adults living in middle-income households is in steady decline, and share in lower- and upper-income households is rising">
              <a:hlinkClick xmlns:a="http://schemas.openxmlformats.org/drawingml/2006/main" r:id="rId2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hare of adults living in middle-income households is in steady decline, and share in lower- and upper-income households is rising">
                      <a:hlinkClick r:id="rId283"/>
                    </pic:cNvPr>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000500" cy="384810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Pr="001A6070" w:rsidRDefault="00844212" w:rsidP="00844212">
      <w:pPr>
        <w:pStyle w:val="NormalWeb"/>
        <w:spacing w:before="0" w:beforeAutospacing="0" w:after="0" w:afterAutospacing="0"/>
        <w:jc w:val="both"/>
        <w:textAlignment w:val="baseline"/>
        <w:rPr>
          <w:color w:val="FF0000"/>
          <w:u w:val="single"/>
          <w:lang w:val="en-US"/>
        </w:rPr>
      </w:pPr>
      <w:r w:rsidRPr="001A6070">
        <w:rPr>
          <w:color w:val="FF0000"/>
          <w:u w:val="single"/>
          <w:lang w:val="en-US"/>
        </w:rPr>
        <w:t>The share of adults who live in middle-income households has fallen since 1971. </w:t>
      </w:r>
      <w:hyperlink r:id="rId285" w:tgtFrame="_blank" w:history="1">
        <w:r w:rsidRPr="001A6070">
          <w:rPr>
            <w:rStyle w:val="Hipervnculo"/>
            <w:color w:val="FF0000"/>
            <w:bdr w:val="none" w:sz="0" w:space="0" w:color="auto" w:frame="1"/>
            <w:lang w:val="en-US"/>
          </w:rPr>
          <w:t>In 2015, 50% of American adults were middle income, compared with 61% in 1971.</w:t>
        </w:r>
      </w:hyperlink>
      <w:r w:rsidRPr="001A6070">
        <w:rPr>
          <w:color w:val="FF0000"/>
          <w:u w:val="single"/>
          <w:lang w:val="en-US"/>
        </w:rPr>
        <w:t> The shrinking of the middle has been a steadily ongoing process, through the ups and downs of the U.S. economy.</w:t>
      </w:r>
    </w:p>
    <w:p w:rsidR="00844212" w:rsidRPr="001A6070" w:rsidRDefault="00844212" w:rsidP="00844212">
      <w:pPr>
        <w:pStyle w:val="NormalWeb"/>
        <w:spacing w:before="0" w:beforeAutospacing="0" w:after="0" w:afterAutospacing="0"/>
        <w:jc w:val="both"/>
        <w:textAlignment w:val="baseline"/>
        <w:rPr>
          <w:color w:val="FF0000"/>
          <w:u w:val="single"/>
          <w:lang w:val="en-US"/>
        </w:rPr>
      </w:pPr>
    </w:p>
    <w:p w:rsidR="00844212" w:rsidRPr="001A6070" w:rsidRDefault="00844212" w:rsidP="00844212">
      <w:pPr>
        <w:pStyle w:val="NormalWeb"/>
        <w:spacing w:before="0" w:beforeAutospacing="0" w:after="300" w:afterAutospacing="0"/>
        <w:jc w:val="both"/>
        <w:textAlignment w:val="baseline"/>
        <w:rPr>
          <w:color w:val="FF0000"/>
          <w:u w:val="single"/>
          <w:lang w:val="en-US"/>
        </w:rPr>
      </w:pPr>
      <w:r w:rsidRPr="001A6070">
        <w:rPr>
          <w:color w:val="FF0000"/>
          <w:u w:val="single"/>
          <w:lang w:val="en-US"/>
        </w:rPr>
        <w:t>As the share of middle-income adults has decreased, the shares at the high and low ends of the income distribution have grown. The share of the adult population in the upper-income tier rose from 14% in 1971 to 21% in 2015. The share in the lower-income tier also increased, from 25% in 1971 to 29% in 2015.</w:t>
      </w: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lastRenderedPageBreak/>
        <w:t>Thus, from 1971 to 2015, the distribution of adults by income has hollowed in the middle, with greater shares living at the top and the bottom. The 7 percentage point gain at the top is nearly double the 4 percentage point growth at the bottom.</w:t>
      </w:r>
    </w:p>
    <w:p w:rsidR="00844212" w:rsidRPr="001A6070" w:rsidRDefault="00844212" w:rsidP="00844212">
      <w:pPr>
        <w:pStyle w:val="NormalWeb"/>
        <w:spacing w:before="0" w:beforeAutospacing="0" w:after="0" w:afterAutospacing="0"/>
        <w:jc w:val="both"/>
        <w:textAlignment w:val="baseline"/>
        <w:rPr>
          <w:color w:val="FF0000"/>
          <w:u w:val="single"/>
          <w:bdr w:val="none" w:sz="0" w:space="0" w:color="auto" w:frame="1"/>
          <w:lang w:val="en-US"/>
        </w:rPr>
      </w:pPr>
      <w:r w:rsidRPr="001A6070">
        <w:rPr>
          <w:color w:val="FF0000"/>
          <w:u w:val="single"/>
          <w:lang w:val="en-US"/>
        </w:rPr>
        <w:t>In terms of numbers, American adults who lived in middle-income households in 2015 were matched by those who did not. Of the total adult population of 242.1 million in 2015, 120.8 million were middle income and 121.3 million were either low income or upper income. By contrast, in 1971, the 80 million middle-income adults greatly outnumbered the other 51.6 million adults.</w:t>
      </w:r>
    </w:p>
    <w:p w:rsidR="00844212" w:rsidRPr="00E4425C"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E4425C">
        <w:rPr>
          <w:noProof/>
          <w:color w:val="BC7B2B"/>
          <w:bdr w:val="none" w:sz="0" w:space="0" w:color="auto" w:frame="1"/>
        </w:rPr>
        <w:drawing>
          <wp:inline distT="0" distB="0" distL="0" distR="0" wp14:anchorId="49D10ABD" wp14:editId="7395C86D">
            <wp:extent cx="2952750" cy="3009900"/>
            <wp:effectExtent l="0" t="0" r="0" b="0"/>
            <wp:docPr id="218" name="Imagen 218" descr="Adults in middle-income households are now fewer in number than adults in other households">
              <a:hlinkClick xmlns:a="http://schemas.openxmlformats.org/drawingml/2006/main" r:id="rId2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dults in middle-income households are now fewer in number than adults in other households">
                      <a:hlinkClick r:id="rId286"/>
                    </pic:cNvPr>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952750" cy="300990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2F2FED" w:rsidRDefault="00844212" w:rsidP="002F2FED">
      <w:pPr>
        <w:pStyle w:val="NormalWeb"/>
        <w:spacing w:before="0" w:beforeAutospacing="0" w:after="0" w:afterAutospacing="0"/>
        <w:jc w:val="both"/>
        <w:textAlignment w:val="baseline"/>
        <w:rPr>
          <w:color w:val="FF0000"/>
          <w:u w:val="single"/>
          <w:lang w:val="en-US"/>
        </w:rPr>
      </w:pPr>
      <w:r w:rsidRPr="001A6070">
        <w:rPr>
          <w:color w:val="FF0000"/>
          <w:u w:val="single"/>
          <w:lang w:val="en-US"/>
        </w:rPr>
        <w:t>As the middle-income population hovers near minority status, the population of upper-income adults is growing more rapidly than the population of lower-income adults. From 1971 to 2015, the number of adults in upper-income households increased from 18.4 million to 51 million, a gain of 177%. During the same period, the number of adults in lower-income households increased from 33.2 million to 70.3 million, a gain of 112%.</w:t>
      </w:r>
      <w:bookmarkStart w:id="11" w:name="a-closer-look-at-the-rise-of-lower-and-u"/>
      <w:bookmarkEnd w:id="11"/>
    </w:p>
    <w:p w:rsidR="002F2FED" w:rsidRPr="002F2FED" w:rsidRDefault="002F2FED" w:rsidP="002F2FED">
      <w:pPr>
        <w:pStyle w:val="NormalWeb"/>
        <w:spacing w:before="0" w:beforeAutospacing="0" w:after="0" w:afterAutospacing="0"/>
        <w:jc w:val="both"/>
        <w:textAlignment w:val="baseline"/>
        <w:rPr>
          <w:color w:val="FF0000"/>
          <w:u w:val="single"/>
          <w:lang w:val="en-US"/>
        </w:rPr>
      </w:pPr>
    </w:p>
    <w:p w:rsidR="00844212" w:rsidRPr="00E4425C" w:rsidRDefault="00844212" w:rsidP="00844212">
      <w:pPr>
        <w:pStyle w:val="Ttulo3"/>
        <w:spacing w:before="120" w:after="240"/>
        <w:jc w:val="both"/>
        <w:textAlignment w:val="baseline"/>
        <w:rPr>
          <w:color w:val="000000"/>
          <w:sz w:val="24"/>
          <w:szCs w:val="24"/>
          <w:lang w:val="en-US"/>
        </w:rPr>
      </w:pPr>
      <w:r w:rsidRPr="00E4425C">
        <w:rPr>
          <w:color w:val="000000"/>
          <w:sz w:val="24"/>
          <w:szCs w:val="24"/>
          <w:lang w:val="en-US"/>
        </w:rPr>
        <w:t>A closer look at the rise of lower- and upper-income populations</w:t>
      </w: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A more detailed analysis of the income distribution of adults reveals that a deeper polarization is underway in the American economy. The movement out of the middle-income tier has been more than just a step in one direction or the other. The fastest-growing segments are the ones at the extremes, the very lowest and highest ends of the income distribution.</w:t>
      </w:r>
    </w:p>
    <w:p w:rsidR="00844212" w:rsidRDefault="00844212" w:rsidP="00844212">
      <w:pPr>
        <w:pStyle w:val="NormalWeb"/>
        <w:spacing w:before="0" w:beforeAutospacing="0" w:after="0" w:afterAutospacing="0"/>
        <w:jc w:val="both"/>
        <w:textAlignment w:val="baseline"/>
        <w:rPr>
          <w:color w:val="000000"/>
          <w:lang w:val="en-US"/>
        </w:rPr>
      </w:pPr>
      <w:r w:rsidRPr="00E4425C">
        <w:rPr>
          <w:color w:val="000000"/>
          <w:lang w:val="en-US"/>
        </w:rPr>
        <w:t>This finding emerges from a division of the lower- and upper-income tiers into two groups each. The lower-income group is divided into lowest-income households (with income less than half the overall median) and lower-middle income households (with incomes from half to less than two-thirds of the overall median). In 2014, a lowest-income household lived on about $</w:t>
      </w:r>
      <w:r w:rsidR="00B82BCE">
        <w:rPr>
          <w:color w:val="000000"/>
          <w:lang w:val="en-US"/>
        </w:rPr>
        <w:t xml:space="preserve"> </w:t>
      </w:r>
      <w:r w:rsidRPr="00E4425C">
        <w:rPr>
          <w:color w:val="000000"/>
          <w:lang w:val="en-US"/>
        </w:rPr>
        <w:t>31,000 or less, and a lower-middle income household lived on about $</w:t>
      </w:r>
      <w:r w:rsidR="00B82BCE">
        <w:rPr>
          <w:color w:val="000000"/>
          <w:lang w:val="en-US"/>
        </w:rPr>
        <w:t xml:space="preserve"> </w:t>
      </w:r>
      <w:r w:rsidRPr="00E4425C">
        <w:rPr>
          <w:color w:val="000000"/>
          <w:lang w:val="en-US"/>
        </w:rPr>
        <w:t>31,000 to $</w:t>
      </w:r>
      <w:r w:rsidR="00B82BCE">
        <w:rPr>
          <w:color w:val="000000"/>
          <w:lang w:val="en-US"/>
        </w:rPr>
        <w:t xml:space="preserve"> </w:t>
      </w:r>
      <w:r w:rsidRPr="00E4425C">
        <w:rPr>
          <w:color w:val="000000"/>
          <w:lang w:val="en-US"/>
        </w:rPr>
        <w:t>42,000.</w:t>
      </w:r>
    </w:p>
    <w:p w:rsidR="002F2FED" w:rsidRDefault="002F2FED" w:rsidP="00844212">
      <w:pPr>
        <w:pStyle w:val="NormalWeb"/>
        <w:spacing w:before="0" w:beforeAutospacing="0" w:after="300" w:afterAutospacing="0"/>
        <w:jc w:val="both"/>
        <w:textAlignment w:val="baseline"/>
        <w:rPr>
          <w:color w:val="000000"/>
          <w:lang w:val="en-US"/>
        </w:rPr>
      </w:pP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lastRenderedPageBreak/>
        <w:t>In a similar fashion, upper-income households are divided into upper-middle income households (whose income is more than two and up to three times the overall median income) and highest-income households (with more than three times the overall median income). In 2014, an upper-middle income household lived on about $</w:t>
      </w:r>
      <w:r w:rsidR="00B82BCE">
        <w:rPr>
          <w:color w:val="000000"/>
          <w:lang w:val="en-US"/>
        </w:rPr>
        <w:t xml:space="preserve"> </w:t>
      </w:r>
      <w:r w:rsidRPr="00E4425C">
        <w:rPr>
          <w:color w:val="000000"/>
          <w:lang w:val="en-US"/>
        </w:rPr>
        <w:t>126,000 to $</w:t>
      </w:r>
      <w:r w:rsidR="00B82BCE">
        <w:rPr>
          <w:color w:val="000000"/>
          <w:lang w:val="en-US"/>
        </w:rPr>
        <w:t xml:space="preserve"> </w:t>
      </w:r>
      <w:r w:rsidRPr="00E4425C">
        <w:rPr>
          <w:color w:val="000000"/>
          <w:lang w:val="en-US"/>
        </w:rPr>
        <w:t>188,000, and a highest-income household lived on more than $</w:t>
      </w:r>
      <w:r w:rsidR="00B82BCE">
        <w:rPr>
          <w:color w:val="000000"/>
          <w:lang w:val="en-US"/>
        </w:rPr>
        <w:t xml:space="preserve"> </w:t>
      </w:r>
      <w:r w:rsidRPr="00E4425C">
        <w:rPr>
          <w:color w:val="000000"/>
          <w:lang w:val="en-US"/>
        </w:rPr>
        <w:t>188,000.</w:t>
      </w:r>
    </w:p>
    <w:p w:rsidR="00844212" w:rsidRPr="00E4425C" w:rsidRDefault="00844212" w:rsidP="00844212">
      <w:pPr>
        <w:pStyle w:val="NormalWeb"/>
        <w:spacing w:before="0" w:beforeAutospacing="0" w:after="300" w:afterAutospacing="0"/>
        <w:jc w:val="both"/>
        <w:textAlignment w:val="baseline"/>
        <w:rPr>
          <w:color w:val="000000"/>
          <w:lang w:val="en-US"/>
        </w:rPr>
      </w:pPr>
      <w:r w:rsidRPr="00E4425C">
        <w:rPr>
          <w:color w:val="000000"/>
          <w:lang w:val="en-US"/>
        </w:rPr>
        <w:t>The division of the adult population into five income tiers shows that the number of lowest-income adults grew more sharply than the number of lower-middle income adults from 1971 to 2015. Among upper-income adults, the number in the highest-income tier grew more than the number in the upper-middle tier over the same period.</w:t>
      </w:r>
    </w:p>
    <w:p w:rsidR="00844212" w:rsidRDefault="00844212" w:rsidP="00844212">
      <w:pPr>
        <w:rPr>
          <w:rFonts w:ascii="Times New Roman" w:hAnsi="Times New Roman"/>
          <w:sz w:val="24"/>
          <w:szCs w:val="24"/>
        </w:rPr>
      </w:pPr>
      <w:r>
        <w:rPr>
          <w:rFonts w:ascii="Verdana" w:hAnsi="Verdana"/>
          <w:noProof/>
          <w:color w:val="BC7B2B"/>
          <w:sz w:val="15"/>
          <w:szCs w:val="15"/>
          <w:bdr w:val="none" w:sz="0" w:space="0" w:color="auto" w:frame="1"/>
          <w:lang w:eastAsia="es-ES"/>
        </w:rPr>
        <w:drawing>
          <wp:inline distT="0" distB="0" distL="0" distR="0" wp14:anchorId="543700A5" wp14:editId="5D20AE4E">
            <wp:extent cx="6096000" cy="2025650"/>
            <wp:effectExtent l="0" t="0" r="0" b="0"/>
            <wp:docPr id="219" name="Imagen 219" descr="Income range for middle-income households and households in other income tiers">
              <a:hlinkClick xmlns:a="http://schemas.openxmlformats.org/drawingml/2006/main" r:id="rId2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ncome range for middle-income households and households in other income tiers">
                      <a:hlinkClick r:id="rId288"/>
                    </pic:cNvPr>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096000" cy="2025650"/>
                    </a:xfrm>
                    <a:prstGeom prst="rect">
                      <a:avLst/>
                    </a:prstGeom>
                    <a:noFill/>
                    <a:ln>
                      <a:noFill/>
                    </a:ln>
                  </pic:spPr>
                </pic:pic>
              </a:graphicData>
            </a:graphic>
          </wp:inline>
        </w:drawing>
      </w:r>
    </w:p>
    <w:p w:rsidR="00844212" w:rsidRDefault="00844212" w:rsidP="00844212">
      <w:pPr>
        <w:pStyle w:val="NormalWeb"/>
        <w:spacing w:before="0" w:beforeAutospacing="0" w:after="0" w:afterAutospacing="0" w:line="384" w:lineRule="atLeast"/>
        <w:textAlignment w:val="baseline"/>
        <w:rPr>
          <w:rFonts w:ascii="Georgia" w:hAnsi="Georgia"/>
          <w:color w:val="000000"/>
          <w:sz w:val="38"/>
          <w:szCs w:val="38"/>
          <w:lang w:val="en-US"/>
        </w:rPr>
      </w:pPr>
      <w:r>
        <w:rPr>
          <w:rFonts w:ascii="Georgia" w:hAnsi="Georgia"/>
          <w:noProof/>
          <w:color w:val="BC7B2B"/>
          <w:sz w:val="38"/>
          <w:szCs w:val="38"/>
          <w:bdr w:val="none" w:sz="0" w:space="0" w:color="auto" w:frame="1"/>
        </w:rPr>
        <w:drawing>
          <wp:inline distT="0" distB="0" distL="0" distR="0" wp14:anchorId="49CBC38C" wp14:editId="2919AA34">
            <wp:extent cx="2952750" cy="4578350"/>
            <wp:effectExtent l="0" t="0" r="0" b="0"/>
            <wp:docPr id="220" name="Imagen 220" descr="Share of adults living in lowest- and highest-income households has risen the most">
              <a:hlinkClick xmlns:a="http://schemas.openxmlformats.org/drawingml/2006/main" r:id="rId2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hare of adults living in lowest- and highest-income households has risen the most">
                      <a:hlinkClick r:id="rId290"/>
                    </pic:cNvPr>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952750" cy="4578350"/>
                    </a:xfrm>
                    <a:prstGeom prst="rect">
                      <a:avLst/>
                    </a:prstGeom>
                    <a:noFill/>
                    <a:ln>
                      <a:noFill/>
                    </a:ln>
                  </pic:spPr>
                </pic:pic>
              </a:graphicData>
            </a:graphic>
          </wp:inline>
        </w:drawing>
      </w:r>
    </w:p>
    <w:p w:rsidR="00844212" w:rsidRPr="00964D2E" w:rsidRDefault="00844212" w:rsidP="00844212">
      <w:pPr>
        <w:pStyle w:val="NormalWeb"/>
        <w:spacing w:before="0" w:beforeAutospacing="0" w:after="0" w:afterAutospacing="0"/>
        <w:jc w:val="both"/>
        <w:textAlignment w:val="baseline"/>
        <w:rPr>
          <w:color w:val="000000"/>
          <w:u w:val="single"/>
          <w:lang w:val="en-US"/>
        </w:rPr>
      </w:pPr>
      <w:r w:rsidRPr="00964D2E">
        <w:rPr>
          <w:color w:val="000000"/>
          <w:u w:val="single"/>
          <w:lang w:val="en-US"/>
        </w:rPr>
        <w:lastRenderedPageBreak/>
        <w:t>In 2015, 20% of U.S. adults lived in the lowest-income households, compared with 16% in 1970. Just 9% of the adult population lived in lower-middle income households in 2015 and 1971. Thus, the growth in the nation’s lower-income tier was concentrated at the very bottom.</w:t>
      </w:r>
    </w:p>
    <w:p w:rsidR="00844212" w:rsidRPr="00964D2E" w:rsidRDefault="00844212" w:rsidP="00844212">
      <w:pPr>
        <w:pStyle w:val="NormalWeb"/>
        <w:spacing w:before="0" w:beforeAutospacing="0" w:after="0" w:afterAutospacing="0"/>
        <w:jc w:val="both"/>
        <w:textAlignment w:val="baseline"/>
        <w:rPr>
          <w:color w:val="000000"/>
          <w:u w:val="single"/>
          <w:lang w:val="en-US"/>
        </w:rPr>
      </w:pPr>
    </w:p>
    <w:p w:rsidR="00844212" w:rsidRPr="00964D2E" w:rsidRDefault="00844212" w:rsidP="00844212">
      <w:pPr>
        <w:pStyle w:val="NormalWeb"/>
        <w:spacing w:before="0" w:beforeAutospacing="0" w:after="300" w:afterAutospacing="0"/>
        <w:jc w:val="both"/>
        <w:textAlignment w:val="baseline"/>
        <w:rPr>
          <w:color w:val="000000"/>
          <w:u w:val="single"/>
          <w:lang w:val="en-US"/>
        </w:rPr>
      </w:pPr>
      <w:r w:rsidRPr="00964D2E">
        <w:rPr>
          <w:color w:val="000000"/>
          <w:u w:val="single"/>
          <w:lang w:val="en-US"/>
        </w:rPr>
        <w:t>Mirroring the change at the low end of the distribution, the growth of the upper-income adult population skews to the very top. The share of adults in highest-income households more than doubled, from 4% in 1971 to 9% in 2015. Meanwhile, the increase in the share of adults in upper-middle income households was more modest, from 10% in 1971 to 12% in 2015.</w:t>
      </w:r>
    </w:p>
    <w:p w:rsidR="00844212" w:rsidRPr="00964D2E" w:rsidRDefault="00844212" w:rsidP="00844212">
      <w:pPr>
        <w:pStyle w:val="NormalWeb"/>
        <w:spacing w:before="0" w:beforeAutospacing="0" w:after="300" w:afterAutospacing="0"/>
        <w:jc w:val="both"/>
        <w:textAlignment w:val="baseline"/>
        <w:rPr>
          <w:color w:val="FF0000"/>
          <w:u w:val="single"/>
          <w:lang w:val="en-US"/>
        </w:rPr>
      </w:pPr>
      <w:r w:rsidRPr="00964D2E">
        <w:rPr>
          <w:color w:val="000000"/>
          <w:u w:val="single"/>
          <w:lang w:val="en-US"/>
        </w:rPr>
        <w:t>Thus, the distribution of adults by income is thinning in the middle and bulking up at the edges. The number of adults in highest-income households quadrupled from 5 million in 1971 to 20.9 million in 2015, and the number in upper-middle income households more than doubled, from 13.4 million in 1971 to 30.2 million in 2015. The number of adults in lowest-income households also rose sharply, from 21.6 million in 1971 to 48.9 million in 2015. The growth in numbers in between -in lower-middle and middle-income households- was more modest.</w:t>
      </w:r>
      <w:r w:rsidRPr="00E4425C">
        <w:rPr>
          <w:color w:val="000000"/>
          <w:lang w:val="en-US"/>
        </w:rPr>
        <w:t xml:space="preserve"> </w:t>
      </w:r>
      <w:r w:rsidRPr="00964D2E">
        <w:rPr>
          <w:color w:val="FF0000"/>
          <w:u w:val="single"/>
          <w:lang w:val="en-US"/>
        </w:rPr>
        <w:t>The adult population in lower-middle income households increased from 11.6 million in 1971 to 21.4 million in 2015, and the number of adults in middle-income households increased from 80 million to 120.8 million over the period.</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010918">
        <w:rPr>
          <w:rFonts w:ascii="Times New Roman" w:eastAsia="Times New Roman" w:hAnsi="Times New Roman" w:cs="Times New Roman"/>
          <w:sz w:val="24"/>
          <w:szCs w:val="24"/>
          <w:u w:val="single"/>
        </w:rPr>
        <w:t>La clase media ya no domina en Estados Unidos</w:t>
      </w:r>
      <w:r>
        <w:rPr>
          <w:rFonts w:ascii="Times New Roman" w:eastAsia="Times New Roman" w:hAnsi="Times New Roman" w:cs="Times New Roman"/>
          <w:sz w:val="24"/>
          <w:szCs w:val="24"/>
        </w:rPr>
        <w:t xml:space="preserve"> (CNN - </w:t>
      </w:r>
      <w:r w:rsidRPr="00010918">
        <w:rPr>
          <w:rFonts w:ascii="Times New Roman" w:eastAsia="Times New Roman" w:hAnsi="Times New Roman" w:cs="Times New Roman"/>
          <w:b/>
          <w:sz w:val="24"/>
          <w:szCs w:val="24"/>
        </w:rPr>
        <w:t>11/12/15</w:t>
      </w:r>
      <w:r>
        <w:rPr>
          <w:rFonts w:ascii="Times New Roman" w:eastAsia="Times New Roman" w:hAnsi="Times New Roman" w:cs="Times New Roman"/>
          <w:sz w:val="24"/>
          <w:szCs w:val="24"/>
        </w:rPr>
        <w:t>)</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964D2E">
        <w:rPr>
          <w:rFonts w:ascii="Times New Roman" w:eastAsia="Times New Roman" w:hAnsi="Times New Roman" w:cs="Times New Roman"/>
          <w:sz w:val="24"/>
          <w:szCs w:val="24"/>
          <w:u w:val="single"/>
        </w:rPr>
        <w:t>Los estadounidenses de clase media ahora conforman menos de la mitad, o el 49,9%, de la población nacional, por debajo del 61% de 1971, de acuerdo con un nuevo informe del Centro de Investigaciones Pew</w:t>
      </w:r>
      <w:r w:rsidRPr="00010918">
        <w:rPr>
          <w:rFonts w:ascii="Times New Roman" w:eastAsia="Times New Roman" w:hAnsi="Times New Roman" w:cs="Times New Roman"/>
          <w:sz w:val="24"/>
          <w:szCs w:val="24"/>
        </w:rPr>
        <w:t>. Para Pew, los estadounidenses de clase media viven en hogares que ganan entre dos tercios a dos veces el ingreso promedio de la nación. En 2014, eso oscilaba desde los 41.900 dólares hasta los 125.600 dólares para una familia de tres personas.</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Durante décadas, la clase media ha sido el corazón del país. Una clase media saludable mantenía a Estados Unidos fuerte, según expertos y políticos.</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Pero más recientemente, estos residentes han luchado debido a los salarios que se han estancado y a los costos que van en aumento. Los candidatos presidenciales en ambos lados del ámbito político están haciendo campaña sobre maneras para impulsar la clase media de Estados Unidos y aumentar las oportunidades de subir la escalera económica.</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64D2E">
        <w:rPr>
          <w:rFonts w:ascii="Times New Roman" w:eastAsia="Times New Roman" w:hAnsi="Times New Roman" w:cs="Times New Roman"/>
          <w:sz w:val="24"/>
          <w:szCs w:val="24"/>
          <w:u w:val="single"/>
        </w:rPr>
        <w:t>La constante disminución de la clase media es otra señal de la polarización económica, dijo Rakesh Kochhar, director adjunto de investigación en Pew. No solo están pasando los estadounidenses a las clases más altas y más bajas, sino están formando parte del rango superior de la clase alta y del rango menor de la clase baja.</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Este es otra señal de una creciente desigualdad de ingresos, dijo.</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64D2E">
        <w:rPr>
          <w:rFonts w:ascii="Times New Roman" w:eastAsia="Times New Roman" w:hAnsi="Times New Roman" w:cs="Times New Roman"/>
          <w:sz w:val="24"/>
          <w:szCs w:val="24"/>
          <w:u w:val="single"/>
        </w:rPr>
        <w:t>“Son menos las oportunidades que colocan a las personas en el centro de la distribución de los ingresos”, dijo Kochhar.</w:t>
      </w: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B82BC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Sin embargo, un aspecto positivo es que son más las personas que suben que las que bajan por la escalera. El rango superior de la clase alta está creciendo rápidamente, según la investigación de Pew.</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lastRenderedPageBreak/>
        <w:t>Las personas mayores tenían más probabilidades de haber pasado a la clase alta desde 1971. El porcentaje de estadounidenses de 65 años o más en el rango superior aumentó casi en un 27% durante ese tiempo. Los matrimonios que no tienen hijos y los estadounidenses negros también vieron avances significativos.</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más propensos a pasar a la clase baja eran aquellos que solo tenían un diploma de escuela secundaria y aquellos que no habían terminado la escuela, al igual que los hombres que no estaban casados.</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Esta es otra señal de cómo la creciente desigualdad de ingresos se está haciendo evidente en la clase media.</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Desde 1970, las familias de clase alta vieron un aumento del 47% en sus ingresos hasta alcanzar los 174.600 dólares en 2014. Mientras tanto, la clase media solo consiguió un aumento del 34% hasta los 73.400 dólares. Aun así, ellos han sido más prósperos que los estadounidenses de ingresos más bajos, quienes solo recibieron un aumento del 28% hasta los 24.074 dólares.</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64D2E">
        <w:rPr>
          <w:rFonts w:ascii="Times New Roman" w:eastAsia="Times New Roman" w:hAnsi="Times New Roman" w:cs="Times New Roman"/>
          <w:sz w:val="24"/>
          <w:szCs w:val="24"/>
          <w:u w:val="single"/>
        </w:rPr>
        <w:t xml:space="preserve">Algunas investigaciones muestran que la mayor desigualdad de ingresos y la disminución de la clase media de la nación </w:t>
      </w:r>
      <w:r w:rsidR="0036518C" w:rsidRPr="00964D2E">
        <w:rPr>
          <w:rFonts w:ascii="Times New Roman" w:eastAsia="Times New Roman" w:hAnsi="Times New Roman" w:cs="Times New Roman"/>
          <w:sz w:val="24"/>
          <w:szCs w:val="24"/>
          <w:u w:val="single"/>
        </w:rPr>
        <w:t>detienen</w:t>
      </w:r>
      <w:r w:rsidRPr="00964D2E">
        <w:rPr>
          <w:rFonts w:ascii="Times New Roman" w:eastAsia="Times New Roman" w:hAnsi="Times New Roman" w:cs="Times New Roman"/>
          <w:sz w:val="24"/>
          <w:szCs w:val="24"/>
          <w:u w:val="single"/>
        </w:rPr>
        <w:t xml:space="preserve"> el crecimiento económico, dijo Kochhar.</w:t>
      </w: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64D2E">
        <w:rPr>
          <w:rFonts w:ascii="Times New Roman" w:eastAsia="Times New Roman" w:hAnsi="Times New Roman" w:cs="Times New Roman"/>
          <w:sz w:val="24"/>
          <w:szCs w:val="24"/>
          <w:u w:val="single"/>
        </w:rPr>
        <w:t>Viéndolo de otra forma, la nueva clase superior ahora controla el 49% del ingreso agregado de la nación, en un aumento frente al 29% en 1970.</w:t>
      </w: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64D2E">
        <w:rPr>
          <w:rFonts w:ascii="Times New Roman" w:eastAsia="Times New Roman" w:hAnsi="Times New Roman" w:cs="Times New Roman"/>
          <w:sz w:val="24"/>
          <w:szCs w:val="24"/>
          <w:u w:val="single"/>
        </w:rPr>
        <w:t>La clase media solía ganar la porción más grande de los ingresos de la nación. Tenía el 62% en 1970, pero esa proporción desde entonces ha bajado al 43%.</w:t>
      </w: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64D2E">
        <w:rPr>
          <w:rFonts w:ascii="Times New Roman" w:eastAsia="Times New Roman" w:hAnsi="Times New Roman" w:cs="Times New Roman"/>
          <w:sz w:val="24"/>
          <w:szCs w:val="24"/>
          <w:u w:val="single"/>
        </w:rPr>
        <w:t>Mientras tanto, la clase baja tiene el 9% de los ingresos del país, justo por debajo del 10% que ganó en 1970.</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64D2E">
        <w:rPr>
          <w:rFonts w:ascii="Times New Roman" w:eastAsia="Times New Roman" w:hAnsi="Times New Roman" w:cs="Times New Roman"/>
          <w:sz w:val="24"/>
          <w:szCs w:val="24"/>
          <w:u w:val="single"/>
        </w:rPr>
        <w:t>Los ricos no solo superan a la clase media en términos de ingresos. Ellos también han visto que su riqueza se ha disparado en el transcurso de los últimos 40 años.</w:t>
      </w: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964D2E">
        <w:rPr>
          <w:rFonts w:ascii="Times New Roman" w:eastAsia="Times New Roman" w:hAnsi="Times New Roman" w:cs="Times New Roman"/>
          <w:sz w:val="24"/>
          <w:szCs w:val="24"/>
          <w:u w:val="single"/>
        </w:rPr>
        <w:t>El valor neto promedio de las familias de clase alta se duplicó entre 1983 y 2013, hasta los 650.100 dólares.</w:t>
      </w: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844212" w:rsidRPr="00964D2E"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964D2E">
        <w:rPr>
          <w:rFonts w:ascii="Times New Roman" w:eastAsia="Times New Roman" w:hAnsi="Times New Roman" w:cs="Times New Roman"/>
          <w:color w:val="FF0000"/>
          <w:sz w:val="24"/>
          <w:szCs w:val="24"/>
          <w:u w:val="single"/>
        </w:rPr>
        <w:t>Sin embargo, la riqueza de la clase media ha aumentado tan solo en un 2% en el transcurso de ese tiempo, hasta alcanzar los 98.100 dólares. Al menos les fue mejor a ellos que a los estadounidenses de menores ingresos, quienes vieron que su riqueza se redujo en un 18% hasta los 9.500 dólares.</w:t>
      </w:r>
    </w:p>
    <w:p w:rsidR="00844212" w:rsidRPr="0001091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Para sus cálculos de la riqueza, Pew utilizó datos de la Encuesta de Finanzas de los Consumidores, la cual define el valor neto como todos los activos de una familia, menos sus deudas.</w:t>
      </w:r>
    </w:p>
    <w:p w:rsidR="00844212" w:rsidRDefault="00844212" w:rsidP="00844212">
      <w:pPr>
        <w:shd w:val="clear" w:color="auto" w:fill="FFFFFF"/>
        <w:spacing w:after="0" w:line="240" w:lineRule="auto"/>
        <w:jc w:val="both"/>
        <w:textAlignment w:val="baseline"/>
        <w:rPr>
          <w:lang w:eastAsia="es-ES"/>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La clase media de EE</w:t>
      </w:r>
      <w:r w:rsidRPr="002E1EF3">
        <w:rPr>
          <w:rFonts w:ascii="Times New Roman" w:eastAsia="Times New Roman" w:hAnsi="Times New Roman" w:cs="Times New Roman"/>
          <w:sz w:val="24"/>
          <w:szCs w:val="24"/>
          <w:u w:val="single"/>
        </w:rPr>
        <w:t>UU cae a niveles de hace 30 años</w:t>
      </w:r>
      <w:r>
        <w:rPr>
          <w:rFonts w:ascii="Times New Roman" w:eastAsia="Times New Roman" w:hAnsi="Times New Roman" w:cs="Times New Roman"/>
          <w:sz w:val="24"/>
          <w:szCs w:val="24"/>
        </w:rPr>
        <w:t xml:space="preserve"> (El País - </w:t>
      </w:r>
      <w:r w:rsidRPr="002E1EF3">
        <w:rPr>
          <w:rFonts w:ascii="Times New Roman" w:eastAsia="Times New Roman" w:hAnsi="Times New Roman" w:cs="Times New Roman"/>
          <w:b/>
          <w:sz w:val="24"/>
          <w:szCs w:val="24"/>
        </w:rPr>
        <w:t>13/7/16</w:t>
      </w:r>
      <w:r>
        <w:rPr>
          <w:rFonts w:ascii="Times New Roman" w:eastAsia="Times New Roman" w:hAnsi="Times New Roman" w:cs="Times New Roman"/>
          <w:sz w:val="24"/>
          <w:szCs w:val="24"/>
        </w:rPr>
        <w:t>)</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El FMI destaca la desigualdad en Estados Unidos y pide a Francia más medidas para reducir </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A</w:t>
      </w:r>
      <w:r>
        <w:rPr>
          <w:rFonts w:ascii="Times New Roman" w:eastAsia="Times New Roman" w:hAnsi="Times New Roman" w:cs="Times New Roman"/>
          <w:sz w:val="24"/>
          <w:szCs w:val="24"/>
        </w:rPr>
        <w:t>ntonio Maqueda)</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El Fondo Monetario Internacional continúa con su labor de Pepito Grillo de los asuntos económicos. </w:t>
      </w:r>
      <w:r w:rsidRPr="00964D2E">
        <w:rPr>
          <w:rFonts w:ascii="Times New Roman" w:eastAsia="Times New Roman" w:hAnsi="Times New Roman" w:cs="Times New Roman"/>
          <w:sz w:val="24"/>
          <w:szCs w:val="24"/>
        </w:rPr>
        <w:t xml:space="preserve">Y esta vez le ha tocado el turno a Estados Unidos y Francia. </w:t>
      </w:r>
      <w:r w:rsidRPr="00964D2E">
        <w:rPr>
          <w:rFonts w:ascii="Times New Roman" w:eastAsia="Times New Roman" w:hAnsi="Times New Roman" w:cs="Times New Roman"/>
          <w:color w:val="FF0000"/>
          <w:sz w:val="24"/>
          <w:szCs w:val="24"/>
          <w:u w:val="single"/>
        </w:rPr>
        <w:t>Sobre la economía estadounidense, el Fondo alerta de “perniciosas tendencias seculares en la distribución de los ingresos”: la clase media ha disminuido hasta los niveles de hace tres décadas y la pobreza ha aumentado</w:t>
      </w:r>
      <w:r w:rsidRPr="002E1EF3">
        <w:rPr>
          <w:rFonts w:ascii="Times New Roman" w:eastAsia="Times New Roman" w:hAnsi="Times New Roman" w:cs="Times New Roman"/>
          <w:sz w:val="24"/>
          <w:szCs w:val="24"/>
        </w:rPr>
        <w:t>. En cuanto a Francia, la institución recuerda que sufre demasiado desempleo de larga duración, presenta unas perspectivas de crecimiento bajas y una deuda sobre PIB que sigue al alza.</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820E60"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2E1EF3">
        <w:rPr>
          <w:rFonts w:ascii="Times New Roman" w:eastAsia="Times New Roman" w:hAnsi="Times New Roman" w:cs="Times New Roman"/>
          <w:sz w:val="24"/>
          <w:szCs w:val="24"/>
        </w:rPr>
        <w:t xml:space="preserve">No es de extrañar que el presidente de Estados Unidos, Barack Obama, admitiese a su paso por España que la desigualdad alimenta el populismo. En su informe sobre la economía estadounidense, el FMI enumera un panorama desolador en este aspecto: </w:t>
      </w:r>
      <w:r w:rsidRPr="00820E60">
        <w:rPr>
          <w:rFonts w:ascii="Times New Roman" w:eastAsia="Times New Roman" w:hAnsi="Times New Roman" w:cs="Times New Roman"/>
          <w:color w:val="FF0000"/>
          <w:sz w:val="24"/>
          <w:szCs w:val="24"/>
          <w:u w:val="single"/>
        </w:rPr>
        <w:t>la pobreza sigue al alza, la clase media ha encogido hasta niveles de la década de los ochenta, la distribución de la renta y de la riqueza se encuentra altamente polarizada, y el porcentaje de ingresos que se lleva el factor trabajo es un 5% más bajo que hace quince años. “Todos los avances logrados para reducir la pobreza desde los años 90 se han diluido”, sostiene.</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820E60"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820E60">
        <w:rPr>
          <w:rFonts w:ascii="Times New Roman" w:eastAsia="Times New Roman" w:hAnsi="Times New Roman" w:cs="Times New Roman"/>
          <w:color w:val="FF0000"/>
          <w:sz w:val="24"/>
          <w:szCs w:val="24"/>
          <w:u w:val="single"/>
        </w:rPr>
        <w:t>Por si fuera poco, uno de cada siete americanos vive en condiciones de pobreza y el 40% de los pobres está trabajando. “Si no se atajan, estas fuerzas continuarán tirando hacia abajo del crecimiento actual y potencial, disminuyendo las ganancias en estándares de vida y empeorando la pobreza”, concluye el documento elaborado por los hombres de negro.</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Ante la evidencia, los </w:t>
      </w:r>
      <w:r>
        <w:rPr>
          <w:rFonts w:ascii="Times New Roman" w:eastAsia="Times New Roman" w:hAnsi="Times New Roman" w:cs="Times New Roman"/>
          <w:sz w:val="24"/>
          <w:szCs w:val="24"/>
        </w:rPr>
        <w:t>directores del Fondo urgen a EE</w:t>
      </w:r>
      <w:r w:rsidRPr="002E1EF3">
        <w:rPr>
          <w:rFonts w:ascii="Times New Roman" w:eastAsia="Times New Roman" w:hAnsi="Times New Roman" w:cs="Times New Roman"/>
          <w:sz w:val="24"/>
          <w:szCs w:val="24"/>
        </w:rPr>
        <w:t>UU a adoptar medidas para expandir los créditos fiscales destinados a hogares de bajos ingresos, elevar el salario mínimo, extender los pagos por cuidar a familiares, invertir en educación o reformar el impuesto de Sociedades.</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Y no queda ahí la cosa. El FMI advierte además de peligros en el horizonte como un dólar al alza o la aversión al riesgo de los inversores. Pero también sobre la posibilidad de que la economía estadounidense experimente un crecimiento potencial más bajo de lo esperado en un contexto de escasa productividad y mayor envejecimiento demográfico: “De ser verdad, esto significaría que la economía estadounidense pronto podría sufrir limitaciones en su crecimientos que podrían generar presiones inflacionistas con efectos globales negativos”, subraya el Fondo. De ahí que animen a elevar el desembolso en infraestructuras, gastar más en formación y educación de conocimientos técnicos, reformar el sistema de salud y de pensiones o aprobar una reforma de la inmigración basada en las capacidades. En semejante escenario, el Fondo insta a la Fed a que actúe de forma precavida y mantenga en todo momento una comunicación clara sobre la senda al alza de los tipos.</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lo que respecta a Francia, el organismo encabezado por Christine Lagarde ve positiva la reforma laboral francesa, una legislación similar a la española pero aplicada en versión suave. Sin embargo, pide bastante más. Algo que se entiende a la luz de las perspectivas de crecimientos retraídos que augura el Fondo para la economía gala.</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un lado, considera que hay que adoptar muchas más medidas para facilitar la creación de empleo. Y por otro, critica que los esfuerzos estructurales para bajar el déficit sean cercanos a cero: “Esfuerzos más ambiciosos para mantener el gasto gubernamental plano en términos reales ayudarían a alcanzar los objetivos fiscales a medio plazo y rebajar de forma duradera la deuda pública”.</w:t>
      </w:r>
    </w:p>
    <w:p w:rsidR="00B82BCE" w:rsidRDefault="00B82BCE"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lastRenderedPageBreak/>
        <w:t>L</w:t>
      </w:r>
      <w:r>
        <w:rPr>
          <w:rFonts w:ascii="Times New Roman" w:eastAsia="Times New Roman" w:hAnsi="Times New Roman" w:cs="Times New Roman"/>
          <w:sz w:val="24"/>
          <w:szCs w:val="24"/>
        </w:rPr>
        <w:t>as razones de la desigualdad</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A partir de la década de los 70, los ingresos reales de los hogares estadounidenses de clases medias bajas se han estancado, mientras que los de los grupos superiores se han acelerado desde los 90, explica el Fondo. Y esta tendencia ha conducido a unas tasas de consumo menores en los últimos 15 años. De acuerdo con los expertos del organismo, las razones son variadas y numerosas: la polarización del mercado de trabajo entre formados y no formados, la deslocalización de empresas intensivas en empleo, la competencia salarial del exterior o una progresividad en declive del sistema fiscal, entre muchas otras.</w:t>
      </w:r>
    </w:p>
    <w:p w:rsidR="00844212" w:rsidRPr="006001BB" w:rsidRDefault="00844212" w:rsidP="00844212">
      <w:pPr>
        <w:pStyle w:val="NormalWeb"/>
        <w:spacing w:after="0"/>
        <w:jc w:val="both"/>
        <w:textAlignment w:val="baseline"/>
        <w:rPr>
          <w:iCs/>
          <w:color w:val="000000"/>
          <w:lang w:val="en-US"/>
        </w:rPr>
      </w:pPr>
      <w:r w:rsidRPr="006001BB">
        <w:rPr>
          <w:iCs/>
          <w:color w:val="000000"/>
          <w:lang w:val="en-US"/>
        </w:rPr>
        <w:t xml:space="preserve">- </w:t>
      </w:r>
      <w:r w:rsidRPr="004A21E4">
        <w:rPr>
          <w:iCs/>
          <w:color w:val="000000"/>
          <w:u w:val="single"/>
          <w:lang w:val="en-US"/>
        </w:rPr>
        <w:t>How wealth inequality has changed in the U.S. since the Great Recession, by race, ethnicity and income</w:t>
      </w:r>
      <w:r>
        <w:rPr>
          <w:iCs/>
          <w:color w:val="000000"/>
          <w:lang w:val="en-US"/>
        </w:rPr>
        <w:t xml:space="preserve"> (Pew Research Center - </w:t>
      </w:r>
      <w:r w:rsidRPr="001F758A">
        <w:rPr>
          <w:b/>
          <w:iCs/>
          <w:color w:val="000000"/>
          <w:lang w:val="en-US"/>
        </w:rPr>
        <w:t>1/11/17</w:t>
      </w:r>
      <w:r>
        <w:rPr>
          <w:iCs/>
          <w:color w:val="000000"/>
          <w:lang w:val="en-US"/>
        </w:rPr>
        <w:t>)</w:t>
      </w:r>
    </w:p>
    <w:p w:rsidR="00844212" w:rsidRPr="006001BB" w:rsidRDefault="00844212" w:rsidP="00844212">
      <w:pPr>
        <w:pStyle w:val="NormalWeb"/>
        <w:spacing w:after="0"/>
        <w:jc w:val="both"/>
        <w:textAlignment w:val="baseline"/>
        <w:rPr>
          <w:iCs/>
          <w:color w:val="000000"/>
          <w:lang w:val="en-US"/>
        </w:rPr>
      </w:pPr>
      <w:r w:rsidRPr="006001BB">
        <w:rPr>
          <w:iCs/>
          <w:color w:val="000000"/>
          <w:lang w:val="en-US"/>
        </w:rPr>
        <w:t>(By Rakesh Kochhar and Anthony Cilluffo)</w:t>
      </w:r>
    </w:p>
    <w:p w:rsidR="00844212" w:rsidRPr="00B82BCE" w:rsidRDefault="00844212" w:rsidP="00844212">
      <w:pPr>
        <w:pStyle w:val="NormalWeb"/>
        <w:spacing w:before="0" w:beforeAutospacing="0" w:after="0" w:afterAutospacing="0"/>
        <w:jc w:val="both"/>
        <w:textAlignment w:val="baseline"/>
        <w:rPr>
          <w:lang w:val="en-US"/>
        </w:rPr>
      </w:pPr>
      <w:r w:rsidRPr="00CC52B4">
        <w:rPr>
          <w:lang w:val="en-US"/>
        </w:rPr>
        <w:t xml:space="preserve">The Great Recession of 2007-2009 triggered a sharp, prolonged decline in the wealth of American families, and an already large wealth gap between white households and black and Hispanic </w:t>
      </w:r>
      <w:r w:rsidRPr="00B82BCE">
        <w:rPr>
          <w:lang w:val="en-US"/>
        </w:rPr>
        <w:t>households </w:t>
      </w:r>
      <w:hyperlink r:id="rId292" w:history="1">
        <w:r w:rsidRPr="00B82BCE">
          <w:rPr>
            <w:rStyle w:val="Hipervnculo"/>
            <w:color w:val="auto"/>
            <w:u w:val="none"/>
            <w:bdr w:val="none" w:sz="0" w:space="0" w:color="auto" w:frame="1"/>
            <w:lang w:val="en-US"/>
          </w:rPr>
          <w:t>widened further in its immediate aftermath</w:t>
        </w:r>
      </w:hyperlink>
      <w:r w:rsidRPr="00B82BCE">
        <w:rPr>
          <w:lang w:val="en-US"/>
        </w:rPr>
        <w:t>. But the racial and ethnic wealth gap has evolved differently for families at different income levels, according to a new Pew Research Center analysis of data from the Federal Reserve Board’s </w:t>
      </w:r>
      <w:hyperlink r:id="rId293" w:history="1">
        <w:r w:rsidRPr="00B82BCE">
          <w:rPr>
            <w:rStyle w:val="Hipervnculo"/>
            <w:color w:val="auto"/>
            <w:u w:val="none"/>
            <w:bdr w:val="none" w:sz="0" w:space="0" w:color="auto" w:frame="1"/>
            <w:lang w:val="en-US"/>
          </w:rPr>
          <w:t>Survey of Consumer Finances</w:t>
        </w:r>
      </w:hyperlink>
      <w:r w:rsidRPr="00B82BCE">
        <w:rPr>
          <w:lang w:val="en-US"/>
        </w:rPr>
        <w:t>.</w:t>
      </w:r>
    </w:p>
    <w:p w:rsidR="00844212" w:rsidRPr="00B82BCE" w:rsidRDefault="00844212" w:rsidP="00844212">
      <w:pPr>
        <w:pStyle w:val="NormalWeb"/>
        <w:spacing w:before="0" w:beforeAutospacing="0" w:after="0" w:afterAutospacing="0"/>
        <w:jc w:val="both"/>
        <w:textAlignment w:val="baseline"/>
        <w:rPr>
          <w:lang w:val="en-US"/>
        </w:rPr>
      </w:pPr>
    </w:p>
    <w:p w:rsidR="00844212" w:rsidRPr="00CC52B4" w:rsidRDefault="00844212" w:rsidP="00844212">
      <w:pPr>
        <w:pStyle w:val="NormalWeb"/>
        <w:spacing w:before="0" w:beforeAutospacing="0" w:after="0" w:afterAutospacing="0"/>
        <w:jc w:val="both"/>
        <w:textAlignment w:val="baseline"/>
        <w:rPr>
          <w:lang w:val="en-US"/>
        </w:rPr>
      </w:pPr>
      <w:r w:rsidRPr="00B82BCE">
        <w:rPr>
          <w:lang w:val="en-US"/>
        </w:rPr>
        <w:t>Among lower-income families</w:t>
      </w:r>
      <w:r w:rsidRPr="00CC52B4">
        <w:rPr>
          <w:lang w:val="en-US"/>
        </w:rPr>
        <w:t>, the gap between white households and their black and Hispanic counterparts </w:t>
      </w:r>
      <w:r w:rsidRPr="00CC52B4">
        <w:rPr>
          <w:rStyle w:val="nfasis"/>
          <w:rFonts w:eastAsiaTheme="majorEastAsia"/>
          <w:bdr w:val="none" w:sz="0" w:space="0" w:color="auto" w:frame="1"/>
          <w:lang w:val="en-US"/>
        </w:rPr>
        <w:t>shrank</w:t>
      </w:r>
      <w:r w:rsidRPr="00CC52B4">
        <w:rPr>
          <w:lang w:val="en-US"/>
        </w:rPr>
        <w:t> by about half from 2007 to 2016. But among middle-class families, it increased and shows no sign of retreating. (There are an insufficient number of observations in the SCF data to report on upper-income black and Hispanic families separately.)</w:t>
      </w:r>
    </w:p>
    <w:p w:rsidR="00844212" w:rsidRPr="00CC52B4" w:rsidRDefault="00844212" w:rsidP="00844212">
      <w:pPr>
        <w:pStyle w:val="NormalWeb"/>
        <w:spacing w:before="0" w:beforeAutospacing="0" w:after="0" w:afterAutospacing="0"/>
        <w:jc w:val="both"/>
        <w:textAlignment w:val="baseline"/>
        <w:rPr>
          <w:lang w:val="en-US"/>
        </w:rPr>
      </w:pPr>
    </w:p>
    <w:p w:rsidR="00844212" w:rsidRDefault="00844212" w:rsidP="00844212">
      <w:pPr>
        <w:pStyle w:val="NormalWeb"/>
        <w:spacing w:before="0" w:beforeAutospacing="0" w:after="0" w:afterAutospacing="0"/>
        <w:jc w:val="both"/>
        <w:textAlignment w:val="baseline"/>
        <w:rPr>
          <w:color w:val="000000"/>
          <w:lang w:val="en-US"/>
        </w:rPr>
      </w:pPr>
      <w:r w:rsidRPr="006001BB">
        <w:rPr>
          <w:noProof/>
          <w:color w:val="BC7B2B"/>
          <w:bdr w:val="none" w:sz="0" w:space="0" w:color="auto" w:frame="1"/>
        </w:rPr>
        <w:drawing>
          <wp:inline distT="0" distB="0" distL="0" distR="0" wp14:anchorId="58A34649" wp14:editId="0ACC3D9B">
            <wp:extent cx="5588000" cy="3536950"/>
            <wp:effectExtent l="0" t="0" r="0" b="6350"/>
            <wp:docPr id="221" name="Imagen 221" descr="http://www.pewresearch.org/wp-content/uploads/2017/11/FT_17.10.30_Wealth-Gap_racial_ethnic_gaps.png">
              <a:hlinkClick xmlns:a="http://schemas.openxmlformats.org/drawingml/2006/main" r:id="rId2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pewresearch.org/wp-content/uploads/2017/11/FT_17.10.30_Wealth-Gap_racial_ethnic_gaps.png">
                      <a:hlinkClick r:id="rId294"/>
                    </pic:cNvPr>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588000" cy="35369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Pr="00B82BCE" w:rsidRDefault="00844212" w:rsidP="00844212">
      <w:pPr>
        <w:pStyle w:val="NormalWeb"/>
        <w:spacing w:before="0" w:beforeAutospacing="0" w:after="0" w:afterAutospacing="0"/>
        <w:jc w:val="both"/>
        <w:textAlignment w:val="baseline"/>
        <w:rPr>
          <w:lang w:val="en-US"/>
        </w:rPr>
      </w:pPr>
      <w:r w:rsidRPr="00B82BCE">
        <w:rPr>
          <w:lang w:val="en-US"/>
        </w:rPr>
        <w:lastRenderedPageBreak/>
        <w:t>Overall, American household wealth has not fully recovered from the Great Recession. In 2016, the median wealth of all U.S. households was $</w:t>
      </w:r>
      <w:r w:rsidR="00A30400">
        <w:rPr>
          <w:lang w:val="en-US"/>
        </w:rPr>
        <w:t xml:space="preserve"> </w:t>
      </w:r>
      <w:r w:rsidRPr="00B82BCE">
        <w:rPr>
          <w:lang w:val="en-US"/>
        </w:rPr>
        <w:t>97,300, up 16% from 2013 but well below median wealth before the recession began in late 2007 ($</w:t>
      </w:r>
      <w:r w:rsidR="00A30400">
        <w:rPr>
          <w:lang w:val="en-US"/>
        </w:rPr>
        <w:t xml:space="preserve"> </w:t>
      </w:r>
      <w:r w:rsidRPr="00B82BCE">
        <w:rPr>
          <w:lang w:val="en-US"/>
        </w:rPr>
        <w:t>139,700 in 2016 dollars). And even though </w:t>
      </w:r>
      <w:hyperlink r:id="rId296" w:history="1">
        <w:r w:rsidRPr="00B82BCE">
          <w:rPr>
            <w:rStyle w:val="Hipervnculo"/>
            <w:color w:val="auto"/>
            <w:u w:val="none"/>
            <w:bdr w:val="none" w:sz="0" w:space="0" w:color="auto" w:frame="1"/>
            <w:lang w:val="en-US"/>
          </w:rPr>
          <w:t>overall racial and ethnic inequality in wealth</w:t>
        </w:r>
      </w:hyperlink>
      <w:r w:rsidRPr="00B82BCE">
        <w:rPr>
          <w:lang w:val="en-US"/>
        </w:rPr>
        <w:t> narrowed from 2013 to 2016, the gap remains large. In 2016, the median wealth of white households was $</w:t>
      </w:r>
      <w:r w:rsidR="00A30400">
        <w:rPr>
          <w:lang w:val="en-US"/>
        </w:rPr>
        <w:t xml:space="preserve"> </w:t>
      </w:r>
      <w:r w:rsidRPr="00B82BCE">
        <w:rPr>
          <w:lang w:val="en-US"/>
        </w:rPr>
        <w:t>171,000. That’s 10 times the wealth of black households ($</w:t>
      </w:r>
      <w:r w:rsidR="00A30400">
        <w:rPr>
          <w:lang w:val="en-US"/>
        </w:rPr>
        <w:t xml:space="preserve"> </w:t>
      </w:r>
      <w:r w:rsidRPr="00B82BCE">
        <w:rPr>
          <w:lang w:val="en-US"/>
        </w:rPr>
        <w:t>17,100) -a larger gap than in 2007- and eight times that of Hispanic households ($</w:t>
      </w:r>
      <w:r w:rsidR="00A30400">
        <w:rPr>
          <w:lang w:val="en-US"/>
        </w:rPr>
        <w:t xml:space="preserve"> </w:t>
      </w:r>
      <w:r w:rsidRPr="00B82BCE">
        <w:rPr>
          <w:lang w:val="en-US"/>
        </w:rPr>
        <w:t>20,600), about the same gap as in 2007. (Asians and other racial groups are not separately identified in the SCF data.)</w:t>
      </w:r>
    </w:p>
    <w:p w:rsidR="00844212" w:rsidRPr="00B82BCE" w:rsidRDefault="00844212" w:rsidP="00844212">
      <w:pPr>
        <w:pStyle w:val="NormalWeb"/>
        <w:spacing w:before="0" w:beforeAutospacing="0" w:after="0" w:afterAutospacing="0"/>
        <w:jc w:val="both"/>
        <w:textAlignment w:val="baseline"/>
        <w:rPr>
          <w:lang w:val="en-US"/>
        </w:rPr>
      </w:pPr>
    </w:p>
    <w:p w:rsidR="00844212" w:rsidRPr="00B82BCE" w:rsidRDefault="00844212" w:rsidP="00844212">
      <w:pPr>
        <w:pStyle w:val="NormalWeb"/>
        <w:spacing w:before="0" w:beforeAutospacing="0" w:after="0" w:afterAutospacing="0"/>
        <w:jc w:val="both"/>
        <w:textAlignment w:val="baseline"/>
        <w:rPr>
          <w:lang w:val="en-US"/>
        </w:rPr>
      </w:pPr>
      <w:r w:rsidRPr="00B82BCE">
        <w:rPr>
          <w:lang w:val="en-US"/>
        </w:rPr>
        <w:t>Here are some key trends in household wealth across income tiers and racial and ethnic groups. </w:t>
      </w:r>
      <w:r w:rsidRPr="00B82BCE">
        <w:rPr>
          <w:rStyle w:val="s1"/>
          <w:bdr w:val="none" w:sz="0" w:space="0" w:color="auto" w:frame="1"/>
          <w:lang w:val="en-US"/>
        </w:rPr>
        <w:t>In this analysis, we categorized families by their household income, after </w:t>
      </w:r>
      <w:hyperlink r:id="rId297" w:history="1">
        <w:r w:rsidRPr="00B82BCE">
          <w:rPr>
            <w:rStyle w:val="Hipervnculo"/>
            <w:color w:val="auto"/>
            <w:u w:val="none"/>
            <w:bdr w:val="none" w:sz="0" w:space="0" w:color="auto" w:frame="1"/>
            <w:lang w:val="en-US"/>
          </w:rPr>
          <w:t>adjusting their incomes for family size</w:t>
        </w:r>
      </w:hyperlink>
      <w:r w:rsidRPr="00B82BCE">
        <w:rPr>
          <w:rStyle w:val="s1"/>
          <w:bdr w:val="none" w:sz="0" w:space="0" w:color="auto" w:frame="1"/>
          <w:lang w:val="en-US"/>
        </w:rPr>
        <w:t>. Middle-income families have size-adjusted incomes between two-thirds and twice the national median size-adjusted income. Lower-income families have a size-adjusted household income less than two-thirds the median and upper-income families more than twice the median.</w:t>
      </w:r>
    </w:p>
    <w:p w:rsidR="00844212" w:rsidRPr="006001BB" w:rsidRDefault="00844212" w:rsidP="00844212">
      <w:pPr>
        <w:spacing w:line="240" w:lineRule="auto"/>
        <w:jc w:val="both"/>
        <w:textAlignment w:val="baseline"/>
        <w:rPr>
          <w:rFonts w:ascii="Times New Roman" w:hAnsi="Times New Roman" w:cs="Times New Roman"/>
          <w:color w:val="000000"/>
          <w:sz w:val="24"/>
          <w:szCs w:val="24"/>
        </w:rPr>
      </w:pPr>
      <w:r w:rsidRPr="006001BB">
        <w:rPr>
          <w:rFonts w:ascii="Times New Roman" w:hAnsi="Times New Roman" w:cs="Times New Roman"/>
          <w:noProof/>
          <w:color w:val="000000"/>
          <w:sz w:val="24"/>
          <w:szCs w:val="24"/>
          <w:lang w:eastAsia="es-ES"/>
        </w:rPr>
        <w:drawing>
          <wp:inline distT="0" distB="0" distL="0" distR="0" wp14:anchorId="58642A0A" wp14:editId="15ADAD75">
            <wp:extent cx="2952750" cy="6121400"/>
            <wp:effectExtent l="0" t="0" r="0" b="0"/>
            <wp:docPr id="222" name="Imagen 222" descr="http://www.pewresearch.org/wp-content/uploads/2017/11/FT_17.10.30_Wealth-Gap_gai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pewresearch.org/wp-content/uploads/2017/11/FT_17.10.30_Wealth-Gap_gains.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952750" cy="612140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r w:rsidRPr="006001BB">
        <w:rPr>
          <w:b/>
          <w:bCs/>
          <w:color w:val="EC9F2E"/>
          <w:bdr w:val="none" w:sz="0" w:space="0" w:color="auto" w:frame="1"/>
          <w:lang w:val="en-US"/>
        </w:rPr>
        <w:lastRenderedPageBreak/>
        <w:t>1</w:t>
      </w:r>
      <w:r w:rsidRPr="006001BB">
        <w:rPr>
          <w:rStyle w:val="Textoennegrita"/>
          <w:rFonts w:eastAsiaTheme="majorEastAsia"/>
          <w:color w:val="000000"/>
          <w:bdr w:val="none" w:sz="0" w:space="0" w:color="auto" w:frame="1"/>
          <w:lang w:val="en-US"/>
        </w:rPr>
        <w:t>Among lower- and middle-income households, white families have four times as much wealth as black families and three times as much as Hispanic families.</w:t>
      </w:r>
      <w:r w:rsidRPr="006001BB">
        <w:rPr>
          <w:color w:val="000000"/>
          <w:lang w:val="en-US"/>
        </w:rPr>
        <w:t> In 2016, lower-income white households had a net worth of $</w:t>
      </w:r>
      <w:r w:rsidR="00B82BCE">
        <w:rPr>
          <w:color w:val="000000"/>
          <w:lang w:val="en-US"/>
        </w:rPr>
        <w:t xml:space="preserve"> </w:t>
      </w:r>
      <w:r w:rsidRPr="006001BB">
        <w:rPr>
          <w:color w:val="000000"/>
          <w:lang w:val="en-US"/>
        </w:rPr>
        <w:t>22,900, compared with only $</w:t>
      </w:r>
      <w:r w:rsidR="00B82BCE">
        <w:rPr>
          <w:color w:val="000000"/>
          <w:lang w:val="en-US"/>
        </w:rPr>
        <w:t xml:space="preserve"> </w:t>
      </w:r>
      <w:r w:rsidRPr="006001BB">
        <w:rPr>
          <w:color w:val="000000"/>
          <w:lang w:val="en-US"/>
        </w:rPr>
        <w:t>5,000 for black households and $</w:t>
      </w:r>
      <w:r w:rsidR="00B82BCE">
        <w:rPr>
          <w:color w:val="000000"/>
          <w:lang w:val="en-US"/>
        </w:rPr>
        <w:t xml:space="preserve"> </w:t>
      </w:r>
      <w:r w:rsidRPr="006001BB">
        <w:rPr>
          <w:color w:val="000000"/>
          <w:lang w:val="en-US"/>
        </w:rPr>
        <w:t>7,900 for Hispanic households in this income tier. To some degree, this reflects differences in home</w:t>
      </w:r>
      <w:r>
        <w:rPr>
          <w:color w:val="000000"/>
          <w:lang w:val="en-US"/>
        </w:rPr>
        <w:t>ownership rates among families -</w:t>
      </w:r>
      <w:r w:rsidRPr="006001BB">
        <w:rPr>
          <w:color w:val="000000"/>
          <w:lang w:val="en-US"/>
        </w:rPr>
        <w:t xml:space="preserve"> 49% for lower-income whites, versus 31% for lower-income blacks and 30% for lower-income Hispanics. It is also important to note that only 25% of white households are in the lower-income tier, compared with about 50% each of black and Hispanic households. Thus, low levels of wealth are much more prevalent among black and Hispanic households than among white households.</w:t>
      </w:r>
    </w:p>
    <w:p w:rsidR="00844212" w:rsidRPr="006001BB" w:rsidRDefault="00844212" w:rsidP="00844212">
      <w:pPr>
        <w:pStyle w:val="NormalWeb"/>
        <w:spacing w:before="0" w:beforeAutospacing="0" w:after="0" w:afterAutospacing="0"/>
        <w:jc w:val="both"/>
        <w:textAlignment w:val="baseline"/>
        <w:rPr>
          <w:color w:val="000000"/>
          <w:lang w:val="en-US"/>
        </w:rPr>
      </w:pPr>
    </w:p>
    <w:p w:rsidR="00844212" w:rsidRPr="006001BB" w:rsidRDefault="00844212" w:rsidP="00844212">
      <w:pPr>
        <w:pStyle w:val="NormalWeb"/>
        <w:spacing w:before="0" w:beforeAutospacing="0" w:after="300" w:afterAutospacing="0"/>
        <w:jc w:val="both"/>
        <w:textAlignment w:val="baseline"/>
        <w:rPr>
          <w:color w:val="000000"/>
          <w:lang w:val="en-US"/>
        </w:rPr>
      </w:pPr>
      <w:r w:rsidRPr="006001BB">
        <w:rPr>
          <w:color w:val="000000"/>
          <w:lang w:val="en-US"/>
        </w:rPr>
        <w:t>About the same level of wealth inequality exists among middle-income households. White households in the middle-income tier had a median net worth of $</w:t>
      </w:r>
      <w:r w:rsidR="00B82BCE">
        <w:rPr>
          <w:color w:val="000000"/>
          <w:lang w:val="en-US"/>
        </w:rPr>
        <w:t xml:space="preserve"> </w:t>
      </w:r>
      <w:r w:rsidRPr="006001BB">
        <w:rPr>
          <w:color w:val="000000"/>
          <w:lang w:val="en-US"/>
        </w:rPr>
        <w:t>154,400 in 2016, compared with $</w:t>
      </w:r>
      <w:r w:rsidR="00B82BCE">
        <w:rPr>
          <w:color w:val="000000"/>
          <w:lang w:val="en-US"/>
        </w:rPr>
        <w:t xml:space="preserve"> </w:t>
      </w:r>
      <w:r w:rsidRPr="006001BB">
        <w:rPr>
          <w:color w:val="000000"/>
          <w:lang w:val="en-US"/>
        </w:rPr>
        <w:t>38,300 for middle-income blacks and $</w:t>
      </w:r>
      <w:r w:rsidR="00B82BCE">
        <w:rPr>
          <w:color w:val="000000"/>
          <w:lang w:val="en-US"/>
        </w:rPr>
        <w:t xml:space="preserve"> </w:t>
      </w:r>
      <w:r w:rsidRPr="006001BB">
        <w:rPr>
          <w:color w:val="000000"/>
          <w:lang w:val="en-US"/>
        </w:rPr>
        <w:t>46,000 for middle-income Hispanics. Homeownership rates among middle-income blacks (53%) and Hispanics (60%) are also less than among middle-income whites (76%). Half of white households, 42% of black households and 40% of Hispanic households are in the middle-income tier.</w:t>
      </w:r>
    </w:p>
    <w:p w:rsidR="00844212" w:rsidRDefault="00844212" w:rsidP="00844212">
      <w:pPr>
        <w:pStyle w:val="NormalWeb"/>
        <w:spacing w:before="0" w:beforeAutospacing="0" w:after="0" w:afterAutospacing="0"/>
        <w:jc w:val="both"/>
        <w:textAlignment w:val="baseline"/>
        <w:rPr>
          <w:color w:val="000000"/>
          <w:lang w:val="en-US"/>
        </w:rPr>
      </w:pPr>
      <w:r w:rsidRPr="006001BB">
        <w:rPr>
          <w:b/>
          <w:bCs/>
          <w:color w:val="EC9F2E"/>
          <w:bdr w:val="none" w:sz="0" w:space="0" w:color="auto" w:frame="1"/>
          <w:lang w:val="en-US"/>
        </w:rPr>
        <w:t>2</w:t>
      </w:r>
      <w:r w:rsidRPr="006001BB">
        <w:rPr>
          <w:rStyle w:val="Textoennegrita"/>
          <w:rFonts w:eastAsiaTheme="majorEastAsia"/>
          <w:color w:val="000000"/>
          <w:bdr w:val="none" w:sz="0" w:space="0" w:color="auto" w:frame="1"/>
          <w:lang w:val="en-US"/>
        </w:rPr>
        <w:t>Lower-income white families experienced greater losses in wealth during the recession than lower-income black and Hispanic families did.</w:t>
      </w:r>
      <w:r w:rsidRPr="006001BB">
        <w:rPr>
          <w:color w:val="000000"/>
          <w:lang w:val="en-US"/>
        </w:rPr>
        <w:t xml:space="preserve"> Prior to the recession in 2007, lower-income white families had 10 times as much median wealth </w:t>
      </w:r>
      <w:r w:rsidR="00B82BCE">
        <w:rPr>
          <w:color w:val="000000"/>
          <w:lang w:val="en-US"/>
        </w:rPr>
        <w:t>as lower-income black families-</w:t>
      </w:r>
      <w:r w:rsidRPr="006001BB">
        <w:rPr>
          <w:color w:val="000000"/>
          <w:lang w:val="en-US"/>
        </w:rPr>
        <w:t xml:space="preserve"> $</w:t>
      </w:r>
      <w:r w:rsidR="00B82BCE">
        <w:rPr>
          <w:color w:val="000000"/>
          <w:lang w:val="en-US"/>
        </w:rPr>
        <w:t xml:space="preserve"> </w:t>
      </w:r>
      <w:r w:rsidRPr="006001BB">
        <w:rPr>
          <w:color w:val="000000"/>
          <w:lang w:val="en-US"/>
        </w:rPr>
        <w:t>42,700 versus $</w:t>
      </w:r>
      <w:r w:rsidR="00B82BCE">
        <w:rPr>
          <w:color w:val="000000"/>
          <w:lang w:val="en-US"/>
        </w:rPr>
        <w:t xml:space="preserve"> </w:t>
      </w:r>
      <w:r w:rsidRPr="006001BB">
        <w:rPr>
          <w:color w:val="000000"/>
          <w:lang w:val="en-US"/>
        </w:rPr>
        <w:t>4,300 (figures in 2016 dollars). Lower-income Hispanic families had a median net worth of $</w:t>
      </w:r>
      <w:r w:rsidR="00B82BCE">
        <w:rPr>
          <w:color w:val="000000"/>
          <w:lang w:val="en-US"/>
        </w:rPr>
        <w:t xml:space="preserve"> </w:t>
      </w:r>
      <w:r w:rsidRPr="006001BB">
        <w:rPr>
          <w:color w:val="000000"/>
          <w:lang w:val="en-US"/>
        </w:rPr>
        <w:t>8,400, lagging white families by a ratio of five-to-one.</w:t>
      </w:r>
    </w:p>
    <w:p w:rsidR="00844212" w:rsidRPr="006001BB" w:rsidRDefault="00844212" w:rsidP="00844212">
      <w:pPr>
        <w:pStyle w:val="NormalWeb"/>
        <w:spacing w:before="0" w:beforeAutospacing="0" w:after="0" w:afterAutospacing="0"/>
        <w:jc w:val="both"/>
        <w:textAlignment w:val="baseline"/>
        <w:rPr>
          <w:color w:val="000000"/>
          <w:lang w:val="en-US"/>
        </w:rPr>
      </w:pPr>
    </w:p>
    <w:p w:rsidR="00844212" w:rsidRPr="006001BB" w:rsidRDefault="00844212" w:rsidP="00844212">
      <w:pPr>
        <w:pStyle w:val="NormalWeb"/>
        <w:spacing w:before="0" w:beforeAutospacing="0" w:after="300" w:afterAutospacing="0"/>
        <w:jc w:val="both"/>
        <w:textAlignment w:val="baseline"/>
        <w:rPr>
          <w:color w:val="000000"/>
          <w:lang w:val="en-US"/>
        </w:rPr>
      </w:pPr>
      <w:r w:rsidRPr="006001BB">
        <w:rPr>
          <w:color w:val="000000"/>
          <w:lang w:val="en-US"/>
        </w:rPr>
        <w:t>These large wealth gaps were trimmed roughly in half by the Great Recession, which cut the median wealth of lower-income white households to $</w:t>
      </w:r>
      <w:r w:rsidR="00B82BCE">
        <w:rPr>
          <w:color w:val="000000"/>
          <w:lang w:val="en-US"/>
        </w:rPr>
        <w:t xml:space="preserve"> </w:t>
      </w:r>
      <w:r w:rsidRPr="006001BB">
        <w:rPr>
          <w:color w:val="000000"/>
          <w:lang w:val="en-US"/>
        </w:rPr>
        <w:t>21,900 in 2010, a loss of 49%. Losses for lower-income black and Hispanic households were much smaller, 3% and 5%, respectively. The larger losses for lower-income white families may have arisen from their greater exposure to the housing market crash. In 2007, 56% of lower-income whites were homeowners, compared with 32% each of lower-income blacks and Hispanics. The homeownership rate among lower-income whites has trended downward since then, falling to 49% by 2016, but the rate for blacks and Hispanics is largely unchanged.</w:t>
      </w:r>
    </w:p>
    <w:p w:rsidR="00844212" w:rsidRPr="00CC52B4" w:rsidRDefault="00844212" w:rsidP="00844212">
      <w:pPr>
        <w:pStyle w:val="NormalWeb"/>
        <w:spacing w:before="0" w:beforeAutospacing="0" w:after="0" w:afterAutospacing="0"/>
        <w:jc w:val="both"/>
        <w:textAlignment w:val="baseline"/>
        <w:rPr>
          <w:lang w:val="en-US"/>
        </w:rPr>
      </w:pPr>
      <w:r w:rsidRPr="006001BB">
        <w:rPr>
          <w:b/>
          <w:bCs/>
          <w:color w:val="EC9F2E"/>
          <w:bdr w:val="none" w:sz="0" w:space="0" w:color="auto" w:frame="1"/>
          <w:lang w:val="en-US"/>
        </w:rPr>
        <w:t>3</w:t>
      </w:r>
      <w:r w:rsidRPr="006001BB">
        <w:rPr>
          <w:rStyle w:val="Textoennegrita"/>
          <w:rFonts w:eastAsiaTheme="majorEastAsia"/>
          <w:color w:val="000000"/>
          <w:bdr w:val="none" w:sz="0" w:space="0" w:color="auto" w:frame="1"/>
          <w:lang w:val="en-US"/>
        </w:rPr>
        <w:t>The share of lower-income white households that have no wealth or are in debt was higher in 2016 than in 2007, but the opposite is true among lower-income black and Hispanic households.</w:t>
      </w:r>
      <w:r w:rsidRPr="006001BB">
        <w:rPr>
          <w:color w:val="000000"/>
          <w:lang w:val="en-US"/>
        </w:rPr>
        <w:t> A corresponding sign of recession-induced stress on household portfolios is the share of families with zero net worth or in debt. This share edged up among lower-income white families, from 14% in 2007 to 17% in 2016. Meanwhile, the share of lower-income black families with zero or negative net worth decreased from 32% to 23% and the share among lower-income Hispanic families fell from 23% to 15%. In contrast, among middle-income families, the share with zero net worth or in debt increased from 2007 to 2016, from 6% to 9% among whites, 9% to 18</w:t>
      </w:r>
      <w:r w:rsidRPr="00CC52B4">
        <w:rPr>
          <w:lang w:val="en-US"/>
        </w:rPr>
        <w:t>% among blacks, and 9% to 13% among Hispanics. Overall, black and Hispanic families are </w:t>
      </w:r>
      <w:hyperlink r:id="rId299" w:history="1">
        <w:r w:rsidRPr="00B82BCE">
          <w:rPr>
            <w:rStyle w:val="Hipervnculo"/>
            <w:color w:val="auto"/>
            <w:u w:val="none"/>
            <w:bdr w:val="none" w:sz="0" w:space="0" w:color="auto" w:frame="1"/>
            <w:lang w:val="en-US"/>
          </w:rPr>
          <w:t>more likely</w:t>
        </w:r>
      </w:hyperlink>
      <w:r w:rsidRPr="00B82BCE">
        <w:rPr>
          <w:lang w:val="en-US"/>
        </w:rPr>
        <w:t> </w:t>
      </w:r>
      <w:r w:rsidRPr="00CC52B4">
        <w:rPr>
          <w:lang w:val="en-US"/>
        </w:rPr>
        <w:t>than white families to have zero net worth or to be in debt.</w:t>
      </w:r>
    </w:p>
    <w:p w:rsidR="00844212" w:rsidRPr="006001BB"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rPr>
      </w:pPr>
      <w:r w:rsidRPr="006001BB">
        <w:rPr>
          <w:b/>
          <w:bCs/>
          <w:color w:val="EC9F2E"/>
          <w:bdr w:val="none" w:sz="0" w:space="0" w:color="auto" w:frame="1"/>
          <w:lang w:val="en-US"/>
        </w:rPr>
        <w:t>4</w:t>
      </w:r>
      <w:r w:rsidRPr="006001BB">
        <w:rPr>
          <w:rStyle w:val="Textoennegrita"/>
          <w:rFonts w:eastAsiaTheme="majorEastAsia"/>
          <w:color w:val="000000"/>
          <w:bdr w:val="none" w:sz="0" w:space="0" w:color="auto" w:frame="1"/>
          <w:lang w:val="en-US"/>
        </w:rPr>
        <w:t>Racial and ethnic wealth inequality among middle-income families increased with the recession and has not retreated in the recovery.</w:t>
      </w:r>
      <w:r w:rsidRPr="006001BB">
        <w:rPr>
          <w:color w:val="000000"/>
          <w:lang w:val="en-US"/>
        </w:rPr>
        <w:t> Middle-income black and Hispanic families took a substantial hit in the recession. The median wealth of middle-income blacks fell to $</w:t>
      </w:r>
      <w:r w:rsidR="00B82BCE">
        <w:rPr>
          <w:color w:val="000000"/>
          <w:lang w:val="en-US"/>
        </w:rPr>
        <w:t xml:space="preserve"> </w:t>
      </w:r>
      <w:r w:rsidRPr="006001BB">
        <w:rPr>
          <w:color w:val="000000"/>
          <w:lang w:val="en-US"/>
        </w:rPr>
        <w:t>33,600 in 2013, down 47% from 2007. Likewise, the median wealth of middle-income Hispanics dropped to $</w:t>
      </w:r>
      <w:r w:rsidR="00B82BCE">
        <w:rPr>
          <w:color w:val="000000"/>
          <w:lang w:val="en-US"/>
        </w:rPr>
        <w:t xml:space="preserve"> </w:t>
      </w:r>
      <w:r w:rsidRPr="006001BB">
        <w:rPr>
          <w:color w:val="000000"/>
          <w:lang w:val="en-US"/>
        </w:rPr>
        <w:t xml:space="preserve">38,900 in 2013, a loss of 55% since 2007. Meanwhile, middle-income white families experienced a less substantial loss of 31% in this period, as </w:t>
      </w:r>
      <w:r w:rsidRPr="006001BB">
        <w:rPr>
          <w:color w:val="000000"/>
          <w:lang w:val="en-US"/>
        </w:rPr>
        <w:lastRenderedPageBreak/>
        <w:t>their median wealth fell to $</w:t>
      </w:r>
      <w:r w:rsidR="00B82BCE">
        <w:rPr>
          <w:color w:val="000000"/>
          <w:lang w:val="en-US"/>
        </w:rPr>
        <w:t xml:space="preserve"> </w:t>
      </w:r>
      <w:r w:rsidRPr="006001BB">
        <w:rPr>
          <w:color w:val="000000"/>
          <w:lang w:val="en-US"/>
        </w:rPr>
        <w:t xml:space="preserve">131,900. As a result, racial and ethnic wealth inequality among middle-incomes families increased during or after the recession. From 2007 to 2013, among those in the middle-income tier, the white-to-black wealth ratio increased from three-to-one to four-to-one, and the white-to-Hispanic wealth ratio increased from two-to-one to three-to-one. </w:t>
      </w:r>
      <w:r w:rsidRPr="006001BB">
        <w:rPr>
          <w:color w:val="000000"/>
        </w:rPr>
        <w:t>These margins did not diminish from 2013 to 2016.</w:t>
      </w:r>
    </w:p>
    <w:p w:rsidR="00844212" w:rsidRPr="006001BB" w:rsidRDefault="00844212" w:rsidP="00844212">
      <w:pPr>
        <w:pStyle w:val="NormalWeb"/>
        <w:spacing w:before="0" w:beforeAutospacing="0" w:after="0" w:afterAutospacing="0"/>
        <w:jc w:val="both"/>
        <w:textAlignment w:val="baseline"/>
        <w:rPr>
          <w:color w:val="000000"/>
        </w:rPr>
      </w:pPr>
    </w:p>
    <w:p w:rsidR="00844212" w:rsidRPr="006001BB" w:rsidRDefault="00844212" w:rsidP="00844212">
      <w:pPr>
        <w:spacing w:line="240" w:lineRule="auto"/>
        <w:jc w:val="both"/>
        <w:textAlignment w:val="baseline"/>
        <w:rPr>
          <w:rFonts w:ascii="Times New Roman" w:hAnsi="Times New Roman" w:cs="Times New Roman"/>
          <w:color w:val="000000"/>
          <w:sz w:val="24"/>
          <w:szCs w:val="24"/>
        </w:rPr>
      </w:pPr>
      <w:r w:rsidRPr="006001BB">
        <w:rPr>
          <w:rFonts w:ascii="Times New Roman" w:hAnsi="Times New Roman" w:cs="Times New Roman"/>
          <w:noProof/>
          <w:color w:val="000000"/>
          <w:sz w:val="24"/>
          <w:szCs w:val="24"/>
          <w:lang w:eastAsia="es-ES"/>
        </w:rPr>
        <w:drawing>
          <wp:inline distT="0" distB="0" distL="0" distR="0" wp14:anchorId="42E42397" wp14:editId="453639A3">
            <wp:extent cx="2952750" cy="2889250"/>
            <wp:effectExtent l="0" t="0" r="0" b="6350"/>
            <wp:docPr id="223" name="Imagen 223" descr="http://www.pewresearch.org/wp-content/uploads/2017/11/FT_17.10.30_Wealth-Gap_great_recess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pewresearch.org/wp-content/uploads/2017/11/FT_17.10.30_Wealth-Gap_great_recession.pn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952750" cy="28892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r w:rsidRPr="006001BB">
        <w:rPr>
          <w:b/>
          <w:bCs/>
          <w:color w:val="EC9F2E"/>
          <w:bdr w:val="none" w:sz="0" w:space="0" w:color="auto" w:frame="1"/>
          <w:lang w:val="en-US"/>
        </w:rPr>
        <w:t>5</w:t>
      </w:r>
      <w:r w:rsidRPr="006001BB">
        <w:rPr>
          <w:rStyle w:val="Textoennegrita"/>
          <w:rFonts w:eastAsiaTheme="majorEastAsia"/>
          <w:color w:val="000000"/>
          <w:bdr w:val="none" w:sz="0" w:space="0" w:color="auto" w:frame="1"/>
          <w:lang w:val="en-US"/>
        </w:rPr>
        <w:t>Wealth gaps between upper-income families and lower- and middle-income families are at the highest levels recorded.</w:t>
      </w:r>
      <w:r w:rsidRPr="006001BB">
        <w:rPr>
          <w:color w:val="000000"/>
          <w:lang w:val="en-US"/>
        </w:rPr>
        <w:t> Although lower- and middle-income families overall experienced gains in wealth in recent years, they were not large enough to make up for the losses these families sustained during the recession. Thus, in 2016, the median wealth of lower-income families was 42% less than in 2007 and the median wealth of middle-income families was 33% lower. Indeed, the net w</w:t>
      </w:r>
      <w:r>
        <w:rPr>
          <w:color w:val="000000"/>
          <w:lang w:val="en-US"/>
        </w:rPr>
        <w:t>orth of these families in 2016 -</w:t>
      </w:r>
      <w:r w:rsidRPr="006001BB">
        <w:rPr>
          <w:color w:val="000000"/>
          <w:lang w:val="en-US"/>
        </w:rPr>
        <w:t>$</w:t>
      </w:r>
      <w:r w:rsidR="00B82BCE">
        <w:rPr>
          <w:color w:val="000000"/>
          <w:lang w:val="en-US"/>
        </w:rPr>
        <w:t xml:space="preserve"> </w:t>
      </w:r>
      <w:r w:rsidRPr="006001BB">
        <w:rPr>
          <w:color w:val="000000"/>
          <w:lang w:val="en-US"/>
        </w:rPr>
        <w:t>10,800 for lower-income families and $</w:t>
      </w:r>
      <w:r w:rsidR="00B82BCE">
        <w:rPr>
          <w:color w:val="000000"/>
          <w:lang w:val="en-US"/>
        </w:rPr>
        <w:t xml:space="preserve"> </w:t>
      </w:r>
      <w:r w:rsidRPr="006001BB">
        <w:rPr>
          <w:color w:val="000000"/>
          <w:lang w:val="en-US"/>
        </w:rPr>
        <w:t>110,</w:t>
      </w:r>
      <w:r>
        <w:rPr>
          <w:color w:val="000000"/>
          <w:lang w:val="en-US"/>
        </w:rPr>
        <w:t>100 for middle-income families-</w:t>
      </w:r>
      <w:r w:rsidRPr="006001BB">
        <w:rPr>
          <w:color w:val="000000"/>
          <w:lang w:val="en-US"/>
        </w:rPr>
        <w:t xml:space="preserve"> was comparable to 1989 levels.</w:t>
      </w:r>
    </w:p>
    <w:p w:rsidR="00844212" w:rsidRPr="006001BB" w:rsidRDefault="00844212" w:rsidP="00844212">
      <w:pPr>
        <w:pStyle w:val="NormalWeb"/>
        <w:spacing w:before="0" w:beforeAutospacing="0" w:after="0" w:afterAutospacing="0"/>
        <w:jc w:val="both"/>
        <w:textAlignment w:val="baseline"/>
        <w:rPr>
          <w:color w:val="000000"/>
          <w:lang w:val="en-US"/>
        </w:rPr>
      </w:pPr>
    </w:p>
    <w:p w:rsidR="00844212" w:rsidRPr="006001BB" w:rsidRDefault="00844212" w:rsidP="00844212">
      <w:pPr>
        <w:spacing w:line="240" w:lineRule="auto"/>
        <w:jc w:val="both"/>
        <w:textAlignment w:val="baseline"/>
        <w:rPr>
          <w:rFonts w:ascii="Times New Roman" w:hAnsi="Times New Roman" w:cs="Times New Roman"/>
          <w:color w:val="000000"/>
          <w:sz w:val="24"/>
          <w:szCs w:val="24"/>
        </w:rPr>
      </w:pPr>
      <w:r w:rsidRPr="006001BB">
        <w:rPr>
          <w:rFonts w:ascii="Times New Roman" w:hAnsi="Times New Roman" w:cs="Times New Roman"/>
          <w:noProof/>
          <w:color w:val="000000"/>
          <w:sz w:val="24"/>
          <w:szCs w:val="24"/>
          <w:lang w:eastAsia="es-ES"/>
        </w:rPr>
        <w:drawing>
          <wp:inline distT="0" distB="0" distL="0" distR="0" wp14:anchorId="4C4DFDA0" wp14:editId="6707D40A">
            <wp:extent cx="2952750" cy="3295650"/>
            <wp:effectExtent l="0" t="0" r="0" b="0"/>
            <wp:docPr id="224" name="Imagen 224" descr="http://www.pewresearch.org/wp-content/uploads/2017/11/FT_17.10.30_Wealth-Gap_highest_levels_recor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pewresearch.org/wp-content/uploads/2017/11/FT_17.10.30_Wealth-Gap_highest_levels_recorded.pn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952750" cy="3295650"/>
                    </a:xfrm>
                    <a:prstGeom prst="rect">
                      <a:avLst/>
                    </a:prstGeom>
                    <a:noFill/>
                    <a:ln>
                      <a:noFill/>
                    </a:ln>
                  </pic:spPr>
                </pic:pic>
              </a:graphicData>
            </a:graphic>
          </wp:inline>
        </w:drawing>
      </w:r>
    </w:p>
    <w:p w:rsidR="00844212" w:rsidRPr="008A2D54" w:rsidRDefault="00844212" w:rsidP="00844212">
      <w:pPr>
        <w:pStyle w:val="NormalWeb"/>
        <w:spacing w:before="0" w:beforeAutospacing="0" w:after="0" w:afterAutospacing="0"/>
        <w:jc w:val="both"/>
        <w:textAlignment w:val="baseline"/>
        <w:rPr>
          <w:color w:val="FF0000"/>
          <w:u w:val="single"/>
          <w:lang w:val="en-US"/>
        </w:rPr>
      </w:pPr>
      <w:r w:rsidRPr="008A2D54">
        <w:rPr>
          <w:color w:val="000000"/>
          <w:u w:val="single"/>
          <w:lang w:val="en-US"/>
        </w:rPr>
        <w:lastRenderedPageBreak/>
        <w:t>The experience of upper-income families is markedly different. Their losses in the recession were smaller and their recovery was stronger. By 2016, upper-income families had a median wealth of $</w:t>
      </w:r>
      <w:r w:rsidR="002F2FED">
        <w:rPr>
          <w:color w:val="000000"/>
          <w:u w:val="single"/>
          <w:lang w:val="en-US"/>
        </w:rPr>
        <w:t xml:space="preserve"> </w:t>
      </w:r>
      <w:r w:rsidRPr="008A2D54">
        <w:rPr>
          <w:color w:val="000000"/>
          <w:u w:val="single"/>
          <w:lang w:val="en-US"/>
        </w:rPr>
        <w:t xml:space="preserve">810,800, 10% more than prior to the recession in 2007. Moreover, the median wealth of upper-income families is at the highest level since the Federal Reserve started collecting these data in 1983. Consequently, </w:t>
      </w:r>
      <w:r w:rsidRPr="008A2D54">
        <w:rPr>
          <w:color w:val="FF0000"/>
          <w:u w:val="single"/>
          <w:lang w:val="en-US"/>
        </w:rPr>
        <w:t>the recession drove wealth inequality between upper-income families and lower- and middle-income families to the highest levels recorded. In 2016, the median wealth of upper-income families was seven times that of middle-income families, </w:t>
      </w:r>
      <w:hyperlink r:id="rId302" w:history="1">
        <w:r w:rsidRPr="008A2D54">
          <w:rPr>
            <w:rStyle w:val="Hipervnculo"/>
            <w:color w:val="FF0000"/>
            <w:bdr w:val="none" w:sz="0" w:space="0" w:color="auto" w:frame="1"/>
            <w:lang w:val="en-US"/>
          </w:rPr>
          <w:t>a ratio that has doubled since 1983</w:t>
        </w:r>
      </w:hyperlink>
      <w:r w:rsidRPr="008A2D54">
        <w:rPr>
          <w:color w:val="FF0000"/>
          <w:u w:val="single"/>
          <w:lang w:val="en-US"/>
        </w:rPr>
        <w:t>. Upper-income families also had 75 times the wealth of lower-income families in 2016, compared with 28 times the wealth in 1983.</w:t>
      </w:r>
    </w:p>
    <w:p w:rsidR="00844212" w:rsidRPr="006001BB" w:rsidRDefault="00844212" w:rsidP="00844212">
      <w:pPr>
        <w:pStyle w:val="NormalWeb"/>
        <w:spacing w:before="0" w:beforeAutospacing="0" w:after="0" w:afterAutospacing="0"/>
        <w:jc w:val="both"/>
        <w:textAlignment w:val="baseline"/>
        <w:rPr>
          <w:color w:val="000000"/>
          <w:lang w:val="en-US"/>
        </w:rPr>
      </w:pPr>
    </w:p>
    <w:p w:rsidR="00844212" w:rsidRPr="008A2D54" w:rsidRDefault="00844212" w:rsidP="00844212">
      <w:pPr>
        <w:pStyle w:val="NormalWeb"/>
        <w:spacing w:before="0" w:beforeAutospacing="0" w:after="0" w:afterAutospacing="0"/>
        <w:jc w:val="both"/>
        <w:textAlignment w:val="baseline"/>
        <w:rPr>
          <w:color w:val="000000"/>
          <w:lang w:val="en-US"/>
        </w:rPr>
      </w:pPr>
      <w:r w:rsidRPr="006001BB">
        <w:rPr>
          <w:b/>
          <w:bCs/>
          <w:color w:val="EC9F2E"/>
          <w:bdr w:val="none" w:sz="0" w:space="0" w:color="auto" w:frame="1"/>
          <w:lang w:val="en-US"/>
        </w:rPr>
        <w:t>6</w:t>
      </w:r>
      <w:r w:rsidRPr="006001BB">
        <w:rPr>
          <w:rStyle w:val="Textoennegrita"/>
          <w:rFonts w:eastAsiaTheme="majorEastAsia"/>
          <w:color w:val="000000"/>
          <w:bdr w:val="none" w:sz="0" w:space="0" w:color="auto" w:frame="1"/>
          <w:lang w:val="en-US"/>
        </w:rPr>
        <w:t>Upper-income white families have grown wealthier.</w:t>
      </w:r>
      <w:r w:rsidRPr="006001BB">
        <w:rPr>
          <w:color w:val="000000"/>
          <w:lang w:val="en-US"/>
        </w:rPr>
        <w:t> </w:t>
      </w:r>
      <w:r w:rsidRPr="008A2D54">
        <w:rPr>
          <w:color w:val="000000"/>
          <w:lang w:val="en-US"/>
        </w:rPr>
        <w:t>Among upper-income families, white households had a median net worth of $</w:t>
      </w:r>
      <w:r w:rsidR="00B82BCE">
        <w:rPr>
          <w:color w:val="000000"/>
          <w:lang w:val="en-US"/>
        </w:rPr>
        <w:t xml:space="preserve"> </w:t>
      </w:r>
      <w:r w:rsidRPr="008A2D54">
        <w:rPr>
          <w:color w:val="000000"/>
          <w:lang w:val="en-US"/>
        </w:rPr>
        <w:t>971,500 in 2016, notably higher than the overall median for this income tier. Moreover, the median wealth of upper-income white families in 2016 was 25% greater than its pre-recession level, an increase greater than for all upper-income families combined.</w:t>
      </w:r>
    </w:p>
    <w:p w:rsidR="00844212" w:rsidRPr="008A2D54" w:rsidRDefault="00844212" w:rsidP="00844212">
      <w:pPr>
        <w:pStyle w:val="NormalWeb"/>
        <w:spacing w:before="0" w:beforeAutospacing="0" w:after="0" w:afterAutospacing="0"/>
        <w:jc w:val="both"/>
        <w:textAlignment w:val="baseline"/>
        <w:rPr>
          <w:color w:val="000000"/>
          <w:u w:val="single"/>
          <w:lang w:val="en-US"/>
        </w:rPr>
      </w:pPr>
    </w:p>
    <w:p w:rsidR="00844212" w:rsidRPr="006001BB" w:rsidRDefault="00844212" w:rsidP="00844212">
      <w:pPr>
        <w:pStyle w:val="NormalWeb"/>
        <w:spacing w:before="0" w:beforeAutospacing="0" w:after="300" w:afterAutospacing="0"/>
        <w:jc w:val="both"/>
        <w:textAlignment w:val="baseline"/>
        <w:rPr>
          <w:color w:val="000000"/>
          <w:lang w:val="en-US"/>
        </w:rPr>
      </w:pPr>
      <w:r w:rsidRPr="006001BB">
        <w:rPr>
          <w:color w:val="000000"/>
          <w:lang w:val="en-US"/>
        </w:rPr>
        <w:t>There is also a growing separation in wealth among white households by income tier. In 2016, upper-income white families had six times as much wealth as middle-income white families, compared with four times as much prior to the recession. Upper-income white families also had 42 times the wealth of lower-income white families in 2016, compared with 18 times the wealth in 2007.</w:t>
      </w:r>
    </w:p>
    <w:p w:rsidR="00844212" w:rsidRPr="00B82BCE" w:rsidRDefault="00844212" w:rsidP="00844212">
      <w:pPr>
        <w:pStyle w:val="NormalWeb"/>
        <w:spacing w:before="0" w:beforeAutospacing="0" w:after="0" w:afterAutospacing="0"/>
        <w:jc w:val="both"/>
        <w:textAlignment w:val="baseline"/>
        <w:rPr>
          <w:lang w:val="en-US"/>
        </w:rPr>
      </w:pPr>
      <w:r w:rsidRPr="00B82BCE">
        <w:rPr>
          <w:lang w:val="en-US"/>
        </w:rPr>
        <w:t>Overall, the state of wealth inequality by race, ethnicity and income level helps explain why </w:t>
      </w:r>
      <w:hyperlink r:id="rId303" w:history="1">
        <w:r w:rsidRPr="00B82BCE">
          <w:rPr>
            <w:rStyle w:val="Hipervnculo"/>
            <w:color w:val="auto"/>
            <w:u w:val="none"/>
            <w:bdr w:val="none" w:sz="0" w:space="0" w:color="auto" w:frame="1"/>
            <w:lang w:val="en-US"/>
          </w:rPr>
          <w:t>Americans say by a margin of two-to-one</w:t>
        </w:r>
      </w:hyperlink>
      <w:r w:rsidRPr="00B82BCE">
        <w:rPr>
          <w:lang w:val="en-US"/>
        </w:rPr>
        <w:t> that the economic system in this country unfairly favors powerful interests. The same Pew Research Center survey also finds a racial and ethnic divide on how Americans view economic inequality: Blacks (65%) and Hispanics (55%) are more likely than whites (42%) to see economic inequality as a very big problem in the country. About one-in-five or fewer whites, blacks or Hispanics view economic inequality as either a small problem or not a problem.</w:t>
      </w:r>
    </w:p>
    <w:p w:rsidR="00844212" w:rsidRPr="00B82BCE" w:rsidRDefault="00844212" w:rsidP="00844212">
      <w:pPr>
        <w:pStyle w:val="NormalWeb"/>
        <w:spacing w:before="0" w:beforeAutospacing="0" w:after="0" w:afterAutospacing="0"/>
        <w:jc w:val="both"/>
        <w:textAlignment w:val="baseline"/>
        <w:rPr>
          <w:lang w:val="en-US"/>
        </w:rPr>
      </w:pPr>
    </w:p>
    <w:p w:rsidR="00844212" w:rsidRPr="00B82BCE" w:rsidRDefault="00844212" w:rsidP="00844212">
      <w:pPr>
        <w:pStyle w:val="NormalWeb"/>
        <w:spacing w:before="0" w:beforeAutospacing="0" w:after="0" w:afterAutospacing="0"/>
        <w:jc w:val="both"/>
        <w:textAlignment w:val="baseline"/>
        <w:rPr>
          <w:iCs/>
          <w:lang w:val="en-US"/>
        </w:rPr>
      </w:pPr>
      <w:r w:rsidRPr="00B82BCE">
        <w:rPr>
          <w:iCs/>
          <w:lang w:val="en-US"/>
        </w:rPr>
        <w:t>(</w:t>
      </w:r>
      <w:hyperlink r:id="rId304" w:history="1">
        <w:r w:rsidRPr="00B82BCE">
          <w:rPr>
            <w:rStyle w:val="Hipervnculo"/>
            <w:color w:val="auto"/>
            <w:u w:val="none"/>
            <w:bdr w:val="none" w:sz="0" w:space="0" w:color="auto" w:frame="1"/>
            <w:lang w:val="en-US"/>
          </w:rPr>
          <w:t>Rakesh Kochhar</w:t>
        </w:r>
      </w:hyperlink>
      <w:r w:rsidRPr="00B82BCE">
        <w:rPr>
          <w:iCs/>
          <w:lang w:val="en-US"/>
        </w:rPr>
        <w:t xml:space="preserve"> is an associate director of research at Pew Research Center - </w:t>
      </w:r>
      <w:hyperlink r:id="rId305" w:history="1">
        <w:r w:rsidRPr="00B82BCE">
          <w:rPr>
            <w:rStyle w:val="Hipervnculo"/>
            <w:color w:val="auto"/>
            <w:u w:val="none"/>
            <w:bdr w:val="none" w:sz="0" w:space="0" w:color="auto" w:frame="1"/>
            <w:lang w:val="en-US"/>
          </w:rPr>
          <w:t>Anthony Cilluffo</w:t>
        </w:r>
      </w:hyperlink>
      <w:r w:rsidRPr="00B82BCE">
        <w:rPr>
          <w:iCs/>
          <w:lang w:val="en-US"/>
        </w:rPr>
        <w:t> is a research assistant focusing on social and demographic trends at Pew Research Center)</w:t>
      </w:r>
    </w:p>
    <w:p w:rsidR="00844212" w:rsidRPr="00CC52B4"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844212" w:rsidRPr="00980B0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2E1EF3">
        <w:rPr>
          <w:rFonts w:ascii="Times New Roman" w:eastAsia="Times New Roman" w:hAnsi="Times New Roman" w:cs="Times New Roman"/>
          <w:sz w:val="24"/>
          <w:szCs w:val="24"/>
          <w:u w:val="single"/>
        </w:rPr>
        <w:t>Los ingresos de la clase media de EEUU alcanzaron su nivel más alto en 2016</w:t>
      </w:r>
      <w:r>
        <w:rPr>
          <w:rFonts w:ascii="Times New Roman" w:eastAsia="Times New Roman" w:hAnsi="Times New Roman" w:cs="Times New Roman"/>
          <w:sz w:val="24"/>
          <w:szCs w:val="24"/>
        </w:rPr>
        <w:t xml:space="preserve"> (infobae.com - The Washington Post - </w:t>
      </w:r>
      <w:r w:rsidRPr="002E1EF3">
        <w:rPr>
          <w:rFonts w:ascii="Times New Roman" w:eastAsia="Times New Roman" w:hAnsi="Times New Roman" w:cs="Times New Roman"/>
          <w:b/>
          <w:sz w:val="24"/>
          <w:szCs w:val="24"/>
        </w:rPr>
        <w:t>18/1/18</w:t>
      </w:r>
      <w:r>
        <w:rPr>
          <w:rFonts w:ascii="Times New Roman" w:eastAsia="Times New Roman" w:hAnsi="Times New Roman" w:cs="Times New Roman"/>
          <w:sz w:val="24"/>
          <w:szCs w:val="24"/>
        </w:rPr>
        <w:t>)</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980B03">
        <w:rPr>
          <w:rFonts w:ascii="Times New Roman" w:eastAsia="Times New Roman" w:hAnsi="Times New Roman" w:cs="Times New Roman"/>
          <w:sz w:val="24"/>
          <w:szCs w:val="24"/>
        </w:rPr>
        <w:t>Por Heather Long</w:t>
      </w:r>
      <w:r>
        <w:rPr>
          <w:rFonts w:ascii="Times New Roman" w:eastAsia="Times New Roman" w:hAnsi="Times New Roman" w:cs="Times New Roman"/>
          <w:sz w:val="24"/>
          <w:szCs w:val="24"/>
        </w:rPr>
        <w:t>)</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clase media de Estados Unidos registró su índice económico más alto en 2016, según ha informado la Oficina del Censo de ese país.</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ingreso promedio de los hogares en Estados Unidos fue de USD 59,039 el año pasado, superando el máximo anterior de USD 58,655 establecido en 1999, de acuerdo a los datos facilitados por la oficina gubernamental. La cifra se ajusta a la inflación y es uno de los indicadores más claros que explican cómo la clase media se está moviendo económicamente, ya qu</w:t>
      </w:r>
      <w:r w:rsidR="00B82BCE">
        <w:rPr>
          <w:rFonts w:ascii="Times New Roman" w:eastAsia="Times New Roman" w:hAnsi="Times New Roman" w:cs="Times New Roman"/>
          <w:sz w:val="24"/>
          <w:szCs w:val="24"/>
        </w:rPr>
        <w:t>e el Censo examina cerca de 100.</w:t>
      </w:r>
      <w:r w:rsidRPr="002E1EF3">
        <w:rPr>
          <w:rFonts w:ascii="Times New Roman" w:eastAsia="Times New Roman" w:hAnsi="Times New Roman" w:cs="Times New Roman"/>
          <w:sz w:val="24"/>
          <w:szCs w:val="24"/>
        </w:rPr>
        <w:t>000 hogares.</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oficina señala que el repunte de las ganancias se produjo porque much</w:t>
      </w:r>
      <w:r>
        <w:rPr>
          <w:rFonts w:ascii="Times New Roman" w:eastAsia="Times New Roman" w:hAnsi="Times New Roman" w:cs="Times New Roman"/>
          <w:sz w:val="24"/>
          <w:szCs w:val="24"/>
        </w:rPr>
        <w:t>as personas encontraron trabajo</w:t>
      </w:r>
      <w:r w:rsidRPr="002E1EF3">
        <w:rPr>
          <w:rFonts w:ascii="Times New Roman" w:eastAsia="Times New Roman" w:hAnsi="Times New Roman" w:cs="Times New Roman"/>
          <w:sz w:val="24"/>
          <w:szCs w:val="24"/>
        </w:rPr>
        <w:t xml:space="preserve"> a tiempo completo o empleos mejor pagados durante el anteaño pasado.</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lastRenderedPageBreak/>
        <w:t>La tasa de pobreza de Estados Unidos también cayó al 12.7 por ciento, la tasa más baja desde 2007, justo el año anterior a la crisis financiera. El porcentaje de estadounidenses sin seguro médico también disminuyó el año pasado a solo el 8.8 por ciento, en gran parte gracias a la expansión de la cobertura del Obamacare.</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Los economistas remarcaron que esos datos evidenciaban que la recuperación finalmente se había apoderado del escenario económico después de varios años de frustración para la clase media al tiempo que veían cómo el mercado de valores se disparaba, aunque sus ingresos apenas se movían. Donald Trump aprovechó esta ira en la campaña presidencial de 2016 diciendo, muy a menudo, que las personas no tenían una situación económica mejor a la del 2000.</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8A2D54">
        <w:rPr>
          <w:rFonts w:ascii="Times New Roman" w:eastAsia="Times New Roman" w:hAnsi="Times New Roman" w:cs="Times New Roman"/>
          <w:color w:val="FF0000"/>
          <w:sz w:val="24"/>
          <w:szCs w:val="24"/>
          <w:u w:val="single"/>
        </w:rPr>
        <w:t>“La lenta recuperación y expansión desde el 2000, combinada con el daño causado por la Gran Recesión, ha llevado a casi dos décadas de crecimiento de ingresos perdidos para los hogares estadounidenses medios”, comenta el economista Elise Gould que trabaja en el Instituto de Política Económica</w:t>
      </w:r>
      <w:r w:rsidRPr="002E1EF3">
        <w:rPr>
          <w:rFonts w:ascii="Times New Roman" w:eastAsia="Times New Roman" w:hAnsi="Times New Roman" w:cs="Times New Roman"/>
          <w:sz w:val="24"/>
          <w:szCs w:val="24"/>
        </w:rPr>
        <w:t>.</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Casi todos los grupos demográficos vieron un aumento en los ingresos, según funcionarios del Censo que analizaron los datos del anteaño pasado. Sin embargo, advirtieron que la oficina cambió su metodología en 2014, por lo que dudan en afirmar categóricamente que ese es el promedio más alto de toda la historia. Pese a eso, reconocen que ha habido un crecimiento muy fuerte en los últimos dos años.</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Julian West de Phoenix (Arizona) es un buen ejemplo de alguien cuya vida mejoró drásticamente durante el 2016. En la época de recuperación, los únicos trabajos que pudo encontrar no tenían mucho futuro. Trabajaba por USD 7,25 la hora (el salario mínimo de su estado) y lo hacía lavando carros y trabajando en tiendas como Dollar Tree.</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E1EF3">
        <w:rPr>
          <w:rFonts w:ascii="Times New Roman" w:eastAsia="Times New Roman" w:hAnsi="Times New Roman" w:cs="Times New Roman"/>
          <w:sz w:val="24"/>
          <w:szCs w:val="24"/>
        </w:rPr>
        <w:t>Realmente estaba</w:t>
      </w:r>
      <w:r>
        <w:rPr>
          <w:rFonts w:ascii="Times New Roman" w:eastAsia="Times New Roman" w:hAnsi="Times New Roman" w:cs="Times New Roman"/>
          <w:sz w:val="24"/>
          <w:szCs w:val="24"/>
        </w:rPr>
        <w:t xml:space="preserve"> luchando contra esta situación”</w:t>
      </w:r>
      <w:r w:rsidRPr="002E1EF3">
        <w:rPr>
          <w:rFonts w:ascii="Times New Roman" w:eastAsia="Times New Roman" w:hAnsi="Times New Roman" w:cs="Times New Roman"/>
          <w:sz w:val="24"/>
          <w:szCs w:val="24"/>
        </w:rPr>
        <w:t>, comenta West, que se vio obligado a regresar con sus padres.</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2016 fue a una agencia temporal en Phoenix y consiguió un empleo que le pagaba USD 18 la hora. No duró, pero la persona que lo reclutó lo volvió a llamar para ocupar el puesto de trabajo supervisando los pagos de los préstamos para automóviles y los embargos bancarios de BT &amp; T. Ahí gana USD 16 por hora. Trabaja a tiempo completo y, a menudo, obtiene varias horas extras, lo que aumenta considerablemente su paga semanal.</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E1EF3">
        <w:rPr>
          <w:rFonts w:ascii="Times New Roman" w:eastAsia="Times New Roman" w:hAnsi="Times New Roman" w:cs="Times New Roman"/>
          <w:sz w:val="24"/>
          <w:szCs w:val="24"/>
        </w:rPr>
        <w:t>Poco a poco estoy a</w:t>
      </w:r>
      <w:r>
        <w:rPr>
          <w:rFonts w:ascii="Times New Roman" w:eastAsia="Times New Roman" w:hAnsi="Times New Roman" w:cs="Times New Roman"/>
          <w:sz w:val="24"/>
          <w:szCs w:val="24"/>
        </w:rPr>
        <w:t>horrando y pagando mis facturas”</w:t>
      </w:r>
      <w:r w:rsidRPr="002E1EF3">
        <w:rPr>
          <w:rFonts w:ascii="Times New Roman" w:eastAsia="Times New Roman" w:hAnsi="Times New Roman" w:cs="Times New Roman"/>
          <w:sz w:val="24"/>
          <w:szCs w:val="24"/>
        </w:rPr>
        <w:t>, comenta West, que ahora tiene 44 años. Se mudó a un pequeño estudio y está en camino de ganar más de USD 35,000. Esa cifra es menor que la media nacional, pero es una cantidad sustancial si lo comparamos con el salario mínimo.</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West agradece al presidente Obama por ayudar a cambiar la economía y escuchar a los trabajadores como él. No votó por el presidente Trump, pero dice que tiene la esperanza de que alguien rico y exitoso pueda mantener el país en el buen camino.</w:t>
      </w:r>
    </w:p>
    <w:p w:rsidR="00844212" w:rsidRPr="002E1EF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E1EF3">
        <w:rPr>
          <w:rFonts w:ascii="Times New Roman" w:eastAsia="Times New Roman" w:hAnsi="Times New Roman" w:cs="Times New Roman"/>
          <w:sz w:val="24"/>
          <w:szCs w:val="24"/>
        </w:rPr>
        <w:t>Volveré a ser clase media otra vez</w:t>
      </w:r>
      <w:r>
        <w:rPr>
          <w:rFonts w:ascii="Times New Roman" w:eastAsia="Times New Roman" w:hAnsi="Times New Roman" w:cs="Times New Roman"/>
          <w:sz w:val="24"/>
          <w:szCs w:val="24"/>
        </w:rPr>
        <w:t xml:space="preserve"> si mantengo mis gastos pagados”</w:t>
      </w:r>
      <w:r w:rsidRPr="002E1EF3">
        <w:rPr>
          <w:rFonts w:ascii="Times New Roman" w:eastAsia="Times New Roman" w:hAnsi="Times New Roman" w:cs="Times New Roman"/>
          <w:sz w:val="24"/>
          <w:szCs w:val="24"/>
        </w:rPr>
        <w:t xml:space="preserve"> dice convencido.</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E96CD0"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6001BB"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lastRenderedPageBreak/>
        <w:t xml:space="preserve">- </w:t>
      </w:r>
      <w:r w:rsidRPr="004F33BD">
        <w:rPr>
          <w:rFonts w:ascii="Times New Roman" w:eastAsia="Times New Roman" w:hAnsi="Times New Roman" w:cs="Times New Roman"/>
          <w:sz w:val="24"/>
          <w:szCs w:val="24"/>
          <w:u w:val="single"/>
          <w:lang w:val="en-US"/>
        </w:rPr>
        <w:t>The American middle class is stable in size, but losing ground financially to upper-income families</w:t>
      </w:r>
      <w:r>
        <w:rPr>
          <w:rFonts w:ascii="Times New Roman" w:eastAsia="Times New Roman" w:hAnsi="Times New Roman" w:cs="Times New Roman"/>
          <w:sz w:val="24"/>
          <w:szCs w:val="24"/>
          <w:lang w:val="en-US"/>
        </w:rPr>
        <w:t xml:space="preserve"> (Pew Research Center - </w:t>
      </w:r>
      <w:r w:rsidRPr="004F33BD">
        <w:rPr>
          <w:rFonts w:ascii="Times New Roman" w:eastAsia="Times New Roman" w:hAnsi="Times New Roman" w:cs="Times New Roman"/>
          <w:b/>
          <w:sz w:val="24"/>
          <w:szCs w:val="24"/>
          <w:lang w:val="en-US"/>
        </w:rPr>
        <w:t>6/9/18</w:t>
      </w:r>
      <w:r>
        <w:rPr>
          <w:rFonts w:ascii="Times New Roman" w:eastAsia="Times New Roman" w:hAnsi="Times New Roman" w:cs="Times New Roman"/>
          <w:sz w:val="24"/>
          <w:szCs w:val="24"/>
          <w:lang w:val="en-US"/>
        </w:rPr>
        <w:t>)</w:t>
      </w:r>
    </w:p>
    <w:p w:rsidR="00844212" w:rsidRPr="006001BB"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844212" w:rsidRPr="006001BB"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6001BB">
        <w:rPr>
          <w:rFonts w:ascii="Times New Roman" w:eastAsia="Times New Roman" w:hAnsi="Times New Roman" w:cs="Times New Roman"/>
          <w:sz w:val="24"/>
          <w:szCs w:val="24"/>
          <w:lang w:val="en-US"/>
        </w:rPr>
        <w:t>(By Rakesh Kochhar)</w:t>
      </w:r>
    </w:p>
    <w:p w:rsidR="00844212" w:rsidRPr="006001BB"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lang w:val="en-US"/>
        </w:rPr>
      </w:pPr>
    </w:p>
    <w:p w:rsidR="00844212" w:rsidRPr="0083240E" w:rsidRDefault="00844212" w:rsidP="00844212">
      <w:pPr>
        <w:pStyle w:val="NormalWeb"/>
        <w:spacing w:before="0" w:beforeAutospacing="0" w:after="300" w:afterAutospacing="0"/>
        <w:jc w:val="both"/>
        <w:textAlignment w:val="baseline"/>
        <w:rPr>
          <w:color w:val="000000"/>
          <w:u w:val="single"/>
          <w:lang w:val="en-US"/>
        </w:rPr>
      </w:pPr>
      <w:r w:rsidRPr="0083240E">
        <w:rPr>
          <w:color w:val="000000"/>
          <w:u w:val="single"/>
          <w:lang w:val="en-US"/>
        </w:rPr>
        <w:t>About half (52%) of American adults lived in middle-class households in 2016. This is virtually unchanged from the 51% who were middle class in 2011. But while the size of the nation’s middle class remained relatively stable, financial gains for middle-income Americans during this period were modest compared with those of higher-income households, causing the income disparity between the groups to grow.</w:t>
      </w:r>
    </w:p>
    <w:p w:rsidR="00844212" w:rsidRPr="0083240E" w:rsidRDefault="00844212" w:rsidP="00844212">
      <w:pPr>
        <w:pStyle w:val="NormalWeb"/>
        <w:spacing w:before="0" w:beforeAutospacing="0" w:after="300" w:afterAutospacing="0"/>
        <w:jc w:val="both"/>
        <w:textAlignment w:val="baseline"/>
        <w:rPr>
          <w:color w:val="FF0000"/>
          <w:u w:val="single"/>
          <w:lang w:val="en-US"/>
        </w:rPr>
      </w:pPr>
      <w:r w:rsidRPr="0083240E">
        <w:rPr>
          <w:color w:val="FF0000"/>
          <w:u w:val="single"/>
          <w:lang w:val="en-US"/>
        </w:rPr>
        <w:t>The recent stability in the share of adults living in middle-income households marks a shift from a decades-long downward trend. From 1971 to 2011, the share of adults in the middle class fell by 10 percentage points. But that shift was not all down the economic ladder. Indeed, the increase in the share of adults who are upper income was greater than the increase in the share who are lower income over that period, a sign of economic progress overall.</w:t>
      </w:r>
    </w:p>
    <w:p w:rsidR="00844212" w:rsidRPr="006001BB" w:rsidRDefault="00844212" w:rsidP="00844212">
      <w:pPr>
        <w:pStyle w:val="byline"/>
        <w:spacing w:before="0" w:beforeAutospacing="0" w:after="0" w:afterAutospacing="0"/>
        <w:jc w:val="both"/>
        <w:textAlignment w:val="baseline"/>
        <w:rPr>
          <w:b/>
          <w:bCs/>
          <w:caps/>
          <w:color w:val="000000"/>
          <w:lang w:val="en-US"/>
        </w:rPr>
      </w:pPr>
    </w:p>
    <w:p w:rsidR="00844212" w:rsidRPr="006001BB" w:rsidRDefault="00844212" w:rsidP="00844212">
      <w:pPr>
        <w:spacing w:line="240" w:lineRule="auto"/>
        <w:jc w:val="both"/>
        <w:textAlignment w:val="baseline"/>
        <w:rPr>
          <w:rFonts w:ascii="Times New Roman" w:hAnsi="Times New Roman" w:cs="Times New Roman"/>
          <w:color w:val="000000"/>
          <w:sz w:val="24"/>
          <w:szCs w:val="24"/>
        </w:rPr>
      </w:pPr>
      <w:r w:rsidRPr="006001BB">
        <w:rPr>
          <w:rFonts w:ascii="Times New Roman" w:hAnsi="Times New Roman" w:cs="Times New Roman"/>
          <w:noProof/>
          <w:color w:val="000000"/>
          <w:sz w:val="24"/>
          <w:szCs w:val="24"/>
          <w:lang w:eastAsia="es-ES"/>
        </w:rPr>
        <w:drawing>
          <wp:inline distT="0" distB="0" distL="0" distR="0" wp14:anchorId="325E7992" wp14:editId="6D6AAC21">
            <wp:extent cx="2952750" cy="4660900"/>
            <wp:effectExtent l="0" t="0" r="0" b="6350"/>
            <wp:docPr id="225" name="Imagen 225" descr="Share of adults living in middle-income households is unchanged sinc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re of adults living in middle-income households is unchanged since 20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52750" cy="4660900"/>
                    </a:xfrm>
                    <a:prstGeom prst="rect">
                      <a:avLst/>
                    </a:prstGeom>
                    <a:noFill/>
                    <a:ln>
                      <a:noFill/>
                    </a:ln>
                  </pic:spPr>
                </pic:pic>
              </a:graphicData>
            </a:graphic>
          </wp:inline>
        </w:drawing>
      </w:r>
    </w:p>
    <w:p w:rsidR="00844212" w:rsidRPr="0083240E" w:rsidRDefault="00844212" w:rsidP="00844212">
      <w:pPr>
        <w:pStyle w:val="NormalWeb"/>
        <w:spacing w:before="0" w:beforeAutospacing="0" w:after="300" w:afterAutospacing="0"/>
        <w:jc w:val="both"/>
        <w:textAlignment w:val="baseline"/>
        <w:rPr>
          <w:color w:val="000000"/>
          <w:u w:val="single"/>
          <w:lang w:val="en-US"/>
        </w:rPr>
      </w:pPr>
      <w:r w:rsidRPr="0083240E">
        <w:rPr>
          <w:color w:val="000000"/>
          <w:u w:val="single"/>
          <w:lang w:val="en-US"/>
        </w:rPr>
        <w:t>Financially, middle-class households in the U.S. were better off in 2016 than in 2010. The median income of middle-class households increased from $</w:t>
      </w:r>
      <w:r w:rsidR="00B82BCE">
        <w:rPr>
          <w:color w:val="000000"/>
          <w:u w:val="single"/>
          <w:lang w:val="en-US"/>
        </w:rPr>
        <w:t xml:space="preserve"> </w:t>
      </w:r>
      <w:r w:rsidRPr="0083240E">
        <w:rPr>
          <w:color w:val="000000"/>
          <w:u w:val="single"/>
          <w:lang w:val="en-US"/>
        </w:rPr>
        <w:t>74,015 in 2010 to $</w:t>
      </w:r>
      <w:r w:rsidR="00B82BCE">
        <w:rPr>
          <w:color w:val="000000"/>
          <w:u w:val="single"/>
          <w:lang w:val="en-US"/>
        </w:rPr>
        <w:t xml:space="preserve"> </w:t>
      </w:r>
      <w:r w:rsidRPr="0083240E">
        <w:rPr>
          <w:color w:val="000000"/>
          <w:u w:val="single"/>
          <w:lang w:val="en-US"/>
        </w:rPr>
        <w:t>78,442 in 2016, by 6%. Upper-income households (where 19% of American adults live) fared better than the middle class, as their median income increased from $</w:t>
      </w:r>
      <w:r w:rsidR="00B82BCE">
        <w:rPr>
          <w:color w:val="000000"/>
          <w:u w:val="single"/>
          <w:lang w:val="en-US"/>
        </w:rPr>
        <w:t xml:space="preserve"> </w:t>
      </w:r>
      <w:r w:rsidRPr="0083240E">
        <w:rPr>
          <w:color w:val="000000"/>
          <w:u w:val="single"/>
          <w:lang w:val="en-US"/>
        </w:rPr>
        <w:t>172,152 to $</w:t>
      </w:r>
      <w:r w:rsidR="00B82BCE">
        <w:rPr>
          <w:color w:val="000000"/>
          <w:u w:val="single"/>
          <w:lang w:val="en-US"/>
        </w:rPr>
        <w:t xml:space="preserve"> </w:t>
      </w:r>
      <w:r w:rsidRPr="0083240E">
        <w:rPr>
          <w:color w:val="000000"/>
          <w:u w:val="single"/>
          <w:lang w:val="en-US"/>
        </w:rPr>
        <w:t xml:space="preserve">187,872, a gain of 9% over this period. Lower-income households (29% of adults) experienced an income </w:t>
      </w:r>
      <w:r w:rsidRPr="0083240E">
        <w:rPr>
          <w:color w:val="000000"/>
          <w:u w:val="single"/>
          <w:lang w:val="en-US"/>
        </w:rPr>
        <w:lastRenderedPageBreak/>
        <w:t>gain of 5%, about the same as the middle class. (Incomes are adjusted for household size, scaled to reflect three-person households, and expressed in 2016 dollars.)</w:t>
      </w:r>
    </w:p>
    <w:p w:rsidR="00844212" w:rsidRPr="0083240E" w:rsidRDefault="00844212" w:rsidP="00844212">
      <w:pPr>
        <w:pStyle w:val="NormalWeb"/>
        <w:spacing w:before="0" w:beforeAutospacing="0" w:after="300" w:afterAutospacing="0"/>
        <w:jc w:val="both"/>
        <w:textAlignment w:val="baseline"/>
        <w:rPr>
          <w:color w:val="000000"/>
          <w:u w:val="single"/>
          <w:lang w:val="en-US"/>
        </w:rPr>
      </w:pPr>
      <w:r w:rsidRPr="0083240E">
        <w:rPr>
          <w:color w:val="000000"/>
          <w:u w:val="single"/>
          <w:lang w:val="en-US"/>
        </w:rPr>
        <w:t>But, recent gains notwithstanding, the median income of middle-class households in 2016 was about the same as in 2000, a reflection of the lingering effects of the Great Recession and an earlier recession in 2001. The median income of lower-income households in 2016 ($</w:t>
      </w:r>
      <w:r w:rsidR="00B82BCE">
        <w:rPr>
          <w:color w:val="000000"/>
          <w:u w:val="single"/>
          <w:lang w:val="en-US"/>
        </w:rPr>
        <w:t xml:space="preserve"> </w:t>
      </w:r>
      <w:r w:rsidRPr="0083240E">
        <w:rPr>
          <w:color w:val="000000"/>
          <w:u w:val="single"/>
          <w:lang w:val="en-US"/>
        </w:rPr>
        <w:t>25,624) was less than in 2000 ($</w:t>
      </w:r>
      <w:r w:rsidR="00B82BCE">
        <w:rPr>
          <w:color w:val="000000"/>
          <w:u w:val="single"/>
          <w:lang w:val="en-US"/>
        </w:rPr>
        <w:t xml:space="preserve"> </w:t>
      </w:r>
      <w:r w:rsidRPr="0083240E">
        <w:rPr>
          <w:color w:val="000000"/>
          <w:u w:val="single"/>
          <w:lang w:val="en-US"/>
        </w:rPr>
        <w:t>26,923). Only the incomes of upper-income households increased from 2000 to 2016, from $</w:t>
      </w:r>
      <w:r w:rsidR="00B82BCE">
        <w:rPr>
          <w:color w:val="000000"/>
          <w:u w:val="single"/>
          <w:lang w:val="en-US"/>
        </w:rPr>
        <w:t xml:space="preserve"> </w:t>
      </w:r>
      <w:r w:rsidRPr="0083240E">
        <w:rPr>
          <w:color w:val="000000"/>
          <w:u w:val="single"/>
          <w:lang w:val="en-US"/>
        </w:rPr>
        <w:t>183,680 to $</w:t>
      </w:r>
      <w:r w:rsidR="00B82BCE">
        <w:rPr>
          <w:color w:val="000000"/>
          <w:u w:val="single"/>
          <w:lang w:val="en-US"/>
        </w:rPr>
        <w:t xml:space="preserve"> </w:t>
      </w:r>
      <w:r w:rsidRPr="0083240E">
        <w:rPr>
          <w:color w:val="000000"/>
          <w:u w:val="single"/>
          <w:lang w:val="en-US"/>
        </w:rPr>
        <w:t>187,872.</w:t>
      </w:r>
    </w:p>
    <w:p w:rsidR="00844212" w:rsidRPr="0083240E" w:rsidRDefault="00844212" w:rsidP="00844212">
      <w:pPr>
        <w:pStyle w:val="NormalWeb"/>
        <w:spacing w:before="0" w:beforeAutospacing="0" w:after="0" w:afterAutospacing="0"/>
        <w:jc w:val="both"/>
        <w:textAlignment w:val="baseline"/>
        <w:rPr>
          <w:color w:val="FF0000"/>
          <w:u w:val="single"/>
          <w:lang w:val="en-US"/>
        </w:rPr>
      </w:pPr>
      <w:r w:rsidRPr="006001BB">
        <w:rPr>
          <w:color w:val="000000"/>
          <w:lang w:val="en-US"/>
        </w:rPr>
        <w:t xml:space="preserve">The widening income gap between upper-income households and middle- and lower-income households this century is the continuation of a decades-long trend. </w:t>
      </w:r>
      <w:r w:rsidRPr="0083240E">
        <w:rPr>
          <w:color w:val="FF0000"/>
          <w:u w:val="single"/>
          <w:lang w:val="en-US"/>
        </w:rPr>
        <w:t>In 1970, the first year covered by </w:t>
      </w:r>
      <w:hyperlink r:id="rId306" w:history="1">
        <w:r w:rsidRPr="0083240E">
          <w:rPr>
            <w:rStyle w:val="Hipervnculo"/>
            <w:color w:val="FF0000"/>
            <w:bdr w:val="none" w:sz="0" w:space="0" w:color="auto" w:frame="1"/>
            <w:lang w:val="en-US"/>
          </w:rPr>
          <w:t>earlier Pew Research Center analyses</w:t>
        </w:r>
      </w:hyperlink>
      <w:r w:rsidRPr="0083240E">
        <w:rPr>
          <w:color w:val="FF0000"/>
          <w:u w:val="single"/>
          <w:lang w:val="en-US"/>
        </w:rPr>
        <w:t>, the median income of upper-income households was 2.2 times the income of middle-income households and 6.3 times the income of lower-income households. These income ratios increased to 2.4 and 7.3 in 2016, respectively.</w:t>
      </w:r>
    </w:p>
    <w:p w:rsidR="00844212" w:rsidRPr="0083240E" w:rsidRDefault="00844212" w:rsidP="00844212">
      <w:pPr>
        <w:spacing w:line="240" w:lineRule="auto"/>
        <w:jc w:val="both"/>
        <w:textAlignment w:val="baseline"/>
        <w:rPr>
          <w:rFonts w:ascii="Times New Roman" w:hAnsi="Times New Roman" w:cs="Times New Roman"/>
          <w:color w:val="FF0000"/>
          <w:sz w:val="24"/>
          <w:szCs w:val="24"/>
          <w:u w:val="single"/>
        </w:rPr>
      </w:pPr>
    </w:p>
    <w:p w:rsidR="00844212" w:rsidRPr="006001BB" w:rsidRDefault="00844212" w:rsidP="00844212">
      <w:pPr>
        <w:pStyle w:val="NormalWeb"/>
        <w:spacing w:before="0" w:beforeAutospacing="0" w:after="300" w:afterAutospacing="0"/>
        <w:jc w:val="both"/>
        <w:textAlignment w:val="baseline"/>
        <w:rPr>
          <w:color w:val="000000"/>
          <w:lang w:val="en-US"/>
        </w:rPr>
      </w:pPr>
      <w:r w:rsidRPr="006001BB">
        <w:rPr>
          <w:noProof/>
          <w:color w:val="000000"/>
        </w:rPr>
        <w:drawing>
          <wp:inline distT="0" distB="0" distL="0" distR="0" wp14:anchorId="305A62E1" wp14:editId="16901301">
            <wp:extent cx="1905000" cy="5486400"/>
            <wp:effectExtent l="0" t="0" r="0" b="0"/>
            <wp:docPr id="226" name="Imagen 226" descr="Median income of the middle class in 2016 is about the same as in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dian income of the middle class in 2016 is about the same as in 200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905000" cy="5486400"/>
                    </a:xfrm>
                    <a:prstGeom prst="rect">
                      <a:avLst/>
                    </a:prstGeom>
                    <a:noFill/>
                    <a:ln>
                      <a:noFill/>
                    </a:ln>
                  </pic:spPr>
                </pic:pic>
              </a:graphicData>
            </a:graphic>
          </wp:inline>
        </w:drawing>
      </w:r>
    </w:p>
    <w:p w:rsidR="00844212" w:rsidRPr="0083240E" w:rsidRDefault="00844212" w:rsidP="00844212">
      <w:pPr>
        <w:pStyle w:val="NormalWeb"/>
        <w:spacing w:before="0" w:beforeAutospacing="0" w:after="0" w:afterAutospacing="0"/>
        <w:jc w:val="both"/>
        <w:textAlignment w:val="baseline"/>
        <w:rPr>
          <w:color w:val="FF0000"/>
          <w:u w:val="single"/>
          <w:lang w:val="en-US"/>
        </w:rPr>
      </w:pPr>
      <w:r w:rsidRPr="0083240E">
        <w:rPr>
          <w:color w:val="FF0000"/>
          <w:u w:val="single"/>
          <w:lang w:val="en-US"/>
        </w:rPr>
        <w:lastRenderedPageBreak/>
        <w:t>A recent Pew Research Center analysis also found that the </w:t>
      </w:r>
      <w:hyperlink r:id="rId307" w:history="1">
        <w:r w:rsidRPr="0083240E">
          <w:rPr>
            <w:rStyle w:val="Hipervnculo"/>
            <w:color w:val="FF0000"/>
            <w:bdr w:val="none" w:sz="0" w:space="0" w:color="auto" w:frame="1"/>
            <w:lang w:val="en-US"/>
          </w:rPr>
          <w:t>wealth gaps between upper-income families and lower- and middle-income families</w:t>
        </w:r>
      </w:hyperlink>
      <w:r w:rsidRPr="0083240E">
        <w:rPr>
          <w:color w:val="FF0000"/>
          <w:u w:val="single"/>
          <w:lang w:val="en-US"/>
        </w:rPr>
        <w:t> in 2016 were at the </w:t>
      </w:r>
      <w:hyperlink r:id="rId308" w:history="1">
        <w:r w:rsidRPr="0083240E">
          <w:rPr>
            <w:rStyle w:val="Hipervnculo"/>
            <w:color w:val="FF0000"/>
            <w:bdr w:val="none" w:sz="0" w:space="0" w:color="auto" w:frame="1"/>
            <w:lang w:val="en-US"/>
          </w:rPr>
          <w:t>highest levels recorded</w:t>
        </w:r>
      </w:hyperlink>
      <w:r w:rsidRPr="0083240E">
        <w:rPr>
          <w:color w:val="FF0000"/>
          <w:u w:val="single"/>
          <w:lang w:val="en-US"/>
        </w:rPr>
        <w:t>. Although the wealth of upper-income families has more than recovered from the losses experienced during the Great Recession, the wealth of lower- and middle-income families in 2016 was comparable to 1989 levels. Thus, even as the American middle class appears not to be shrinking (for now), it continues to fall further behind upper-income households financially, mirroring the long-running </w:t>
      </w:r>
      <w:hyperlink r:id="rId309" w:history="1">
        <w:r w:rsidRPr="0083240E">
          <w:rPr>
            <w:rStyle w:val="Hipervnculo"/>
            <w:color w:val="FF0000"/>
            <w:bdr w:val="none" w:sz="0" w:space="0" w:color="auto" w:frame="1"/>
            <w:lang w:val="en-US"/>
          </w:rPr>
          <w:t>rise in income inequality</w:t>
        </w:r>
      </w:hyperlink>
      <w:r w:rsidRPr="0083240E">
        <w:rPr>
          <w:color w:val="FF0000"/>
          <w:u w:val="single"/>
          <w:lang w:val="en-US"/>
        </w:rPr>
        <w:t> in the U.S. overall.</w:t>
      </w:r>
    </w:p>
    <w:p w:rsidR="00844212" w:rsidRPr="00CC52B4" w:rsidRDefault="00844212" w:rsidP="00844212">
      <w:pPr>
        <w:pStyle w:val="NormalWeb"/>
        <w:spacing w:before="0" w:beforeAutospacing="0" w:after="0" w:afterAutospacing="0"/>
        <w:jc w:val="both"/>
        <w:textAlignment w:val="baseline"/>
        <w:rPr>
          <w:lang w:val="en-US"/>
        </w:rPr>
      </w:pPr>
    </w:p>
    <w:p w:rsidR="00844212" w:rsidRPr="00B82BCE" w:rsidRDefault="00844212" w:rsidP="00844212">
      <w:pPr>
        <w:pStyle w:val="NormalWeb"/>
        <w:spacing w:before="0" w:beforeAutospacing="0" w:after="0" w:afterAutospacing="0"/>
        <w:jc w:val="both"/>
        <w:textAlignment w:val="baseline"/>
        <w:rPr>
          <w:u w:val="single"/>
          <w:lang w:val="en-US"/>
        </w:rPr>
      </w:pPr>
      <w:r w:rsidRPr="00B82BCE">
        <w:rPr>
          <w:u w:val="single"/>
          <w:lang w:val="en-US"/>
        </w:rPr>
        <w:t>The period from 2011 to 2016 encompasses much of the economic expansion following the Great Recession of 2007-09. But the recovery has been slow (the </w:t>
      </w:r>
      <w:hyperlink r:id="rId310" w:history="1">
        <w:r w:rsidRPr="00B82BCE">
          <w:rPr>
            <w:rStyle w:val="Hipervnculo"/>
            <w:color w:val="auto"/>
            <w:bdr w:val="none" w:sz="0" w:space="0" w:color="auto" w:frame="1"/>
            <w:lang w:val="en-US"/>
          </w:rPr>
          <w:t>slowest in modern times</w:t>
        </w:r>
      </w:hyperlink>
      <w:r w:rsidRPr="00B82BCE">
        <w:rPr>
          <w:u w:val="single"/>
          <w:lang w:val="en-US"/>
        </w:rPr>
        <w:t>) and that may help explain the lack of movement of adults into upper-income households during this period. The nation’s </w:t>
      </w:r>
      <w:hyperlink r:id="rId311" w:anchor="0" w:history="1">
        <w:r w:rsidRPr="00B82BCE">
          <w:rPr>
            <w:rStyle w:val="Hipervnculo"/>
            <w:color w:val="auto"/>
            <w:bdr w:val="none" w:sz="0" w:space="0" w:color="auto" w:frame="1"/>
            <w:lang w:val="en-US"/>
          </w:rPr>
          <w:t>gross domestic product (GDP) per capita</w:t>
        </w:r>
      </w:hyperlink>
      <w:r w:rsidRPr="00B82BCE">
        <w:rPr>
          <w:u w:val="single"/>
          <w:lang w:val="en-US"/>
        </w:rPr>
        <w:t> did not return to its pre-recession peak (near the end of 2007) until the latter half of 2013. Likewise, the </w:t>
      </w:r>
      <w:hyperlink r:id="rId312" w:history="1">
        <w:r w:rsidRPr="00B82BCE">
          <w:rPr>
            <w:rStyle w:val="Hipervnculo"/>
            <w:color w:val="auto"/>
            <w:bdr w:val="none" w:sz="0" w:space="0" w:color="auto" w:frame="1"/>
            <w:lang w:val="en-US"/>
          </w:rPr>
          <w:t>median income of U.S. households</w:t>
        </w:r>
      </w:hyperlink>
      <w:r w:rsidRPr="00B82BCE">
        <w:rPr>
          <w:u w:val="single"/>
          <w:lang w:val="en-US"/>
        </w:rPr>
        <w:t> took until 2016 to return to where it stood prior to the start of the Great Recession in December 2007.</w:t>
      </w:r>
    </w:p>
    <w:p w:rsidR="00844212" w:rsidRPr="00CC52B4" w:rsidRDefault="00844212" w:rsidP="00844212">
      <w:pPr>
        <w:pStyle w:val="NormalWeb"/>
        <w:spacing w:before="0" w:beforeAutospacing="0" w:after="0" w:afterAutospacing="0"/>
        <w:jc w:val="both"/>
        <w:textAlignment w:val="baseline"/>
        <w:rPr>
          <w:lang w:val="en-US"/>
        </w:rPr>
      </w:pPr>
    </w:p>
    <w:p w:rsidR="00844212" w:rsidRPr="00B82BCE" w:rsidRDefault="00844212" w:rsidP="00844212">
      <w:pPr>
        <w:pStyle w:val="NormalWeb"/>
        <w:spacing w:before="0" w:beforeAutospacing="0" w:after="0" w:afterAutospacing="0"/>
        <w:jc w:val="both"/>
        <w:textAlignment w:val="baseline"/>
        <w:rPr>
          <w:lang w:val="en-US"/>
        </w:rPr>
      </w:pPr>
      <w:bookmarkStart w:id="12" w:name="download-our-tables-on-the-middle-class-"/>
      <w:bookmarkStart w:id="13" w:name="toc-anchor-305892-2"/>
      <w:bookmarkEnd w:id="12"/>
      <w:bookmarkEnd w:id="13"/>
      <w:r w:rsidRPr="00B82BCE">
        <w:rPr>
          <w:lang w:val="en-US"/>
        </w:rPr>
        <w:t>The share of adults who are middle class varies widely across U.S. metropolitan areas. The estimated share was highest in Sheboygan, WI, where 65% of adults lived in middle-income households in 2016, and it was the lowest in Laredo, TX, where 39% of adults were in middle-income households. The 10 areas with the highest concentrations of middle class adults are located in the Midwest or the Northeast, with the exception of Ogden-Clearfield, UT. These areas are also more reliant on manufacturing than the nation overall. (See our </w:t>
      </w:r>
      <w:hyperlink r:id="rId313" w:history="1">
        <w:r w:rsidRPr="00E60284">
          <w:rPr>
            <w:rStyle w:val="Hipervnculo"/>
            <w:color w:val="auto"/>
            <w:u w:val="none"/>
            <w:bdr w:val="none" w:sz="0" w:space="0" w:color="auto" w:frame="1"/>
            <w:lang w:val="en-US"/>
          </w:rPr>
          <w:t>earlier analysis of U.S. metropolitan areas</w:t>
        </w:r>
      </w:hyperlink>
      <w:r w:rsidRPr="00B82BCE">
        <w:rPr>
          <w:lang w:val="en-US"/>
        </w:rPr>
        <w:t xml:space="preserve"> for more detail on the characteristics of these areas.)</w:t>
      </w:r>
    </w:p>
    <w:p w:rsidR="00844212" w:rsidRPr="00CC52B4" w:rsidRDefault="00844212" w:rsidP="00844212">
      <w:pPr>
        <w:pStyle w:val="NormalWeb"/>
        <w:spacing w:before="0" w:beforeAutospacing="0" w:after="0" w:afterAutospacing="0"/>
        <w:jc w:val="both"/>
        <w:textAlignment w:val="baseline"/>
        <w:rPr>
          <w:lang w:val="en-US"/>
        </w:rPr>
      </w:pPr>
    </w:p>
    <w:p w:rsidR="00844212" w:rsidRPr="00CC52B4" w:rsidRDefault="00844212" w:rsidP="00844212">
      <w:pPr>
        <w:pStyle w:val="NormalWeb"/>
        <w:spacing w:before="0" w:beforeAutospacing="0" w:after="300" w:afterAutospacing="0"/>
        <w:jc w:val="both"/>
        <w:textAlignment w:val="baseline"/>
        <w:rPr>
          <w:lang w:val="en-US"/>
        </w:rPr>
      </w:pPr>
      <w:r w:rsidRPr="00CC52B4">
        <w:rPr>
          <w:lang w:val="en-US"/>
        </w:rPr>
        <w:t xml:space="preserve">The metropolitan areas with the largest shares of adults in upper-income households are mostly in the coastal areas of the Northeast and California. They tend to be in high-tech corridors, such as Boston-Cambridge-Newton, MA-NH, or in financial and commercial centers, such as Hartford-West Hartford-East Hartford, CT. San Jose-Sunnyvale-Santa Clara, CA, where 32% of adults were upper-income, led among all areas in 2016. The area with the smallest share </w:t>
      </w:r>
      <w:r w:rsidR="0036518C" w:rsidRPr="00CC52B4">
        <w:rPr>
          <w:lang w:val="en-US"/>
        </w:rPr>
        <w:t>that</w:t>
      </w:r>
      <w:r w:rsidRPr="00CC52B4">
        <w:rPr>
          <w:lang w:val="en-US"/>
        </w:rPr>
        <w:t xml:space="preserve"> </w:t>
      </w:r>
      <w:r w:rsidR="0036518C" w:rsidRPr="00CC52B4">
        <w:rPr>
          <w:lang w:val="en-US"/>
        </w:rPr>
        <w:t>is</w:t>
      </w:r>
      <w:r w:rsidRPr="00CC52B4">
        <w:rPr>
          <w:lang w:val="en-US"/>
        </w:rPr>
        <w:t xml:space="preserve"> upper income is Lewiston-Auburn, ME (8%).</w:t>
      </w:r>
    </w:p>
    <w:p w:rsidR="00844212" w:rsidRPr="00CC52B4" w:rsidRDefault="00844212" w:rsidP="00844212">
      <w:pPr>
        <w:pStyle w:val="NormalWeb"/>
        <w:spacing w:before="0" w:beforeAutospacing="0" w:after="300" w:afterAutospacing="0"/>
        <w:jc w:val="both"/>
        <w:textAlignment w:val="baseline"/>
        <w:rPr>
          <w:lang w:val="en-US"/>
        </w:rPr>
      </w:pPr>
      <w:r w:rsidRPr="00CC52B4">
        <w:rPr>
          <w:lang w:val="en-US"/>
        </w:rPr>
        <w:t>The metropolitan areas with the largest shares of lower-income adults are located primarily in the Southwest, with several on the southern border, such as McAllen-Edinburg-Mission, TX, and include farming communities in central California, such as Fresno, CA. In Laredo, TX, about half of adults (49%) lived in lower-income households in 2016, the highest share in the country. Ogden-Clearfield, UT, among the largest middle-class communities, also had the lowest share of lower-income adults (19%) in 2016.</w:t>
      </w:r>
    </w:p>
    <w:p w:rsidR="00844212" w:rsidRPr="006001BB"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300" w:afterAutospacing="0"/>
        <w:jc w:val="both"/>
        <w:textAlignment w:val="baseline"/>
        <w:rPr>
          <w:color w:val="000000"/>
          <w:lang w:val="en-US"/>
        </w:rPr>
      </w:pPr>
      <w:r w:rsidRPr="006001BB">
        <w:rPr>
          <w:noProof/>
          <w:color w:val="000000"/>
        </w:rPr>
        <w:lastRenderedPageBreak/>
        <w:drawing>
          <wp:inline distT="0" distB="0" distL="0" distR="0" wp14:anchorId="3035C8DC" wp14:editId="1A675BF1">
            <wp:extent cx="6096000" cy="5321300"/>
            <wp:effectExtent l="0" t="0" r="0" b="0"/>
            <wp:docPr id="227" name="Imagen 227" descr="Many metropolitan areas with the highest shares of middle-income adults in 2016 are in the Midw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ny metropolitan areas with the highest shares of middle-income adults in 2016 are in the Midwest"/>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6096000" cy="5321300"/>
                    </a:xfrm>
                    <a:prstGeom prst="rect">
                      <a:avLst/>
                    </a:prstGeom>
                    <a:noFill/>
                    <a:ln>
                      <a:noFill/>
                    </a:ln>
                  </pic:spPr>
                </pic:pic>
              </a:graphicData>
            </a:graphic>
          </wp:inline>
        </w:drawing>
      </w:r>
    </w:p>
    <w:p w:rsidR="00844212" w:rsidRPr="006001BB" w:rsidRDefault="00844212" w:rsidP="00844212">
      <w:pPr>
        <w:spacing w:line="240" w:lineRule="auto"/>
        <w:jc w:val="both"/>
        <w:textAlignment w:val="baseline"/>
        <w:rPr>
          <w:rFonts w:ascii="Times New Roman" w:hAnsi="Times New Roman" w:cs="Times New Roman"/>
          <w:color w:val="000000"/>
          <w:sz w:val="24"/>
          <w:szCs w:val="24"/>
        </w:rPr>
      </w:pPr>
      <w:r w:rsidRPr="006001BB">
        <w:rPr>
          <w:rFonts w:ascii="Times New Roman" w:hAnsi="Times New Roman" w:cs="Times New Roman"/>
          <w:noProof/>
          <w:color w:val="000000"/>
          <w:sz w:val="24"/>
          <w:szCs w:val="24"/>
          <w:lang w:eastAsia="es-ES"/>
        </w:rPr>
        <w:drawing>
          <wp:inline distT="0" distB="0" distL="0" distR="0" wp14:anchorId="0A3EF2FD" wp14:editId="2BFC7D7F">
            <wp:extent cx="4000500" cy="2324100"/>
            <wp:effectExtent l="0" t="0" r="0" b="0"/>
            <wp:docPr id="228" name="Imagen 228" descr="Who is 'middle income' and 'upper income' in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ho is 'middle income' and 'upper income' in 2016?"/>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000500" cy="2324100"/>
                    </a:xfrm>
                    <a:prstGeom prst="rect">
                      <a:avLst/>
                    </a:prstGeom>
                    <a:noFill/>
                    <a:ln>
                      <a:noFill/>
                    </a:ln>
                  </pic:spPr>
                </pic:pic>
              </a:graphicData>
            </a:graphic>
          </wp:inline>
        </w:drawing>
      </w:r>
    </w:p>
    <w:p w:rsidR="00844212" w:rsidRDefault="00844212" w:rsidP="00844212">
      <w:pPr>
        <w:pStyle w:val="NormalWeb"/>
        <w:spacing w:before="0" w:beforeAutospacing="0" w:after="300" w:afterAutospacing="0"/>
        <w:jc w:val="both"/>
        <w:textAlignment w:val="baseline"/>
        <w:rPr>
          <w:color w:val="000000"/>
          <w:lang w:val="en-US"/>
        </w:rPr>
      </w:pPr>
      <w:r w:rsidRPr="006001BB">
        <w:rPr>
          <w:color w:val="000000"/>
          <w:lang w:val="en-US"/>
        </w:rPr>
        <w:t>In our analysis, “middle-income” Americans are adults whose annual household income is two-thirds to double the national median, after incomes have been adjusted for household size. In 2016, the national middle-income range was about $</w:t>
      </w:r>
      <w:r w:rsidR="00B82BCE">
        <w:rPr>
          <w:color w:val="000000"/>
          <w:lang w:val="en-US"/>
        </w:rPr>
        <w:t xml:space="preserve"> </w:t>
      </w:r>
      <w:r w:rsidRPr="006001BB">
        <w:rPr>
          <w:color w:val="000000"/>
          <w:lang w:val="en-US"/>
        </w:rPr>
        <w:t>45,200 to $</w:t>
      </w:r>
      <w:r w:rsidR="00B82BCE">
        <w:rPr>
          <w:color w:val="000000"/>
          <w:lang w:val="en-US"/>
        </w:rPr>
        <w:t xml:space="preserve"> </w:t>
      </w:r>
      <w:r w:rsidRPr="006001BB">
        <w:rPr>
          <w:color w:val="000000"/>
          <w:lang w:val="en-US"/>
        </w:rPr>
        <w:t>135,600 annually for a household of three. Lower-income households had incomes less than $</w:t>
      </w:r>
      <w:r w:rsidR="00B82BCE">
        <w:rPr>
          <w:color w:val="000000"/>
          <w:lang w:val="en-US"/>
        </w:rPr>
        <w:t xml:space="preserve"> </w:t>
      </w:r>
      <w:r w:rsidRPr="006001BB">
        <w:rPr>
          <w:color w:val="000000"/>
          <w:lang w:val="en-US"/>
        </w:rPr>
        <w:t>45,200 and upper-income households had incomes greater than $</w:t>
      </w:r>
      <w:r w:rsidR="00B82BCE">
        <w:rPr>
          <w:color w:val="000000"/>
          <w:lang w:val="en-US"/>
        </w:rPr>
        <w:t xml:space="preserve"> </w:t>
      </w:r>
      <w:r w:rsidRPr="006001BB">
        <w:rPr>
          <w:color w:val="000000"/>
          <w:lang w:val="en-US"/>
        </w:rPr>
        <w:t>135,600 (incomes in 2016 dollars).</w:t>
      </w:r>
    </w:p>
    <w:p w:rsidR="00844212" w:rsidRPr="0083240E" w:rsidRDefault="00844212" w:rsidP="00844212">
      <w:pPr>
        <w:pStyle w:val="NormalWeb"/>
        <w:spacing w:after="300"/>
        <w:jc w:val="both"/>
        <w:textAlignment w:val="baseline"/>
        <w:rPr>
          <w:color w:val="000000"/>
          <w:lang w:val="en-US"/>
        </w:rPr>
      </w:pPr>
      <w:r w:rsidRPr="0083240E">
        <w:rPr>
          <w:color w:val="000000"/>
          <w:lang w:val="en-US"/>
        </w:rPr>
        <w:lastRenderedPageBreak/>
        <w:t>About this analysis</w:t>
      </w:r>
    </w:p>
    <w:p w:rsidR="00844212" w:rsidRPr="0083240E" w:rsidRDefault="00844212" w:rsidP="00844212">
      <w:pPr>
        <w:pStyle w:val="NormalWeb"/>
        <w:spacing w:after="300"/>
        <w:jc w:val="both"/>
        <w:textAlignment w:val="baseline"/>
        <w:rPr>
          <w:color w:val="000000"/>
          <w:lang w:val="en-US"/>
        </w:rPr>
      </w:pPr>
      <w:r w:rsidRPr="0083240E">
        <w:rPr>
          <w:color w:val="000000"/>
          <w:lang w:val="en-US"/>
        </w:rPr>
        <w:t>This analysis encompasses 260 of some 380 metropolitan areas in the United States, as defined by the Office of Management and Budget. The 260 metropolitan areas included are the maximum number of areas that could be identified in the Census Bureau data used for the analysis (the Integrated Public Use Microdata Series, or IPUMS). Together, these areas accounted for 79% of t</w:t>
      </w:r>
      <w:r>
        <w:rPr>
          <w:color w:val="000000"/>
          <w:lang w:val="en-US"/>
        </w:rPr>
        <w:t>he nation’s population in 2016.</w:t>
      </w:r>
    </w:p>
    <w:p w:rsidR="00844212" w:rsidRPr="0083240E" w:rsidRDefault="00844212" w:rsidP="00844212">
      <w:pPr>
        <w:pStyle w:val="NormalWeb"/>
        <w:spacing w:after="300"/>
        <w:jc w:val="both"/>
        <w:textAlignment w:val="baseline"/>
        <w:rPr>
          <w:color w:val="000000"/>
          <w:lang w:val="en-US"/>
        </w:rPr>
      </w:pPr>
      <w:r w:rsidRPr="0083240E">
        <w:rPr>
          <w:color w:val="000000"/>
          <w:lang w:val="en-US"/>
        </w:rPr>
        <w:t>A metropolitan area consists of at least one urbanized area with a population of 50,000 or more people, plus neighboring areas that are socially and economically integrated with the core. Metropolitan areas may cross state boundaries, such as the Washington-Arlington-Alexandria, DC-VA-MD-WV, area.</w:t>
      </w:r>
    </w:p>
    <w:p w:rsidR="00844212" w:rsidRPr="0083240E" w:rsidRDefault="00844212" w:rsidP="00844212">
      <w:pPr>
        <w:pStyle w:val="NormalWeb"/>
        <w:spacing w:after="300"/>
        <w:jc w:val="both"/>
        <w:textAlignment w:val="baseline"/>
        <w:rPr>
          <w:color w:val="000000"/>
          <w:lang w:val="en-US"/>
        </w:rPr>
      </w:pPr>
      <w:r w:rsidRPr="0083240E">
        <w:rPr>
          <w:color w:val="000000"/>
          <w:lang w:val="en-US"/>
        </w:rPr>
        <w:t>“Middle-income” Americans are adults whose annual household income is two-thirds to double the national median, after incomes have been adjusted for household size. In 2016, the national middle-income range was about $</w:t>
      </w:r>
      <w:r w:rsidR="00B82BCE">
        <w:rPr>
          <w:color w:val="000000"/>
          <w:lang w:val="en-US"/>
        </w:rPr>
        <w:t xml:space="preserve"> </w:t>
      </w:r>
      <w:r w:rsidRPr="0083240E">
        <w:rPr>
          <w:color w:val="000000"/>
          <w:lang w:val="en-US"/>
        </w:rPr>
        <w:t>45,200 to $</w:t>
      </w:r>
      <w:r w:rsidR="00B82BCE">
        <w:rPr>
          <w:color w:val="000000"/>
          <w:lang w:val="en-US"/>
        </w:rPr>
        <w:t xml:space="preserve"> </w:t>
      </w:r>
      <w:r w:rsidRPr="0083240E">
        <w:rPr>
          <w:color w:val="000000"/>
          <w:lang w:val="en-US"/>
        </w:rPr>
        <w:t>135,600 annually for a household of three (incomes in 2016 dollars). The same standard is used to determine the status of households in all metropolitan areas after their incomes have been adjusted for the cost of living in the area.</w:t>
      </w:r>
    </w:p>
    <w:p w:rsidR="00844212" w:rsidRPr="0083240E" w:rsidRDefault="00844212" w:rsidP="00844212">
      <w:pPr>
        <w:pStyle w:val="NormalWeb"/>
        <w:spacing w:after="300"/>
        <w:jc w:val="both"/>
        <w:textAlignment w:val="baseline"/>
        <w:rPr>
          <w:color w:val="000000"/>
          <w:lang w:val="en-US"/>
        </w:rPr>
      </w:pPr>
      <w:r w:rsidRPr="0083240E">
        <w:rPr>
          <w:color w:val="000000"/>
          <w:lang w:val="en-US"/>
        </w:rPr>
        <w:t>The cost-of-living adjustment for an area was calculated as follows: Jackson, Tennessee, is a relatively inexpensive area, with a price level that is 17.9% less than the national average. The Hawaii metropolitan area known as Urban Honolulu is one of the most expensive areas, with a price level that is 24.4% higher than the national average. Thus, to step over the national middle-class threshold of $</w:t>
      </w:r>
      <w:r w:rsidR="00B82BCE">
        <w:rPr>
          <w:color w:val="000000"/>
          <w:lang w:val="en-US"/>
        </w:rPr>
        <w:t xml:space="preserve"> </w:t>
      </w:r>
      <w:r w:rsidRPr="0083240E">
        <w:rPr>
          <w:color w:val="000000"/>
          <w:lang w:val="en-US"/>
        </w:rPr>
        <w:t>45,200, a household in Jackson needs an income of only about $</w:t>
      </w:r>
      <w:r w:rsidR="00B82BCE">
        <w:rPr>
          <w:color w:val="000000"/>
          <w:lang w:val="en-US"/>
        </w:rPr>
        <w:t xml:space="preserve"> </w:t>
      </w:r>
      <w:r w:rsidRPr="0083240E">
        <w:rPr>
          <w:color w:val="000000"/>
          <w:lang w:val="en-US"/>
        </w:rPr>
        <w:t>37,150, or 17.9% less than the national standard. But a household in Urban Honolulu needs a reported income of about $</w:t>
      </w:r>
      <w:r w:rsidR="00B82BCE">
        <w:rPr>
          <w:color w:val="000000"/>
          <w:lang w:val="en-US"/>
        </w:rPr>
        <w:t xml:space="preserve"> </w:t>
      </w:r>
      <w:r w:rsidRPr="0083240E">
        <w:rPr>
          <w:color w:val="000000"/>
          <w:lang w:val="en-US"/>
        </w:rPr>
        <w:t>56,250, or 24.4% more than the U.S. norm, to join the middle class.</w:t>
      </w:r>
    </w:p>
    <w:p w:rsidR="00844212" w:rsidRPr="0083240E" w:rsidRDefault="00844212" w:rsidP="00844212">
      <w:pPr>
        <w:pStyle w:val="NormalWeb"/>
        <w:spacing w:after="300"/>
        <w:jc w:val="both"/>
        <w:textAlignment w:val="baseline"/>
        <w:rPr>
          <w:color w:val="000000"/>
          <w:lang w:val="en-US"/>
        </w:rPr>
      </w:pPr>
      <w:r w:rsidRPr="0083240E">
        <w:rPr>
          <w:color w:val="000000"/>
          <w:lang w:val="en-US"/>
        </w:rPr>
        <w:t>The metropolitan area cost-of-living adjustment is based on price indexes published by the U.S. Bureau of Economic Analysis. These indexes, known as Regional Price Parities, compare the prices of goods and services in a metropolitan area with the national average prices f</w:t>
      </w:r>
      <w:r>
        <w:rPr>
          <w:color w:val="000000"/>
          <w:lang w:val="en-US"/>
        </w:rPr>
        <w:t>or the same goods and services.</w:t>
      </w:r>
    </w:p>
    <w:p w:rsidR="00844212" w:rsidRPr="0083240E" w:rsidRDefault="00844212" w:rsidP="00844212">
      <w:pPr>
        <w:pStyle w:val="NormalWeb"/>
        <w:spacing w:after="300"/>
        <w:jc w:val="both"/>
        <w:textAlignment w:val="baseline"/>
        <w:rPr>
          <w:color w:val="000000"/>
          <w:lang w:val="en-US"/>
        </w:rPr>
      </w:pPr>
      <w:r w:rsidRPr="0083240E">
        <w:rPr>
          <w:color w:val="000000"/>
          <w:lang w:val="en-US"/>
        </w:rPr>
        <w:t>The national estimates presented in the analysis encompass the U.S. adult population, including people outside of the sample of 260 metropolitan areas.</w:t>
      </w:r>
    </w:p>
    <w:p w:rsidR="00844212" w:rsidRPr="0083240E" w:rsidRDefault="00844212" w:rsidP="00844212">
      <w:pPr>
        <w:pStyle w:val="NormalWeb"/>
        <w:spacing w:after="300"/>
        <w:jc w:val="both"/>
        <w:textAlignment w:val="baseline"/>
        <w:rPr>
          <w:color w:val="000000"/>
          <w:lang w:val="en-US"/>
        </w:rPr>
      </w:pPr>
      <w:r w:rsidRPr="0083240E">
        <w:rPr>
          <w:color w:val="000000"/>
          <w:lang w:val="en-US"/>
        </w:rPr>
        <w:t>The Census Bureau’s 2016 American Community Survey was conducted from January 2016 to December 2016. Respondents were asked to report their income received in the 12 months before the survey date. In principle, the 2016 ACS includes income data from a total of 24 months, from January 2015 to December 2016. Estimates for earlier years are from the Current Population Survey, Annual Social and Economic Supplements. The income data in these surveys pertain to the preceding calendar year. Thus, the assignment of adults to an income tier in, say, 2011 is based on their household income in 2010.</w:t>
      </w:r>
    </w:p>
    <w:p w:rsidR="00844212" w:rsidRPr="0083240E" w:rsidRDefault="00844212" w:rsidP="00844212">
      <w:pPr>
        <w:pStyle w:val="NormalWeb"/>
        <w:spacing w:after="300"/>
        <w:jc w:val="both"/>
        <w:textAlignment w:val="baseline"/>
        <w:rPr>
          <w:color w:val="000000"/>
          <w:lang w:val="en-US"/>
        </w:rPr>
      </w:pPr>
      <w:r w:rsidRPr="0083240E">
        <w:rPr>
          <w:color w:val="000000"/>
          <w:lang w:val="en-US"/>
        </w:rPr>
        <w:t>Differences between numbers or percentages are computed before the underlying estimates are rounded. Estimates may not sum to 100% due to rounding. Additional details on the methodology are available in our earlier analyses.</w:t>
      </w:r>
    </w:p>
    <w:p w:rsidR="00844212" w:rsidRPr="006001BB" w:rsidRDefault="00844212" w:rsidP="00844212">
      <w:pPr>
        <w:pStyle w:val="NormalWeb"/>
        <w:spacing w:before="0" w:beforeAutospacing="0" w:after="300" w:afterAutospacing="0"/>
        <w:jc w:val="both"/>
        <w:textAlignment w:val="baseline"/>
        <w:rPr>
          <w:color w:val="000000"/>
          <w:lang w:val="en-US"/>
        </w:rPr>
      </w:pPr>
      <w:r>
        <w:rPr>
          <w:color w:val="000000"/>
          <w:lang w:val="en-US"/>
        </w:rPr>
        <w:t>(</w:t>
      </w:r>
      <w:r w:rsidRPr="0083240E">
        <w:rPr>
          <w:color w:val="000000"/>
          <w:lang w:val="en-US"/>
        </w:rPr>
        <w:t xml:space="preserve">Rakesh Kochhar is an associate director of </w:t>
      </w:r>
      <w:r>
        <w:rPr>
          <w:color w:val="000000"/>
          <w:lang w:val="en-US"/>
        </w:rPr>
        <w:t>research at Pew Research Center)</w:t>
      </w:r>
    </w:p>
    <w:p w:rsidR="00844212" w:rsidRPr="00E85D20" w:rsidRDefault="003928E7" w:rsidP="00844212">
      <w:pPr>
        <w:pStyle w:val="Ttulo1"/>
        <w:shd w:val="clear" w:color="auto" w:fill="FFFFFF"/>
        <w:spacing w:before="0"/>
        <w:textAlignment w:val="baseline"/>
        <w:rPr>
          <w:rFonts w:ascii="Times New Roman" w:hAnsi="Times New Roman" w:cs="Times New Roman"/>
          <w:color w:val="1E1E1E"/>
          <w:sz w:val="24"/>
          <w:szCs w:val="24"/>
        </w:rPr>
      </w:pPr>
      <w:bookmarkStart w:id="14" w:name="about-this-analysis"/>
      <w:bookmarkStart w:id="15" w:name="toc-anchor-305892-3"/>
      <w:bookmarkEnd w:id="14"/>
      <w:bookmarkEnd w:id="15"/>
      <w:r>
        <w:rPr>
          <w:rFonts w:ascii="Times New Roman" w:hAnsi="Times New Roman" w:cs="Times New Roman"/>
          <w:color w:val="1E1E1E"/>
          <w:sz w:val="24"/>
          <w:szCs w:val="24"/>
        </w:rPr>
        <w:lastRenderedPageBreak/>
        <w:t xml:space="preserve">- </w:t>
      </w:r>
      <w:r w:rsidR="00844212" w:rsidRPr="00E85D20">
        <w:rPr>
          <w:rFonts w:ascii="Times New Roman" w:hAnsi="Times New Roman" w:cs="Times New Roman"/>
          <w:color w:val="1E1E1E"/>
          <w:sz w:val="24"/>
          <w:szCs w:val="24"/>
        </w:rPr>
        <w:t>Antecedentes</w:t>
      </w:r>
      <w:r>
        <w:rPr>
          <w:rFonts w:ascii="Times New Roman" w:hAnsi="Times New Roman" w:cs="Times New Roman"/>
          <w:color w:val="1E1E1E"/>
          <w:sz w:val="24"/>
          <w:szCs w:val="24"/>
        </w:rPr>
        <w:t xml:space="preserve"> sobre la</w:t>
      </w:r>
      <w:r w:rsidR="00844212" w:rsidRPr="00E85D20">
        <w:rPr>
          <w:rFonts w:ascii="Times New Roman" w:hAnsi="Times New Roman" w:cs="Times New Roman"/>
          <w:color w:val="1E1E1E"/>
          <w:sz w:val="24"/>
          <w:szCs w:val="24"/>
        </w:rPr>
        <w:t xml:space="preserve"> Unión Europea: el asalto a la ilusión</w:t>
      </w:r>
    </w:p>
    <w:p w:rsidR="00844212" w:rsidRDefault="00844212" w:rsidP="00844212">
      <w:pPr>
        <w:rPr>
          <w:lang w:eastAsia="es-ES"/>
        </w:rPr>
      </w:pPr>
    </w:p>
    <w:p w:rsidR="00844212" w:rsidRPr="000E3E2D" w:rsidRDefault="00844212" w:rsidP="00844212">
      <w:pPr>
        <w:rPr>
          <w:lang w:eastAsia="es-ES"/>
        </w:rPr>
      </w:pPr>
      <w:r>
        <w:rPr>
          <w:noProof/>
          <w:lang w:eastAsia="es-ES"/>
        </w:rPr>
        <w:drawing>
          <wp:inline distT="0" distB="0" distL="0" distR="0" wp14:anchorId="748C86B7" wp14:editId="4E1919A2">
            <wp:extent cx="5728389" cy="2546350"/>
            <wp:effectExtent l="0" t="0" r="5715" b="6350"/>
            <wp:docPr id="229" name="Imagen 229" descr="Sigue pensando que es de clase media.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igue pensando que es de clase media. (iStock)"/>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731510" cy="2547737"/>
                    </a:xfrm>
                    <a:prstGeom prst="rect">
                      <a:avLst/>
                    </a:prstGeom>
                    <a:noFill/>
                    <a:ln>
                      <a:noFill/>
                    </a:ln>
                  </pic:spPr>
                </pic:pic>
              </a:graphicData>
            </a:graphic>
          </wp:inline>
        </w:drawing>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402C89">
        <w:rPr>
          <w:rFonts w:ascii="Times New Roman" w:eastAsia="Times New Roman" w:hAnsi="Times New Roman" w:cs="Times New Roman"/>
          <w:sz w:val="24"/>
          <w:szCs w:val="24"/>
          <w:u w:val="single"/>
        </w:rPr>
        <w:t>La OIT alerta de una “erosión de la clase media” en Europa</w:t>
      </w:r>
      <w:r>
        <w:rPr>
          <w:rFonts w:ascii="Times New Roman" w:eastAsia="Times New Roman" w:hAnsi="Times New Roman" w:cs="Times New Roman"/>
          <w:sz w:val="24"/>
          <w:szCs w:val="24"/>
        </w:rPr>
        <w:t xml:space="preserve"> (Noticias ONU - </w:t>
      </w:r>
      <w:r w:rsidRPr="00402C89">
        <w:rPr>
          <w:rFonts w:ascii="Times New Roman" w:eastAsia="Times New Roman" w:hAnsi="Times New Roman" w:cs="Times New Roman"/>
          <w:b/>
          <w:sz w:val="24"/>
          <w:szCs w:val="24"/>
        </w:rPr>
        <w:t>23/11/16</w:t>
      </w:r>
      <w:r>
        <w:rPr>
          <w:rFonts w:ascii="Times New Roman" w:eastAsia="Times New Roman" w:hAnsi="Times New Roman" w:cs="Times New Roman"/>
          <w:sz w:val="24"/>
          <w:szCs w:val="24"/>
        </w:rPr>
        <w:t>)</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5D5AB8"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5D5AB8">
        <w:rPr>
          <w:rFonts w:ascii="Times New Roman" w:eastAsia="Times New Roman" w:hAnsi="Times New Roman" w:cs="Times New Roman"/>
          <w:color w:val="FF0000"/>
          <w:sz w:val="24"/>
          <w:szCs w:val="24"/>
          <w:u w:val="single"/>
        </w:rPr>
        <w:t>La clase media en Europa se redujo un 2,3% entre 2004 y 2011, una contracción que ha continuado desde entonces y que afecta sobre todo a los jóvenes, según un estudio de la Organización Internacional del Trabajo (OIT) y la editorial Edward Elgar Publishing dado a conocer este miércoles.</w:t>
      </w:r>
    </w:p>
    <w:p w:rsidR="00844212" w:rsidRPr="005D5AB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investigación, financiada por la Comisión Europea y titulada “¿Está desapareciendo la clase media en Europa? Evidencias del mundo laboral”, señala que, en proporción, el deterioro es aún más grave en Alemania y Grecia.</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5D5AB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5D5AB8">
        <w:rPr>
          <w:rFonts w:ascii="Times New Roman" w:eastAsia="Times New Roman" w:hAnsi="Times New Roman" w:cs="Times New Roman"/>
          <w:sz w:val="24"/>
          <w:szCs w:val="24"/>
          <w:u w:val="single"/>
        </w:rPr>
        <w:t>La clase media más numerosa se encuentra hoy en Dinamarca y Suecia, donde representa un 40 y un 39% de la sociedad respectivamente, mientras que Letonia (23%) y Lituania (24%) son los países europeos con tasas más bajas.</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5D5AB8"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5D5AB8">
        <w:rPr>
          <w:rFonts w:ascii="Times New Roman" w:eastAsia="Times New Roman" w:hAnsi="Times New Roman" w:cs="Times New Roman"/>
          <w:color w:val="FF0000"/>
          <w:sz w:val="24"/>
          <w:szCs w:val="24"/>
          <w:u w:val="single"/>
        </w:rPr>
        <w:t>El texto define la clase media como los hogares con salarios de entre el 80 y el 120% de los ingresos medios en el continente.</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Bajan los ingresos de la clase media</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5D5AB8">
        <w:rPr>
          <w:rFonts w:ascii="Times New Roman" w:eastAsia="Times New Roman" w:hAnsi="Times New Roman" w:cs="Times New Roman"/>
          <w:sz w:val="24"/>
          <w:szCs w:val="24"/>
          <w:u w:val="single"/>
        </w:rPr>
        <w:t>El estudio muestra, además, que el ingreso medio por el cual definimos la clase media disminuyó durante la crisis económica, en particular entre 2008 y 2011</w:t>
      </w:r>
      <w:r w:rsidRPr="00402C89">
        <w:rPr>
          <w:rFonts w:ascii="Times New Roman" w:eastAsia="Times New Roman" w:hAnsi="Times New Roman" w:cs="Times New Roman"/>
          <w:sz w:val="24"/>
          <w:szCs w:val="24"/>
        </w:rPr>
        <w:t>, aunque la erosión era ya visible antes de la crisis en países como Alemania, Luxemburgo, Países Bajos, Grecia, Reino Unido e incluso Dinamarca.</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Por el contrario, en España esa franja de la sociedad crecía antes de 2008, una evolución que se vio frenada por las consecuencias de la crisis en el mundo laboral.</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5D5AB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5D5AB8">
        <w:rPr>
          <w:rFonts w:ascii="Times New Roman" w:eastAsia="Times New Roman" w:hAnsi="Times New Roman" w:cs="Times New Roman"/>
          <w:sz w:val="24"/>
          <w:szCs w:val="24"/>
          <w:u w:val="single"/>
        </w:rPr>
        <w:t>Además de salarios más bajos y reducción de puestos de trabajo en el sector público, que afectó sobre todo a las mujeres, las causas de esta erosión de la clase media son el aumento de empleos precarios y el debilitamiento de la negociación colectiva.</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lastRenderedPageBreak/>
        <w:t>Se necesitan políticas específicas para frenar esta tendencia</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5D5AB8"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5D5AB8">
        <w:rPr>
          <w:rFonts w:ascii="Times New Roman" w:eastAsia="Times New Roman" w:hAnsi="Times New Roman" w:cs="Times New Roman"/>
          <w:color w:val="FF0000"/>
          <w:sz w:val="24"/>
          <w:szCs w:val="24"/>
          <w:u w:val="single"/>
        </w:rPr>
        <w:t>“La erosión de la clase media es alarmante, en particular porque afecta sobre todo a los jóvenes, generando así una brecha de ingresos entre generaciones”, señaló el director para Europa y Asia Central de la OIT.</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Heinz Koller añadió que se necesitan políticas específicas para reducir las desigualdades y la erosión progresiva de la clase media. “Esto no sólo contribuiría a mejorar el nivel de vida de los ciudadanos, sino también a impulsar un crecimiento económico duradero”, concluyó Koller.</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2743B3"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402C89">
        <w:rPr>
          <w:rFonts w:ascii="Times New Roman" w:eastAsia="Times New Roman" w:hAnsi="Times New Roman" w:cs="Times New Roman"/>
          <w:sz w:val="24"/>
          <w:szCs w:val="24"/>
          <w:u w:val="single"/>
        </w:rPr>
        <w:t>La clase media progresa de forma divergente en Europa, según estudio</w:t>
      </w:r>
      <w:r>
        <w:rPr>
          <w:rFonts w:ascii="Times New Roman" w:eastAsia="Times New Roman" w:hAnsi="Times New Roman" w:cs="Times New Roman"/>
          <w:sz w:val="24"/>
          <w:szCs w:val="24"/>
        </w:rPr>
        <w:t xml:space="preserve"> (eldiario.es - </w:t>
      </w:r>
      <w:r w:rsidRPr="00402C89">
        <w:rPr>
          <w:rFonts w:ascii="Times New Roman" w:eastAsia="Times New Roman" w:hAnsi="Times New Roman" w:cs="Times New Roman"/>
          <w:b/>
          <w:sz w:val="24"/>
          <w:szCs w:val="24"/>
        </w:rPr>
        <w:t>24/4/17</w:t>
      </w:r>
      <w:r>
        <w:rPr>
          <w:rFonts w:ascii="Times New Roman" w:eastAsia="Times New Roman" w:hAnsi="Times New Roman" w:cs="Times New Roman"/>
          <w:sz w:val="24"/>
          <w:szCs w:val="24"/>
        </w:rPr>
        <w:t>)</w:t>
      </w:r>
    </w:p>
    <w:p w:rsidR="00844212"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5D5AB8"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5D5AB8">
        <w:rPr>
          <w:rFonts w:ascii="Times New Roman" w:eastAsia="Times New Roman" w:hAnsi="Times New Roman" w:cs="Times New Roman"/>
          <w:color w:val="FF0000"/>
          <w:sz w:val="24"/>
          <w:szCs w:val="24"/>
          <w:u w:val="single"/>
        </w:rPr>
        <w:t>La proporción de adultos que viven en hogares considerados de clase media aumentaron en Francia, los Países Bajos y el Reino Unido, pero se redujeron en Alemania, Italia y España entre 1991 y 2010, según arroja un estudio publicado hoy por el Centro de Estudios Pew.</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402C89">
        <w:rPr>
          <w:rFonts w:ascii="Times New Roman" w:eastAsia="Times New Roman" w:hAnsi="Times New Roman" w:cs="Times New Roman"/>
          <w:sz w:val="24"/>
          <w:szCs w:val="24"/>
        </w:rPr>
        <w:t>Las trayectorias divergentes están vinculadas a diferencias en la forma en que los ingresos de los hogares en general han evolucionado. Francia, los Países Bajos y el Reino Unido experimentaron un notable crecimiento en el ingreso de los hogares durante este período. Mientras tanto, los ingresos se estancaron o descendier</w:t>
      </w:r>
      <w:r>
        <w:rPr>
          <w:rFonts w:ascii="Times New Roman" w:eastAsia="Times New Roman" w:hAnsi="Times New Roman" w:cs="Times New Roman"/>
          <w:sz w:val="24"/>
          <w:szCs w:val="24"/>
        </w:rPr>
        <w:t>on en Alemania, Italia y España”</w:t>
      </w:r>
      <w:r w:rsidRPr="00402C89">
        <w:rPr>
          <w:rFonts w:ascii="Times New Roman" w:eastAsia="Times New Roman" w:hAnsi="Times New Roman" w:cs="Times New Roman"/>
          <w:sz w:val="24"/>
          <w:szCs w:val="24"/>
        </w:rPr>
        <w:t>, apunta el estudio.</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5D5AB8"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5D5AB8">
        <w:rPr>
          <w:rFonts w:ascii="Times New Roman" w:eastAsia="Times New Roman" w:hAnsi="Times New Roman" w:cs="Times New Roman"/>
          <w:sz w:val="24"/>
          <w:szCs w:val="24"/>
          <w:u w:val="single"/>
        </w:rPr>
        <w:t>Entre los 11 países de Europa Occidental examinados en este informe, Irlanda experimentó el crecimiento más rápido de los ingresos y la mayor expansión de la clase media.</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Otros países de Europa Occidental también experimentaron grandes aumentos en los ingresos de los hogares, sin embargo, el aumento de los ingresos no se tradujo en un crecimiento de las clases medias en estos países, como ocurrió en Dinamarca, Luxemburgo y Noruega.</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5D5AB8"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5D5AB8">
        <w:rPr>
          <w:rFonts w:ascii="Times New Roman" w:eastAsia="Times New Roman" w:hAnsi="Times New Roman" w:cs="Times New Roman"/>
          <w:color w:val="FF0000"/>
          <w:sz w:val="24"/>
          <w:szCs w:val="24"/>
          <w:u w:val="single"/>
        </w:rPr>
        <w:t>“En general, la participación de la clase media en la población adulta disminuyó en siete de los once países de Europa Occidental examinados, reflejando la contracción a largo plazo de la clase media en Estados Unidos”, apuntó el estudio.</w:t>
      </w:r>
    </w:p>
    <w:p w:rsidR="00844212" w:rsidRPr="005D5AB8"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p>
    <w:p w:rsidR="00844212" w:rsidRPr="00BA78A9" w:rsidRDefault="00844212" w:rsidP="00844212">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rPr>
      </w:pPr>
      <w:r w:rsidRPr="00BA78A9">
        <w:rPr>
          <w:rFonts w:ascii="Times New Roman" w:eastAsia="Times New Roman" w:hAnsi="Times New Roman" w:cs="Times New Roman"/>
          <w:color w:val="FF0000"/>
          <w:sz w:val="24"/>
          <w:szCs w:val="24"/>
          <w:u w:val="single"/>
        </w:rPr>
        <w:t>Al mismo tiempo, hay tendencia a la baja en la escala de ingresos en la mayoría de los países con una clase media cada vez más reducida.</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BA78A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402C89">
        <w:rPr>
          <w:rFonts w:ascii="Times New Roman" w:eastAsia="Times New Roman" w:hAnsi="Times New Roman" w:cs="Times New Roman"/>
          <w:sz w:val="24"/>
          <w:szCs w:val="24"/>
        </w:rPr>
        <w:t xml:space="preserve">En la mayoría de los países hubo un aumento general de la movilidad en la escala de ingresos, que se tradujo en una mejora general de la situación económica, pero </w:t>
      </w:r>
      <w:r w:rsidRPr="00BA78A9">
        <w:rPr>
          <w:rFonts w:ascii="Times New Roman" w:eastAsia="Times New Roman" w:hAnsi="Times New Roman" w:cs="Times New Roman"/>
          <w:sz w:val="24"/>
          <w:szCs w:val="24"/>
          <w:u w:val="single"/>
        </w:rPr>
        <w:t>también se ha hecho más grande la brecha económica entre unos hogares y otros, esto es, un aumento de la desigualdad.</w:t>
      </w:r>
    </w:p>
    <w:p w:rsidR="00844212" w:rsidRPr="00BA78A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p>
    <w:p w:rsidR="00844212" w:rsidRPr="00BA78A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A78A9">
        <w:rPr>
          <w:rFonts w:ascii="Times New Roman" w:eastAsia="Times New Roman" w:hAnsi="Times New Roman" w:cs="Times New Roman"/>
          <w:sz w:val="24"/>
          <w:szCs w:val="24"/>
          <w:u w:val="single"/>
        </w:rPr>
        <w:t>Asimismo, el estudio apunta que a pesar del aumento de la integración y del crecimiento generalizado, “la trayectoria económica de Europa Occidental está lejos de estar unificada”.</w:t>
      </w: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p>
    <w:p w:rsidR="00844212" w:rsidRPr="00402C8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Estos son algunos de los hallazgos clave de un nuevo análisis comparativo y transnacional realizado por el Centro de Investigación Pew, utilizando datos del Centro de Datos Cruzado de Luxemburgo (LIS), un centro de investigación que armoniza y proporciona acceso a datos de encuestas gubernamentales y otras fuentes.</w:t>
      </w:r>
    </w:p>
    <w:p w:rsidR="00844212" w:rsidRPr="00BA78A9"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u w:val="single"/>
        </w:rPr>
      </w:pPr>
      <w:r w:rsidRPr="00BA78A9">
        <w:rPr>
          <w:rFonts w:ascii="Times New Roman" w:eastAsia="Times New Roman" w:hAnsi="Times New Roman" w:cs="Times New Roman"/>
          <w:sz w:val="24"/>
          <w:szCs w:val="24"/>
          <w:u w:val="single"/>
        </w:rPr>
        <w:lastRenderedPageBreak/>
        <w:t>El estudio abarca el período 1991-2010 para los siguientes países: Dinamarca, Finlandia, Francia, Alemania, Irlanda, Italia, Luxemburgo, Países Bajos, Noruega, España, Reino Unido y Estados Unidos.</w:t>
      </w:r>
    </w:p>
    <w:p w:rsidR="00844212" w:rsidRDefault="00844212" w:rsidP="00844212">
      <w:pPr>
        <w:pStyle w:val="NormalWeb"/>
        <w:spacing w:after="0"/>
        <w:jc w:val="both"/>
        <w:textAlignment w:val="baseline"/>
        <w:rPr>
          <w:iCs/>
          <w:lang w:val="en-US"/>
        </w:rPr>
      </w:pPr>
      <w:r>
        <w:rPr>
          <w:iCs/>
          <w:lang w:val="en-US"/>
        </w:rPr>
        <w:t xml:space="preserve">- </w:t>
      </w:r>
      <w:r w:rsidRPr="004A21E4">
        <w:rPr>
          <w:iCs/>
          <w:u w:val="single"/>
          <w:lang w:val="en-US"/>
        </w:rPr>
        <w:t>7 key findings on the state of the middle class in Western Europe</w:t>
      </w:r>
      <w:r w:rsidR="0036518C">
        <w:rPr>
          <w:iCs/>
          <w:lang w:val="en-US"/>
        </w:rPr>
        <w:t xml:space="preserve"> (Pew Res</w:t>
      </w:r>
      <w:r>
        <w:rPr>
          <w:iCs/>
          <w:lang w:val="en-US"/>
        </w:rPr>
        <w:t xml:space="preserve">earch Center - </w:t>
      </w:r>
      <w:r w:rsidRPr="004A21E4">
        <w:rPr>
          <w:b/>
          <w:iCs/>
          <w:lang w:val="en-US"/>
        </w:rPr>
        <w:t>24/4/17</w:t>
      </w:r>
      <w:r>
        <w:rPr>
          <w:iCs/>
          <w:lang w:val="en-US"/>
        </w:rPr>
        <w:t>)</w:t>
      </w:r>
    </w:p>
    <w:p w:rsidR="00844212" w:rsidRPr="004A21E4" w:rsidRDefault="00844212" w:rsidP="00844212">
      <w:pPr>
        <w:pStyle w:val="NormalWeb"/>
        <w:spacing w:after="0"/>
        <w:jc w:val="both"/>
        <w:textAlignment w:val="baseline"/>
        <w:rPr>
          <w:iCs/>
          <w:lang w:val="en-US"/>
        </w:rPr>
      </w:pPr>
      <w:r>
        <w:rPr>
          <w:iCs/>
          <w:lang w:val="en-US"/>
        </w:rPr>
        <w:t>(By Rakesh Kochhar)</w:t>
      </w:r>
    </w:p>
    <w:p w:rsidR="00844212" w:rsidRPr="00ED6FE6" w:rsidRDefault="00844212" w:rsidP="00844212">
      <w:pPr>
        <w:pStyle w:val="NormalWeb"/>
        <w:spacing w:before="0" w:beforeAutospacing="0" w:after="0" w:afterAutospacing="0"/>
        <w:jc w:val="both"/>
        <w:textAlignment w:val="baseline"/>
        <w:rPr>
          <w:u w:val="single"/>
          <w:lang w:val="en-US"/>
        </w:rPr>
      </w:pPr>
      <w:r w:rsidRPr="00ED6FE6">
        <w:rPr>
          <w:u w:val="single"/>
          <w:lang w:val="en-US"/>
        </w:rPr>
        <w:t>The fortunes of the middle classes across Western Europe are moving in different directions. Some nations are experiencing both growing incomes and expanding middle classes, while other nations are witness to stagnant or declining incomes and shrinking middle classes, a new </w:t>
      </w:r>
      <w:hyperlink r:id="rId317" w:history="1">
        <w:r w:rsidRPr="00ED6FE6">
          <w:rPr>
            <w:rStyle w:val="Hipervnculo"/>
            <w:color w:val="auto"/>
            <w:bdr w:val="none" w:sz="0" w:space="0" w:color="auto" w:frame="1"/>
            <w:lang w:val="en-US"/>
          </w:rPr>
          <w:t>Pew Research Center analysis</w:t>
        </w:r>
      </w:hyperlink>
      <w:r w:rsidRPr="00ED6FE6">
        <w:rPr>
          <w:u w:val="single"/>
          <w:lang w:val="en-US"/>
        </w:rPr>
        <w:t> of 11 Western European countries has found. But in a few other countries studied, the middle-class shares are decreasing even as incomes overall are rising.</w:t>
      </w:r>
    </w:p>
    <w:p w:rsidR="00844212" w:rsidRPr="00ED6FE6" w:rsidRDefault="00844212" w:rsidP="00844212">
      <w:pPr>
        <w:pStyle w:val="NormalWeb"/>
        <w:spacing w:before="0" w:beforeAutospacing="0" w:after="0" w:afterAutospacing="0"/>
        <w:jc w:val="both"/>
        <w:textAlignment w:val="baseline"/>
        <w:rPr>
          <w:lang w:val="en-US"/>
        </w:rPr>
      </w:pPr>
    </w:p>
    <w:p w:rsidR="00844212" w:rsidRPr="00ED6FE6" w:rsidRDefault="00844212" w:rsidP="00844212">
      <w:pPr>
        <w:pStyle w:val="NormalWeb"/>
        <w:spacing w:before="0" w:beforeAutospacing="0" w:after="0" w:afterAutospacing="0"/>
        <w:jc w:val="both"/>
        <w:textAlignment w:val="baseline"/>
        <w:rPr>
          <w:lang w:val="en-US"/>
        </w:rPr>
      </w:pPr>
      <w:r w:rsidRPr="00ED6FE6">
        <w:rPr>
          <w:lang w:val="en-US"/>
        </w:rPr>
        <w:t>For the analysis -which covers the period from 1991 to 2010 and includes comparisons with changes in the United States- “middle-class” or “middle-income” adults in a country are those who live in households with disposable (after-tax) incomes ranging from two-thirds to double the country’s median disposable household income. Thus, the income it takes to be middle class varies across countries. Also, estimates in the new report will not match those in </w:t>
      </w:r>
      <w:hyperlink r:id="rId318" w:history="1">
        <w:r w:rsidRPr="00E60284">
          <w:rPr>
            <w:rStyle w:val="Hipervnculo"/>
            <w:color w:val="auto"/>
            <w:u w:val="none"/>
            <w:bdr w:val="none" w:sz="0" w:space="0" w:color="auto" w:frame="1"/>
            <w:lang w:val="en-US"/>
          </w:rPr>
          <w:t>the Center’s previous reports</w:t>
        </w:r>
      </w:hyperlink>
      <w:r w:rsidRPr="00ED6FE6">
        <w:rPr>
          <w:lang w:val="en-US"/>
        </w:rPr>
        <w:t>, which were based on a household’s gross (pretax) income.</w:t>
      </w:r>
    </w:p>
    <w:p w:rsidR="00844212" w:rsidRPr="00ED6FE6" w:rsidRDefault="00844212" w:rsidP="00844212">
      <w:pPr>
        <w:pStyle w:val="NormalWeb"/>
        <w:spacing w:before="0" w:beforeAutospacing="0" w:after="0" w:afterAutospacing="0"/>
        <w:jc w:val="both"/>
        <w:textAlignment w:val="baseline"/>
        <w:rPr>
          <w:lang w:val="en-US"/>
        </w:rPr>
      </w:pPr>
    </w:p>
    <w:p w:rsidR="00844212" w:rsidRPr="00ED6FE6" w:rsidRDefault="00844212" w:rsidP="00844212">
      <w:pPr>
        <w:pStyle w:val="NormalWeb"/>
        <w:spacing w:before="0" w:beforeAutospacing="0" w:after="0" w:afterAutospacing="0"/>
        <w:jc w:val="both"/>
        <w:textAlignment w:val="baseline"/>
        <w:rPr>
          <w:lang w:val="en-US"/>
        </w:rPr>
      </w:pPr>
      <w:r w:rsidRPr="00ED6FE6">
        <w:rPr>
          <w:lang w:val="en-US"/>
        </w:rPr>
        <w:t>Here are seven key findings in </w:t>
      </w:r>
      <w:hyperlink r:id="rId319" w:history="1">
        <w:r w:rsidRPr="00ED6FE6">
          <w:rPr>
            <w:rStyle w:val="Hipervnculo"/>
            <w:color w:val="auto"/>
            <w:bdr w:val="none" w:sz="0" w:space="0" w:color="auto" w:frame="1"/>
            <w:lang w:val="en-US"/>
          </w:rPr>
          <w:t>the new report</w:t>
        </w:r>
      </w:hyperlink>
      <w:r w:rsidRPr="00ED6FE6">
        <w:rPr>
          <w:lang w:val="en-US"/>
        </w:rPr>
        <w:t>:</w:t>
      </w:r>
    </w:p>
    <w:p w:rsidR="00844212" w:rsidRPr="00ED6FE6" w:rsidRDefault="00844212" w:rsidP="00844212">
      <w:pPr>
        <w:pStyle w:val="NormalWeb"/>
        <w:spacing w:before="0" w:beforeAutospacing="0" w:after="0" w:afterAutospacing="0"/>
        <w:jc w:val="both"/>
        <w:textAlignment w:val="baseline"/>
        <w:rPr>
          <w:b/>
          <w:bCs/>
          <w:bdr w:val="none" w:sz="0" w:space="0" w:color="auto" w:frame="1"/>
          <w:lang w:val="en-US"/>
        </w:rPr>
      </w:pPr>
    </w:p>
    <w:p w:rsidR="00844212" w:rsidRDefault="00844212" w:rsidP="00844212">
      <w:pPr>
        <w:pStyle w:val="NormalWeb"/>
        <w:spacing w:before="0" w:beforeAutospacing="0" w:after="0" w:afterAutospacing="0"/>
        <w:jc w:val="both"/>
        <w:textAlignment w:val="baseline"/>
        <w:rPr>
          <w:b/>
          <w:bCs/>
          <w:color w:val="EC9F2E"/>
          <w:bdr w:val="none" w:sz="0" w:space="0" w:color="auto" w:frame="1"/>
          <w:lang w:val="en-US"/>
        </w:rPr>
      </w:pPr>
      <w:r w:rsidRPr="004A21E4">
        <w:rPr>
          <w:noProof/>
          <w:color w:val="BC7B2B"/>
          <w:bdr w:val="none" w:sz="0" w:space="0" w:color="auto" w:frame="1"/>
        </w:rPr>
        <w:drawing>
          <wp:inline distT="0" distB="0" distL="0" distR="0" wp14:anchorId="33F93F22" wp14:editId="7BF7C8AD">
            <wp:extent cx="4000500" cy="3206750"/>
            <wp:effectExtent l="0" t="0" r="0" b="0"/>
            <wp:docPr id="230" name="Imagen 230" descr="http://www.pewresearch.org/wp-content/uploads/2017/04/FT_17.04.21_WesternEurope_middleClass_1.png">
              <a:hlinkClick xmlns:a="http://schemas.openxmlformats.org/drawingml/2006/main" r:id="rId3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pewresearch.org/wp-content/uploads/2017/04/FT_17.04.21_WesternEurope_middleClass_1.png">
                      <a:hlinkClick r:id="rId317"/>
                    </pic:cNvPr>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000500" cy="32067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rStyle w:val="Textoennegrita"/>
          <w:color w:val="000000"/>
          <w:bdr w:val="none" w:sz="0" w:space="0" w:color="auto" w:frame="1"/>
          <w:lang w:val="en-US"/>
        </w:rPr>
      </w:pPr>
    </w:p>
    <w:p w:rsidR="00844212" w:rsidRPr="00ED6FE6" w:rsidRDefault="00844212" w:rsidP="00844212">
      <w:pPr>
        <w:pStyle w:val="NormalWeb"/>
        <w:spacing w:before="0" w:beforeAutospacing="0" w:after="0" w:afterAutospacing="0"/>
        <w:jc w:val="both"/>
        <w:textAlignment w:val="baseline"/>
        <w:rPr>
          <w:u w:val="single"/>
          <w:lang w:val="en-US"/>
        </w:rPr>
      </w:pPr>
      <w:r w:rsidRPr="004A21E4">
        <w:rPr>
          <w:rStyle w:val="Textoennegrita"/>
          <w:color w:val="FFC000"/>
          <w:bdr w:val="none" w:sz="0" w:space="0" w:color="auto" w:frame="1"/>
          <w:lang w:val="en-US"/>
        </w:rPr>
        <w:t>1</w:t>
      </w:r>
      <w:r w:rsidRPr="004A21E4">
        <w:rPr>
          <w:rStyle w:val="Textoennegrita"/>
          <w:color w:val="000000"/>
          <w:bdr w:val="none" w:sz="0" w:space="0" w:color="auto" w:frame="1"/>
          <w:lang w:val="en-US"/>
        </w:rPr>
        <w:t>Among Western Europe’s six largest economies, the shares of adults living in middle-income households increased in France, the Netherlands and the United Kingdom, but they shrank in Germany, Italy and Spain.</w:t>
      </w:r>
      <w:r w:rsidRPr="004A21E4">
        <w:rPr>
          <w:color w:val="000000"/>
          <w:lang w:val="en-US"/>
        </w:rPr>
        <w:t> </w:t>
      </w:r>
      <w:r w:rsidRPr="002119AA">
        <w:rPr>
          <w:color w:val="000000"/>
          <w:u w:val="single"/>
          <w:lang w:val="en-US"/>
        </w:rPr>
        <w:t xml:space="preserve">From 1991 to 2010, the middle-class share in the UK increased from 61% to 67%, but it decreased from 78% to 72% in Germany. Among the 11 Western European countries examined, the expansion in the UK was second only to the increase in Ireland, where the share increased from 60% in 1991 to 69% in 2010. The </w:t>
      </w:r>
      <w:r w:rsidRPr="002119AA">
        <w:rPr>
          <w:color w:val="000000"/>
          <w:u w:val="single"/>
          <w:lang w:val="en-US"/>
        </w:rPr>
        <w:lastRenderedPageBreak/>
        <w:t>decrease in Germany was the second largest after Finland, where the middle-class share fell from 82% to 75% over the same period. Overall, the middle-class share of the adult population fell in seven of the 11 Western European countries examined, mirroring the long-</w:t>
      </w:r>
      <w:r w:rsidRPr="00ED6FE6">
        <w:rPr>
          <w:u w:val="single"/>
          <w:lang w:val="en-US"/>
        </w:rPr>
        <w:t>term </w:t>
      </w:r>
      <w:hyperlink r:id="rId321" w:history="1">
        <w:r w:rsidRPr="00ED6FE6">
          <w:rPr>
            <w:rStyle w:val="Hipervnculo"/>
            <w:color w:val="auto"/>
            <w:bdr w:val="none" w:sz="0" w:space="0" w:color="auto" w:frame="1"/>
            <w:lang w:val="en-US"/>
          </w:rPr>
          <w:t>shrinking of the middle class in the U.S.</w:t>
        </w:r>
      </w:hyperlink>
      <w:r w:rsidRPr="00ED6FE6">
        <w:rPr>
          <w:u w:val="single"/>
          <w:lang w:val="en-US"/>
        </w:rPr>
        <w:t> </w:t>
      </w:r>
    </w:p>
    <w:p w:rsidR="00844212" w:rsidRPr="004A21E4"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4A21E4">
        <w:rPr>
          <w:b/>
          <w:bCs/>
          <w:color w:val="EC9F2E"/>
          <w:bdr w:val="none" w:sz="0" w:space="0" w:color="auto" w:frame="1"/>
          <w:lang w:val="en-US"/>
        </w:rPr>
        <w:t>2</w:t>
      </w:r>
      <w:r w:rsidRPr="004A21E4">
        <w:rPr>
          <w:rStyle w:val="Textoennegrita"/>
          <w:color w:val="000000"/>
          <w:bdr w:val="none" w:sz="0" w:space="0" w:color="auto" w:frame="1"/>
          <w:lang w:val="en-US"/>
        </w:rPr>
        <w:t>In most countries studied, decreasing shares of middle-income populations led to rising shares of adults in lower- and upper-income tiers.</w:t>
      </w:r>
      <w:r w:rsidRPr="004A21E4">
        <w:rPr>
          <w:color w:val="000000"/>
          <w:lang w:val="en-US"/>
        </w:rPr>
        <w:t> </w:t>
      </w:r>
      <w:r w:rsidRPr="002119AA">
        <w:rPr>
          <w:color w:val="000000"/>
          <w:u w:val="single"/>
          <w:lang w:val="en-US"/>
        </w:rPr>
        <w:t>These shifts signal a sharpening of economic divisions among households in many Western European countries and the U.S.</w:t>
      </w:r>
      <w:r w:rsidRPr="004A21E4">
        <w:rPr>
          <w:color w:val="000000"/>
          <w:lang w:val="en-US"/>
        </w:rPr>
        <w:t xml:space="preserve"> However, there is also a general improvement in the economic status of adults because the movement up the income ladder was greater than the movement downward in most countries from 1991 to 2010.</w:t>
      </w:r>
    </w:p>
    <w:p w:rsidR="00844212" w:rsidRPr="004A21E4"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2119AA">
        <w:rPr>
          <w:color w:val="000000"/>
          <w:u w:val="single"/>
          <w:lang w:val="en-US"/>
        </w:rPr>
        <w:t>Among the Western European countries examined, the biggest gainers in economic status were the Dutch</w:t>
      </w:r>
      <w:r w:rsidRPr="004A21E4">
        <w:rPr>
          <w:color w:val="000000"/>
          <w:lang w:val="en-US"/>
        </w:rPr>
        <w:t>. In the Netherlands, there was a decrease in the share of adults in the lower-income tier </w:t>
      </w:r>
      <w:r w:rsidRPr="00ED6FE6">
        <w:rPr>
          <w:rStyle w:val="nfasis"/>
          <w:rFonts w:eastAsiaTheme="majorEastAsia"/>
          <w:i w:val="0"/>
          <w:color w:val="000000"/>
          <w:bdr w:val="none" w:sz="0" w:space="0" w:color="auto" w:frame="1"/>
          <w:lang w:val="en-US"/>
        </w:rPr>
        <w:t>and</w:t>
      </w:r>
      <w:r w:rsidRPr="004A21E4">
        <w:rPr>
          <w:color w:val="000000"/>
          <w:lang w:val="en-US"/>
        </w:rPr>
        <w:t xml:space="preserve"> an increase in the share in the upper-income tier, which together yielded a large gain in overall economic status. </w:t>
      </w:r>
      <w:r w:rsidRPr="002119AA">
        <w:rPr>
          <w:color w:val="000000"/>
          <w:u w:val="single"/>
          <w:lang w:val="en-US"/>
        </w:rPr>
        <w:t xml:space="preserve">At the other extreme, the increase in the lower-income share in Spain </w:t>
      </w:r>
      <w:r w:rsidRPr="004A21E4">
        <w:rPr>
          <w:color w:val="000000"/>
          <w:lang w:val="en-US"/>
        </w:rPr>
        <w:t>was much greater than the increase in the upper-income share, for a net loss in economic status from 1991 to 2010.</w:t>
      </w:r>
    </w:p>
    <w:p w:rsidR="00844212" w:rsidRPr="004A21E4"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4A21E4">
        <w:rPr>
          <w:b/>
          <w:bCs/>
          <w:color w:val="EC9F2E"/>
          <w:bdr w:val="none" w:sz="0" w:space="0" w:color="auto" w:frame="1"/>
          <w:lang w:val="en-US"/>
        </w:rPr>
        <w:t>3</w:t>
      </w:r>
      <w:r w:rsidRPr="004A21E4">
        <w:rPr>
          <w:rStyle w:val="Textoennegrita"/>
          <w:color w:val="000000"/>
          <w:bdr w:val="none" w:sz="0" w:space="0" w:color="auto" w:frame="1"/>
          <w:lang w:val="en-US"/>
        </w:rPr>
        <w:t>Compared with Western Europe, the U.S. middle class is smaller.</w:t>
      </w:r>
      <w:r w:rsidRPr="004A21E4">
        <w:rPr>
          <w:color w:val="000000"/>
          <w:lang w:val="en-US"/>
        </w:rPr>
        <w:t> Among the countries examined, the U.S. is the only country in which fewer than six-in-ten adults were in the middle class in 2010. Meanwhile, compared with many Western European countries, greater shares of Americans were either lower income (26%) or upper income (15%). Thus, U.S. households were more economically divided than households in the Western European countries analyzed. In the Western European countries, middle-class shares in 2010 ranged from 64% in Spain to 80% in Denmark and Norway. The share of adults who were lower income was lowest in the Netherlands (13%) and highest in Spain (24%), and upper-income shares ranged from 6% in Norway to 14% in the UK.</w:t>
      </w:r>
    </w:p>
    <w:p w:rsidR="00844212" w:rsidRPr="004A21E4" w:rsidRDefault="00844212" w:rsidP="00844212">
      <w:pPr>
        <w:pStyle w:val="NormalWeb"/>
        <w:spacing w:before="0" w:beforeAutospacing="0" w:after="0" w:afterAutospacing="0"/>
        <w:jc w:val="both"/>
        <w:textAlignment w:val="baseline"/>
        <w:rPr>
          <w:color w:val="000000"/>
          <w:lang w:val="en-US"/>
        </w:rPr>
      </w:pPr>
    </w:p>
    <w:p w:rsidR="00844212" w:rsidRPr="004A21E4" w:rsidRDefault="00844212" w:rsidP="00844212">
      <w:pPr>
        <w:pStyle w:val="NormalWeb"/>
        <w:spacing w:before="0" w:beforeAutospacing="0" w:after="0" w:afterAutospacing="0"/>
        <w:jc w:val="both"/>
        <w:textAlignment w:val="baseline"/>
        <w:rPr>
          <w:b/>
          <w:bCs/>
          <w:color w:val="EC9F2E"/>
          <w:bdr w:val="none" w:sz="0" w:space="0" w:color="auto" w:frame="1"/>
          <w:lang w:val="en-US"/>
        </w:rPr>
      </w:pPr>
      <w:r w:rsidRPr="004A21E4">
        <w:rPr>
          <w:noProof/>
          <w:color w:val="BC7B2B"/>
          <w:bdr w:val="none" w:sz="0" w:space="0" w:color="auto" w:frame="1"/>
        </w:rPr>
        <w:drawing>
          <wp:inline distT="0" distB="0" distL="0" distR="0" wp14:anchorId="6BDA8011" wp14:editId="387009AE">
            <wp:extent cx="4000500" cy="3041650"/>
            <wp:effectExtent l="0" t="0" r="0" b="6350"/>
            <wp:docPr id="231" name="Imagen 231" descr="http://www.pewresearch.org/wp-content/uploads/2017/04/FT_17.04.21_WesternEurope_middleClass_2.png">
              <a:hlinkClick xmlns:a="http://schemas.openxmlformats.org/drawingml/2006/main" r:id="rId3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pewresearch.org/wp-content/uploads/2017/04/FT_17.04.21_WesternEurope_middleClass_2.png">
                      <a:hlinkClick r:id="rId317"/>
                    </pic:cNvPr>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000500" cy="30416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rStyle w:val="Textoennegrita"/>
          <w:color w:val="000000"/>
          <w:bdr w:val="none" w:sz="0" w:space="0" w:color="auto" w:frame="1"/>
          <w:lang w:val="en-US"/>
        </w:rPr>
      </w:pPr>
    </w:p>
    <w:p w:rsidR="00844212" w:rsidRDefault="00844212" w:rsidP="00844212">
      <w:pPr>
        <w:pStyle w:val="NormalWeb"/>
        <w:spacing w:before="0" w:beforeAutospacing="0" w:after="0" w:afterAutospacing="0"/>
        <w:jc w:val="both"/>
        <w:textAlignment w:val="baseline"/>
        <w:rPr>
          <w:color w:val="000000"/>
          <w:lang w:val="en-US"/>
        </w:rPr>
      </w:pPr>
      <w:r>
        <w:rPr>
          <w:b/>
          <w:bCs/>
          <w:color w:val="EC9F2E"/>
          <w:bdr w:val="none" w:sz="0" w:space="0" w:color="auto" w:frame="1"/>
          <w:lang w:val="en-US"/>
        </w:rPr>
        <w:t>4</w:t>
      </w:r>
      <w:r w:rsidRPr="004A21E4">
        <w:rPr>
          <w:rStyle w:val="Textoennegrita"/>
          <w:color w:val="000000"/>
          <w:bdr w:val="none" w:sz="0" w:space="0" w:color="auto" w:frame="1"/>
          <w:lang w:val="en-US"/>
        </w:rPr>
        <w:t>Compared with Western Europe, the U.S. middle class is smaller</w:t>
      </w:r>
      <w:r>
        <w:rPr>
          <w:rStyle w:val="Textoennegrita"/>
          <w:color w:val="000000"/>
          <w:bdr w:val="none" w:sz="0" w:space="0" w:color="auto" w:frame="1"/>
          <w:lang w:val="en-US"/>
        </w:rPr>
        <w:t>.</w:t>
      </w:r>
      <w:r w:rsidRPr="004A21E4">
        <w:rPr>
          <w:color w:val="000000"/>
          <w:lang w:val="en-US"/>
        </w:rPr>
        <w:t xml:space="preserve"> Financially, the American middle class is ahead of the middle classes in the Western European nations in terms of disposable (after-tax) household income, with the exception of Luxembourg. </w:t>
      </w:r>
      <w:r w:rsidRPr="004A21E4">
        <w:rPr>
          <w:color w:val="000000"/>
          <w:lang w:val="en-US"/>
        </w:rPr>
        <w:lastRenderedPageBreak/>
        <w:t>Middle-income households in Luxembourg lived on $</w:t>
      </w:r>
      <w:r w:rsidR="00ED6FE6">
        <w:rPr>
          <w:color w:val="000000"/>
          <w:lang w:val="en-US"/>
        </w:rPr>
        <w:t xml:space="preserve"> </w:t>
      </w:r>
      <w:r w:rsidRPr="004A21E4">
        <w:rPr>
          <w:color w:val="000000"/>
          <w:lang w:val="en-US"/>
        </w:rPr>
        <w:t>71,799 annually in 2010, at the median, followed by $</w:t>
      </w:r>
      <w:r w:rsidR="00ED6FE6">
        <w:rPr>
          <w:color w:val="000000"/>
          <w:lang w:val="en-US"/>
        </w:rPr>
        <w:t xml:space="preserve"> </w:t>
      </w:r>
      <w:r w:rsidRPr="004A21E4">
        <w:rPr>
          <w:color w:val="000000"/>
          <w:lang w:val="en-US"/>
        </w:rPr>
        <w:t>60,884 in the U.S. The middle class in Italy lived on a median income of $</w:t>
      </w:r>
      <w:r w:rsidR="00ED6FE6">
        <w:rPr>
          <w:color w:val="000000"/>
          <w:lang w:val="en-US"/>
        </w:rPr>
        <w:t xml:space="preserve"> </w:t>
      </w:r>
      <w:r w:rsidRPr="004A21E4">
        <w:rPr>
          <w:color w:val="000000"/>
          <w:lang w:val="en-US"/>
        </w:rPr>
        <w:t>35,608, the most modest means</w:t>
      </w:r>
      <w:r>
        <w:rPr>
          <w:color w:val="000000"/>
          <w:lang w:val="en-US"/>
        </w:rPr>
        <w:t>,</w:t>
      </w:r>
      <w:r w:rsidRPr="004A21E4">
        <w:rPr>
          <w:color w:val="000000"/>
          <w:lang w:val="en-US"/>
        </w:rPr>
        <w:t xml:space="preserve"> among the countries analyzed. But lower-income Americans are at the middle of the pack in terms of earnings, lagging behind or barely matching lower-income adults in Luxembourg, Norway, the Netherlands and Denmark. (Incomes are adjusted for household size, scaled to a household size of three, and expressed in 2011 prices and purchasing p</w:t>
      </w:r>
      <w:r>
        <w:rPr>
          <w:color w:val="000000"/>
          <w:lang w:val="en-US"/>
        </w:rPr>
        <w:t>ower parities</w:t>
      </w:r>
      <w:r w:rsidRPr="004A21E4">
        <w:rPr>
          <w:color w:val="000000"/>
          <w:lang w:val="en-US"/>
        </w:rPr>
        <w:t>)</w:t>
      </w: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4A21E4">
        <w:rPr>
          <w:b/>
          <w:bCs/>
          <w:color w:val="EC9F2E"/>
          <w:bdr w:val="none" w:sz="0" w:space="0" w:color="auto" w:frame="1"/>
          <w:lang w:val="en-US"/>
        </w:rPr>
        <w:t>5</w:t>
      </w:r>
      <w:r w:rsidRPr="004A21E4">
        <w:rPr>
          <w:rStyle w:val="Textoennegrita"/>
          <w:color w:val="000000"/>
          <w:bdr w:val="none" w:sz="0" w:space="0" w:color="auto" w:frame="1"/>
          <w:lang w:val="en-US"/>
        </w:rPr>
        <w:t>Compared with the U.S., middle-class households in many Western European countries experienced a greater increase in income.</w:t>
      </w:r>
      <w:r w:rsidRPr="004A21E4">
        <w:rPr>
          <w:color w:val="000000"/>
          <w:lang w:val="en-US"/>
        </w:rPr>
        <w:t> While middle-class incomes in the U.S. are greater than those of most Western European middle classes, the U.S. ranked near the middle when it came to how much that income had increased. In the U.S., the median income of middle-class households rose 9% from 1991 to 2010. Ireland, Norway and the UK led other countries in raising the incomes of households overall and of households within each income tier during that period. The median income of middle-class households in Ireland increased 71%, followed by 48% in Norway. Meanwhile, the incomes of middle-class households in Italy fell significantly (down 20%) and were virtually unchanged in Germany. This trend was also similar for the growth of the incomes of lower- and upper-income households.</w:t>
      </w:r>
    </w:p>
    <w:p w:rsidR="00844212" w:rsidRPr="004A21E4"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4A21E4">
        <w:rPr>
          <w:b/>
          <w:bCs/>
          <w:color w:val="EC9F2E"/>
          <w:bdr w:val="none" w:sz="0" w:space="0" w:color="auto" w:frame="1"/>
          <w:lang w:val="en-US"/>
        </w:rPr>
        <w:t>6</w:t>
      </w:r>
      <w:r w:rsidRPr="004A21E4">
        <w:rPr>
          <w:rStyle w:val="Textoennegrita"/>
          <w:color w:val="000000"/>
          <w:bdr w:val="none" w:sz="0" w:space="0" w:color="auto" w:frame="1"/>
          <w:lang w:val="en-US"/>
        </w:rPr>
        <w:t>In most countries examined, the share of the country’s aggregate household income held by middle-income households fell from 1991 to 2010.</w:t>
      </w:r>
      <w:r w:rsidRPr="004A21E4">
        <w:rPr>
          <w:color w:val="000000"/>
          <w:lang w:val="en-US"/>
        </w:rPr>
        <w:t> The most substantial decrease in the share of aggregate household income held by the middle class occurred in Finland, where the share fell from 85% in 1991 to 74% in 2010. Other notable decreases in the share held by the middle class included Germany, where it fell from 77% to 70%, and the U.S., where the share slipped from 62% to 56%. Ireland and the UK are the only countries in which the shares of aggregate household income held by the middle class increased from 1991 to 2010.</w:t>
      </w: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4A21E4">
        <w:rPr>
          <w:noProof/>
          <w:color w:val="BC7B2B"/>
          <w:bdr w:val="none" w:sz="0" w:space="0" w:color="auto" w:frame="1"/>
        </w:rPr>
        <w:drawing>
          <wp:inline distT="0" distB="0" distL="0" distR="0" wp14:anchorId="3D303BA4" wp14:editId="7E6CDDD6">
            <wp:extent cx="3956050" cy="3295650"/>
            <wp:effectExtent l="0" t="0" r="6350" b="0"/>
            <wp:docPr id="232" name="Imagen 232" descr="http://assets.pewresearch.org/wp-content/uploads/sites/2/2017/04/20141706/ST_2017.04.24_Western-Europe-Middle-Class_1-02.png">
              <a:hlinkClick xmlns:a="http://schemas.openxmlformats.org/drawingml/2006/main" r:id="rId3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assets.pewresearch.org/wp-content/uploads/sites/2/2017/04/20141706/ST_2017.04.24_Western-Europe-Middle-Class_1-02.png">
                      <a:hlinkClick r:id="rId317"/>
                    </pic:cNvPr>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956050" cy="32956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Pr="004A21E4" w:rsidRDefault="00844212" w:rsidP="00844212">
      <w:pPr>
        <w:pStyle w:val="NormalWeb"/>
        <w:spacing w:before="0" w:beforeAutospacing="0" w:after="0" w:afterAutospacing="0"/>
        <w:jc w:val="both"/>
        <w:textAlignment w:val="baseline"/>
        <w:rPr>
          <w:color w:val="000000"/>
          <w:lang w:val="en-US"/>
        </w:rPr>
      </w:pPr>
      <w:r>
        <w:rPr>
          <w:b/>
          <w:bCs/>
          <w:color w:val="EC9F2E"/>
          <w:bdr w:val="none" w:sz="0" w:space="0" w:color="auto" w:frame="1"/>
          <w:lang w:val="en-US"/>
        </w:rPr>
        <w:lastRenderedPageBreak/>
        <w:t>7</w:t>
      </w:r>
      <w:r w:rsidRPr="004A21E4">
        <w:rPr>
          <w:rStyle w:val="Textoennegrita"/>
          <w:color w:val="000000"/>
          <w:bdr w:val="none" w:sz="0" w:space="0" w:color="auto" w:frame="1"/>
          <w:lang w:val="en-US"/>
        </w:rPr>
        <w:t>Income inequality is related to the size of the middle class in a country.</w:t>
      </w:r>
      <w:r w:rsidRPr="004A21E4">
        <w:rPr>
          <w:color w:val="000000"/>
          <w:lang w:val="en-US"/>
        </w:rPr>
        <w:t> The shares of adults who are in the lower-, middle- or upper-income tiers in a country are related to the country</w:t>
      </w:r>
      <w:r>
        <w:rPr>
          <w:color w:val="000000"/>
          <w:lang w:val="en-US"/>
        </w:rPr>
        <w:t>’s degree of income inequality -</w:t>
      </w:r>
      <w:r w:rsidRPr="004A21E4">
        <w:rPr>
          <w:color w:val="000000"/>
          <w:lang w:val="en-US"/>
        </w:rPr>
        <w:t xml:space="preserve"> that is, the gap between the earnings of households near the top of the income distribution and those near the bottom. Countries where incomes are more equal have larger shares of middle-income adults, and vice versa. In 2010, Denmark, the Netherlands and Norway, which had the largest middle-income tiers, had lower to moderate levels of income inequality. The U.S. and Spain stood at the other end, with the smallest middle-income tiers and among the highest levels of income inequality.</w:t>
      </w:r>
    </w:p>
    <w:p w:rsidR="00844212" w:rsidRPr="004A21E4"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iCs/>
          <w:lang w:val="en-US"/>
        </w:rPr>
      </w:pPr>
      <w:r w:rsidRPr="00ED6FE6">
        <w:rPr>
          <w:lang w:val="en-US"/>
        </w:rPr>
        <w:t>(</w:t>
      </w:r>
      <w:hyperlink r:id="rId324" w:history="1">
        <w:r w:rsidRPr="00ED6FE6">
          <w:rPr>
            <w:rStyle w:val="Hipervnculo"/>
            <w:color w:val="auto"/>
            <w:u w:val="none"/>
            <w:bdr w:val="none" w:sz="0" w:space="0" w:color="auto" w:frame="1"/>
            <w:lang w:val="en-US"/>
          </w:rPr>
          <w:t>Rakesh Kochhar</w:t>
        </w:r>
      </w:hyperlink>
      <w:r w:rsidRPr="004F3302">
        <w:rPr>
          <w:iCs/>
          <w:lang w:val="en-US"/>
        </w:rPr>
        <w:t> is an associate director of research at Pew Research Center</w:t>
      </w:r>
      <w:r w:rsidRPr="004A21E4">
        <w:rPr>
          <w:iCs/>
          <w:lang w:val="en-US"/>
        </w:rPr>
        <w:t>)</w:t>
      </w:r>
    </w:p>
    <w:p w:rsidR="00844212" w:rsidRPr="00115C94" w:rsidRDefault="00844212" w:rsidP="00844212">
      <w:pPr>
        <w:pStyle w:val="Ttulo1"/>
        <w:spacing w:before="300" w:after="150" w:line="240" w:lineRule="auto"/>
        <w:jc w:val="both"/>
        <w:textAlignment w:val="baseline"/>
        <w:rPr>
          <w:rFonts w:ascii="Times New Roman" w:hAnsi="Times New Roman" w:cs="Times New Roman"/>
          <w:b w:val="0"/>
          <w:color w:val="000000"/>
          <w:sz w:val="24"/>
          <w:szCs w:val="24"/>
          <w:lang w:val="en-US"/>
        </w:rPr>
      </w:pPr>
      <w:r>
        <w:rPr>
          <w:rFonts w:ascii="Times New Roman" w:hAnsi="Times New Roman" w:cs="Times New Roman"/>
          <w:b w:val="0"/>
          <w:color w:val="000000"/>
          <w:sz w:val="24"/>
          <w:szCs w:val="24"/>
          <w:lang w:val="en-US"/>
        </w:rPr>
        <w:t xml:space="preserve">- </w:t>
      </w:r>
      <w:r w:rsidRPr="00115C94">
        <w:rPr>
          <w:rFonts w:ascii="Times New Roman" w:hAnsi="Times New Roman" w:cs="Times New Roman"/>
          <w:b w:val="0"/>
          <w:color w:val="000000"/>
          <w:sz w:val="24"/>
          <w:szCs w:val="24"/>
          <w:u w:val="single"/>
          <w:lang w:val="en-US"/>
        </w:rPr>
        <w:t>Middle Class Fortunes in Western Europe</w:t>
      </w:r>
      <w:r>
        <w:rPr>
          <w:rFonts w:ascii="Times New Roman" w:hAnsi="Times New Roman" w:cs="Times New Roman"/>
          <w:b w:val="0"/>
          <w:color w:val="000000"/>
          <w:sz w:val="24"/>
          <w:szCs w:val="24"/>
          <w:lang w:val="en-US"/>
        </w:rPr>
        <w:t xml:space="preserve"> (Pew Research Center - </w:t>
      </w:r>
      <w:r w:rsidRPr="00115C94">
        <w:rPr>
          <w:rFonts w:ascii="Times New Roman" w:hAnsi="Times New Roman" w:cs="Times New Roman"/>
          <w:color w:val="000000"/>
          <w:sz w:val="24"/>
          <w:szCs w:val="24"/>
          <w:lang w:val="en-US"/>
        </w:rPr>
        <w:t>24/4/17</w:t>
      </w:r>
      <w:r>
        <w:rPr>
          <w:rFonts w:ascii="Times New Roman" w:hAnsi="Times New Roman" w:cs="Times New Roman"/>
          <w:b w:val="0"/>
          <w:color w:val="000000"/>
          <w:sz w:val="24"/>
          <w:szCs w:val="24"/>
          <w:lang w:val="en-US"/>
        </w:rPr>
        <w:t>)</w:t>
      </w:r>
    </w:p>
    <w:p w:rsidR="00844212" w:rsidRPr="00162123" w:rsidRDefault="00844212" w:rsidP="00844212">
      <w:pPr>
        <w:pStyle w:val="subhead"/>
        <w:spacing w:before="133" w:beforeAutospacing="0" w:after="267" w:afterAutospacing="0"/>
        <w:jc w:val="both"/>
        <w:textAlignment w:val="baseline"/>
        <w:rPr>
          <w:iCs/>
          <w:color w:val="FF0000"/>
          <w:u w:val="single"/>
          <w:lang w:val="en-US"/>
        </w:rPr>
      </w:pPr>
      <w:r w:rsidRPr="00162123">
        <w:rPr>
          <w:iCs/>
          <w:color w:val="FF0000"/>
          <w:u w:val="single"/>
          <w:lang w:val="en-US"/>
        </w:rPr>
        <w:t>From 1991 to 2010, the middle class expands in France, the Netherlands and the United Kingdom, but, as in the United States, shrinks in Germany, Italy and Spain</w:t>
      </w:r>
    </w:p>
    <w:p w:rsidR="00844212" w:rsidRPr="00115C94" w:rsidRDefault="00844212" w:rsidP="00844212">
      <w:pPr>
        <w:pStyle w:val="subhead"/>
        <w:spacing w:before="133" w:beforeAutospacing="0" w:after="267" w:afterAutospacing="0"/>
        <w:jc w:val="both"/>
        <w:textAlignment w:val="baseline"/>
        <w:rPr>
          <w:iCs/>
          <w:color w:val="000000"/>
          <w:lang w:val="en-US"/>
        </w:rPr>
      </w:pPr>
      <w:r>
        <w:rPr>
          <w:iCs/>
          <w:color w:val="000000"/>
          <w:lang w:val="en-US"/>
        </w:rPr>
        <w:t>(By Rakesh Kochhar)</w:t>
      </w:r>
    </w:p>
    <w:p w:rsidR="00844212" w:rsidRPr="00162123" w:rsidRDefault="00844212" w:rsidP="00844212">
      <w:pPr>
        <w:pStyle w:val="NormalWeb"/>
        <w:spacing w:before="0" w:beforeAutospacing="0" w:after="0" w:afterAutospacing="0"/>
        <w:jc w:val="both"/>
        <w:textAlignment w:val="baseline"/>
        <w:rPr>
          <w:rStyle w:val="nfasis"/>
          <w:rFonts w:eastAsiaTheme="majorEastAsia"/>
          <w:i w:val="0"/>
          <w:color w:val="000000"/>
          <w:bdr w:val="none" w:sz="0" w:space="0" w:color="auto" w:frame="1"/>
          <w:lang w:val="en-US"/>
        </w:rPr>
      </w:pPr>
      <w:r w:rsidRPr="00162123">
        <w:rPr>
          <w:rStyle w:val="nfasis"/>
          <w:rFonts w:eastAsiaTheme="majorEastAsia"/>
          <w:color w:val="000000"/>
          <w:bdr w:val="none" w:sz="0" w:space="0" w:color="auto" w:frame="1"/>
          <w:lang w:val="en-US"/>
        </w:rPr>
        <w:t>Updated May 25, 2017: This version of the report includes a note in methodology clarifying that the 1991 estimates for Germany are based on a sample of West German households only.</w:t>
      </w:r>
    </w:p>
    <w:p w:rsidR="00844212" w:rsidRPr="00162123" w:rsidRDefault="00844212" w:rsidP="00844212">
      <w:pPr>
        <w:pStyle w:val="NormalWeb"/>
        <w:spacing w:before="0" w:beforeAutospacing="0" w:after="0" w:afterAutospacing="0"/>
        <w:jc w:val="both"/>
        <w:textAlignment w:val="baseline"/>
        <w:rPr>
          <w:rStyle w:val="nfasis"/>
          <w:rFonts w:eastAsiaTheme="majorEastAsia"/>
          <w:i w:val="0"/>
          <w:color w:val="000000"/>
          <w:bdr w:val="none" w:sz="0" w:space="0" w:color="auto" w:frame="1"/>
          <w:lang w:val="en-US"/>
        </w:rPr>
      </w:pPr>
    </w:p>
    <w:p w:rsidR="00844212" w:rsidRPr="00162123" w:rsidRDefault="00844212" w:rsidP="00844212">
      <w:pPr>
        <w:pStyle w:val="NormalWeb"/>
        <w:spacing w:before="0" w:beforeAutospacing="0" w:after="0" w:afterAutospacing="0"/>
        <w:jc w:val="both"/>
        <w:textAlignment w:val="baseline"/>
        <w:rPr>
          <w:color w:val="000000"/>
          <w:u w:val="single"/>
          <w:bdr w:val="none" w:sz="0" w:space="0" w:color="auto" w:frame="1"/>
          <w:lang w:val="en-US"/>
        </w:rPr>
      </w:pPr>
      <w:r w:rsidRPr="00162123">
        <w:rPr>
          <w:color w:val="000000"/>
          <w:u w:val="single"/>
          <w:lang w:val="en-US"/>
        </w:rPr>
        <w:t>The fortunes of the middle classes in Western Europe’s largest economies are moving in opposite directions. From 1991 to 2010, the shares of adults living in middle-income households increased in France, the Netherlands and the United Kingdom, but shrank in Germany, Italy and Spain.</w:t>
      </w:r>
    </w:p>
    <w:p w:rsidR="00844212" w:rsidRPr="00115C94"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115C94">
        <w:rPr>
          <w:noProof/>
          <w:color w:val="BC7B2B"/>
          <w:bdr w:val="none" w:sz="0" w:space="0" w:color="auto" w:frame="1"/>
        </w:rPr>
        <w:drawing>
          <wp:inline distT="0" distB="0" distL="0" distR="0" wp14:anchorId="31876416" wp14:editId="321777E2">
            <wp:extent cx="4000500" cy="3981450"/>
            <wp:effectExtent l="0" t="0" r="0" b="0"/>
            <wp:docPr id="233" name="Imagen 233" descr="http://www.pewresearch.org/wp-content/uploads/sites/2/2017/04/ST_2017.04.24_Western-Europe-Middle-Class_0-01.png">
              <a:hlinkClick xmlns:a="http://schemas.openxmlformats.org/drawingml/2006/main" r:id="rId3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www.pewresearch.org/wp-content/uploads/sites/2/2017/04/ST_2017.04.24_Western-Europe-Middle-Class_0-01.png">
                      <a:hlinkClick r:id="rId325"/>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00500" cy="3981450"/>
                    </a:xfrm>
                    <a:prstGeom prst="rect">
                      <a:avLst/>
                    </a:prstGeom>
                    <a:noFill/>
                    <a:ln>
                      <a:noFill/>
                    </a:ln>
                  </pic:spPr>
                </pic:pic>
              </a:graphicData>
            </a:graphic>
          </wp:inline>
        </w:drawing>
      </w:r>
    </w:p>
    <w:p w:rsidR="00844212" w:rsidRPr="00115C94" w:rsidRDefault="00844212" w:rsidP="00844212">
      <w:pPr>
        <w:pStyle w:val="NormalWeb"/>
        <w:spacing w:before="0" w:beforeAutospacing="0" w:after="0" w:afterAutospacing="0"/>
        <w:jc w:val="both"/>
        <w:textAlignment w:val="baseline"/>
        <w:rPr>
          <w:color w:val="000000"/>
          <w:lang w:val="en-US"/>
        </w:rPr>
      </w:pPr>
    </w:p>
    <w:p w:rsidR="00844212" w:rsidRPr="00115C94" w:rsidRDefault="00844212" w:rsidP="00844212">
      <w:pPr>
        <w:pStyle w:val="NormalWeb"/>
        <w:spacing w:before="0" w:beforeAutospacing="0" w:after="300" w:afterAutospacing="0"/>
        <w:jc w:val="both"/>
        <w:textAlignment w:val="baseline"/>
        <w:rPr>
          <w:color w:val="000000"/>
          <w:lang w:val="en-US"/>
        </w:rPr>
      </w:pPr>
      <w:r w:rsidRPr="00115C94">
        <w:rPr>
          <w:color w:val="000000"/>
          <w:lang w:val="en-US"/>
        </w:rPr>
        <w:lastRenderedPageBreak/>
        <w:t>The divergent trajectories are linked to differences in how the incomes of households overall in these countries have evolved. France, the Netherlands and the UK experienced notable growth in disposable (after-tax) household income from 1991 to 2010. Meanwhile, incomes were either stagnant or falling in Germany, Italy and Spain.</w:t>
      </w:r>
    </w:p>
    <w:p w:rsidR="00844212" w:rsidRPr="00162123" w:rsidRDefault="00844212" w:rsidP="00844212">
      <w:pPr>
        <w:pStyle w:val="NormalWeb"/>
        <w:spacing w:before="0" w:beforeAutospacing="0" w:after="0" w:afterAutospacing="0"/>
        <w:jc w:val="both"/>
        <w:textAlignment w:val="baseline"/>
        <w:rPr>
          <w:color w:val="000000"/>
          <w:u w:val="single"/>
          <w:lang w:val="en-US"/>
        </w:rPr>
      </w:pPr>
      <w:r w:rsidRPr="00162123">
        <w:rPr>
          <w:color w:val="000000"/>
          <w:u w:val="single"/>
          <w:lang w:val="en-US"/>
        </w:rPr>
        <w:t>Among the 11 Western European countries examined in this report, Ireland experienced the most rapid growth in income from 1991 to 2010 </w:t>
      </w:r>
      <w:r w:rsidRPr="00162123">
        <w:rPr>
          <w:rStyle w:val="nfasis"/>
          <w:rFonts w:eastAsiaTheme="majorEastAsia"/>
          <w:color w:val="000000"/>
          <w:u w:val="single"/>
          <w:bdr w:val="none" w:sz="0" w:space="0" w:color="auto" w:frame="1"/>
          <w:lang w:val="en-US"/>
        </w:rPr>
        <w:t>and</w:t>
      </w:r>
      <w:r w:rsidRPr="00162123">
        <w:rPr>
          <w:color w:val="000000"/>
          <w:u w:val="single"/>
          <w:lang w:val="en-US"/>
        </w:rPr>
        <w:t> the biggest expansion of the middle class. Several other countries in Western Europe also experienced large gains in household income. However, rising incomes did not translate into expanding middle classes in these countries. This group of countries includes Denmark, Luxembourg and Norway.</w:t>
      </w:r>
    </w:p>
    <w:p w:rsidR="00844212" w:rsidRPr="00115C94" w:rsidRDefault="00844212" w:rsidP="00844212">
      <w:pPr>
        <w:pStyle w:val="NormalWeb"/>
        <w:spacing w:before="0" w:beforeAutospacing="0" w:after="0" w:afterAutospacing="0"/>
        <w:jc w:val="both"/>
        <w:textAlignment w:val="baseline"/>
        <w:rPr>
          <w:color w:val="000000"/>
          <w:lang w:val="en-US"/>
        </w:rPr>
      </w:pPr>
    </w:p>
    <w:p w:rsidR="00844212" w:rsidRPr="00ED6FE6" w:rsidRDefault="00844212" w:rsidP="00844212">
      <w:pPr>
        <w:pStyle w:val="NormalWeb"/>
        <w:spacing w:before="0" w:beforeAutospacing="0" w:after="0" w:afterAutospacing="0"/>
        <w:jc w:val="both"/>
        <w:textAlignment w:val="baseline"/>
        <w:rPr>
          <w:lang w:val="en-US"/>
        </w:rPr>
      </w:pPr>
      <w:r w:rsidRPr="00ED6FE6">
        <w:rPr>
          <w:lang w:val="en-US"/>
        </w:rPr>
        <w:t>Overall, the middle-class share of the adult population fell in seven of the 11 Western European countries examined, mirroring the long-term </w:t>
      </w:r>
      <w:hyperlink r:id="rId326" w:history="1">
        <w:r w:rsidRPr="00ED6FE6">
          <w:rPr>
            <w:rStyle w:val="Hipervnculo"/>
            <w:color w:val="auto"/>
            <w:u w:val="none"/>
            <w:bdr w:val="none" w:sz="0" w:space="0" w:color="auto" w:frame="1"/>
            <w:lang w:val="en-US"/>
          </w:rPr>
          <w:t>shrinking of the middle class</w:t>
        </w:r>
      </w:hyperlink>
      <w:r w:rsidRPr="00ED6FE6">
        <w:rPr>
          <w:lang w:val="en-US"/>
        </w:rPr>
        <w:t> in the United States. In part, the shift out of the middle class is a sign of economic progress, irrespective of changes in household incomes overall. This is because the outward shift is accompanied by a move up the income ladder, into the upper-income tier, in all countries with a shrinking middle class.</w:t>
      </w:r>
    </w:p>
    <w:p w:rsidR="00844212" w:rsidRPr="00ED6FE6" w:rsidRDefault="00844212" w:rsidP="00844212">
      <w:pPr>
        <w:pStyle w:val="NormalWeb"/>
        <w:spacing w:before="0" w:beforeAutospacing="0" w:after="0" w:afterAutospacing="0"/>
        <w:jc w:val="both"/>
        <w:textAlignment w:val="baseline"/>
        <w:rPr>
          <w:lang w:val="en-US"/>
        </w:rPr>
      </w:pPr>
    </w:p>
    <w:p w:rsidR="00844212" w:rsidRPr="00115C94" w:rsidRDefault="00844212" w:rsidP="00844212">
      <w:pPr>
        <w:pStyle w:val="NormalWeb"/>
        <w:spacing w:before="0" w:beforeAutospacing="0" w:after="300" w:afterAutospacing="0"/>
        <w:jc w:val="both"/>
        <w:textAlignment w:val="baseline"/>
        <w:rPr>
          <w:color w:val="000000"/>
          <w:lang w:val="en-US"/>
        </w:rPr>
      </w:pPr>
      <w:r w:rsidRPr="00115C94">
        <w:rPr>
          <w:color w:val="000000"/>
          <w:lang w:val="en-US"/>
        </w:rPr>
        <w:t>At the same time, there is movement down the income ladder in most countries with a shrinking middle class. Overall, there is a greater movement up the income ladder than downward in most countries from 1991 to 2010, resulting in a general improvement in economic status.</w:t>
      </w:r>
    </w:p>
    <w:p w:rsidR="00844212" w:rsidRPr="00115C94" w:rsidRDefault="00844212" w:rsidP="00844212">
      <w:pPr>
        <w:spacing w:line="240" w:lineRule="auto"/>
        <w:jc w:val="both"/>
        <w:rPr>
          <w:rFonts w:ascii="Times New Roman" w:hAnsi="Times New Roman" w:cs="Times New Roman"/>
          <w:sz w:val="24"/>
          <w:szCs w:val="24"/>
        </w:rPr>
      </w:pPr>
      <w:r w:rsidRPr="00115C94">
        <w:rPr>
          <w:rFonts w:ascii="Times New Roman" w:hAnsi="Times New Roman" w:cs="Times New Roman"/>
          <w:noProof/>
          <w:color w:val="BC7B2B"/>
          <w:sz w:val="24"/>
          <w:szCs w:val="24"/>
          <w:bdr w:val="none" w:sz="0" w:space="0" w:color="auto" w:frame="1"/>
          <w:lang w:eastAsia="es-ES"/>
        </w:rPr>
        <w:drawing>
          <wp:inline distT="0" distB="0" distL="0" distR="0" wp14:anchorId="495EF56A" wp14:editId="5AF9B4F4">
            <wp:extent cx="5715000" cy="3625850"/>
            <wp:effectExtent l="0" t="0" r="0" b="0"/>
            <wp:docPr id="234" name="Imagen 234" descr="http://www.pewresearch.org/wp-content/uploads/sites/2/2017/04/ST_2017.04.24_Western-Europe-Middle-Class_0-02.png">
              <a:hlinkClick xmlns:a="http://schemas.openxmlformats.org/drawingml/2006/main" r:id="rId3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pewresearch.org/wp-content/uploads/sites/2/2017/04/ST_2017.04.24_Western-Europe-Middle-Class_0-02.png">
                      <a:hlinkClick r:id="rId327"/>
                    </pic:cNvP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15000" cy="36258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r w:rsidRPr="00115C94">
        <w:rPr>
          <w:color w:val="000000"/>
          <w:lang w:val="en-US"/>
        </w:rPr>
        <w:t>But there is also a sharpening of economic divisions across households in many Western European countries and in the U.S. as relatively more adults are in the lower- and upper-income tiers and relatively fewer are in the middle.</w:t>
      </w:r>
    </w:p>
    <w:p w:rsidR="00BB4209" w:rsidRDefault="00BB4209" w:rsidP="00844212">
      <w:pPr>
        <w:pStyle w:val="NormalWeb"/>
        <w:spacing w:before="0" w:beforeAutospacing="0" w:after="0" w:afterAutospacing="0"/>
        <w:jc w:val="both"/>
        <w:textAlignment w:val="baseline"/>
        <w:rPr>
          <w:color w:val="000000"/>
          <w:lang w:val="en-US"/>
        </w:rPr>
      </w:pPr>
    </w:p>
    <w:p w:rsidR="00844212" w:rsidRPr="00162123" w:rsidRDefault="00844212" w:rsidP="00844212">
      <w:pPr>
        <w:pStyle w:val="NormalWeb"/>
        <w:spacing w:after="0"/>
        <w:jc w:val="both"/>
        <w:textAlignment w:val="baseline"/>
        <w:rPr>
          <w:b/>
          <w:color w:val="000000"/>
          <w:lang w:val="en-US"/>
        </w:rPr>
      </w:pPr>
      <w:r w:rsidRPr="00162123">
        <w:rPr>
          <w:b/>
          <w:color w:val="000000"/>
          <w:lang w:val="en-US"/>
        </w:rPr>
        <w:lastRenderedPageBreak/>
        <w:t>Who is middle income?</w:t>
      </w:r>
    </w:p>
    <w:p w:rsidR="00844212" w:rsidRPr="00162123" w:rsidRDefault="00844212" w:rsidP="00844212">
      <w:pPr>
        <w:pStyle w:val="NormalWeb"/>
        <w:spacing w:after="0"/>
        <w:jc w:val="both"/>
        <w:textAlignment w:val="baseline"/>
        <w:rPr>
          <w:color w:val="000000"/>
          <w:lang w:val="en-US"/>
        </w:rPr>
      </w:pPr>
      <w:r w:rsidRPr="00162123">
        <w:rPr>
          <w:color w:val="000000"/>
          <w:lang w:val="en-US"/>
        </w:rPr>
        <w:t>In this report, “middle-income” adults have annual disposable household incomes from two-thirds to double the national median disposable household income, after incomes have been adjusted for household size. Disposable income -earnings from all sources, including government transfers, less income taxes and social security contributions- is the only comparable metric across countries in the LIS data for all years of interest. The income boundaries vary across countries, depending on a country’s own median disposable household income. Thus, the living standards of the middle class and of households in other income tiers also vary across countries. The income needed to be middle class also changes over time with changes in the na</w:t>
      </w:r>
      <w:r>
        <w:rPr>
          <w:color w:val="000000"/>
          <w:lang w:val="en-US"/>
        </w:rPr>
        <w:t>tional median household income.</w:t>
      </w:r>
    </w:p>
    <w:p w:rsidR="00844212" w:rsidRPr="00162123" w:rsidRDefault="00844212" w:rsidP="00844212">
      <w:pPr>
        <w:pStyle w:val="NormalWeb"/>
        <w:spacing w:after="0"/>
        <w:jc w:val="both"/>
        <w:textAlignment w:val="baseline"/>
        <w:rPr>
          <w:color w:val="000000"/>
          <w:lang w:val="en-US"/>
        </w:rPr>
      </w:pPr>
      <w:r w:rsidRPr="00162123">
        <w:rPr>
          <w:color w:val="000000"/>
          <w:lang w:val="en-US"/>
        </w:rPr>
        <w:t xml:space="preserve">The use of disposable household income as the metric for defining income tiers sets this report apart from previous analyses by Pew Research Center that use gross (pretax) household income as the metric. On the basis of gross income in 2010, 51% of American adults were estimated to live in middle-income households. But on the basis of disposable household income in 2010, 59% of Americans were middle income. The share of adults who are middle income is estimated to be higher if disposable income is used because the progressive design of income taxes reduces the disparity in incomes across households. </w:t>
      </w:r>
    </w:p>
    <w:p w:rsidR="00844212" w:rsidRPr="00162123" w:rsidRDefault="00844212" w:rsidP="00844212">
      <w:pPr>
        <w:pStyle w:val="NormalWeb"/>
        <w:spacing w:after="0"/>
        <w:jc w:val="both"/>
        <w:textAlignment w:val="baseline"/>
        <w:rPr>
          <w:color w:val="000000"/>
          <w:lang w:val="en-US"/>
        </w:rPr>
      </w:pPr>
      <w:r w:rsidRPr="00162123">
        <w:rPr>
          <w:color w:val="000000"/>
          <w:lang w:val="en-US"/>
        </w:rPr>
        <w:t>These are among the key findings from a new comparative, cross-national analysis by Pew Research Center, using data from the Cross-National Data Center in Luxembourg (LIS), a research center that harmonizes and provides access to data from government surveys and other sources. The study covers the period 1991-2010 for the following countries: Denmark, Finland, France, Germany, Ireland, Italy, Luxembourg, the Netherlands, Norway, Spain, the UK and the U.S. Estimates for 2013 for eight of these countries are presented in Appendix A.3</w:t>
      </w:r>
    </w:p>
    <w:p w:rsidR="00844212" w:rsidRPr="00162123" w:rsidRDefault="00844212" w:rsidP="00844212">
      <w:pPr>
        <w:pStyle w:val="NormalWeb"/>
        <w:spacing w:after="0"/>
        <w:jc w:val="both"/>
        <w:textAlignment w:val="baseline"/>
        <w:rPr>
          <w:color w:val="000000"/>
          <w:lang w:val="en-US"/>
        </w:rPr>
      </w:pPr>
      <w:r w:rsidRPr="00162123">
        <w:rPr>
          <w:color w:val="000000"/>
          <w:lang w:val="en-US"/>
        </w:rPr>
        <w:t>In this report, “middle-class” adults live in households with disposable incomes ranging from two-thirds to double the national median disposable household income. Disposable income includes earnings from work, interest and dividend income, rental income, and transfer income such as government assistance and family transfers, but subtracts income taxes and social security contributions. It is the only measure of income comparable across al</w:t>
      </w:r>
      <w:r>
        <w:rPr>
          <w:color w:val="000000"/>
          <w:lang w:val="en-US"/>
        </w:rPr>
        <w:t>l countries in the source data.</w:t>
      </w:r>
    </w:p>
    <w:p w:rsidR="00844212" w:rsidRPr="00162123" w:rsidRDefault="00844212" w:rsidP="00844212">
      <w:pPr>
        <w:pStyle w:val="NormalWeb"/>
        <w:spacing w:after="0"/>
        <w:jc w:val="both"/>
        <w:textAlignment w:val="baseline"/>
        <w:rPr>
          <w:color w:val="000000"/>
          <w:lang w:val="en-US"/>
        </w:rPr>
      </w:pPr>
      <w:r w:rsidRPr="00162123">
        <w:rPr>
          <w:color w:val="000000"/>
          <w:lang w:val="en-US"/>
        </w:rPr>
        <w:t>Estimates of income in this report are adjusted for household size and expressed in 2011 prices and purchasing power parities. This allows for comparisons across households of different sizes while adjusting for cost-of-living differences over time and across countries. Also, incomes are scaled to reflect a household size of three for reporting purposes. The average size of a household in the U.S. is 2.5 and is between two and three in th</w:t>
      </w:r>
      <w:r>
        <w:rPr>
          <w:color w:val="000000"/>
          <w:lang w:val="en-US"/>
        </w:rPr>
        <w:t xml:space="preserve">e countries in Western Europe. </w:t>
      </w:r>
    </w:p>
    <w:p w:rsidR="00844212" w:rsidRPr="00162123" w:rsidRDefault="00844212" w:rsidP="00844212">
      <w:pPr>
        <w:pStyle w:val="NormalWeb"/>
        <w:spacing w:after="0"/>
        <w:jc w:val="both"/>
        <w:textAlignment w:val="baseline"/>
        <w:rPr>
          <w:color w:val="000000"/>
          <w:lang w:val="en-US"/>
        </w:rPr>
      </w:pPr>
      <w:r w:rsidRPr="00162123">
        <w:rPr>
          <w:color w:val="000000"/>
          <w:lang w:val="en-US"/>
        </w:rPr>
        <w:t>By world standards, the countries featured in this report are all high income. The demarcation of their lower-, middle- and upper-income tiers is based on the relative well-being of households within these countries. Middle-income households in Western Europe and in the U.S. are in the highest income tiers globally, and most lower-income households in these countries would</w:t>
      </w:r>
      <w:r>
        <w:rPr>
          <w:color w:val="000000"/>
          <w:lang w:val="en-US"/>
        </w:rPr>
        <w:t xml:space="preserve"> be in the global middle class.</w:t>
      </w:r>
    </w:p>
    <w:p w:rsidR="00844212" w:rsidRDefault="00844212" w:rsidP="00844212">
      <w:pPr>
        <w:pStyle w:val="NormalWeb"/>
        <w:spacing w:after="0"/>
        <w:jc w:val="both"/>
        <w:textAlignment w:val="baseline"/>
        <w:rPr>
          <w:color w:val="000000"/>
          <w:lang w:val="en-US"/>
        </w:rPr>
      </w:pPr>
      <w:r w:rsidRPr="00162123">
        <w:rPr>
          <w:color w:val="000000"/>
          <w:lang w:val="en-US"/>
        </w:rPr>
        <w:t xml:space="preserve">Some of the report’s findings may reflect the impact of the Great Recession of 2007-2009 that was felt across the U.S. and Western Europe, perhaps most deeply in Ireland, Italy and </w:t>
      </w:r>
      <w:r w:rsidRPr="00162123">
        <w:rPr>
          <w:color w:val="000000"/>
          <w:lang w:val="en-US"/>
        </w:rPr>
        <w:lastRenderedPageBreak/>
        <w:t>Spain. More specifically, it is likely that income levels in 2010 were below what they might have been absent t</w:t>
      </w:r>
      <w:r>
        <w:rPr>
          <w:color w:val="000000"/>
          <w:lang w:val="en-US"/>
        </w:rPr>
        <w:t>he recession in most countries.</w:t>
      </w:r>
    </w:p>
    <w:p w:rsidR="00844212" w:rsidRPr="00162123" w:rsidRDefault="00844212" w:rsidP="00844212">
      <w:pPr>
        <w:pStyle w:val="NormalWeb"/>
        <w:spacing w:after="0"/>
        <w:jc w:val="both"/>
        <w:textAlignment w:val="baseline"/>
        <w:rPr>
          <w:b/>
          <w:color w:val="000000"/>
          <w:lang w:val="en-US"/>
        </w:rPr>
      </w:pPr>
      <w:r w:rsidRPr="00162123">
        <w:rPr>
          <w:b/>
          <w:color w:val="000000"/>
          <w:lang w:val="en-US"/>
        </w:rPr>
        <w:t>Middle income or middle class?</w:t>
      </w:r>
    </w:p>
    <w:p w:rsidR="00844212" w:rsidRPr="00162123" w:rsidRDefault="00844212" w:rsidP="00844212">
      <w:pPr>
        <w:pStyle w:val="NormalWeb"/>
        <w:spacing w:after="0"/>
        <w:jc w:val="both"/>
        <w:textAlignment w:val="baseline"/>
        <w:rPr>
          <w:color w:val="000000"/>
          <w:lang w:val="en-US"/>
        </w:rPr>
      </w:pPr>
      <w:r w:rsidRPr="00162123">
        <w:rPr>
          <w:color w:val="000000"/>
          <w:lang w:val="en-US"/>
        </w:rPr>
        <w:t>The terms “middle income” and “middle class” are often used interchangeably. This is especially true among economists, who typically define the middle class in terms of income or consumption. But being middle class can connote more than income, be it a college education, white-collar work, economic security, homeownership, or having certain social and political values. Class could also be a state of mind, that is, it could be a matter of self-identification (Pew Research Center, 2008, 2012). The interplay among these many factors is examined in studies by Hout (2007) and Sava</w:t>
      </w:r>
      <w:r>
        <w:rPr>
          <w:color w:val="000000"/>
          <w:lang w:val="en-US"/>
        </w:rPr>
        <w:t>ge et al. (2013), among others.</w:t>
      </w:r>
    </w:p>
    <w:p w:rsidR="00844212" w:rsidRPr="00162123" w:rsidRDefault="00844212" w:rsidP="00844212">
      <w:pPr>
        <w:pStyle w:val="NormalWeb"/>
        <w:spacing w:after="0"/>
        <w:jc w:val="both"/>
        <w:textAlignment w:val="baseline"/>
        <w:rPr>
          <w:color w:val="000000"/>
          <w:lang w:val="en-US"/>
        </w:rPr>
      </w:pPr>
      <w:r w:rsidRPr="00162123">
        <w:rPr>
          <w:color w:val="000000"/>
          <w:lang w:val="en-US"/>
        </w:rPr>
        <w:t>This report uses household income to group people. For that reason, the term “middle income” is used more often than not. However, “middle class” is also used at times for the sake of exposition. Gornick and Jäntti include several studies that use an income-based approach to study a variety of issues related to the middle cl</w:t>
      </w:r>
      <w:r>
        <w:rPr>
          <w:color w:val="000000"/>
          <w:lang w:val="en-US"/>
        </w:rPr>
        <w:t>asses in a number of countries.</w:t>
      </w:r>
    </w:p>
    <w:p w:rsidR="00844212" w:rsidRPr="00162123" w:rsidRDefault="00844212" w:rsidP="00844212">
      <w:pPr>
        <w:pStyle w:val="NormalWeb"/>
        <w:spacing w:after="0"/>
        <w:jc w:val="both"/>
        <w:textAlignment w:val="baseline"/>
        <w:rPr>
          <w:color w:val="000000"/>
          <w:lang w:val="en-US"/>
        </w:rPr>
      </w:pPr>
      <w:r w:rsidRPr="00162123">
        <w:rPr>
          <w:color w:val="000000"/>
          <w:lang w:val="en-US"/>
        </w:rPr>
        <w:t>Estimates of the shares of people who were middle class in 2010 could also be affected by the Great Recession. But the impact is muted by the fact that the income needed to be included in the middle class changes over time, rising as national income increases and falling as it decreases. As the income boundaries adjust to changes in the overall economic environment, the movement of people in or out of the middle is dampened.</w:t>
      </w:r>
    </w:p>
    <w:p w:rsidR="00844212" w:rsidRPr="00162123" w:rsidRDefault="00844212" w:rsidP="00844212">
      <w:pPr>
        <w:pStyle w:val="NormalWeb"/>
        <w:spacing w:after="0"/>
        <w:jc w:val="both"/>
        <w:textAlignment w:val="baseline"/>
        <w:rPr>
          <w:b/>
          <w:color w:val="000000"/>
          <w:lang w:val="en-US"/>
        </w:rPr>
      </w:pPr>
      <w:r w:rsidRPr="00162123">
        <w:rPr>
          <w:b/>
          <w:color w:val="000000"/>
          <w:lang w:val="en-US"/>
        </w:rPr>
        <w:t>Despite increased integration and widespread growth, Western Europe’s economic trajectory is far from unified</w:t>
      </w:r>
    </w:p>
    <w:p w:rsidR="00844212" w:rsidRPr="00162123" w:rsidRDefault="00844212" w:rsidP="00844212">
      <w:pPr>
        <w:pStyle w:val="NormalWeb"/>
        <w:spacing w:after="0"/>
        <w:jc w:val="both"/>
        <w:textAlignment w:val="baseline"/>
        <w:rPr>
          <w:color w:val="000000"/>
          <w:lang w:val="en-US"/>
        </w:rPr>
      </w:pPr>
      <w:r w:rsidRPr="00162123">
        <w:rPr>
          <w:color w:val="000000"/>
          <w:lang w:val="en-US"/>
        </w:rPr>
        <w:t>The post-1990 period in Europe is marked by several significant economic and political events. The German reunification in 1990 was followed by the Maastricht Treaty on European Union in 1993. The Schengen Agreement took effect in 1995, allowing for passport-free travel across much of Europe, and the euro entered circulation in 2002, tightenin</w:t>
      </w:r>
      <w:r>
        <w:rPr>
          <w:color w:val="000000"/>
          <w:lang w:val="en-US"/>
        </w:rPr>
        <w:t>g economic bonds across Europe.</w:t>
      </w:r>
    </w:p>
    <w:p w:rsidR="00844212" w:rsidRPr="00162123" w:rsidRDefault="00844212" w:rsidP="00844212">
      <w:pPr>
        <w:pStyle w:val="NormalWeb"/>
        <w:spacing w:after="0"/>
        <w:jc w:val="both"/>
        <w:textAlignment w:val="baseline"/>
        <w:rPr>
          <w:color w:val="000000"/>
          <w:lang w:val="en-US"/>
        </w:rPr>
      </w:pPr>
      <w:r w:rsidRPr="00162123">
        <w:rPr>
          <w:color w:val="000000"/>
          <w:lang w:val="en-US"/>
        </w:rPr>
        <w:t>But Western European economies did not fare similarly with the emergence of a single European market. Economies to the south, such as those of Italy and Spain, did not prosper like northern ones such as Norway and the Netherlands. Ireland, for example, was dubbed the Celtic Tiger due to the rapid expansion of its economy since 1990. The British economy also expanded due to reforms instituted in th</w:t>
      </w:r>
      <w:r>
        <w:rPr>
          <w:color w:val="000000"/>
          <w:lang w:val="en-US"/>
        </w:rPr>
        <w:t>e 1980s, according to analysts.</w:t>
      </w:r>
    </w:p>
    <w:p w:rsidR="00844212" w:rsidRPr="00115C94" w:rsidRDefault="00844212" w:rsidP="00844212">
      <w:pPr>
        <w:pStyle w:val="NormalWeb"/>
        <w:spacing w:after="0"/>
        <w:jc w:val="both"/>
        <w:textAlignment w:val="baseline"/>
        <w:rPr>
          <w:color w:val="000000"/>
          <w:lang w:val="en-US"/>
        </w:rPr>
      </w:pPr>
      <w:r w:rsidRPr="00162123">
        <w:rPr>
          <w:color w:val="000000"/>
          <w:lang w:val="en-US"/>
        </w:rPr>
        <w:t>Germany, the largest economy in Western Europe and a global powerhouse, struggled from 1991 to 2010. The growth in Germany’s per capita gross domestic product in the 1990s was the lowest among the countries examined in this report. Analysts point to the role of German reunification as a factor behind the lackluster economic performance in the 1990s. Although Germany fared better than several other Western economies from 2000 to 2010, it too felt the impact of the Great Recession and overall growth remained slow.</w:t>
      </w:r>
      <w:bookmarkStart w:id="16" w:name="&quot;who-is-middle-income&lt;/a"/>
      <w:bookmarkEnd w:id="16"/>
    </w:p>
    <w:p w:rsidR="00844212" w:rsidRDefault="00844212" w:rsidP="00844212">
      <w:pPr>
        <w:pStyle w:val="NormalWeb"/>
        <w:spacing w:before="0" w:beforeAutospacing="0" w:after="0" w:afterAutospacing="0"/>
        <w:jc w:val="both"/>
        <w:textAlignment w:val="baseline"/>
        <w:rPr>
          <w:color w:val="000000"/>
          <w:lang w:val="en-US"/>
        </w:rPr>
      </w:pPr>
      <w:r w:rsidRPr="00115C94">
        <w:rPr>
          <w:noProof/>
          <w:color w:val="BC7B2B"/>
          <w:bdr w:val="none" w:sz="0" w:space="0" w:color="auto" w:frame="1"/>
        </w:rPr>
        <w:lastRenderedPageBreak/>
        <w:drawing>
          <wp:inline distT="0" distB="0" distL="0" distR="0" wp14:anchorId="389FDF7D" wp14:editId="684D98FF">
            <wp:extent cx="4000500" cy="3721100"/>
            <wp:effectExtent l="0" t="0" r="0" b="0"/>
            <wp:docPr id="235" name="Imagen 235" descr="http://www.pewresearch.org/wp-content/uploads/sites/2/2017/04/ST_2017.04.24_Western-Europe-Middle-Class_0-03.png">
              <a:hlinkClick xmlns:a="http://schemas.openxmlformats.org/drawingml/2006/main" r:id="rId3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pewresearch.org/wp-content/uploads/sites/2/2017/04/ST_2017.04.24_Western-Europe-Middle-Class_0-03.png">
                      <a:hlinkClick r:id="rId328"/>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000500" cy="372110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Pr="00ED6FE6" w:rsidRDefault="00844212" w:rsidP="00844212">
      <w:pPr>
        <w:pStyle w:val="NormalWeb"/>
        <w:spacing w:before="0" w:beforeAutospacing="0" w:after="0" w:afterAutospacing="0"/>
        <w:jc w:val="both"/>
        <w:textAlignment w:val="baseline"/>
        <w:rPr>
          <w:lang w:val="en-US"/>
        </w:rPr>
      </w:pPr>
      <w:r w:rsidRPr="00ED6FE6">
        <w:rPr>
          <w:lang w:val="en-US"/>
        </w:rPr>
        <w:t>Lingering differences across European Union countries remain in income and productivity levels, labor market outcomes and the overall </w:t>
      </w:r>
      <w:hyperlink r:id="rId329" w:history="1">
        <w:r w:rsidRPr="00ED6FE6">
          <w:rPr>
            <w:rStyle w:val="Hipervnculo"/>
            <w:color w:val="auto"/>
            <w:u w:val="none"/>
            <w:bdr w:val="none" w:sz="0" w:space="0" w:color="auto" w:frame="1"/>
            <w:lang w:val="en-US"/>
          </w:rPr>
          <w:t>competitiveness</w:t>
        </w:r>
      </w:hyperlink>
      <w:r w:rsidRPr="00ED6FE6">
        <w:rPr>
          <w:lang w:val="en-US"/>
        </w:rPr>
        <w:t> of some economies. Among the countries included in this study, Italy and Spain lag behind the others on most of these counts.</w:t>
      </w:r>
    </w:p>
    <w:p w:rsidR="00844212" w:rsidRPr="00115C94" w:rsidRDefault="00844212" w:rsidP="00844212">
      <w:pPr>
        <w:pStyle w:val="NormalWeb"/>
        <w:spacing w:before="0" w:beforeAutospacing="0" w:after="0" w:afterAutospacing="0"/>
        <w:jc w:val="both"/>
        <w:textAlignment w:val="baseline"/>
        <w:rPr>
          <w:color w:val="000000"/>
          <w:lang w:val="en-US"/>
        </w:rPr>
      </w:pPr>
    </w:p>
    <w:p w:rsidR="00844212" w:rsidRPr="00115C94" w:rsidRDefault="00844212" w:rsidP="00844212">
      <w:pPr>
        <w:pStyle w:val="NormalWeb"/>
        <w:spacing w:before="0" w:beforeAutospacing="0" w:after="300" w:afterAutospacing="0"/>
        <w:jc w:val="both"/>
        <w:textAlignment w:val="baseline"/>
        <w:rPr>
          <w:color w:val="000000"/>
          <w:lang w:val="en-US"/>
        </w:rPr>
      </w:pPr>
      <w:r w:rsidRPr="00115C94">
        <w:rPr>
          <w:color w:val="000000"/>
          <w:lang w:val="en-US"/>
        </w:rPr>
        <w:t>The selected countries in Western Europe also fall into three broad groups based on their overall income and the shares of adults who are middle class. One group is comprised of Spain, Italy, the UK and Ireland. The national median disposable income in these four countries ranged from $</w:t>
      </w:r>
      <w:r w:rsidR="00ED6FE6">
        <w:rPr>
          <w:color w:val="000000"/>
          <w:lang w:val="en-US"/>
        </w:rPr>
        <w:t xml:space="preserve"> </w:t>
      </w:r>
      <w:r w:rsidRPr="00115C94">
        <w:rPr>
          <w:color w:val="000000"/>
          <w:lang w:val="en-US"/>
        </w:rPr>
        <w:t>30,000 to $</w:t>
      </w:r>
      <w:r w:rsidR="00ED6FE6">
        <w:rPr>
          <w:color w:val="000000"/>
          <w:lang w:val="en-US"/>
        </w:rPr>
        <w:t xml:space="preserve"> </w:t>
      </w:r>
      <w:r w:rsidRPr="00115C94">
        <w:rPr>
          <w:color w:val="000000"/>
          <w:lang w:val="en-US"/>
        </w:rPr>
        <w:t>39,000 in 2010 and the middle-class shares ranged from 64% to 69%, the lowest incomes and the smallest middle classes among the Western European countries examined.</w:t>
      </w:r>
    </w:p>
    <w:p w:rsidR="00844212" w:rsidRPr="00115C94" w:rsidRDefault="00844212" w:rsidP="00844212">
      <w:pPr>
        <w:pStyle w:val="NormalWeb"/>
        <w:spacing w:before="0" w:beforeAutospacing="0" w:after="300" w:afterAutospacing="0"/>
        <w:jc w:val="both"/>
        <w:textAlignment w:val="baseline"/>
        <w:rPr>
          <w:color w:val="000000"/>
          <w:lang w:val="en-US"/>
        </w:rPr>
      </w:pPr>
      <w:r w:rsidRPr="00115C94">
        <w:rPr>
          <w:color w:val="000000"/>
          <w:lang w:val="en-US"/>
        </w:rPr>
        <w:t>The second group of countries includes Germany, France and Finland, with national median disposable incomes of about $</w:t>
      </w:r>
      <w:r w:rsidR="00ED6FE6">
        <w:rPr>
          <w:color w:val="000000"/>
          <w:lang w:val="en-US"/>
        </w:rPr>
        <w:t xml:space="preserve"> </w:t>
      </w:r>
      <w:r w:rsidRPr="00115C94">
        <w:rPr>
          <w:color w:val="000000"/>
          <w:lang w:val="en-US"/>
        </w:rPr>
        <w:t>40,000 to $</w:t>
      </w:r>
      <w:r w:rsidR="00ED6FE6">
        <w:rPr>
          <w:color w:val="000000"/>
          <w:lang w:val="en-US"/>
        </w:rPr>
        <w:t xml:space="preserve"> </w:t>
      </w:r>
      <w:r w:rsidRPr="00115C94">
        <w:rPr>
          <w:color w:val="000000"/>
          <w:lang w:val="en-US"/>
        </w:rPr>
        <w:t>41,000 and middle-class shares ranging from 72% to 75%. The third group consists of Luxembourg, the Netherlands, Denmark and Norway. The median income in these countries ranged from $</w:t>
      </w:r>
      <w:r w:rsidR="00ED6FE6">
        <w:rPr>
          <w:color w:val="000000"/>
          <w:lang w:val="en-US"/>
        </w:rPr>
        <w:t xml:space="preserve"> </w:t>
      </w:r>
      <w:r w:rsidRPr="00115C94">
        <w:rPr>
          <w:color w:val="000000"/>
          <w:lang w:val="en-US"/>
        </w:rPr>
        <w:t>43,000 to $</w:t>
      </w:r>
      <w:r w:rsidR="00ED6FE6">
        <w:rPr>
          <w:color w:val="000000"/>
          <w:lang w:val="en-US"/>
        </w:rPr>
        <w:t xml:space="preserve"> </w:t>
      </w:r>
      <w:r w:rsidRPr="00115C94">
        <w:rPr>
          <w:color w:val="000000"/>
          <w:lang w:val="en-US"/>
        </w:rPr>
        <w:t>65,000 and the middle-class shares extended from 75% to 80% in 2010.</w:t>
      </w:r>
    </w:p>
    <w:p w:rsidR="00844212" w:rsidRPr="00115C94" w:rsidRDefault="00844212" w:rsidP="00844212">
      <w:pPr>
        <w:pStyle w:val="NormalWeb"/>
        <w:spacing w:before="0" w:beforeAutospacing="0" w:after="300" w:afterAutospacing="0"/>
        <w:jc w:val="both"/>
        <w:textAlignment w:val="baseline"/>
        <w:rPr>
          <w:color w:val="000000"/>
          <w:lang w:val="en-US"/>
        </w:rPr>
      </w:pPr>
      <w:r w:rsidRPr="00115C94">
        <w:rPr>
          <w:color w:val="000000"/>
          <w:lang w:val="en-US"/>
        </w:rPr>
        <w:t xml:space="preserve">The U.S. represents a significant exception to this general relationship between national income and the middle-income share. </w:t>
      </w:r>
      <w:r>
        <w:rPr>
          <w:color w:val="000000"/>
          <w:lang w:val="en-US"/>
        </w:rPr>
        <w:t>The median income in the U.S. -$</w:t>
      </w:r>
      <w:r w:rsidR="00ED6FE6">
        <w:rPr>
          <w:color w:val="000000"/>
          <w:lang w:val="en-US"/>
        </w:rPr>
        <w:t xml:space="preserve"> </w:t>
      </w:r>
      <w:r>
        <w:rPr>
          <w:color w:val="000000"/>
          <w:lang w:val="en-US"/>
        </w:rPr>
        <w:t>53,000-</w:t>
      </w:r>
      <w:r w:rsidRPr="00115C94">
        <w:rPr>
          <w:color w:val="000000"/>
          <w:lang w:val="en-US"/>
        </w:rPr>
        <w:t xml:space="preserve"> exceeded the median income in all countries but Luxembourg in 2010. As noted, however, the share middle class in the U.S. (59%) is less than in any of the selected countries from Western Europe.</w:t>
      </w:r>
    </w:p>
    <w:p w:rsidR="00844212" w:rsidRDefault="00844212" w:rsidP="00844212">
      <w:pPr>
        <w:pStyle w:val="NormalWeb"/>
        <w:spacing w:before="0" w:beforeAutospacing="0" w:after="0" w:afterAutospacing="0"/>
        <w:jc w:val="both"/>
        <w:textAlignment w:val="baseline"/>
        <w:rPr>
          <w:color w:val="000000"/>
          <w:lang w:val="en-US"/>
        </w:rPr>
      </w:pPr>
      <w:r w:rsidRPr="00115C94">
        <w:rPr>
          <w:color w:val="000000"/>
          <w:lang w:val="en-US"/>
        </w:rPr>
        <w:t>The American experience reflects a marked difference in how income is distributed in the U.S. compared with many countries in Western Europe. More specifically, the U.S. has a relatively large upper-income tier, placed well apart from an also relatively large lower-</w:t>
      </w:r>
      <w:r w:rsidRPr="00ED6FE6">
        <w:rPr>
          <w:lang w:val="en-US"/>
        </w:rPr>
        <w:t>income tier. This manifests not only as a smaller middle-income share but also as a </w:t>
      </w:r>
      <w:hyperlink r:id="rId330" w:history="1">
        <w:r w:rsidRPr="00ED6FE6">
          <w:rPr>
            <w:rStyle w:val="Hipervnculo"/>
            <w:color w:val="auto"/>
            <w:u w:val="none"/>
            <w:bdr w:val="none" w:sz="0" w:space="0" w:color="auto" w:frame="1"/>
            <w:lang w:val="en-US"/>
          </w:rPr>
          <w:t xml:space="preserve">higher </w:t>
        </w:r>
        <w:r w:rsidRPr="00ED6FE6">
          <w:rPr>
            <w:rStyle w:val="Hipervnculo"/>
            <w:color w:val="auto"/>
            <w:u w:val="none"/>
            <w:bdr w:val="none" w:sz="0" w:space="0" w:color="auto" w:frame="1"/>
            <w:lang w:val="en-US"/>
          </w:rPr>
          <w:lastRenderedPageBreak/>
          <w:t>level of income inequality</w:t>
        </w:r>
      </w:hyperlink>
      <w:r w:rsidRPr="00ED6FE6">
        <w:rPr>
          <w:lang w:val="en-US"/>
        </w:rPr>
        <w:t xml:space="preserve">. The gap between the earnings of households near the top of the income </w:t>
      </w:r>
      <w:r w:rsidRPr="00115C94">
        <w:rPr>
          <w:color w:val="000000"/>
          <w:lang w:val="en-US"/>
        </w:rPr>
        <w:t>distribution and the earnings of those near the bottom is the widest in the U.S</w:t>
      </w:r>
      <w:bookmarkStart w:id="17" w:name="compared-with-western-europe-the-u-s-mid"/>
      <w:bookmarkStart w:id="18" w:name="toc-anchor-37400-2"/>
      <w:bookmarkEnd w:id="17"/>
      <w:bookmarkEnd w:id="18"/>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b/>
          <w:color w:val="000000"/>
          <w:lang w:val="en-US"/>
        </w:rPr>
      </w:pPr>
      <w:r w:rsidRPr="008B6084">
        <w:rPr>
          <w:b/>
          <w:color w:val="000000"/>
          <w:lang w:val="en-US"/>
        </w:rPr>
        <w:t>Compared with Western Europe, the U.S. middle class is smaller, but its income is greater</w:t>
      </w:r>
    </w:p>
    <w:p w:rsidR="00844212" w:rsidRPr="00E873E9" w:rsidRDefault="00844212" w:rsidP="00844212">
      <w:pPr>
        <w:pStyle w:val="NormalWeb"/>
        <w:spacing w:before="0" w:beforeAutospacing="0" w:after="0" w:afterAutospacing="0"/>
        <w:jc w:val="both"/>
        <w:textAlignment w:val="baseline"/>
        <w:rPr>
          <w:color w:val="000000"/>
          <w:lang w:val="en-US"/>
        </w:rPr>
      </w:pPr>
    </w:p>
    <w:p w:rsidR="00844212" w:rsidRPr="008B6084" w:rsidRDefault="00844212" w:rsidP="00844212">
      <w:pPr>
        <w:pStyle w:val="NormalWeb"/>
        <w:spacing w:before="0" w:beforeAutospacing="0" w:after="0" w:afterAutospacing="0"/>
        <w:jc w:val="both"/>
        <w:textAlignment w:val="baseline"/>
        <w:rPr>
          <w:b/>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115C94">
        <w:rPr>
          <w:noProof/>
          <w:color w:val="BC7B2B"/>
          <w:bdr w:val="none" w:sz="0" w:space="0" w:color="auto" w:frame="1"/>
        </w:rPr>
        <w:drawing>
          <wp:inline distT="0" distB="0" distL="0" distR="0" wp14:anchorId="03F35FA2" wp14:editId="2AA87A08">
            <wp:extent cx="3352800" cy="4762500"/>
            <wp:effectExtent l="0" t="0" r="0" b="0"/>
            <wp:docPr id="236" name="Imagen 236" descr="http://www.pewresearch.org/wp-content/uploads/sites/2/2017/04/ST_2017.04.24_Western-Europe-Middle-Class_0-04.png">
              <a:hlinkClick xmlns:a="http://schemas.openxmlformats.org/drawingml/2006/main" r:id="rId3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pewresearch.org/wp-content/uploads/sites/2/2017/04/ST_2017.04.24_Western-Europe-Middle-Class_0-04.png">
                      <a:hlinkClick r:id="rId331"/>
                    </pic:cNvPr>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3352800" cy="476250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115C94">
        <w:rPr>
          <w:color w:val="000000"/>
          <w:lang w:val="en-US"/>
        </w:rPr>
        <w:t>In 2010, households in the U.S. were more economically divided than households in the Western European countries examined in this report. The U.S. is the only country in which fewer than six-in-ten adults were in the middle class. Meanwhile, compared with those in many Western European countries, greater shares of Americans were either lower income (26%) or upper income (15%).</w:t>
      </w:r>
    </w:p>
    <w:p w:rsidR="00844212" w:rsidRPr="00115C94" w:rsidRDefault="00844212" w:rsidP="00844212">
      <w:pPr>
        <w:pStyle w:val="NormalWeb"/>
        <w:spacing w:before="0" w:beforeAutospacing="0" w:after="0" w:afterAutospacing="0"/>
        <w:jc w:val="both"/>
        <w:textAlignment w:val="baseline"/>
        <w:rPr>
          <w:color w:val="000000"/>
          <w:lang w:val="en-US"/>
        </w:rPr>
      </w:pPr>
    </w:p>
    <w:p w:rsidR="00844212" w:rsidRPr="00115C94" w:rsidRDefault="00844212" w:rsidP="00844212">
      <w:pPr>
        <w:pStyle w:val="NormalWeb"/>
        <w:spacing w:before="0" w:beforeAutospacing="0" w:after="300" w:afterAutospacing="0"/>
        <w:jc w:val="both"/>
        <w:textAlignment w:val="baseline"/>
        <w:rPr>
          <w:color w:val="000000"/>
          <w:lang w:val="en-US"/>
        </w:rPr>
      </w:pPr>
      <w:r w:rsidRPr="00115C94">
        <w:rPr>
          <w:color w:val="000000"/>
          <w:lang w:val="en-US"/>
        </w:rPr>
        <w:t>The middle class is a significant presence in the Western European countries analyzed, even as it is shrinking in many countries. Middle-class shares ranged from 64% in Spain to 80% in Denmark and Norway in 2010. The share of adults who were lower income was lowest in the Netherlands (13%) and highest in Spain (24%), and upper-income shares ranged from 6% in Norway to 14% in the UK.</w:t>
      </w:r>
    </w:p>
    <w:p w:rsidR="00844212" w:rsidRDefault="00844212" w:rsidP="00844212">
      <w:pPr>
        <w:pStyle w:val="NormalWeb"/>
        <w:spacing w:before="0" w:beforeAutospacing="0" w:after="0" w:afterAutospacing="0"/>
        <w:jc w:val="both"/>
        <w:textAlignment w:val="baseline"/>
        <w:rPr>
          <w:color w:val="000000"/>
          <w:lang w:val="en-US"/>
        </w:rPr>
      </w:pPr>
      <w:r w:rsidRPr="00115C94">
        <w:rPr>
          <w:noProof/>
          <w:color w:val="BC7B2B"/>
          <w:bdr w:val="none" w:sz="0" w:space="0" w:color="auto" w:frame="1"/>
        </w:rPr>
        <w:lastRenderedPageBreak/>
        <w:drawing>
          <wp:inline distT="0" distB="0" distL="0" distR="0" wp14:anchorId="1C5E56E1" wp14:editId="6A37C4A3">
            <wp:extent cx="4000500" cy="5302250"/>
            <wp:effectExtent l="0" t="0" r="0" b="0"/>
            <wp:docPr id="237" name="Imagen 237" descr="http://www.pewresearch.org/wp-content/uploads/sites/2/2017/04/ST_2017.04.24_Western-Europe-Middle-Class_0-05.png">
              <a:hlinkClick xmlns:a="http://schemas.openxmlformats.org/drawingml/2006/main" r:id="rId3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pewresearch.org/wp-content/uploads/sites/2/2017/04/ST_2017.04.24_Western-Europe-Middle-Class_0-05.png">
                      <a:hlinkClick r:id="rId333"/>
                    </pic:cNvP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00500" cy="530225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115C94">
        <w:rPr>
          <w:color w:val="000000"/>
          <w:lang w:val="en-US"/>
        </w:rPr>
        <w:t>Financially, the American middle class is ahead of the middle classes in the Western European nations in terms of disposable household income, with the exception of Luxembourg. Middle-income households in Luxembourg lived on $</w:t>
      </w:r>
      <w:r w:rsidR="00ED6FE6">
        <w:rPr>
          <w:color w:val="000000"/>
          <w:lang w:val="en-US"/>
        </w:rPr>
        <w:t xml:space="preserve"> </w:t>
      </w:r>
      <w:r w:rsidRPr="00115C94">
        <w:rPr>
          <w:color w:val="000000"/>
          <w:lang w:val="en-US"/>
        </w:rPr>
        <w:t>71,799 annually in 2010, at the median, followed by $</w:t>
      </w:r>
      <w:r w:rsidR="00ED6FE6">
        <w:rPr>
          <w:color w:val="000000"/>
          <w:lang w:val="en-US"/>
        </w:rPr>
        <w:t xml:space="preserve"> </w:t>
      </w:r>
      <w:r w:rsidRPr="00115C94">
        <w:rPr>
          <w:color w:val="000000"/>
          <w:lang w:val="en-US"/>
        </w:rPr>
        <w:t>60,884 in the U.S. The middle class in Italy lived on a median income of $</w:t>
      </w:r>
      <w:r w:rsidR="00ED6FE6">
        <w:rPr>
          <w:color w:val="000000"/>
          <w:lang w:val="en-US"/>
        </w:rPr>
        <w:t xml:space="preserve"> </w:t>
      </w:r>
      <w:r w:rsidRPr="00115C94">
        <w:rPr>
          <w:color w:val="000000"/>
          <w:lang w:val="en-US"/>
        </w:rPr>
        <w:t>35,608, the most modest means among the 12 countries.</w:t>
      </w:r>
    </w:p>
    <w:p w:rsidR="00844212" w:rsidRPr="00115C94" w:rsidRDefault="00844212" w:rsidP="00844212">
      <w:pPr>
        <w:pStyle w:val="NormalWeb"/>
        <w:spacing w:before="0" w:beforeAutospacing="0" w:after="0" w:afterAutospacing="0"/>
        <w:jc w:val="both"/>
        <w:textAlignment w:val="baseline"/>
        <w:rPr>
          <w:color w:val="000000"/>
          <w:lang w:val="en-US"/>
        </w:rPr>
      </w:pPr>
    </w:p>
    <w:p w:rsidR="00844212" w:rsidRPr="00115C94" w:rsidRDefault="00844212" w:rsidP="00844212">
      <w:pPr>
        <w:pStyle w:val="NormalWeb"/>
        <w:spacing w:before="0" w:beforeAutospacing="0" w:after="300" w:afterAutospacing="0"/>
        <w:jc w:val="both"/>
        <w:textAlignment w:val="baseline"/>
        <w:rPr>
          <w:color w:val="000000"/>
          <w:lang w:val="en-US"/>
        </w:rPr>
      </w:pPr>
      <w:r w:rsidRPr="00115C94">
        <w:rPr>
          <w:color w:val="000000"/>
          <w:lang w:val="en-US"/>
        </w:rPr>
        <w:t>Likewise, the earnings of upper-income Americans ($</w:t>
      </w:r>
      <w:r w:rsidR="00ED6FE6">
        <w:rPr>
          <w:color w:val="000000"/>
          <w:lang w:val="en-US"/>
        </w:rPr>
        <w:t xml:space="preserve"> </w:t>
      </w:r>
      <w:r w:rsidRPr="00115C94">
        <w:rPr>
          <w:color w:val="000000"/>
          <w:lang w:val="en-US"/>
        </w:rPr>
        <w:t>135,709 in 2010) trailed only their counterparts in Luxembourg ($</w:t>
      </w:r>
      <w:r w:rsidR="00ED6FE6">
        <w:rPr>
          <w:color w:val="000000"/>
          <w:lang w:val="en-US"/>
        </w:rPr>
        <w:t xml:space="preserve"> </w:t>
      </w:r>
      <w:r w:rsidRPr="00115C94">
        <w:rPr>
          <w:color w:val="000000"/>
          <w:lang w:val="en-US"/>
        </w:rPr>
        <w:t>154,350). Upper-income households in Spain had a median income of $</w:t>
      </w:r>
      <w:r w:rsidR="00ED6FE6">
        <w:rPr>
          <w:color w:val="000000"/>
          <w:lang w:val="en-US"/>
        </w:rPr>
        <w:t xml:space="preserve"> </w:t>
      </w:r>
      <w:r w:rsidRPr="00115C94">
        <w:rPr>
          <w:color w:val="000000"/>
          <w:lang w:val="en-US"/>
        </w:rPr>
        <w:t>77,946, the lowest in this group. By contrast, lower-income Americans are middle of the pack in terms of earnings, lagging behind or barely matching lower-income adults in Luxembourg, Norway, the Netherlands and Denmark.</w:t>
      </w:r>
    </w:p>
    <w:p w:rsidR="00844212" w:rsidRPr="00115C94" w:rsidRDefault="00844212" w:rsidP="00844212">
      <w:pPr>
        <w:pStyle w:val="Ttulo3"/>
        <w:spacing w:before="120" w:after="240"/>
        <w:jc w:val="both"/>
        <w:textAlignment w:val="baseline"/>
        <w:rPr>
          <w:color w:val="000000"/>
          <w:sz w:val="24"/>
          <w:szCs w:val="24"/>
          <w:lang w:val="en-US"/>
        </w:rPr>
      </w:pPr>
      <w:bookmarkStart w:id="19" w:name="what-it-takes-to-be-middle-class-varies-"/>
      <w:bookmarkStart w:id="20" w:name="toc-anchor-37400-3"/>
      <w:bookmarkEnd w:id="19"/>
      <w:bookmarkEnd w:id="20"/>
      <w:r w:rsidRPr="00115C94">
        <w:rPr>
          <w:color w:val="000000"/>
          <w:sz w:val="24"/>
          <w:szCs w:val="24"/>
          <w:lang w:val="en-US"/>
        </w:rPr>
        <w:lastRenderedPageBreak/>
        <w:t>What it takes to be middle class varies across countries</w:t>
      </w:r>
    </w:p>
    <w:p w:rsidR="00844212" w:rsidRDefault="00844212" w:rsidP="00844212">
      <w:pPr>
        <w:pStyle w:val="NormalWeb"/>
        <w:spacing w:before="0" w:beforeAutospacing="0" w:after="0" w:afterAutospacing="0"/>
        <w:jc w:val="both"/>
        <w:textAlignment w:val="baseline"/>
        <w:rPr>
          <w:color w:val="000000"/>
          <w:lang w:val="en-US"/>
        </w:rPr>
      </w:pPr>
      <w:r w:rsidRPr="00115C94">
        <w:rPr>
          <w:noProof/>
          <w:color w:val="BC7B2B"/>
          <w:bdr w:val="none" w:sz="0" w:space="0" w:color="auto" w:frame="1"/>
        </w:rPr>
        <w:drawing>
          <wp:inline distT="0" distB="0" distL="0" distR="0" wp14:anchorId="787F8551" wp14:editId="4F2A680A">
            <wp:extent cx="3956050" cy="5041900"/>
            <wp:effectExtent l="0" t="0" r="6350" b="6350"/>
            <wp:docPr id="238" name="Imagen 238" descr="http://www.pewresearch.org/wp-content/uploads/sites/2/2017/04/ST_2017.04.24_Western-Europe-Middle-Class_0-06.png">
              <a:hlinkClick xmlns:a="http://schemas.openxmlformats.org/drawingml/2006/main" r:id="rId3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pewresearch.org/wp-content/uploads/sites/2/2017/04/ST_2017.04.24_Western-Europe-Middle-Class_0-06.png">
                      <a:hlinkClick r:id="rId334"/>
                    </pic:cNvP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56050" cy="504190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115C94">
        <w:rPr>
          <w:color w:val="000000"/>
          <w:lang w:val="en-US"/>
        </w:rPr>
        <w:t>The income it takes to be middle income varies across countries because the boundaries are based on each country’s median disposable income. In 2010, the median disposable income was as low as $</w:t>
      </w:r>
      <w:r w:rsidR="00ED6FE6">
        <w:rPr>
          <w:color w:val="000000"/>
          <w:lang w:val="en-US"/>
        </w:rPr>
        <w:t xml:space="preserve"> </w:t>
      </w:r>
      <w:r w:rsidRPr="00115C94">
        <w:rPr>
          <w:color w:val="000000"/>
          <w:lang w:val="en-US"/>
        </w:rPr>
        <w:t>31,885 in Spain, but as high as $</w:t>
      </w:r>
      <w:r w:rsidR="00ED6FE6">
        <w:rPr>
          <w:color w:val="000000"/>
          <w:lang w:val="en-US"/>
        </w:rPr>
        <w:t xml:space="preserve"> </w:t>
      </w:r>
      <w:r w:rsidRPr="00115C94">
        <w:rPr>
          <w:color w:val="000000"/>
          <w:lang w:val="en-US"/>
        </w:rPr>
        <w:t>65,466 in Luxembourg (with incomes expressed in 2011 prices and purchasing power parities and standardized to a household size of three). This meant that a household in Spain was middle income in 2010 if its disposable income was in the range of $</w:t>
      </w:r>
      <w:r w:rsidR="00ED6FE6">
        <w:rPr>
          <w:color w:val="000000"/>
          <w:lang w:val="en-US"/>
        </w:rPr>
        <w:t xml:space="preserve"> </w:t>
      </w:r>
      <w:r w:rsidRPr="00115C94">
        <w:rPr>
          <w:color w:val="000000"/>
          <w:lang w:val="en-US"/>
        </w:rPr>
        <w:t>21,257 to $</w:t>
      </w:r>
      <w:r w:rsidR="00ED6FE6">
        <w:rPr>
          <w:color w:val="000000"/>
          <w:lang w:val="en-US"/>
        </w:rPr>
        <w:t xml:space="preserve"> </w:t>
      </w:r>
      <w:r w:rsidRPr="00115C94">
        <w:rPr>
          <w:color w:val="000000"/>
          <w:lang w:val="en-US"/>
        </w:rPr>
        <w:t>63,771, while middle-income households in Luxembourg lived on $</w:t>
      </w:r>
      <w:r w:rsidR="00ED6FE6">
        <w:rPr>
          <w:color w:val="000000"/>
          <w:lang w:val="en-US"/>
        </w:rPr>
        <w:t xml:space="preserve"> </w:t>
      </w:r>
      <w:r w:rsidRPr="00115C94">
        <w:rPr>
          <w:color w:val="000000"/>
          <w:lang w:val="en-US"/>
        </w:rPr>
        <w:t>43,644 to $</w:t>
      </w:r>
      <w:r w:rsidR="00ED6FE6">
        <w:rPr>
          <w:color w:val="000000"/>
          <w:lang w:val="en-US"/>
        </w:rPr>
        <w:t xml:space="preserve"> </w:t>
      </w:r>
      <w:r w:rsidRPr="00115C94">
        <w:rPr>
          <w:color w:val="000000"/>
          <w:lang w:val="en-US"/>
        </w:rPr>
        <w:t>130,932.</w:t>
      </w:r>
    </w:p>
    <w:p w:rsidR="00844212" w:rsidRPr="00115C94" w:rsidRDefault="00844212" w:rsidP="00844212">
      <w:pPr>
        <w:pStyle w:val="NormalWeb"/>
        <w:spacing w:before="0" w:beforeAutospacing="0" w:after="0" w:afterAutospacing="0"/>
        <w:jc w:val="both"/>
        <w:textAlignment w:val="baseline"/>
        <w:rPr>
          <w:color w:val="000000"/>
          <w:lang w:val="en-US"/>
        </w:rPr>
      </w:pPr>
    </w:p>
    <w:p w:rsidR="00844212" w:rsidRPr="00115C94" w:rsidRDefault="00844212" w:rsidP="00844212">
      <w:pPr>
        <w:pStyle w:val="NormalWeb"/>
        <w:spacing w:before="0" w:beforeAutospacing="0" w:after="0" w:afterAutospacing="0"/>
        <w:jc w:val="both"/>
        <w:textAlignment w:val="baseline"/>
        <w:rPr>
          <w:color w:val="000000"/>
          <w:lang w:val="en-US"/>
        </w:rPr>
      </w:pPr>
      <w:r w:rsidRPr="00115C94">
        <w:rPr>
          <w:color w:val="000000"/>
          <w:lang w:val="en-US"/>
        </w:rPr>
        <w:t>In the U.S., with a national median disposable household income of $</w:t>
      </w:r>
      <w:r w:rsidR="00ED6FE6">
        <w:rPr>
          <w:color w:val="000000"/>
          <w:lang w:val="en-US"/>
        </w:rPr>
        <w:t xml:space="preserve"> </w:t>
      </w:r>
      <w:r w:rsidRPr="00115C94">
        <w:rPr>
          <w:color w:val="000000"/>
          <w:lang w:val="en-US"/>
        </w:rPr>
        <w:t>52,941 in 2010, the middle-income range was $</w:t>
      </w:r>
      <w:r w:rsidR="00ED6FE6">
        <w:rPr>
          <w:color w:val="000000"/>
          <w:lang w:val="en-US"/>
        </w:rPr>
        <w:t xml:space="preserve"> </w:t>
      </w:r>
      <w:r w:rsidRPr="00115C94">
        <w:rPr>
          <w:color w:val="000000"/>
          <w:lang w:val="en-US"/>
        </w:rPr>
        <w:t>35,294 to $</w:t>
      </w:r>
      <w:r w:rsidR="00ED6FE6">
        <w:rPr>
          <w:color w:val="000000"/>
          <w:lang w:val="en-US"/>
        </w:rPr>
        <w:t xml:space="preserve"> </w:t>
      </w:r>
      <w:r w:rsidRPr="00115C94">
        <w:rPr>
          <w:color w:val="000000"/>
          <w:lang w:val="en-US"/>
        </w:rPr>
        <w:t>105,881 for a household of three. This standard of living was about matched by middle-income households in Norway. But middle-income households in the Netherlands, Denmark, France, Germany, Finland, Ireland and the UK lagged behind, as did the middle-income tier in Italy, which mirrors that in Spain.</w:t>
      </w:r>
    </w:p>
    <w:p w:rsidR="00844212" w:rsidRPr="00115C94" w:rsidRDefault="00844212" w:rsidP="00844212">
      <w:pPr>
        <w:pStyle w:val="Ttulo3"/>
        <w:spacing w:before="120" w:after="240"/>
        <w:jc w:val="both"/>
        <w:textAlignment w:val="baseline"/>
        <w:rPr>
          <w:color w:val="000000"/>
          <w:sz w:val="24"/>
          <w:szCs w:val="24"/>
          <w:lang w:val="en-US"/>
        </w:rPr>
      </w:pPr>
      <w:bookmarkStart w:id="21" w:name="the-role-of-the-middle-class-in-develope"/>
      <w:bookmarkStart w:id="22" w:name="toc-anchor-37400-4"/>
      <w:bookmarkEnd w:id="21"/>
      <w:bookmarkEnd w:id="22"/>
      <w:r w:rsidRPr="00115C94">
        <w:rPr>
          <w:color w:val="000000"/>
          <w:sz w:val="24"/>
          <w:szCs w:val="24"/>
          <w:lang w:val="en-US"/>
        </w:rPr>
        <w:t>The role of the middle class in developed economies</w:t>
      </w:r>
    </w:p>
    <w:p w:rsidR="00844212" w:rsidRPr="007E10DB" w:rsidRDefault="00844212" w:rsidP="00844212">
      <w:pPr>
        <w:pStyle w:val="NormalWeb"/>
        <w:spacing w:before="0" w:beforeAutospacing="0" w:after="0" w:afterAutospacing="0"/>
        <w:jc w:val="both"/>
        <w:textAlignment w:val="baseline"/>
        <w:rPr>
          <w:color w:val="FF0000"/>
          <w:u w:val="single"/>
          <w:lang w:val="en-US"/>
        </w:rPr>
      </w:pPr>
      <w:r w:rsidRPr="007E10DB">
        <w:rPr>
          <w:color w:val="FF0000"/>
          <w:u w:val="single"/>
          <w:lang w:val="en-US"/>
        </w:rPr>
        <w:t>The size and the well-being of the middle class are intertwined with some of the key economic challenges facing the developed world this century - </w:t>
      </w:r>
      <w:hyperlink r:id="rId335" w:history="1">
        <w:r w:rsidRPr="007E10DB">
          <w:rPr>
            <w:rStyle w:val="Hipervnculo"/>
            <w:color w:val="FF0000"/>
            <w:bdr w:val="none" w:sz="0" w:space="0" w:color="auto" w:frame="1"/>
            <w:lang w:val="en-US"/>
          </w:rPr>
          <w:t>income inequality</w:t>
        </w:r>
      </w:hyperlink>
      <w:r w:rsidRPr="007E10DB">
        <w:rPr>
          <w:color w:val="FF0000"/>
          <w:u w:val="single"/>
          <w:lang w:val="en-US"/>
        </w:rPr>
        <w:t> is rising in many countries, </w:t>
      </w:r>
      <w:hyperlink r:id="rId336" w:history="1">
        <w:r w:rsidRPr="007E10DB">
          <w:rPr>
            <w:rStyle w:val="Hipervnculo"/>
            <w:color w:val="FF0000"/>
            <w:bdr w:val="none" w:sz="0" w:space="0" w:color="auto" w:frame="1"/>
            <w:lang w:val="en-US"/>
          </w:rPr>
          <w:t>economic growth</w:t>
        </w:r>
      </w:hyperlink>
      <w:r w:rsidRPr="007E10DB">
        <w:rPr>
          <w:color w:val="FF0000"/>
          <w:u w:val="single"/>
          <w:lang w:val="en-US"/>
        </w:rPr>
        <w:t> is anemic, and </w:t>
      </w:r>
      <w:hyperlink r:id="rId337" w:history="1">
        <w:r w:rsidRPr="007E10DB">
          <w:rPr>
            <w:rStyle w:val="Hipervnculo"/>
            <w:color w:val="FF0000"/>
            <w:bdr w:val="none" w:sz="0" w:space="0" w:color="auto" w:frame="1"/>
            <w:lang w:val="en-US"/>
          </w:rPr>
          <w:t>economic mobility</w:t>
        </w:r>
      </w:hyperlink>
      <w:r w:rsidRPr="007E10DB">
        <w:rPr>
          <w:color w:val="FF0000"/>
          <w:u w:val="single"/>
          <w:lang w:val="en-US"/>
        </w:rPr>
        <w:t> is lesser than in the past.</w:t>
      </w:r>
    </w:p>
    <w:p w:rsidR="00844212" w:rsidRPr="007E10DB" w:rsidRDefault="00844212" w:rsidP="00844212">
      <w:pPr>
        <w:pStyle w:val="NormalWeb"/>
        <w:spacing w:before="0" w:beforeAutospacing="0" w:after="0" w:afterAutospacing="0"/>
        <w:jc w:val="both"/>
        <w:textAlignment w:val="baseline"/>
        <w:rPr>
          <w:color w:val="FF0000"/>
          <w:u w:val="single"/>
          <w:lang w:val="en-US"/>
        </w:rPr>
      </w:pPr>
      <w:r w:rsidRPr="007E10DB">
        <w:rPr>
          <w:color w:val="FF0000"/>
          <w:u w:val="single"/>
          <w:lang w:val="en-US"/>
        </w:rPr>
        <w:lastRenderedPageBreak/>
        <w:t>A smaller middle class or a relatively less well-off middle class often </w:t>
      </w:r>
      <w:hyperlink r:id="rId338" w:history="1">
        <w:r w:rsidRPr="007E10DB">
          <w:rPr>
            <w:rStyle w:val="Hipervnculo"/>
            <w:color w:val="FF0000"/>
            <w:bdr w:val="none" w:sz="0" w:space="0" w:color="auto" w:frame="1"/>
            <w:lang w:val="en-US"/>
          </w:rPr>
          <w:t>reflects</w:t>
        </w:r>
      </w:hyperlink>
      <w:r w:rsidRPr="007E10DB">
        <w:rPr>
          <w:color w:val="FF0000"/>
          <w:u w:val="single"/>
          <w:lang w:val="en-US"/>
        </w:rPr>
        <w:t> a more unequal income distribution. In turn, increases in income inequality present an </w:t>
      </w:r>
      <w:hyperlink r:id="rId339" w:history="1">
        <w:r w:rsidRPr="007E10DB">
          <w:rPr>
            <w:rStyle w:val="Hipervnculo"/>
            <w:color w:val="FF0000"/>
            <w:bdr w:val="none" w:sz="0" w:space="0" w:color="auto" w:frame="1"/>
            <w:lang w:val="en-US"/>
          </w:rPr>
          <w:t>adverse climate</w:t>
        </w:r>
      </w:hyperlink>
      <w:r w:rsidRPr="007E10DB">
        <w:rPr>
          <w:color w:val="FF0000"/>
          <w:u w:val="single"/>
          <w:lang w:val="en-US"/>
        </w:rPr>
        <w:t> for economic growth. A relative decline in the incomes of lower- and middle-income families may create a drag on overall </w:t>
      </w:r>
      <w:hyperlink r:id="rId340" w:history="1">
        <w:r w:rsidRPr="007E10DB">
          <w:rPr>
            <w:rStyle w:val="Hipervnculo"/>
            <w:color w:val="FF0000"/>
            <w:bdr w:val="none" w:sz="0" w:space="0" w:color="auto" w:frame="1"/>
            <w:lang w:val="en-US"/>
          </w:rPr>
          <w:t>consumption</w:t>
        </w:r>
      </w:hyperlink>
      <w:r w:rsidRPr="007E10DB">
        <w:rPr>
          <w:color w:val="FF0000"/>
          <w:u w:val="single"/>
          <w:lang w:val="en-US"/>
        </w:rPr>
        <w:t> in the economy, lead to </w:t>
      </w:r>
      <w:hyperlink r:id="rId341" w:history="1">
        <w:r w:rsidRPr="007E10DB">
          <w:rPr>
            <w:rStyle w:val="Hipervnculo"/>
            <w:color w:val="FF0000"/>
            <w:bdr w:val="none" w:sz="0" w:space="0" w:color="auto" w:frame="1"/>
            <w:lang w:val="en-US"/>
          </w:rPr>
          <w:t>excessive borrowing</w:t>
        </w:r>
      </w:hyperlink>
      <w:r w:rsidRPr="007E10DB">
        <w:rPr>
          <w:color w:val="FF0000"/>
          <w:u w:val="single"/>
          <w:lang w:val="en-US"/>
        </w:rPr>
        <w:t> by these families, or provide disincentives to invest in </w:t>
      </w:r>
      <w:hyperlink r:id="rId342" w:history="1">
        <w:r w:rsidRPr="007E10DB">
          <w:rPr>
            <w:rStyle w:val="Hipervnculo"/>
            <w:color w:val="FF0000"/>
            <w:bdr w:val="none" w:sz="0" w:space="0" w:color="auto" w:frame="1"/>
            <w:lang w:val="en-US"/>
          </w:rPr>
          <w:t>education</w:t>
        </w:r>
      </w:hyperlink>
      <w:r w:rsidRPr="007E10DB">
        <w:rPr>
          <w:color w:val="FF0000"/>
          <w:u w:val="single"/>
          <w:lang w:val="en-US"/>
        </w:rPr>
        <w:t>.</w:t>
      </w:r>
    </w:p>
    <w:p w:rsidR="00844212" w:rsidRPr="00162123" w:rsidRDefault="00844212" w:rsidP="00844212">
      <w:pPr>
        <w:pStyle w:val="NormalWeb"/>
        <w:spacing w:before="0" w:beforeAutospacing="0" w:after="0" w:afterAutospacing="0"/>
        <w:jc w:val="both"/>
        <w:textAlignment w:val="baseline"/>
        <w:rPr>
          <w:lang w:val="en-US"/>
        </w:rPr>
      </w:pPr>
    </w:p>
    <w:p w:rsidR="00844212" w:rsidRPr="00ED6FE6" w:rsidRDefault="00844212" w:rsidP="00844212">
      <w:pPr>
        <w:pStyle w:val="NormalWeb"/>
        <w:spacing w:before="0" w:beforeAutospacing="0" w:after="0" w:afterAutospacing="0"/>
        <w:jc w:val="both"/>
        <w:textAlignment w:val="baseline"/>
        <w:rPr>
          <w:u w:val="single"/>
          <w:lang w:val="en-US"/>
        </w:rPr>
      </w:pPr>
      <w:r w:rsidRPr="007E10DB">
        <w:rPr>
          <w:color w:val="FF0000"/>
          <w:u w:val="single"/>
          <w:lang w:val="en-US"/>
        </w:rPr>
        <w:t>A more vibrant middle class may also improve the economic outlook for future generations.</w:t>
      </w:r>
      <w:r w:rsidRPr="007E10DB">
        <w:rPr>
          <w:color w:val="FF0000"/>
          <w:lang w:val="en-US"/>
        </w:rPr>
        <w:t xml:space="preserve"> </w:t>
      </w:r>
      <w:r w:rsidRPr="007E10DB">
        <w:rPr>
          <w:u w:val="single"/>
          <w:lang w:val="en-US"/>
        </w:rPr>
        <w:t xml:space="preserve">In the U.S., for example, communities with larger middle classes offer a greater likelihood that children will </w:t>
      </w:r>
      <w:r w:rsidRPr="00ED6FE6">
        <w:rPr>
          <w:u w:val="single"/>
          <w:lang w:val="en-US"/>
        </w:rPr>
        <w:t>experience </w:t>
      </w:r>
      <w:hyperlink r:id="rId343" w:history="1">
        <w:r w:rsidRPr="00ED6FE6">
          <w:rPr>
            <w:rStyle w:val="Hipervnculo"/>
            <w:color w:val="auto"/>
            <w:bdr w:val="none" w:sz="0" w:space="0" w:color="auto" w:frame="1"/>
            <w:lang w:val="en-US"/>
          </w:rPr>
          <w:t>upward mobility</w:t>
        </w:r>
      </w:hyperlink>
      <w:r w:rsidRPr="00ED6FE6">
        <w:rPr>
          <w:u w:val="single"/>
          <w:lang w:val="en-US"/>
        </w:rPr>
        <w:t> relative to their parents’ status in the income distribution. A similar relationship has also been found to exist </w:t>
      </w:r>
      <w:hyperlink r:id="rId344" w:history="1">
        <w:r w:rsidRPr="00ED6FE6">
          <w:rPr>
            <w:rStyle w:val="Hipervnculo"/>
            <w:color w:val="auto"/>
            <w:bdr w:val="none" w:sz="0" w:space="0" w:color="auto" w:frame="1"/>
            <w:lang w:val="en-US"/>
          </w:rPr>
          <w:t>across countries</w:t>
        </w:r>
      </w:hyperlink>
      <w:r w:rsidRPr="00ED6FE6">
        <w:rPr>
          <w:u w:val="single"/>
          <w:lang w:val="en-US"/>
        </w:rPr>
        <w:t>, whereby intergenerational mobility is greater in countries with less income inequality.</w:t>
      </w:r>
    </w:p>
    <w:p w:rsidR="00844212" w:rsidRPr="007E10DB" w:rsidRDefault="00844212" w:rsidP="00844212">
      <w:pPr>
        <w:pStyle w:val="NormalWeb"/>
        <w:spacing w:before="0" w:beforeAutospacing="0" w:after="0" w:afterAutospacing="0"/>
        <w:jc w:val="both"/>
        <w:textAlignment w:val="baseline"/>
        <w:rPr>
          <w:u w:val="single"/>
          <w:lang w:val="en-US"/>
        </w:rPr>
      </w:pPr>
    </w:p>
    <w:p w:rsidR="00844212" w:rsidRPr="00ED6FE6" w:rsidRDefault="00844212" w:rsidP="00844212">
      <w:pPr>
        <w:pStyle w:val="NormalWeb"/>
        <w:spacing w:before="0" w:beforeAutospacing="0" w:after="0" w:afterAutospacing="0"/>
        <w:jc w:val="both"/>
        <w:textAlignment w:val="baseline"/>
        <w:rPr>
          <w:lang w:val="en-US"/>
        </w:rPr>
      </w:pPr>
      <w:r w:rsidRPr="007E10DB">
        <w:rPr>
          <w:color w:val="FF0000"/>
          <w:u w:val="single"/>
          <w:lang w:val="en-US"/>
        </w:rPr>
        <w:t>The economic concerns of the middle class, or more generally of those not in the upper-income tier, may also contribute to changes in the social and political trajectories of a country</w:t>
      </w:r>
      <w:r w:rsidRPr="004D2224">
        <w:rPr>
          <w:lang w:val="en-US"/>
        </w:rPr>
        <w:t xml:space="preserve">. For example, the increase in income inequality in America may be linked to a rise </w:t>
      </w:r>
      <w:r w:rsidRPr="00ED6FE6">
        <w:rPr>
          <w:lang w:val="en-US"/>
        </w:rPr>
        <w:t>in </w:t>
      </w:r>
      <w:hyperlink r:id="rId345" w:history="1">
        <w:r w:rsidRPr="00ED6FE6">
          <w:rPr>
            <w:rStyle w:val="Hipervnculo"/>
            <w:color w:val="auto"/>
            <w:u w:val="none"/>
            <w:bdr w:val="none" w:sz="0" w:space="0" w:color="auto" w:frame="1"/>
            <w:lang w:val="en-US"/>
          </w:rPr>
          <w:t>political polarization</w:t>
        </w:r>
      </w:hyperlink>
      <w:r w:rsidRPr="00ED6FE6">
        <w:rPr>
          <w:lang w:val="en-US"/>
        </w:rPr>
        <w:t>. More recently, the votes the Republican Party gained in America’s </w:t>
      </w:r>
      <w:hyperlink r:id="rId346" w:history="1">
        <w:r w:rsidRPr="00ED6FE6">
          <w:rPr>
            <w:rStyle w:val="Hipervnculo"/>
            <w:color w:val="auto"/>
            <w:u w:val="none"/>
            <w:bdr w:val="none" w:sz="0" w:space="0" w:color="auto" w:frame="1"/>
            <w:lang w:val="en-US"/>
          </w:rPr>
          <w:t>middle-class communities</w:t>
        </w:r>
      </w:hyperlink>
      <w:r w:rsidRPr="00ED6FE6">
        <w:rPr>
          <w:lang w:val="en-US"/>
        </w:rPr>
        <w:t> and among </w:t>
      </w:r>
      <w:hyperlink r:id="rId347" w:history="1">
        <w:r w:rsidRPr="00ED6FE6">
          <w:rPr>
            <w:rStyle w:val="Hipervnculo"/>
            <w:color w:val="auto"/>
            <w:u w:val="none"/>
            <w:bdr w:val="none" w:sz="0" w:space="0" w:color="auto" w:frame="1"/>
            <w:lang w:val="en-US"/>
          </w:rPr>
          <w:t>working-class vote</w:t>
        </w:r>
      </w:hyperlink>
      <w:r w:rsidRPr="00ED6FE6">
        <w:rPr>
          <w:lang w:val="en-US"/>
        </w:rPr>
        <w:t>rs were key factors in the election of Donald Trump in 2016. This has renewed interest in how the ongoing economic slowdown, </w:t>
      </w:r>
      <w:hyperlink r:id="rId348" w:history="1">
        <w:r w:rsidRPr="00ED6FE6">
          <w:rPr>
            <w:rStyle w:val="Hipervnculo"/>
            <w:color w:val="auto"/>
            <w:u w:val="none"/>
            <w:bdr w:val="none" w:sz="0" w:space="0" w:color="auto" w:frame="1"/>
            <w:lang w:val="en-US"/>
          </w:rPr>
          <w:t>automation</w:t>
        </w:r>
      </w:hyperlink>
      <w:r w:rsidRPr="00ED6FE6">
        <w:rPr>
          <w:lang w:val="en-US"/>
        </w:rPr>
        <w:t> and </w:t>
      </w:r>
      <w:hyperlink r:id="rId349" w:history="1">
        <w:r w:rsidRPr="00ED6FE6">
          <w:rPr>
            <w:rStyle w:val="Hipervnculo"/>
            <w:color w:val="auto"/>
            <w:u w:val="none"/>
            <w:bdr w:val="none" w:sz="0" w:space="0" w:color="auto" w:frame="1"/>
            <w:lang w:val="en-US"/>
          </w:rPr>
          <w:t>globalization</w:t>
        </w:r>
      </w:hyperlink>
      <w:r w:rsidRPr="00ED6FE6">
        <w:rPr>
          <w:lang w:val="en-US"/>
        </w:rPr>
        <w:t> have impacted the middle classes.</w:t>
      </w:r>
    </w:p>
    <w:p w:rsidR="00844212" w:rsidRPr="008B6084" w:rsidRDefault="00844212" w:rsidP="00844212">
      <w:pPr>
        <w:shd w:val="clear" w:color="auto" w:fill="FFFFFF"/>
        <w:spacing w:after="0" w:line="240" w:lineRule="auto"/>
        <w:jc w:val="both"/>
        <w:textAlignment w:val="baseline"/>
        <w:rPr>
          <w:rFonts w:ascii="Times New Roman" w:eastAsia="Times New Roman" w:hAnsi="Times New Roman" w:cs="Times New Roman"/>
          <w:sz w:val="24"/>
          <w:szCs w:val="24"/>
          <w:lang w:val="en-US"/>
        </w:rPr>
      </w:pPr>
      <w:bookmarkStart w:id="23" w:name="toc-anchor-37400-5"/>
      <w:bookmarkEnd w:id="23"/>
    </w:p>
    <w:p w:rsidR="00844212" w:rsidRPr="00115C94" w:rsidRDefault="00844212" w:rsidP="00844212">
      <w:pPr>
        <w:pStyle w:val="Ttulo2"/>
        <w:spacing w:before="0" w:after="375" w:line="240" w:lineRule="auto"/>
        <w:jc w:val="both"/>
        <w:textAlignment w:val="baseline"/>
        <w:rPr>
          <w:rFonts w:ascii="Times New Roman" w:hAnsi="Times New Roman" w:cs="Times New Roman"/>
          <w:color w:val="000000"/>
          <w:sz w:val="24"/>
          <w:szCs w:val="24"/>
          <w:lang w:val="en-US"/>
        </w:rPr>
      </w:pPr>
      <w:r w:rsidRPr="00115C94">
        <w:rPr>
          <w:rFonts w:ascii="Times New Roman" w:hAnsi="Times New Roman" w:cs="Times New Roman"/>
          <w:color w:val="000000"/>
          <w:sz w:val="24"/>
          <w:szCs w:val="24"/>
          <w:lang w:val="en-US"/>
        </w:rPr>
        <w:t>1. The middle class is large in many Western European countries, but it is losing ground in places</w:t>
      </w:r>
      <w:r w:rsidRPr="00115C94">
        <w:rPr>
          <w:b w:val="0"/>
          <w:bCs w:val="0"/>
          <w:caps/>
          <w:color w:val="000000"/>
          <w:lang w:val="en-US"/>
        </w:rPr>
        <w:t xml:space="preserve"> </w:t>
      </w:r>
    </w:p>
    <w:p w:rsidR="00844212" w:rsidRPr="007E10DB" w:rsidRDefault="00844212" w:rsidP="00844212">
      <w:pPr>
        <w:pStyle w:val="NormalWeb"/>
        <w:spacing w:before="0" w:beforeAutospacing="0" w:after="300" w:afterAutospacing="0"/>
        <w:jc w:val="both"/>
        <w:textAlignment w:val="baseline"/>
        <w:rPr>
          <w:color w:val="000000"/>
          <w:u w:val="single"/>
          <w:lang w:val="en-US"/>
        </w:rPr>
      </w:pPr>
      <w:r w:rsidRPr="007E10DB">
        <w:rPr>
          <w:color w:val="000000"/>
          <w:u w:val="single"/>
          <w:lang w:val="en-US"/>
        </w:rPr>
        <w:t>A large majority of adults in the selected Western European countries live in middle-income households. In 2010, the shares of adults who are middle income ranged from 64% in Spain to about 80% in Denmark, the Netherlands and Norway. These shares were considerably higher than in the U.S., where fewer than six-in-ten adults were middle income in 2010.</w:t>
      </w:r>
    </w:p>
    <w:p w:rsidR="00844212" w:rsidRPr="007E10DB" w:rsidRDefault="00844212" w:rsidP="00844212">
      <w:pPr>
        <w:pStyle w:val="NormalWeb"/>
        <w:spacing w:before="0" w:beforeAutospacing="0" w:after="300" w:afterAutospacing="0"/>
        <w:jc w:val="both"/>
        <w:textAlignment w:val="baseline"/>
        <w:rPr>
          <w:color w:val="FF0000"/>
          <w:u w:val="single"/>
          <w:lang w:val="en-US"/>
        </w:rPr>
      </w:pPr>
      <w:r w:rsidRPr="00115C94">
        <w:rPr>
          <w:color w:val="000000"/>
          <w:lang w:val="en-US"/>
        </w:rPr>
        <w:t xml:space="preserve">Across the countries examined, a smaller middle-income tier signals a more economically divided population. Among these countries, the U.S. has not only the smallest share of adults living in middle-income households, but also the largest shares of adults in lower- and upper-income households. By comparison, the lower- and upper-income tiers in Denmark, the Netherlands and Norway are of modest size. </w:t>
      </w:r>
      <w:r w:rsidRPr="007E10DB">
        <w:rPr>
          <w:color w:val="FF0000"/>
          <w:u w:val="single"/>
          <w:lang w:val="en-US"/>
        </w:rPr>
        <w:t>The size of the middle class in a country also signals the degree of income inequality there: Countries with smaller middle classes have higher levels of income inequality.</w:t>
      </w:r>
    </w:p>
    <w:p w:rsidR="00844212" w:rsidRDefault="00844212" w:rsidP="00844212">
      <w:pPr>
        <w:pStyle w:val="NormalWeb"/>
        <w:spacing w:before="0" w:beforeAutospacing="0" w:after="0" w:afterAutospacing="0"/>
        <w:jc w:val="both"/>
        <w:textAlignment w:val="baseline"/>
        <w:rPr>
          <w:color w:val="000000"/>
          <w:lang w:val="en-US"/>
        </w:rPr>
      </w:pPr>
      <w:r w:rsidRPr="007E10DB">
        <w:rPr>
          <w:color w:val="FF0000"/>
          <w:u w:val="single"/>
          <w:lang w:val="en-US"/>
        </w:rPr>
        <w:t>Most of the countries examined in this report experienced a widening of economic divisions since 1991</w:t>
      </w:r>
      <w:r w:rsidRPr="007E10DB">
        <w:rPr>
          <w:color w:val="000000"/>
          <w:u w:val="single"/>
          <w:lang w:val="en-US"/>
        </w:rPr>
        <w:t>. There was a shared tendency in the majority of countries for the middle class to shrink and the lower- and upper-income tiers to expand from 1991 to 2010</w:t>
      </w:r>
      <w:r w:rsidRPr="00115C94">
        <w:rPr>
          <w:color w:val="000000"/>
          <w:lang w:val="en-US"/>
        </w:rPr>
        <w:t>. These shifts were most pronounced in Finland and Germany. However, France, Ireland, the Netherlands and the United Kingdom represent significant exceptions to this trend as the shares of adults who are middle income in these countries increased, mostly by lifting people out of the lower-income tier.</w:t>
      </w:r>
    </w:p>
    <w:p w:rsidR="00844212" w:rsidRPr="00115C94" w:rsidRDefault="00844212" w:rsidP="00844212">
      <w:pPr>
        <w:pStyle w:val="NormalWeb"/>
        <w:spacing w:before="0" w:beforeAutospacing="0" w:after="0" w:afterAutospacing="0"/>
        <w:jc w:val="both"/>
        <w:textAlignment w:val="baseline"/>
        <w:rPr>
          <w:color w:val="000000"/>
          <w:lang w:val="en-US"/>
        </w:rPr>
      </w:pPr>
    </w:p>
    <w:p w:rsidR="00844212" w:rsidRPr="007E10DB" w:rsidRDefault="00844212" w:rsidP="00844212">
      <w:pPr>
        <w:pStyle w:val="NormalWeb"/>
        <w:spacing w:before="0" w:beforeAutospacing="0" w:after="300" w:afterAutospacing="0"/>
        <w:jc w:val="both"/>
        <w:textAlignment w:val="baseline"/>
        <w:rPr>
          <w:color w:val="000000"/>
          <w:u w:val="single"/>
          <w:lang w:val="en-US"/>
        </w:rPr>
      </w:pPr>
      <w:r w:rsidRPr="007E10DB">
        <w:rPr>
          <w:color w:val="FF0000"/>
          <w:u w:val="single"/>
          <w:lang w:val="en-US"/>
        </w:rPr>
        <w:t>The decrease in the share of middle-income populations in most countries was not all bad news</w:t>
      </w:r>
      <w:r w:rsidRPr="00115C94">
        <w:rPr>
          <w:color w:val="000000"/>
          <w:lang w:val="en-US"/>
        </w:rPr>
        <w:t xml:space="preserve">. With the exception of Luxembourg and Spain, there was relatively more movement of people into the upper-income tier than into the lower-income tier in all countries. </w:t>
      </w:r>
      <w:r w:rsidRPr="007E10DB">
        <w:rPr>
          <w:color w:val="000000"/>
          <w:u w:val="single"/>
          <w:lang w:val="en-US"/>
        </w:rPr>
        <w:t>The net result was a general improvement in the economic status of people in the selected Western European countries and the U.S.</w:t>
      </w:r>
    </w:p>
    <w:p w:rsidR="00844212" w:rsidRPr="000E3E2D" w:rsidRDefault="00844212" w:rsidP="00844212">
      <w:pPr>
        <w:pStyle w:val="Ttulo3"/>
        <w:spacing w:before="120" w:after="240"/>
        <w:jc w:val="both"/>
        <w:textAlignment w:val="baseline"/>
        <w:rPr>
          <w:rFonts w:ascii="Times New Roman" w:hAnsi="Times New Roman" w:cs="Times New Roman"/>
          <w:color w:val="000000"/>
          <w:sz w:val="24"/>
          <w:szCs w:val="24"/>
          <w:lang w:val="en-US"/>
        </w:rPr>
      </w:pPr>
      <w:bookmarkStart w:id="24" w:name="many-countries-in-western-europe-have-si"/>
      <w:bookmarkStart w:id="25" w:name="toc-anchor-37487-1"/>
      <w:bookmarkEnd w:id="24"/>
      <w:bookmarkEnd w:id="25"/>
      <w:r w:rsidRPr="000E3E2D">
        <w:rPr>
          <w:rFonts w:ascii="Times New Roman" w:hAnsi="Times New Roman" w:cs="Times New Roman"/>
          <w:color w:val="000000"/>
          <w:sz w:val="24"/>
          <w:szCs w:val="24"/>
          <w:lang w:val="en-US"/>
        </w:rPr>
        <w:lastRenderedPageBreak/>
        <w:t>Many countries in Western Europe have significantly larger middle classes than the U.S.</w:t>
      </w:r>
    </w:p>
    <w:p w:rsidR="00844212" w:rsidRPr="00115C94" w:rsidRDefault="00844212" w:rsidP="00844212">
      <w:pPr>
        <w:pStyle w:val="NormalWeb"/>
        <w:spacing w:before="0" w:beforeAutospacing="0" w:after="300" w:afterAutospacing="0"/>
        <w:jc w:val="both"/>
        <w:textAlignment w:val="baseline"/>
        <w:rPr>
          <w:color w:val="000000"/>
          <w:lang w:val="en-US"/>
        </w:rPr>
      </w:pPr>
      <w:r w:rsidRPr="007E10DB">
        <w:rPr>
          <w:color w:val="000000"/>
          <w:u w:val="single"/>
          <w:lang w:val="en-US"/>
        </w:rPr>
        <w:t>The share of the adult population that lives in middle-income households varies considerably across Western Europe and the U.S.</w:t>
      </w:r>
      <w:r w:rsidRPr="00115C94">
        <w:rPr>
          <w:color w:val="000000"/>
          <w:lang w:val="en-US"/>
        </w:rPr>
        <w:t xml:space="preserve"> In 2010, the latest year for which data are available for all countries, the middle-income share was near 80% in Denmark, the Netherlands and Norway, the highest three among the countries examined, and as low as 59% in the U.S. Among the eight countries with data for 2013, the middle-income share ranged from 58% in the U.S. to 79% in Norway.</w:t>
      </w:r>
    </w:p>
    <w:p w:rsidR="00844212" w:rsidRPr="00115C94" w:rsidRDefault="00844212" w:rsidP="00844212">
      <w:pPr>
        <w:pStyle w:val="NormalWeb"/>
        <w:spacing w:before="0" w:beforeAutospacing="0" w:after="300" w:afterAutospacing="0"/>
        <w:jc w:val="both"/>
        <w:textAlignment w:val="baseline"/>
        <w:rPr>
          <w:color w:val="000000"/>
          <w:lang w:val="en-US"/>
        </w:rPr>
      </w:pPr>
      <w:r w:rsidRPr="007E10DB">
        <w:rPr>
          <w:color w:val="000000"/>
          <w:u w:val="single"/>
          <w:lang w:val="en-US"/>
        </w:rPr>
        <w:t>The size of the middle class across the selected Western European nations is related to the countries’ overall standards of living</w:t>
      </w:r>
      <w:r w:rsidRPr="00115C94">
        <w:rPr>
          <w:color w:val="000000"/>
          <w:lang w:val="en-US"/>
        </w:rPr>
        <w:t>. The countries fall into three groups based on their national median disposable incomes in 2010. National incomes and the middle-income shares were the lowest in Ireland, Italy, Spain and the UK (64% to 69%); higher in Finland, France and Germany (72% to 75%); and higher still in Denmark, the Netherlands, Luxembourg and Norway (75% to 80%).</w:t>
      </w:r>
    </w:p>
    <w:p w:rsidR="00844212" w:rsidRPr="00115C94" w:rsidRDefault="00844212" w:rsidP="00844212">
      <w:pPr>
        <w:spacing w:line="240" w:lineRule="auto"/>
        <w:jc w:val="both"/>
        <w:rPr>
          <w:rFonts w:ascii="Times New Roman" w:hAnsi="Times New Roman" w:cs="Times New Roman"/>
          <w:sz w:val="24"/>
          <w:szCs w:val="24"/>
        </w:rPr>
      </w:pPr>
      <w:r w:rsidRPr="00115C94">
        <w:rPr>
          <w:rFonts w:ascii="Times New Roman" w:hAnsi="Times New Roman" w:cs="Times New Roman"/>
          <w:noProof/>
          <w:color w:val="BC7B2B"/>
          <w:sz w:val="24"/>
          <w:szCs w:val="24"/>
          <w:bdr w:val="none" w:sz="0" w:space="0" w:color="auto" w:frame="1"/>
          <w:lang w:eastAsia="es-ES"/>
        </w:rPr>
        <w:drawing>
          <wp:inline distT="0" distB="0" distL="0" distR="0" wp14:anchorId="28E62BF7" wp14:editId="21315E87">
            <wp:extent cx="5632450" cy="3810000"/>
            <wp:effectExtent l="0" t="0" r="6350" b="0"/>
            <wp:docPr id="239" name="Imagen 239" descr="http://www.pewresearch.org/wp-content/uploads/sites/2/2017/04/ST_2017.04.24_Western-Europe-Middle-Class_1-01.png">
              <a:hlinkClick xmlns:a="http://schemas.openxmlformats.org/drawingml/2006/main" r:id="rId3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pewresearch.org/wp-content/uploads/sites/2/2017/04/ST_2017.04.24_Western-Europe-Middle-Class_1-01.png">
                      <a:hlinkClick r:id="rId350"/>
                    </pic:cNvPr>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5632450" cy="3810000"/>
                    </a:xfrm>
                    <a:prstGeom prst="rect">
                      <a:avLst/>
                    </a:prstGeom>
                    <a:noFill/>
                    <a:ln>
                      <a:noFill/>
                    </a:ln>
                  </pic:spPr>
                </pic:pic>
              </a:graphicData>
            </a:graphic>
          </wp:inline>
        </w:drawing>
      </w:r>
    </w:p>
    <w:p w:rsidR="00844212" w:rsidRPr="00115C94" w:rsidRDefault="00844212" w:rsidP="00844212">
      <w:pPr>
        <w:pStyle w:val="NormalWeb"/>
        <w:spacing w:before="0" w:beforeAutospacing="0" w:after="300" w:afterAutospacing="0"/>
        <w:jc w:val="both"/>
        <w:textAlignment w:val="baseline"/>
        <w:rPr>
          <w:color w:val="000000"/>
          <w:lang w:val="en-US"/>
        </w:rPr>
      </w:pPr>
      <w:r w:rsidRPr="007E10DB">
        <w:rPr>
          <w:color w:val="000000"/>
          <w:u w:val="single"/>
          <w:lang w:val="en-US"/>
        </w:rPr>
        <w:t>Generally, the ranking of countries by the shares of their middle-income populations has not changed much since 1991.</w:t>
      </w:r>
      <w:r>
        <w:rPr>
          <w:color w:val="000000"/>
          <w:lang w:val="en-US"/>
        </w:rPr>
        <w:t xml:space="preserve"> Denmark and Norway -</w:t>
      </w:r>
      <w:r w:rsidRPr="00115C94">
        <w:rPr>
          <w:color w:val="000000"/>
          <w:lang w:val="en-US"/>
        </w:rPr>
        <w:t>among the countries with the large</w:t>
      </w:r>
      <w:r>
        <w:rPr>
          <w:color w:val="000000"/>
          <w:lang w:val="en-US"/>
        </w:rPr>
        <w:t>st middle-income tiers in 2010-</w:t>
      </w:r>
      <w:r w:rsidRPr="00115C94">
        <w:rPr>
          <w:color w:val="000000"/>
          <w:lang w:val="en-US"/>
        </w:rPr>
        <w:t xml:space="preserve"> also had among the larger middle-income tiers in 1991. At the other end, Spain, the UK and the U.S. had some of the smallest middle-income tiers in both 1991 and 2010.</w:t>
      </w:r>
    </w:p>
    <w:p w:rsidR="00844212" w:rsidRDefault="00844212" w:rsidP="00844212">
      <w:pPr>
        <w:pStyle w:val="NormalWeb"/>
        <w:spacing w:before="0" w:beforeAutospacing="0" w:after="300" w:afterAutospacing="0"/>
        <w:jc w:val="both"/>
        <w:textAlignment w:val="baseline"/>
        <w:rPr>
          <w:color w:val="000000"/>
          <w:lang w:val="en-US"/>
        </w:rPr>
      </w:pPr>
      <w:r w:rsidRPr="00115C94">
        <w:rPr>
          <w:color w:val="000000"/>
          <w:lang w:val="en-US"/>
        </w:rPr>
        <w:t>However, Finland, where 82% of adults lived in a middle-income household in 1991, saw the middle-class share fall to 75% in 2010. Conversely, Ireland moved up the ladder, with the middle-income share rising from 60% in 1991, the lowest at the time, to 69% in 2010.</w:t>
      </w:r>
      <w:bookmarkStart w:id="26" w:name="the-u-s-has-larger-lower-and-upper-incom"/>
      <w:bookmarkStart w:id="27" w:name="toc-anchor-37487-2"/>
      <w:bookmarkEnd w:id="26"/>
      <w:bookmarkEnd w:id="27"/>
    </w:p>
    <w:p w:rsidR="00844212" w:rsidRPr="00974E56" w:rsidRDefault="00844212" w:rsidP="00844212">
      <w:pPr>
        <w:pStyle w:val="NormalWeb"/>
        <w:spacing w:before="0" w:beforeAutospacing="0" w:after="300" w:afterAutospacing="0"/>
        <w:jc w:val="both"/>
        <w:textAlignment w:val="baseline"/>
        <w:rPr>
          <w:b/>
          <w:color w:val="000000"/>
          <w:lang w:val="en-US"/>
        </w:rPr>
      </w:pPr>
      <w:r w:rsidRPr="00974E56">
        <w:rPr>
          <w:b/>
          <w:color w:val="000000"/>
          <w:lang w:val="en-US"/>
        </w:rPr>
        <w:lastRenderedPageBreak/>
        <w:t>The U.S. has larger lower- and upper-income tiers than the selected countries from Western Europe</w:t>
      </w:r>
    </w:p>
    <w:p w:rsidR="00844212" w:rsidRPr="00115C94" w:rsidRDefault="00844212" w:rsidP="00844212">
      <w:pPr>
        <w:pStyle w:val="NormalWeb"/>
        <w:spacing w:before="0" w:beforeAutospacing="0" w:after="300" w:afterAutospacing="0"/>
        <w:jc w:val="both"/>
        <w:textAlignment w:val="baseline"/>
        <w:rPr>
          <w:color w:val="000000"/>
          <w:lang w:val="en-US"/>
        </w:rPr>
      </w:pPr>
      <w:r w:rsidRPr="00974E56">
        <w:rPr>
          <w:color w:val="000000"/>
          <w:u w:val="single"/>
          <w:lang w:val="en-US"/>
        </w:rPr>
        <w:t>Americans are more economically divided than many Western Europeans, with larger shares of adults living in households at opposite ends of the income distribution</w:t>
      </w:r>
      <w:r w:rsidRPr="00115C94">
        <w:rPr>
          <w:color w:val="000000"/>
          <w:lang w:val="en-US"/>
        </w:rPr>
        <w:t>. The relatively small middle class in the U.S. translated into the largest share of people in lower-income households, at 26% in 2010. Meanwhile, 15% of Americans were in the upper-income tier, the highest share among the countries examined.</w:t>
      </w:r>
    </w:p>
    <w:p w:rsidR="00844212" w:rsidRPr="00115C94" w:rsidRDefault="00844212" w:rsidP="00844212">
      <w:pPr>
        <w:pStyle w:val="NormalWeb"/>
        <w:spacing w:before="0" w:beforeAutospacing="0" w:after="300" w:afterAutospacing="0"/>
        <w:jc w:val="both"/>
        <w:textAlignment w:val="baseline"/>
        <w:rPr>
          <w:color w:val="000000"/>
          <w:lang w:val="en-US"/>
        </w:rPr>
      </w:pPr>
      <w:r w:rsidRPr="00974E56">
        <w:rPr>
          <w:color w:val="000000"/>
          <w:u w:val="single"/>
          <w:lang w:val="en-US"/>
        </w:rPr>
        <w:t>The shares of people in lower- and upper-income tiers in Spain were similar to that in the U.S</w:t>
      </w:r>
      <w:r w:rsidRPr="00115C94">
        <w:rPr>
          <w:color w:val="000000"/>
          <w:lang w:val="en-US"/>
        </w:rPr>
        <w:t>. In 2010, 24% of Spanish adults were lower income and 13% were upper income. Although alike in this respect, a key difference between the two countries is that the median disposable household income in the U.S. ($</w:t>
      </w:r>
      <w:r w:rsidR="00A30400">
        <w:rPr>
          <w:color w:val="000000"/>
          <w:lang w:val="en-US"/>
        </w:rPr>
        <w:t xml:space="preserve"> </w:t>
      </w:r>
      <w:r w:rsidRPr="00115C94">
        <w:rPr>
          <w:color w:val="000000"/>
          <w:lang w:val="en-US"/>
        </w:rPr>
        <w:t>52,941 in 2010) is much higher than in Spain ($</w:t>
      </w:r>
      <w:r w:rsidR="00A30400">
        <w:rPr>
          <w:color w:val="000000"/>
          <w:lang w:val="en-US"/>
        </w:rPr>
        <w:t xml:space="preserve"> </w:t>
      </w:r>
      <w:r w:rsidRPr="00115C94">
        <w:rPr>
          <w:color w:val="000000"/>
          <w:lang w:val="en-US"/>
        </w:rPr>
        <w:t>31,885).</w:t>
      </w:r>
    </w:p>
    <w:p w:rsidR="00844212" w:rsidRPr="00115C94" w:rsidRDefault="00844212" w:rsidP="00844212">
      <w:pPr>
        <w:pStyle w:val="NormalWeb"/>
        <w:spacing w:before="0" w:beforeAutospacing="0" w:after="300" w:afterAutospacing="0"/>
        <w:jc w:val="both"/>
        <w:textAlignment w:val="baseline"/>
        <w:rPr>
          <w:color w:val="000000"/>
          <w:lang w:val="en-US"/>
        </w:rPr>
      </w:pPr>
      <w:r w:rsidRPr="00974E56">
        <w:rPr>
          <w:color w:val="000000"/>
          <w:u w:val="single"/>
          <w:lang w:val="en-US"/>
        </w:rPr>
        <w:t>Generally, the larger the middle-income share, the smaller the shares of the lower- and upper-income tiers in a country</w:t>
      </w:r>
      <w:r w:rsidRPr="00115C94">
        <w:rPr>
          <w:color w:val="000000"/>
          <w:lang w:val="en-US"/>
        </w:rPr>
        <w:t>. In the Western European countries examined, the middle-income share was highest in Denmark, the Netherlands and Norway in 2010, and these countries also had the smallest lower-income tiers in 2010, around 13% to 14% of the population in each. They also had among the smallest upper-income tiers in 2010, from 6% to 8%.</w:t>
      </w:r>
    </w:p>
    <w:p w:rsidR="00844212" w:rsidRPr="000E3E2D" w:rsidRDefault="00844212" w:rsidP="00844212">
      <w:pPr>
        <w:pStyle w:val="Ttulo3"/>
        <w:spacing w:before="120" w:after="240"/>
        <w:jc w:val="both"/>
        <w:textAlignment w:val="baseline"/>
        <w:rPr>
          <w:rFonts w:ascii="Times New Roman" w:hAnsi="Times New Roman" w:cs="Times New Roman"/>
          <w:color w:val="000000"/>
          <w:sz w:val="24"/>
          <w:szCs w:val="24"/>
          <w:lang w:val="en-US"/>
        </w:rPr>
      </w:pPr>
      <w:bookmarkStart w:id="28" w:name="income-inequality-is-related-to-the-size"/>
      <w:bookmarkStart w:id="29" w:name="toc-anchor-37487-3"/>
      <w:bookmarkEnd w:id="28"/>
      <w:bookmarkEnd w:id="29"/>
      <w:r w:rsidRPr="000E3E2D">
        <w:rPr>
          <w:rFonts w:ascii="Times New Roman" w:hAnsi="Times New Roman" w:cs="Times New Roman"/>
          <w:color w:val="000000"/>
          <w:sz w:val="24"/>
          <w:szCs w:val="24"/>
          <w:lang w:val="en-US"/>
        </w:rPr>
        <w:t>Income inequality is related to the size of the middle class in a country</w:t>
      </w:r>
    </w:p>
    <w:p w:rsidR="00844212" w:rsidRPr="00974E56" w:rsidRDefault="00844212" w:rsidP="00844212">
      <w:pPr>
        <w:pStyle w:val="NormalWeb"/>
        <w:spacing w:before="0" w:beforeAutospacing="0" w:after="300" w:afterAutospacing="0"/>
        <w:jc w:val="both"/>
        <w:textAlignment w:val="baseline"/>
        <w:rPr>
          <w:color w:val="FF0000"/>
          <w:u w:val="single"/>
          <w:lang w:val="en-US"/>
        </w:rPr>
      </w:pPr>
      <w:r w:rsidRPr="00974E56">
        <w:rPr>
          <w:color w:val="FF0000"/>
          <w:u w:val="single"/>
          <w:lang w:val="en-US"/>
        </w:rPr>
        <w:t>The shares of adults who are in the lower-, middle- or upper-income tiers in a country is related to the degree of income inequality in the country, or the gap between the earnings of households near the top of the income distribution and those near the bottom. Countries where incomes are more equal have larger shares of middle-income adults, and vice versa.</w:t>
      </w:r>
    </w:p>
    <w:p w:rsidR="00844212" w:rsidRPr="00974E56" w:rsidRDefault="00844212" w:rsidP="00844212">
      <w:pPr>
        <w:pStyle w:val="NormalWeb"/>
        <w:spacing w:before="0" w:beforeAutospacing="0" w:after="0" w:afterAutospacing="0"/>
        <w:jc w:val="both"/>
        <w:textAlignment w:val="baseline"/>
        <w:rPr>
          <w:color w:val="000000"/>
          <w:u w:val="single"/>
          <w:lang w:val="en-US"/>
        </w:rPr>
      </w:pPr>
      <w:r w:rsidRPr="00974E56">
        <w:rPr>
          <w:color w:val="000000"/>
          <w:u w:val="single"/>
          <w:lang w:val="en-US"/>
        </w:rPr>
        <w:t>Using the ratio of the median income of upper-income households to the median income of lower-income households as a measure of inequality, the lesser the degree of inequality, the greater the share of the middle-income tier. (A lower level of inequality is also associated with smaller lower- and upper-income tiers.)</w:t>
      </w:r>
    </w:p>
    <w:p w:rsidR="00844212" w:rsidRPr="00974E56" w:rsidRDefault="00844212" w:rsidP="00844212">
      <w:pPr>
        <w:pStyle w:val="NormalWeb"/>
        <w:spacing w:before="0" w:beforeAutospacing="0" w:after="0" w:afterAutospacing="0"/>
        <w:jc w:val="both"/>
        <w:textAlignment w:val="baseline"/>
        <w:rPr>
          <w:color w:val="000000"/>
          <w:u w:val="single"/>
          <w:lang w:val="en-US"/>
        </w:rPr>
      </w:pPr>
    </w:p>
    <w:p w:rsidR="00844212" w:rsidRDefault="00844212" w:rsidP="00844212">
      <w:pPr>
        <w:pStyle w:val="NormalWeb"/>
        <w:spacing w:before="0" w:beforeAutospacing="0" w:after="0" w:afterAutospacing="0"/>
        <w:jc w:val="both"/>
        <w:textAlignment w:val="baseline"/>
        <w:rPr>
          <w:color w:val="000000"/>
          <w:lang w:val="en-US"/>
        </w:rPr>
      </w:pPr>
      <w:r w:rsidRPr="00115C94">
        <w:rPr>
          <w:noProof/>
          <w:color w:val="BC7B2B"/>
          <w:bdr w:val="none" w:sz="0" w:space="0" w:color="auto" w:frame="1"/>
        </w:rPr>
        <w:drawing>
          <wp:inline distT="0" distB="0" distL="0" distR="0" wp14:anchorId="7E041291" wp14:editId="7D494759">
            <wp:extent cx="3956050" cy="2971800"/>
            <wp:effectExtent l="0" t="0" r="6350" b="0"/>
            <wp:docPr id="240" name="Imagen 240" descr="http://www.pewresearch.org/wp-content/uploads/sites/2/2017/04/ST_2017.04.24_Western-Europe-Middle-Class_1-02.png">
              <a:hlinkClick xmlns:a="http://schemas.openxmlformats.org/drawingml/2006/main" r:id="rId3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pewresearch.org/wp-content/uploads/sites/2/2017/04/ST_2017.04.24_Western-Europe-Middle-Class_1-02.png">
                      <a:hlinkClick r:id="rId352"/>
                    </pic:cNvPr>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956050" cy="2971800"/>
                    </a:xfrm>
                    <a:prstGeom prst="rect">
                      <a:avLst/>
                    </a:prstGeom>
                    <a:noFill/>
                    <a:ln>
                      <a:noFill/>
                    </a:ln>
                  </pic:spPr>
                </pic:pic>
              </a:graphicData>
            </a:graphic>
          </wp:inline>
        </w:drawing>
      </w:r>
    </w:p>
    <w:p w:rsidR="00844212" w:rsidRPr="00115C94" w:rsidRDefault="00844212" w:rsidP="00844212">
      <w:pPr>
        <w:pStyle w:val="NormalWeb"/>
        <w:spacing w:before="0" w:beforeAutospacing="0" w:after="300" w:afterAutospacing="0"/>
        <w:jc w:val="both"/>
        <w:textAlignment w:val="baseline"/>
        <w:rPr>
          <w:color w:val="000000"/>
          <w:lang w:val="en-US"/>
        </w:rPr>
      </w:pPr>
      <w:r w:rsidRPr="00115C94">
        <w:rPr>
          <w:color w:val="000000"/>
          <w:lang w:val="en-US"/>
        </w:rPr>
        <w:lastRenderedPageBreak/>
        <w:t>For example, in 2010, Denmark, the Netherlands and Norway, which had the largest middle-income tiers, also had lower to moderate levels of income inequality. In these three countries, the ratio of the median income of upper-income households to that of lower-income households was 4.23, 4.26 and 4.52, respectively.</w:t>
      </w:r>
    </w:p>
    <w:p w:rsidR="00844212" w:rsidRDefault="00844212" w:rsidP="00844212">
      <w:pPr>
        <w:pStyle w:val="NormalWeb"/>
        <w:spacing w:before="0" w:beforeAutospacing="0" w:after="300" w:afterAutospacing="0"/>
        <w:jc w:val="both"/>
        <w:textAlignment w:val="baseline"/>
        <w:rPr>
          <w:color w:val="000000"/>
          <w:lang w:val="en-US"/>
        </w:rPr>
      </w:pPr>
      <w:r w:rsidRPr="00115C94">
        <w:rPr>
          <w:color w:val="000000"/>
          <w:lang w:val="en-US"/>
        </w:rPr>
        <w:t>The U.S. and Spain stood at the other end, with the smallest middle-income tiers and among the highest levels of income inequality. The ratio of the median income of upper-income households to that of lower-income households in 2010 was 5.70 in the U.S. and 4.97 in Spain.</w:t>
      </w:r>
    </w:p>
    <w:p w:rsidR="00844212" w:rsidRDefault="00844212" w:rsidP="00844212">
      <w:pPr>
        <w:pStyle w:val="NormalWeb"/>
        <w:spacing w:before="0" w:beforeAutospacing="0" w:after="0" w:afterAutospacing="0"/>
        <w:jc w:val="both"/>
        <w:textAlignment w:val="baseline"/>
        <w:rPr>
          <w:color w:val="000000"/>
          <w:lang w:val="en-US"/>
        </w:rPr>
      </w:pPr>
      <w:r w:rsidRPr="00115C94">
        <w:rPr>
          <w:color w:val="000000"/>
          <w:lang w:val="en-US"/>
        </w:rPr>
        <w:t>The relationship between income inequality and the middle-class share reflects the income distribution in a country. When the incomes of households near the bottom of the distribution are closer to the incomes of households near the top, more households may be found located within the band of income that defines the middle class – two-thirds to double the national median income. But, if the distance between the top and bottom of the income distribution is wide, households are spread more thinly across the income distribution and fewer fall within the middle-income band.</w:t>
      </w:r>
      <w:bookmarkStart w:id="30" w:name="the-middle-class-is-shrinking-in-the-maj"/>
      <w:bookmarkStart w:id="31" w:name="toc-anchor-37487-4"/>
      <w:bookmarkEnd w:id="30"/>
      <w:bookmarkEnd w:id="31"/>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b/>
          <w:color w:val="000000"/>
          <w:lang w:val="en-US"/>
        </w:rPr>
      </w:pPr>
      <w:r w:rsidRPr="008B6084">
        <w:rPr>
          <w:b/>
          <w:color w:val="000000"/>
          <w:lang w:val="en-US"/>
        </w:rPr>
        <w:t>The middle class is shrinking in the majority of countries examined, but there are notable exceptions</w:t>
      </w:r>
    </w:p>
    <w:p w:rsidR="00844212" w:rsidRPr="008B6084" w:rsidRDefault="00844212" w:rsidP="00844212">
      <w:pPr>
        <w:pStyle w:val="NormalWeb"/>
        <w:spacing w:before="0" w:beforeAutospacing="0" w:after="0" w:afterAutospacing="0"/>
        <w:jc w:val="both"/>
        <w:textAlignment w:val="baseline"/>
        <w:rPr>
          <w:b/>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115C94">
        <w:rPr>
          <w:noProof/>
          <w:color w:val="BC7B2B"/>
          <w:bdr w:val="none" w:sz="0" w:space="0" w:color="auto" w:frame="1"/>
        </w:rPr>
        <w:drawing>
          <wp:inline distT="0" distB="0" distL="0" distR="0" wp14:anchorId="7F431924" wp14:editId="4C286500">
            <wp:extent cx="3168650" cy="3975100"/>
            <wp:effectExtent l="0" t="0" r="0" b="6350"/>
            <wp:docPr id="241" name="Imagen 241" descr="http://www.pewresearch.org/wp-content/uploads/sites/2/2017/04/ST_2017.04.24_Western-Europe-Middle-Class_1-03.png">
              <a:hlinkClick xmlns:a="http://schemas.openxmlformats.org/drawingml/2006/main" r:id="rId3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pewresearch.org/wp-content/uploads/sites/2/2017/04/ST_2017.04.24_Western-Europe-Middle-Class_1-03.png">
                      <a:hlinkClick r:id="rId353"/>
                    </pic:cNvPr>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168650" cy="397510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u w:val="single"/>
          <w:lang w:val="en-US"/>
        </w:rPr>
      </w:pPr>
      <w:r w:rsidRPr="0084393A">
        <w:rPr>
          <w:color w:val="FF0000"/>
          <w:u w:val="single"/>
          <w:lang w:val="en-US"/>
        </w:rPr>
        <w:t>The share of adults in middle-income households is on the decline in the majority of countries examined</w:t>
      </w:r>
      <w:r w:rsidRPr="00115C94">
        <w:rPr>
          <w:color w:val="000000"/>
          <w:lang w:val="en-US"/>
        </w:rPr>
        <w:t xml:space="preserve">. </w:t>
      </w:r>
      <w:r w:rsidRPr="0084393A">
        <w:rPr>
          <w:color w:val="000000"/>
          <w:u w:val="single"/>
          <w:lang w:val="en-US"/>
        </w:rPr>
        <w:t>From 1991 to 2010, the share of the middle-income tier decreased 5 percentage points or more in Finland, Germany and Spain</w:t>
      </w:r>
      <w:r w:rsidRPr="00115C94">
        <w:rPr>
          <w:color w:val="000000"/>
          <w:lang w:val="en-US"/>
        </w:rPr>
        <w:t xml:space="preserve">. In Finland and Germany this represented more of a move up the ladder as the increase in the share of the upper-income tier exceeded the increase in the share that was lower income. </w:t>
      </w:r>
      <w:r w:rsidRPr="0084393A">
        <w:rPr>
          <w:color w:val="000000"/>
          <w:u w:val="single"/>
          <w:lang w:val="en-US"/>
        </w:rPr>
        <w:t>In Spain, however, the 5-</w:t>
      </w:r>
      <w:r w:rsidRPr="0084393A">
        <w:rPr>
          <w:color w:val="000000"/>
          <w:u w:val="single"/>
          <w:lang w:val="en-US"/>
        </w:rPr>
        <w:lastRenderedPageBreak/>
        <w:t>percentage-point decrease in the middle-income share was accompanied by a 4.2-point increase in the lower-income share.</w:t>
      </w:r>
    </w:p>
    <w:p w:rsidR="00E60284" w:rsidRPr="0084393A" w:rsidRDefault="00E60284" w:rsidP="00844212">
      <w:pPr>
        <w:pStyle w:val="NormalWeb"/>
        <w:spacing w:before="0" w:beforeAutospacing="0" w:after="0" w:afterAutospacing="0"/>
        <w:jc w:val="both"/>
        <w:textAlignment w:val="baseline"/>
        <w:rPr>
          <w:color w:val="000000"/>
          <w:u w:val="single"/>
          <w:lang w:val="en-US"/>
        </w:rPr>
      </w:pPr>
    </w:p>
    <w:p w:rsidR="00844212" w:rsidRPr="0084393A" w:rsidRDefault="00844212" w:rsidP="00844212">
      <w:pPr>
        <w:pStyle w:val="NormalWeb"/>
        <w:spacing w:before="0" w:beforeAutospacing="0" w:after="300" w:afterAutospacing="0"/>
        <w:jc w:val="both"/>
        <w:textAlignment w:val="baseline"/>
        <w:rPr>
          <w:color w:val="000000"/>
          <w:u w:val="single"/>
          <w:lang w:val="en-US"/>
        </w:rPr>
      </w:pPr>
      <w:r w:rsidRPr="0084393A">
        <w:rPr>
          <w:color w:val="000000"/>
          <w:u w:val="single"/>
          <w:lang w:val="en-US"/>
        </w:rPr>
        <w:t>Ireland and the UK posted the most significant expansions of the middle-income tier from 1991 to 2010. In Ireland, the middle-income share increased 8.5 percentage points, from 6o% to 69%. Meanwhile, the share of Irish adults who are lower income fell 7.3 percentage points. In the UK, an increase of 6 points in the middle-income share was accompanied by a decrease of 4.8 points in the lower-income share.</w:t>
      </w:r>
    </w:p>
    <w:p w:rsidR="00844212" w:rsidRPr="0084393A" w:rsidRDefault="00844212" w:rsidP="00844212">
      <w:pPr>
        <w:pStyle w:val="NormalWeb"/>
        <w:spacing w:before="0" w:beforeAutospacing="0" w:after="300" w:afterAutospacing="0"/>
        <w:jc w:val="both"/>
        <w:textAlignment w:val="baseline"/>
        <w:rPr>
          <w:color w:val="000000"/>
          <w:u w:val="single"/>
          <w:lang w:val="en-US"/>
        </w:rPr>
      </w:pPr>
      <w:r w:rsidRPr="0084393A">
        <w:rPr>
          <w:color w:val="000000"/>
          <w:u w:val="single"/>
          <w:lang w:val="en-US"/>
        </w:rPr>
        <w:t>The Netherlands is another country that experienced a sizable decrease in the share of its lower-income tier. From 1991 to 2010, the lower-income share in the Netherlands fell by 5.8 percentage points and this resulted in increases in the shares of both the middle-income tier (plus 3.4 percentage points) and the upper-income tier (plus 2.4 points).</w:t>
      </w:r>
    </w:p>
    <w:p w:rsidR="00844212" w:rsidRPr="0084393A" w:rsidRDefault="00844212" w:rsidP="00844212">
      <w:pPr>
        <w:pStyle w:val="NormalWeb"/>
        <w:spacing w:before="0" w:beforeAutospacing="0" w:after="300" w:afterAutospacing="0"/>
        <w:jc w:val="both"/>
        <w:textAlignment w:val="baseline"/>
        <w:rPr>
          <w:color w:val="000000"/>
          <w:u w:val="single"/>
          <w:lang w:val="en-US"/>
        </w:rPr>
      </w:pPr>
      <w:r w:rsidRPr="0084393A">
        <w:rPr>
          <w:color w:val="FF0000"/>
          <w:u w:val="single"/>
          <w:lang w:val="en-US"/>
        </w:rPr>
        <w:t>More recent data for 2013 are available for eight of the 12 countries covered in this report. The period from 2010 to 2013, which encompasses the beginning of the recovery from the Great Recession, reveals little change in the trend through 2010.</w:t>
      </w:r>
      <w:r w:rsidRPr="0084393A">
        <w:rPr>
          <w:color w:val="000000"/>
          <w:u w:val="single"/>
          <w:lang w:val="en-US"/>
        </w:rPr>
        <w:t xml:space="preserve"> In the UK, the middle-income share edged up from 67% in 2010 to 68% in 2013. The middle-income share slipped slightly in the Netherlands -from 79% in 2010 to 78% in 2013- but it remained higher than its share in 1991. </w:t>
      </w:r>
    </w:p>
    <w:p w:rsidR="00844212" w:rsidRPr="00115C94" w:rsidRDefault="00844212" w:rsidP="00844212">
      <w:pPr>
        <w:pStyle w:val="NormalWeb"/>
        <w:spacing w:before="0" w:beforeAutospacing="0" w:after="300" w:afterAutospacing="0"/>
        <w:jc w:val="both"/>
        <w:textAlignment w:val="baseline"/>
        <w:rPr>
          <w:color w:val="000000"/>
          <w:lang w:val="en-US"/>
        </w:rPr>
      </w:pPr>
      <w:r w:rsidRPr="0084393A">
        <w:rPr>
          <w:color w:val="FF0000"/>
          <w:u w:val="single"/>
          <w:lang w:val="en-US"/>
        </w:rPr>
        <w:t>Most countries that experienced drops in middle-class shares from 1991 to 2010 remained on that path through 2013</w:t>
      </w:r>
      <w:r w:rsidRPr="00115C94">
        <w:rPr>
          <w:color w:val="000000"/>
          <w:lang w:val="en-US"/>
        </w:rPr>
        <w:t>. The economic divisions strengthened within Luxembourg, the Netherlands, Norway, Spain and the U.S., with further reductions in the middle-income shares and increases in the lower- and upper-income shares, albeit modestly in most cases.</w:t>
      </w:r>
    </w:p>
    <w:p w:rsidR="00844212" w:rsidRPr="000E3E2D" w:rsidRDefault="00844212" w:rsidP="00844212">
      <w:pPr>
        <w:pStyle w:val="Ttulo3"/>
        <w:spacing w:before="120" w:after="240"/>
        <w:jc w:val="both"/>
        <w:textAlignment w:val="baseline"/>
        <w:rPr>
          <w:rFonts w:ascii="Times New Roman" w:hAnsi="Times New Roman" w:cs="Times New Roman"/>
          <w:color w:val="000000"/>
          <w:sz w:val="24"/>
          <w:szCs w:val="24"/>
          <w:lang w:val="en-US"/>
        </w:rPr>
      </w:pPr>
      <w:bookmarkStart w:id="32" w:name="adults-in-the-netherlands-and-ireland-ex"/>
      <w:bookmarkStart w:id="33" w:name="toc-anchor-37487-5"/>
      <w:bookmarkEnd w:id="32"/>
      <w:bookmarkEnd w:id="33"/>
      <w:r w:rsidRPr="000E3E2D">
        <w:rPr>
          <w:rFonts w:ascii="Times New Roman" w:hAnsi="Times New Roman" w:cs="Times New Roman"/>
          <w:color w:val="000000"/>
          <w:sz w:val="24"/>
          <w:szCs w:val="24"/>
          <w:lang w:val="en-US"/>
        </w:rPr>
        <w:t>Adults in the Netherlands and Ireland experienced the greatest progress up the economic ladder</w:t>
      </w:r>
    </w:p>
    <w:p w:rsidR="00844212" w:rsidRDefault="00844212" w:rsidP="00844212">
      <w:pPr>
        <w:pStyle w:val="NormalWeb"/>
        <w:spacing w:before="0" w:beforeAutospacing="0" w:after="0" w:afterAutospacing="0"/>
        <w:jc w:val="both"/>
        <w:textAlignment w:val="baseline"/>
        <w:rPr>
          <w:color w:val="000000"/>
          <w:lang w:val="en-US"/>
        </w:rPr>
      </w:pPr>
      <w:r w:rsidRPr="00115C94">
        <w:rPr>
          <w:color w:val="000000"/>
          <w:lang w:val="en-US"/>
        </w:rPr>
        <w:t>The movement of people into both lower- and upper-income tiers, or out of both tiers, suggests that the overall change in the economic status of a country is perhaps best measured by the difference in the magnitudes of these moves. Generally, movements up the income ladder were more pronounced than movements down the ladder, and there was an improvement in the economic status of adults the post-1990 era in most of the countries examined.</w:t>
      </w:r>
    </w:p>
    <w:p w:rsidR="00844212" w:rsidRPr="00115C94"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84393A">
        <w:rPr>
          <w:color w:val="000000"/>
          <w:u w:val="single"/>
          <w:lang w:val="en-US"/>
        </w:rPr>
        <w:t>In the U.S., the share of adults in the upper-income tier increased 1.9 percentage points from 1991 to 2010</w:t>
      </w:r>
      <w:r w:rsidRPr="00115C94">
        <w:rPr>
          <w:color w:val="000000"/>
          <w:lang w:val="en-US"/>
        </w:rPr>
        <w:t xml:space="preserve">. </w:t>
      </w:r>
      <w:r w:rsidRPr="0084393A">
        <w:rPr>
          <w:color w:val="000000"/>
          <w:u w:val="single"/>
          <w:lang w:val="en-US"/>
        </w:rPr>
        <w:t>Meanwhile, the lower-income share also increased, by 0.9 points. The difference -1 percentage point- is the </w:t>
      </w:r>
      <w:r w:rsidRPr="0084393A">
        <w:rPr>
          <w:rStyle w:val="nfasis"/>
          <w:rFonts w:eastAsiaTheme="majorEastAsia"/>
          <w:color w:val="000000"/>
          <w:u w:val="single"/>
          <w:bdr w:val="none" w:sz="0" w:space="0" w:color="auto" w:frame="1"/>
          <w:lang w:val="en-US"/>
        </w:rPr>
        <w:t>net</w:t>
      </w:r>
      <w:r w:rsidRPr="0084393A">
        <w:rPr>
          <w:i/>
          <w:color w:val="000000"/>
          <w:u w:val="single"/>
          <w:lang w:val="en-US"/>
        </w:rPr>
        <w:t> </w:t>
      </w:r>
      <w:r w:rsidRPr="0084393A">
        <w:rPr>
          <w:rStyle w:val="nfasis"/>
          <w:rFonts w:eastAsiaTheme="majorEastAsia"/>
          <w:color w:val="000000"/>
          <w:u w:val="single"/>
          <w:bdr w:val="none" w:sz="0" w:space="0" w:color="auto" w:frame="1"/>
          <w:lang w:val="en-US"/>
        </w:rPr>
        <w:t xml:space="preserve">gain </w:t>
      </w:r>
      <w:r w:rsidRPr="0084393A">
        <w:rPr>
          <w:color w:val="000000"/>
          <w:u w:val="single"/>
          <w:lang w:val="en-US"/>
        </w:rPr>
        <w:t>in the economic status of American adults.</w:t>
      </w:r>
    </w:p>
    <w:p w:rsidR="00844212" w:rsidRPr="00115C94" w:rsidRDefault="00844212" w:rsidP="00844212">
      <w:pPr>
        <w:pStyle w:val="NormalWeb"/>
        <w:spacing w:before="0" w:beforeAutospacing="0" w:after="0" w:afterAutospacing="0"/>
        <w:jc w:val="both"/>
        <w:textAlignment w:val="baseline"/>
        <w:rPr>
          <w:color w:val="000000"/>
          <w:lang w:val="en-US"/>
        </w:rPr>
      </w:pPr>
    </w:p>
    <w:p w:rsidR="00844212" w:rsidRPr="0084393A" w:rsidRDefault="00844212" w:rsidP="00844212">
      <w:pPr>
        <w:pStyle w:val="NormalWeb"/>
        <w:spacing w:before="0" w:beforeAutospacing="0" w:after="300" w:afterAutospacing="0"/>
        <w:jc w:val="both"/>
        <w:textAlignment w:val="baseline"/>
        <w:rPr>
          <w:color w:val="000000"/>
          <w:u w:val="single"/>
          <w:lang w:val="en-US"/>
        </w:rPr>
      </w:pPr>
      <w:r w:rsidRPr="0084393A">
        <w:rPr>
          <w:color w:val="000000"/>
          <w:u w:val="single"/>
          <w:lang w:val="en-US"/>
        </w:rPr>
        <w:t>Among the Western European countries examined, the biggest gainers in economic status from 1991 to 2010 were the Dutch. In the Netherlands, the share of adults in the lower-income tier decreased 5.8 percentage points in this period and the upper-income share increased 2.4 points. Both these movements represent an economic gain, and their combined effect was an 8.2-point gain in the overall economic status of adults in the Netherlands.</w:t>
      </w:r>
    </w:p>
    <w:p w:rsidR="00844212" w:rsidRPr="0084393A" w:rsidRDefault="00844212" w:rsidP="00844212">
      <w:pPr>
        <w:pStyle w:val="NormalWeb"/>
        <w:spacing w:before="0" w:beforeAutospacing="0" w:after="300" w:afterAutospacing="0"/>
        <w:jc w:val="both"/>
        <w:textAlignment w:val="baseline"/>
        <w:rPr>
          <w:color w:val="000000"/>
          <w:u w:val="single"/>
          <w:lang w:val="en-US"/>
        </w:rPr>
      </w:pPr>
      <w:r w:rsidRPr="0084393A">
        <w:rPr>
          <w:color w:val="000000"/>
          <w:u w:val="single"/>
          <w:lang w:val="en-US"/>
        </w:rPr>
        <w:t xml:space="preserve">The net gain in Ireland was 6.2 percentage points from 1991 to 2010. This is the result of two countervailing movements - a decrease of 7.3 points in the lower-income share but also a decrease of 1.1 points in the upper-income share. People in the UK (up 3.5 points) and </w:t>
      </w:r>
      <w:r w:rsidRPr="0084393A">
        <w:rPr>
          <w:color w:val="000000"/>
          <w:u w:val="single"/>
          <w:lang w:val="en-US"/>
        </w:rPr>
        <w:lastRenderedPageBreak/>
        <w:t>Denmark (3.1 points) were also among the bigger gainers in this period. Gains in the other countries from Western Europe ranged from 0.4 points in Italy to 1.8 points in France.</w:t>
      </w:r>
    </w:p>
    <w:p w:rsidR="00844212" w:rsidRPr="0084393A" w:rsidRDefault="00844212" w:rsidP="00844212">
      <w:pPr>
        <w:pStyle w:val="NormalWeb"/>
        <w:spacing w:before="0" w:beforeAutospacing="0" w:after="300" w:afterAutospacing="0"/>
        <w:jc w:val="both"/>
        <w:textAlignment w:val="baseline"/>
        <w:rPr>
          <w:color w:val="000000"/>
          <w:u w:val="single"/>
          <w:lang w:val="en-US"/>
        </w:rPr>
      </w:pPr>
      <w:r w:rsidRPr="00115C94">
        <w:rPr>
          <w:color w:val="000000"/>
          <w:lang w:val="en-US"/>
        </w:rPr>
        <w:t xml:space="preserve">But adults in Luxembourg and Spain were more likely to have moved into the lower-income tier than into the upper-income tiers. </w:t>
      </w:r>
      <w:r w:rsidRPr="0084393A">
        <w:rPr>
          <w:color w:val="000000"/>
          <w:u w:val="single"/>
          <w:lang w:val="en-US"/>
        </w:rPr>
        <w:t>In Spain, the increase in the lower-income share exceeded the increase in the upper-income share by 3.2 percentage points from 1991 to 2010. The loss in Luxembourg was a modest 0.3 points.</w:t>
      </w:r>
    </w:p>
    <w:p w:rsidR="00844212" w:rsidRPr="0084393A" w:rsidRDefault="00844212" w:rsidP="00844212">
      <w:pPr>
        <w:pStyle w:val="NormalWeb"/>
        <w:spacing w:before="0" w:beforeAutospacing="0" w:after="300" w:afterAutospacing="0"/>
        <w:jc w:val="both"/>
        <w:textAlignment w:val="baseline"/>
        <w:rPr>
          <w:color w:val="000000"/>
          <w:u w:val="single"/>
          <w:lang w:val="en-US"/>
        </w:rPr>
      </w:pPr>
      <w:r w:rsidRPr="0084393A">
        <w:rPr>
          <w:color w:val="000000"/>
          <w:u w:val="single"/>
          <w:lang w:val="en-US"/>
        </w:rPr>
        <w:t>Little changes when expanding to the longer time period from 1991 to 2013. The gain in the Netherlands over this period -7.9 percentage points- is well ahead of the gains in the other seven countries for which data are available through 2013. Luxembourg and Spain extend their losses, to 2.6 points and 3.5 points, respectively.</w:t>
      </w:r>
    </w:p>
    <w:p w:rsidR="00844212" w:rsidRDefault="00844212" w:rsidP="00844212">
      <w:pPr>
        <w:pStyle w:val="NormalWeb"/>
        <w:spacing w:before="0" w:beforeAutospacing="0" w:after="0" w:afterAutospacing="0"/>
        <w:jc w:val="both"/>
        <w:textAlignment w:val="baseline"/>
        <w:rPr>
          <w:color w:val="000000"/>
          <w:lang w:val="en-US"/>
        </w:rPr>
      </w:pPr>
      <w:r w:rsidRPr="00115C94">
        <w:rPr>
          <w:noProof/>
          <w:color w:val="BC7B2B"/>
          <w:bdr w:val="none" w:sz="0" w:space="0" w:color="auto" w:frame="1"/>
        </w:rPr>
        <w:drawing>
          <wp:inline distT="0" distB="0" distL="0" distR="0" wp14:anchorId="44B792A2" wp14:editId="51811E54">
            <wp:extent cx="1898650" cy="5765800"/>
            <wp:effectExtent l="0" t="0" r="6350" b="6350"/>
            <wp:docPr id="242" name="Imagen 242" descr="http://www.pewresearch.org/wp-content/uploads/sites/2/2017/04/ST_2017.04.24_Western-Europe-Middle-Class_1-04.png">
              <a:hlinkClick xmlns:a="http://schemas.openxmlformats.org/drawingml/2006/main" r:id="rId3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pewresearch.org/wp-content/uploads/sites/2/2017/04/ST_2017.04.24_Western-Europe-Middle-Class_1-04.png">
                      <a:hlinkClick r:id="rId355"/>
                    </pic:cNvPr>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1898650" cy="576580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B75416">
        <w:rPr>
          <w:color w:val="FF0000"/>
          <w:u w:val="single"/>
          <w:lang w:val="en-US"/>
        </w:rPr>
        <w:t>Changes in a country’s labor market conditions are correlated with changes in the income status of adults</w:t>
      </w:r>
      <w:r w:rsidRPr="00115C94">
        <w:rPr>
          <w:color w:val="000000"/>
          <w:lang w:val="en-US"/>
        </w:rPr>
        <w:t xml:space="preserve">. </w:t>
      </w:r>
      <w:r w:rsidRPr="00B75416">
        <w:rPr>
          <w:color w:val="000000"/>
          <w:u w:val="single"/>
          <w:lang w:val="en-US"/>
        </w:rPr>
        <w:t>The unemployment rate in Spain, which is much higher than in the other countries, increased from 16.3% in 1991 to 19.9% in 2010. It then spiked to 26.1% in 2013.</w:t>
      </w:r>
      <w:r w:rsidRPr="00115C94">
        <w:rPr>
          <w:color w:val="000000"/>
          <w:lang w:val="en-US"/>
        </w:rPr>
        <w:t xml:space="preserve"> </w:t>
      </w:r>
      <w:r w:rsidRPr="00115C94">
        <w:rPr>
          <w:color w:val="000000"/>
          <w:lang w:val="en-US"/>
        </w:rPr>
        <w:lastRenderedPageBreak/>
        <w:t>The unemployment rate in Luxembourg is not nearly as high, but it increased from only 1.4% in 1991 to 5.9% in 2010, and then further to 6.9% by 2013.</w:t>
      </w:r>
    </w:p>
    <w:p w:rsidR="00844212" w:rsidRPr="00115C94" w:rsidRDefault="00844212" w:rsidP="00844212">
      <w:pPr>
        <w:pStyle w:val="NormalWeb"/>
        <w:spacing w:before="0" w:beforeAutospacing="0" w:after="0" w:afterAutospacing="0"/>
        <w:jc w:val="both"/>
        <w:textAlignment w:val="baseline"/>
        <w:rPr>
          <w:color w:val="000000"/>
          <w:lang w:val="en-US"/>
        </w:rPr>
      </w:pPr>
    </w:p>
    <w:p w:rsidR="00844212" w:rsidRPr="00115C94" w:rsidRDefault="00844212" w:rsidP="00844212">
      <w:pPr>
        <w:pStyle w:val="NormalWeb"/>
        <w:spacing w:before="0" w:beforeAutospacing="0" w:after="300" w:afterAutospacing="0"/>
        <w:jc w:val="both"/>
        <w:textAlignment w:val="baseline"/>
        <w:rPr>
          <w:color w:val="000000"/>
          <w:lang w:val="en-US"/>
        </w:rPr>
      </w:pPr>
      <w:r w:rsidRPr="00115C94">
        <w:rPr>
          <w:color w:val="000000"/>
          <w:lang w:val="en-US"/>
        </w:rPr>
        <w:t>At the other end of the spectrum, the unemployment rate in Ireland fell from 19% in 1991 to 13.9% in 2010. The unemployment rate also trended down in Denmark and the UK during this period. More generally, countries that experienced a decrease in the unemployment rate from 1991 to 2010, or less of an increase, experienced more of an improvement in the income status of adults.</w:t>
      </w:r>
    </w:p>
    <w:p w:rsidR="00844212" w:rsidRDefault="00844212" w:rsidP="00844212">
      <w:pPr>
        <w:pStyle w:val="NormalWeb"/>
        <w:spacing w:before="0" w:beforeAutospacing="0" w:after="0" w:afterAutospacing="0"/>
        <w:jc w:val="both"/>
        <w:textAlignment w:val="baseline"/>
        <w:rPr>
          <w:color w:val="000000"/>
          <w:lang w:val="en-US"/>
        </w:rPr>
      </w:pPr>
      <w:r w:rsidRPr="00115C94">
        <w:rPr>
          <w:color w:val="000000"/>
          <w:lang w:val="en-US"/>
        </w:rPr>
        <w:t>Growth in the national median household income in a country is also related with the movement of adults up the income tiers. As shown in the next section, Denmark, France, Ireland and the UK recorded among the highest rates of growth in national median household income from 1991 to 2010, and adults in these countries experienced more of an improvement in economic status. On the other hand, Germany, Italy, Spain and the U.S. were among the countries experiencing the lowest rate of growth in national median household income, and adults in these countries experienced minimal gains in economic status, or a loss in the case of Spain.</w:t>
      </w:r>
    </w:p>
    <w:p w:rsidR="00844212"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Pr>
          <w:iCs/>
          <w:lang w:val="en-US"/>
        </w:rPr>
        <w:t xml:space="preserve">- </w:t>
      </w:r>
      <w:r w:rsidRPr="001F758A">
        <w:rPr>
          <w:color w:val="000000"/>
          <w:u w:val="single"/>
          <w:lang w:val="en-US"/>
        </w:rPr>
        <w:t>Through an American lens, Western Europe’s middle classes appear smaller</w:t>
      </w:r>
      <w:r>
        <w:rPr>
          <w:color w:val="000000"/>
          <w:lang w:val="en-US"/>
        </w:rPr>
        <w:t xml:space="preserve"> (Pew Research Center - </w:t>
      </w:r>
      <w:r w:rsidRPr="001F758A">
        <w:rPr>
          <w:b/>
          <w:color w:val="000000"/>
          <w:lang w:val="en-US"/>
        </w:rPr>
        <w:t>5/6/17</w:t>
      </w:r>
      <w:r>
        <w:rPr>
          <w:color w:val="000000"/>
          <w:lang w:val="en-US"/>
        </w:rPr>
        <w:t>)</w:t>
      </w:r>
    </w:p>
    <w:p w:rsidR="00844212" w:rsidRDefault="00844212" w:rsidP="00844212">
      <w:pPr>
        <w:pStyle w:val="NormalWeb"/>
        <w:spacing w:before="0" w:beforeAutospacing="0" w:after="0" w:afterAutospacing="0"/>
        <w:jc w:val="both"/>
        <w:textAlignment w:val="baseline"/>
        <w:rPr>
          <w:color w:val="000000"/>
          <w:lang w:val="en-US"/>
        </w:rPr>
      </w:pPr>
    </w:p>
    <w:p w:rsidR="00844212" w:rsidRPr="001F758A" w:rsidRDefault="00844212" w:rsidP="00844212">
      <w:pPr>
        <w:pStyle w:val="NormalWeb"/>
        <w:spacing w:before="0" w:beforeAutospacing="0" w:after="0" w:afterAutospacing="0"/>
        <w:jc w:val="both"/>
        <w:textAlignment w:val="baseline"/>
        <w:rPr>
          <w:iCs/>
          <w:lang w:val="en-US"/>
        </w:rPr>
      </w:pPr>
      <w:r>
        <w:rPr>
          <w:color w:val="000000"/>
          <w:lang w:val="en-US"/>
        </w:rPr>
        <w:t>(By Rakesh Kochhar)</w:t>
      </w:r>
    </w:p>
    <w:p w:rsidR="00844212" w:rsidRDefault="00844212" w:rsidP="00844212">
      <w:pPr>
        <w:pStyle w:val="NormalWeb"/>
        <w:spacing w:before="0" w:beforeAutospacing="0" w:after="0" w:afterAutospacing="0" w:line="384" w:lineRule="atLeast"/>
        <w:textAlignment w:val="baseline"/>
        <w:rPr>
          <w:rFonts w:ascii="Georgia" w:hAnsi="Georgia"/>
          <w:color w:val="000000"/>
          <w:lang w:val="en-US"/>
        </w:rPr>
      </w:pPr>
    </w:p>
    <w:p w:rsidR="00844212" w:rsidRPr="004F3302" w:rsidRDefault="00844212" w:rsidP="00844212">
      <w:pPr>
        <w:pStyle w:val="NormalWeb"/>
        <w:spacing w:before="0" w:beforeAutospacing="0" w:after="0" w:afterAutospacing="0"/>
        <w:jc w:val="both"/>
        <w:textAlignment w:val="baseline"/>
        <w:rPr>
          <w:color w:val="FF0000"/>
          <w:u w:val="single"/>
          <w:lang w:val="en-US"/>
        </w:rPr>
      </w:pPr>
      <w:r w:rsidRPr="004F3302">
        <w:rPr>
          <w:color w:val="FF0000"/>
          <w:u w:val="single"/>
          <w:lang w:val="en-US"/>
        </w:rPr>
        <w:t>The American middle class is smaller than middle classes across Western Europe, but its income is higher, according to a recent </w:t>
      </w:r>
      <w:hyperlink r:id="rId357" w:history="1">
        <w:r w:rsidRPr="004F3302">
          <w:rPr>
            <w:rStyle w:val="Hipervnculo"/>
            <w:color w:val="FF0000"/>
            <w:bdr w:val="none" w:sz="0" w:space="0" w:color="auto" w:frame="1"/>
            <w:lang w:val="en-US"/>
          </w:rPr>
          <w:t>Pew Research Center analysis</w:t>
        </w:r>
      </w:hyperlink>
      <w:r w:rsidRPr="004F3302">
        <w:rPr>
          <w:color w:val="FF0000"/>
          <w:u w:val="single"/>
          <w:lang w:val="en-US"/>
        </w:rPr>
        <w:t> of the U.S. and 11 European nations.</w:t>
      </w:r>
    </w:p>
    <w:p w:rsidR="00844212" w:rsidRPr="001F758A" w:rsidRDefault="00844212" w:rsidP="00844212">
      <w:pPr>
        <w:pStyle w:val="NormalWeb"/>
        <w:spacing w:before="0" w:beforeAutospacing="0" w:after="0" w:afterAutospacing="0"/>
        <w:jc w:val="both"/>
        <w:textAlignment w:val="baseline"/>
        <w:rPr>
          <w:color w:val="000000"/>
          <w:lang w:val="en-US"/>
        </w:rPr>
      </w:pPr>
    </w:p>
    <w:p w:rsidR="00844212" w:rsidRPr="00B75416" w:rsidRDefault="00844212" w:rsidP="00844212">
      <w:pPr>
        <w:pStyle w:val="NormalWeb"/>
        <w:spacing w:before="0" w:beforeAutospacing="0" w:after="300" w:afterAutospacing="0"/>
        <w:jc w:val="both"/>
        <w:textAlignment w:val="baseline"/>
        <w:rPr>
          <w:color w:val="000000"/>
          <w:u w:val="single"/>
          <w:lang w:val="en-US"/>
        </w:rPr>
      </w:pPr>
      <w:r w:rsidRPr="004F3302">
        <w:rPr>
          <w:color w:val="000000"/>
          <w:u w:val="single"/>
          <w:lang w:val="en-US"/>
        </w:rPr>
        <w:t>The median disposable (after-tax) income of middle-class households in the U.S. was $</w:t>
      </w:r>
      <w:r w:rsidR="00ED6FE6">
        <w:rPr>
          <w:color w:val="000000"/>
          <w:u w:val="single"/>
          <w:lang w:val="en-US"/>
        </w:rPr>
        <w:t xml:space="preserve"> </w:t>
      </w:r>
      <w:r w:rsidRPr="004F3302">
        <w:rPr>
          <w:color w:val="000000"/>
          <w:u w:val="single"/>
          <w:lang w:val="en-US"/>
        </w:rPr>
        <w:t>60,884 in 2010. With the exception of Luxembourg -a virtual city-state where the median income was $</w:t>
      </w:r>
      <w:r w:rsidR="00ED6FE6">
        <w:rPr>
          <w:color w:val="000000"/>
          <w:u w:val="single"/>
          <w:lang w:val="en-US"/>
        </w:rPr>
        <w:t xml:space="preserve"> </w:t>
      </w:r>
      <w:r w:rsidRPr="004F3302">
        <w:rPr>
          <w:color w:val="000000"/>
          <w:u w:val="single"/>
          <w:lang w:val="en-US"/>
        </w:rPr>
        <w:t>71,799- the disposable incomes of middle-class households in the other 10 Western European countries in the study trailed well behind the American middle class.</w:t>
      </w:r>
    </w:p>
    <w:p w:rsidR="00844212" w:rsidRDefault="00844212" w:rsidP="00844212">
      <w:pPr>
        <w:pStyle w:val="NormalWeb"/>
        <w:spacing w:before="0" w:beforeAutospacing="0" w:after="0" w:afterAutospacing="0"/>
        <w:jc w:val="both"/>
        <w:textAlignment w:val="baseline"/>
        <w:rPr>
          <w:color w:val="000000"/>
          <w:lang w:val="en-US"/>
        </w:rPr>
      </w:pPr>
      <w:r w:rsidRPr="001F758A">
        <w:rPr>
          <w:noProof/>
          <w:color w:val="BC7B2B"/>
          <w:bdr w:val="none" w:sz="0" w:space="0" w:color="auto" w:frame="1"/>
        </w:rPr>
        <w:drawing>
          <wp:inline distT="0" distB="0" distL="0" distR="0" wp14:anchorId="61754F4F" wp14:editId="6C707EE2">
            <wp:extent cx="5708650" cy="3073400"/>
            <wp:effectExtent l="0" t="0" r="6350" b="0"/>
            <wp:docPr id="243" name="Imagen 243" descr="http://www.pewresearch.org/wp-content/uploads/2017/06/FT_17.05.22_EuropeMiddleIncome_2.png">
              <a:hlinkClick xmlns:a="http://schemas.openxmlformats.org/drawingml/2006/main" r:id="rId3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pewresearch.org/wp-content/uploads/2017/06/FT_17.05.22_EuropeMiddleIncome_2.png">
                      <a:hlinkClick r:id="rId358"/>
                    </pic:cNvPr>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708650" cy="3073400"/>
                    </a:xfrm>
                    <a:prstGeom prst="rect">
                      <a:avLst/>
                    </a:prstGeom>
                    <a:noFill/>
                    <a:ln>
                      <a:noFill/>
                    </a:ln>
                  </pic:spPr>
                </pic:pic>
              </a:graphicData>
            </a:graphic>
          </wp:inline>
        </w:drawing>
      </w:r>
    </w:p>
    <w:p w:rsidR="00844212" w:rsidRDefault="00844212" w:rsidP="00844212">
      <w:pPr>
        <w:pStyle w:val="NormalWeb"/>
        <w:spacing w:before="0" w:beforeAutospacing="0" w:after="0" w:afterAutospacing="0"/>
        <w:jc w:val="both"/>
        <w:textAlignment w:val="baseline"/>
        <w:rPr>
          <w:color w:val="000000"/>
          <w:lang w:val="en-US"/>
        </w:rPr>
      </w:pPr>
      <w:r w:rsidRPr="001F758A">
        <w:rPr>
          <w:color w:val="000000"/>
          <w:lang w:val="en-US"/>
        </w:rPr>
        <w:lastRenderedPageBreak/>
        <w:t>In the Center’s analysis, the middle class in a country consists of adults living in households with disposable incomes ranging from two-thirds to double the country’s </w:t>
      </w:r>
      <w:r w:rsidRPr="004F3302">
        <w:rPr>
          <w:rStyle w:val="nfasis"/>
          <w:rFonts w:eastAsiaTheme="majorEastAsia"/>
          <w:color w:val="000000"/>
          <w:bdr w:val="none" w:sz="0" w:space="0" w:color="auto" w:frame="1"/>
          <w:lang w:val="en-US"/>
        </w:rPr>
        <w:t>own</w:t>
      </w:r>
      <w:r w:rsidRPr="001F758A">
        <w:rPr>
          <w:color w:val="000000"/>
          <w:lang w:val="en-US"/>
        </w:rPr>
        <w:t xml:space="preserve"> median disposable household income (adjusted for household size). This definition allows middle-class incomes to vary across countries, because national incomes vary across countries.</w:t>
      </w:r>
    </w:p>
    <w:p w:rsidR="00844212" w:rsidRDefault="00844212" w:rsidP="00844212">
      <w:pPr>
        <w:pStyle w:val="NormalWeb"/>
        <w:spacing w:before="0" w:beforeAutospacing="0" w:after="0" w:afterAutospacing="0"/>
        <w:jc w:val="both"/>
        <w:textAlignment w:val="baseline"/>
        <w:rPr>
          <w:color w:val="000000"/>
          <w:lang w:val="en-US"/>
        </w:rPr>
      </w:pPr>
    </w:p>
    <w:p w:rsidR="00844212" w:rsidRPr="00CD110D" w:rsidRDefault="00844212" w:rsidP="00844212">
      <w:pPr>
        <w:pStyle w:val="NormalWeb"/>
        <w:spacing w:before="0" w:beforeAutospacing="0" w:after="300" w:afterAutospacing="0"/>
        <w:jc w:val="both"/>
        <w:textAlignment w:val="baseline"/>
        <w:rPr>
          <w:color w:val="FF0000"/>
          <w:u w:val="single"/>
          <w:lang w:val="en-US"/>
        </w:rPr>
      </w:pPr>
      <w:r w:rsidRPr="001F758A">
        <w:rPr>
          <w:color w:val="000000"/>
          <w:lang w:val="en-US"/>
        </w:rPr>
        <w:t xml:space="preserve">The share of the adult population living in middle-class households in 2010 also varies by country. </w:t>
      </w:r>
      <w:r w:rsidRPr="00CD110D">
        <w:rPr>
          <w:color w:val="FF0000"/>
          <w:u w:val="single"/>
          <w:lang w:val="en-US"/>
        </w:rPr>
        <w:t>Among the countries examined, the middle-class share in Western Europe ranged from 64% in Spain to 80% in Denmark and Norway. By comparison, the U.S. lagged behind, with a middle-class share of 59% in 2010.</w:t>
      </w:r>
    </w:p>
    <w:p w:rsidR="00844212" w:rsidRPr="004F3302" w:rsidRDefault="00844212" w:rsidP="00844212">
      <w:pPr>
        <w:pStyle w:val="Ttulo4"/>
        <w:spacing w:before="133" w:after="267" w:line="240" w:lineRule="auto"/>
        <w:jc w:val="both"/>
        <w:textAlignment w:val="baseline"/>
        <w:rPr>
          <w:rFonts w:ascii="Times New Roman" w:hAnsi="Times New Roman" w:cs="Times New Roman"/>
          <w:i w:val="0"/>
          <w:color w:val="000000"/>
          <w:sz w:val="24"/>
          <w:szCs w:val="24"/>
          <w:lang w:val="en-US"/>
        </w:rPr>
      </w:pPr>
      <w:r w:rsidRPr="004F3302">
        <w:rPr>
          <w:rFonts w:ascii="Times New Roman" w:hAnsi="Times New Roman" w:cs="Times New Roman"/>
          <w:i w:val="0"/>
          <w:color w:val="000000"/>
          <w:sz w:val="24"/>
          <w:szCs w:val="24"/>
          <w:lang w:val="en-US"/>
        </w:rPr>
        <w:t>Western Europe’s middle classes, by U.S. income standards</w:t>
      </w:r>
    </w:p>
    <w:p w:rsidR="00844212" w:rsidRPr="001F758A" w:rsidRDefault="00844212" w:rsidP="00844212">
      <w:pPr>
        <w:pStyle w:val="NormalWeb"/>
        <w:spacing w:before="0" w:beforeAutospacing="0" w:after="300" w:afterAutospacing="0"/>
        <w:jc w:val="both"/>
        <w:textAlignment w:val="baseline"/>
        <w:rPr>
          <w:color w:val="000000"/>
          <w:lang w:val="en-US"/>
        </w:rPr>
      </w:pPr>
      <w:r w:rsidRPr="004F3302">
        <w:rPr>
          <w:color w:val="000000"/>
          <w:u w:val="single"/>
          <w:lang w:val="en-US"/>
        </w:rPr>
        <w:t>While the U.S. middle class may be smaller than those in Western Europe, its standard of living -as measured by its median income- is higher</w:t>
      </w:r>
      <w:r w:rsidRPr="001F758A">
        <w:rPr>
          <w:color w:val="000000"/>
          <w:lang w:val="en-US"/>
        </w:rPr>
        <w:t>. That raises a question: What shares of adults in Western European countries have the same standard of living as the American middle class? In other words, what would the middle-class share in Western European countries be if the middle class were defined as adults living in households with the same incomes as middle-class households in the U.S.?</w:t>
      </w:r>
    </w:p>
    <w:p w:rsidR="00844212" w:rsidRDefault="00844212" w:rsidP="00844212">
      <w:pPr>
        <w:pStyle w:val="NormalWeb"/>
        <w:spacing w:before="0" w:beforeAutospacing="0" w:after="0" w:afterAutospacing="0"/>
        <w:jc w:val="both"/>
        <w:textAlignment w:val="baseline"/>
        <w:rPr>
          <w:color w:val="000000"/>
          <w:lang w:val="en-US"/>
        </w:rPr>
      </w:pPr>
      <w:r w:rsidRPr="001F758A">
        <w:rPr>
          <w:color w:val="000000"/>
          <w:lang w:val="en-US"/>
        </w:rPr>
        <w:t>In 2010, middle-class households in the U.S. had incomes ra</w:t>
      </w:r>
      <w:r>
        <w:rPr>
          <w:color w:val="000000"/>
          <w:lang w:val="en-US"/>
        </w:rPr>
        <w:t>nging from $</w:t>
      </w:r>
      <w:r w:rsidR="00ED6FE6">
        <w:rPr>
          <w:color w:val="000000"/>
          <w:lang w:val="en-US"/>
        </w:rPr>
        <w:t xml:space="preserve"> </w:t>
      </w:r>
      <w:r>
        <w:rPr>
          <w:color w:val="000000"/>
          <w:lang w:val="en-US"/>
        </w:rPr>
        <w:t>35,294 to $</w:t>
      </w:r>
      <w:r w:rsidR="00ED6FE6">
        <w:rPr>
          <w:color w:val="000000"/>
          <w:lang w:val="en-US"/>
        </w:rPr>
        <w:t xml:space="preserve"> </w:t>
      </w:r>
      <w:r>
        <w:rPr>
          <w:color w:val="000000"/>
          <w:lang w:val="en-US"/>
        </w:rPr>
        <w:t>105,881 -</w:t>
      </w:r>
      <w:r w:rsidRPr="001F758A">
        <w:rPr>
          <w:color w:val="000000"/>
          <w:lang w:val="en-US"/>
        </w:rPr>
        <w:t xml:space="preserve"> that is, two-thirds to double the overall median income of $</w:t>
      </w:r>
      <w:r w:rsidR="00ED6FE6">
        <w:rPr>
          <w:color w:val="000000"/>
          <w:lang w:val="en-US"/>
        </w:rPr>
        <w:t xml:space="preserve"> </w:t>
      </w:r>
      <w:r w:rsidRPr="001F758A">
        <w:rPr>
          <w:color w:val="000000"/>
          <w:lang w:val="en-US"/>
        </w:rPr>
        <w:t xml:space="preserve">52,941. This U.S. standard can be applied to any country in Western Europe after incomes are adjusted for cost-of-living differences across countries. (Incomes in this analysis are adjusted to reflect a household of three and are expressed in 2011 prices. They are also converted to purchasing power parity dollars, which adjusts for cost-of-living differences across countries. </w:t>
      </w:r>
    </w:p>
    <w:p w:rsidR="00844212" w:rsidRPr="001F758A" w:rsidRDefault="00844212" w:rsidP="00844212">
      <w:pPr>
        <w:pStyle w:val="NormalWeb"/>
        <w:spacing w:before="0" w:beforeAutospacing="0" w:after="0" w:afterAutospacing="0"/>
        <w:jc w:val="both"/>
        <w:textAlignment w:val="baseline"/>
        <w:rPr>
          <w:color w:val="000000"/>
          <w:lang w:val="en-US"/>
        </w:rPr>
      </w:pPr>
    </w:p>
    <w:p w:rsidR="00844212" w:rsidRDefault="00844212" w:rsidP="00844212">
      <w:pPr>
        <w:pStyle w:val="NormalWeb"/>
        <w:spacing w:before="0" w:beforeAutospacing="0" w:after="0" w:afterAutospacing="0"/>
        <w:jc w:val="both"/>
        <w:textAlignment w:val="baseline"/>
        <w:rPr>
          <w:color w:val="000000"/>
          <w:lang w:val="en-US"/>
        </w:rPr>
      </w:pPr>
      <w:r w:rsidRPr="001F758A">
        <w:rPr>
          <w:noProof/>
          <w:color w:val="BC7B2B"/>
          <w:bdr w:val="none" w:sz="0" w:space="0" w:color="auto" w:frame="1"/>
        </w:rPr>
        <w:drawing>
          <wp:inline distT="0" distB="0" distL="0" distR="0" wp14:anchorId="32C0A79A" wp14:editId="23EA9065">
            <wp:extent cx="5676900" cy="4095750"/>
            <wp:effectExtent l="0" t="0" r="0" b="0"/>
            <wp:docPr id="244" name="Imagen 244" descr="http://www.pewresearch.org/wp-content/uploads/2017/06/FT_17.05.22_EuropeMiddleIncome.png">
              <a:hlinkClick xmlns:a="http://schemas.openxmlformats.org/drawingml/2006/main" r:id="rId3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pewresearch.org/wp-content/uploads/2017/06/FT_17.05.22_EuropeMiddleIncome.png">
                      <a:hlinkClick r:id="rId360"/>
                    </pic:cNvPr>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5676900" cy="4095750"/>
                    </a:xfrm>
                    <a:prstGeom prst="rect">
                      <a:avLst/>
                    </a:prstGeom>
                    <a:noFill/>
                    <a:ln>
                      <a:noFill/>
                    </a:ln>
                  </pic:spPr>
                </pic:pic>
              </a:graphicData>
            </a:graphic>
          </wp:inline>
        </w:drawing>
      </w:r>
    </w:p>
    <w:p w:rsidR="00844212" w:rsidRPr="00B75416" w:rsidRDefault="00844212" w:rsidP="00844212">
      <w:pPr>
        <w:pStyle w:val="NormalWeb"/>
        <w:spacing w:before="0" w:beforeAutospacing="0" w:after="300" w:afterAutospacing="0"/>
        <w:jc w:val="both"/>
        <w:textAlignment w:val="baseline"/>
        <w:rPr>
          <w:color w:val="000000"/>
          <w:lang w:val="en-US"/>
        </w:rPr>
      </w:pPr>
      <w:r w:rsidRPr="004F3302">
        <w:rPr>
          <w:color w:val="000000"/>
          <w:u w:val="single"/>
          <w:lang w:val="en-US"/>
        </w:rPr>
        <w:lastRenderedPageBreak/>
        <w:t>When the Western European countries the Center analyzed are viewed through the lens of middle-class incomes in the U.S., the share of adults who are middle class decreases in most of them</w:t>
      </w:r>
      <w:r w:rsidRPr="001F758A">
        <w:rPr>
          <w:color w:val="000000"/>
          <w:lang w:val="en-US"/>
        </w:rPr>
        <w:t>. The greatest decline is in Italy, where the middle-class share in 2010 falls from 67% under that country’s national income standard to 44% under the U.S. income standard. In other words, 44% of Italians had the same standard of living as 59% of Americans who were in the middle class in 2010.</w:t>
      </w:r>
    </w:p>
    <w:p w:rsidR="00844212" w:rsidRDefault="00844212" w:rsidP="00844212">
      <w:pPr>
        <w:pStyle w:val="NormalWeb"/>
        <w:spacing w:before="0" w:beforeAutospacing="0" w:after="0" w:afterAutospacing="0"/>
        <w:jc w:val="both"/>
        <w:textAlignment w:val="baseline"/>
        <w:rPr>
          <w:color w:val="000000"/>
          <w:lang w:val="en-US"/>
        </w:rPr>
      </w:pPr>
      <w:r w:rsidRPr="00CD110D">
        <w:rPr>
          <w:color w:val="000000"/>
          <w:u w:val="single"/>
          <w:lang w:val="en-US"/>
        </w:rPr>
        <w:t>In most Western European countries studied, applying the U.S. standard shrinks the middle-class share by about 10 percentage points - from 80% to 70% in Denmark, for example</w:t>
      </w:r>
      <w:r w:rsidRPr="001F758A">
        <w:rPr>
          <w:color w:val="000000"/>
          <w:lang w:val="en-US"/>
        </w:rPr>
        <w:t>. But the middle-class shares of Luxembourg and Norway are unchanged; their overall median incomes equal or exceed that of the U.S.</w:t>
      </w:r>
    </w:p>
    <w:p w:rsidR="00844212" w:rsidRPr="001F758A" w:rsidRDefault="00844212" w:rsidP="00844212">
      <w:pPr>
        <w:pStyle w:val="NormalWeb"/>
        <w:spacing w:before="0" w:beforeAutospacing="0" w:after="0" w:afterAutospacing="0"/>
        <w:jc w:val="both"/>
        <w:textAlignment w:val="baseline"/>
        <w:rPr>
          <w:color w:val="000000"/>
          <w:lang w:val="en-US"/>
        </w:rPr>
      </w:pPr>
    </w:p>
    <w:p w:rsidR="00844212" w:rsidRPr="00CD110D" w:rsidRDefault="00844212" w:rsidP="00844212">
      <w:pPr>
        <w:pStyle w:val="NormalWeb"/>
        <w:spacing w:before="0" w:beforeAutospacing="0" w:after="0" w:afterAutospacing="0"/>
        <w:jc w:val="both"/>
        <w:textAlignment w:val="baseline"/>
        <w:rPr>
          <w:color w:val="000000"/>
          <w:u w:val="single"/>
          <w:lang w:val="en-US"/>
        </w:rPr>
      </w:pPr>
      <w:r w:rsidRPr="00CD110D">
        <w:rPr>
          <w:color w:val="000000"/>
          <w:u w:val="single"/>
          <w:lang w:val="en-US"/>
        </w:rPr>
        <w:t>Applying U.S. incomes as the middle-class standard also boosts the estimated shares of adults who are in the </w:t>
      </w:r>
      <w:r w:rsidRPr="00CD110D">
        <w:rPr>
          <w:rStyle w:val="nfasis"/>
          <w:rFonts w:eastAsiaTheme="majorEastAsia"/>
          <w:color w:val="000000"/>
          <w:u w:val="single"/>
          <w:bdr w:val="none" w:sz="0" w:space="0" w:color="auto" w:frame="1"/>
          <w:lang w:val="en-US"/>
        </w:rPr>
        <w:t>lower-income</w:t>
      </w:r>
      <w:r w:rsidRPr="00CD110D">
        <w:rPr>
          <w:color w:val="000000"/>
          <w:u w:val="single"/>
          <w:lang w:val="en-US"/>
        </w:rPr>
        <w:t> tier in most Western European countries (i.e., living in households with incomes less than the minimum needed to be in the American middle class). For example, in Denmark, the share of adults living in lower-income households increases from 14% to 28% under the U.S. standard.</w:t>
      </w:r>
      <w:r w:rsidRPr="001F758A">
        <w:rPr>
          <w:color w:val="000000"/>
          <w:lang w:val="en-US"/>
        </w:rPr>
        <w:t xml:space="preserve"> </w:t>
      </w:r>
      <w:r w:rsidRPr="00CD110D">
        <w:rPr>
          <w:color w:val="000000"/>
          <w:u w:val="single"/>
          <w:lang w:val="en-US"/>
        </w:rPr>
        <w:t>And a slight majority of adults in Italy and Spain (an estimated 53% each) are in lower-income households by U.S. standards, up from 22% and 24% respectively based on those countries’ incomes.</w:t>
      </w:r>
    </w:p>
    <w:p w:rsidR="00844212" w:rsidRPr="001F758A" w:rsidRDefault="00844212" w:rsidP="00844212">
      <w:pPr>
        <w:pStyle w:val="NormalWeb"/>
        <w:spacing w:before="0" w:beforeAutospacing="0" w:after="0" w:afterAutospacing="0"/>
        <w:jc w:val="both"/>
        <w:textAlignment w:val="baseline"/>
        <w:rPr>
          <w:color w:val="000000"/>
          <w:lang w:val="en-US"/>
        </w:rPr>
      </w:pPr>
    </w:p>
    <w:p w:rsidR="00844212" w:rsidRPr="001F758A" w:rsidRDefault="00844212" w:rsidP="00844212">
      <w:pPr>
        <w:pStyle w:val="NormalWeb"/>
        <w:spacing w:before="0" w:beforeAutospacing="0" w:after="300" w:afterAutospacing="0"/>
        <w:jc w:val="both"/>
        <w:textAlignment w:val="baseline"/>
        <w:rPr>
          <w:color w:val="000000"/>
          <w:lang w:val="en-US"/>
        </w:rPr>
      </w:pPr>
      <w:r w:rsidRPr="00CD110D">
        <w:rPr>
          <w:color w:val="000000"/>
          <w:u w:val="single"/>
          <w:lang w:val="en-US"/>
        </w:rPr>
        <w:t>An expansion of the lower-income share in Western European countries when the U.S. standard is applied is typically accompanied by a decrease in the upper-income share - that is, the share of adults living in households with incomes greater than the incomes of the American middle class</w:t>
      </w:r>
      <w:r w:rsidRPr="001F758A">
        <w:rPr>
          <w:color w:val="000000"/>
          <w:lang w:val="en-US"/>
        </w:rPr>
        <w:t>. In France, for example, the upper-income share falls from 9% to 4% and the lower-income share increases from 17% to 33% when the U.S. income standard is applied. Luxembourg, where incomes are higher than in the U.S., is an exception to these trends. Under the U.S. income standard, the upper-income share in Luxembourg increases from 8% to 18% and the lower-income share decreases from 17% to 8%.</w:t>
      </w:r>
    </w:p>
    <w:p w:rsidR="00844212" w:rsidRPr="00162123" w:rsidRDefault="00844212" w:rsidP="00844212">
      <w:pPr>
        <w:pStyle w:val="NormalWeb"/>
        <w:spacing w:before="0" w:beforeAutospacing="0" w:after="300" w:afterAutospacing="0"/>
        <w:jc w:val="both"/>
        <w:textAlignment w:val="baseline"/>
        <w:rPr>
          <w:color w:val="000000"/>
          <w:u w:val="single"/>
          <w:lang w:val="en-US"/>
        </w:rPr>
      </w:pPr>
      <w:r w:rsidRPr="00162123">
        <w:rPr>
          <w:color w:val="000000"/>
          <w:u w:val="single"/>
          <w:lang w:val="en-US"/>
        </w:rPr>
        <w:t>Overall, regardless of how middle class fortunes are analyzed, the material standard of living in the U.S. is estimated to be better than in most Western European countries examined. But to the extent that governments in Western Europe are more likely to provide services to households that may not be captured in household income, such as the National Health Service in the UK, it is possible that differences in the quality of life between the U.S. and Western Europe are narrower.</w:t>
      </w:r>
    </w:p>
    <w:p w:rsidR="00844212" w:rsidRDefault="00844212" w:rsidP="00844212">
      <w:pPr>
        <w:pStyle w:val="NormalWeb"/>
        <w:spacing w:before="0" w:beforeAutospacing="0" w:after="0" w:afterAutospacing="0"/>
        <w:jc w:val="both"/>
        <w:textAlignment w:val="baseline"/>
        <w:rPr>
          <w:color w:val="000000"/>
          <w:lang w:val="en-US"/>
        </w:rPr>
      </w:pPr>
      <w:r w:rsidRPr="00162123">
        <w:rPr>
          <w:color w:val="000000"/>
          <w:u w:val="single"/>
          <w:lang w:val="en-US"/>
        </w:rPr>
        <w:t>Recent research by </w:t>
      </w:r>
      <w:hyperlink r:id="rId362" w:history="1">
        <w:r w:rsidRPr="00ED6FE6">
          <w:rPr>
            <w:rStyle w:val="Hipervnculo"/>
            <w:color w:val="auto"/>
            <w:bdr w:val="none" w:sz="0" w:space="0" w:color="auto" w:frame="1"/>
            <w:lang w:val="en-US"/>
          </w:rPr>
          <w:t>Charles I. Jones and Peter J. Klenow</w:t>
        </w:r>
      </w:hyperlink>
      <w:r w:rsidRPr="00ED6FE6">
        <w:rPr>
          <w:u w:val="single"/>
          <w:lang w:val="en-US"/>
        </w:rPr>
        <w:t> fin</w:t>
      </w:r>
      <w:r w:rsidRPr="00162123">
        <w:rPr>
          <w:color w:val="000000"/>
          <w:u w:val="single"/>
          <w:lang w:val="en-US"/>
        </w:rPr>
        <w:t>ds that economic well-being in their sample of Western European countries is similar to that of the U.S. when welfare estimates are broadened to include measures of leisure, mortality and inequality</w:t>
      </w:r>
      <w:r w:rsidRPr="001F758A">
        <w:rPr>
          <w:color w:val="000000"/>
          <w:lang w:val="en-US"/>
        </w:rPr>
        <w:t>. For example, they estimate that while per capita income in France is only 67% of the level in the U.S., the broader measure of welfare for France is 92% of the level of welfare in the U.S.</w:t>
      </w:r>
    </w:p>
    <w:p w:rsidR="00ED6FE6" w:rsidRDefault="00ED6FE6" w:rsidP="00844212">
      <w:pPr>
        <w:pStyle w:val="NormalWeb"/>
        <w:spacing w:before="0" w:beforeAutospacing="0" w:after="0" w:afterAutospacing="0"/>
        <w:jc w:val="both"/>
        <w:textAlignment w:val="baseline"/>
        <w:rPr>
          <w:color w:val="000000"/>
          <w:lang w:val="en-US"/>
        </w:rPr>
      </w:pPr>
    </w:p>
    <w:p w:rsidR="00ED6FE6" w:rsidRDefault="00ED6FE6" w:rsidP="00844212">
      <w:pPr>
        <w:pStyle w:val="NormalWeb"/>
        <w:spacing w:before="0" w:beforeAutospacing="0" w:after="0" w:afterAutospacing="0"/>
        <w:jc w:val="both"/>
        <w:textAlignment w:val="baseline"/>
        <w:rPr>
          <w:color w:val="000000"/>
          <w:lang w:val="en-US"/>
        </w:rPr>
      </w:pPr>
    </w:p>
    <w:p w:rsidR="00ED6FE6" w:rsidRDefault="00ED6FE6" w:rsidP="00844212">
      <w:pPr>
        <w:pStyle w:val="NormalWeb"/>
        <w:spacing w:before="0" w:beforeAutospacing="0" w:after="0" w:afterAutospacing="0"/>
        <w:jc w:val="both"/>
        <w:textAlignment w:val="baseline"/>
        <w:rPr>
          <w:color w:val="000000"/>
          <w:lang w:val="en-US"/>
        </w:rPr>
      </w:pPr>
    </w:p>
    <w:p w:rsidR="00ED6FE6" w:rsidRDefault="00ED6FE6" w:rsidP="00844212">
      <w:pPr>
        <w:pStyle w:val="NormalWeb"/>
        <w:spacing w:before="0" w:beforeAutospacing="0" w:after="0" w:afterAutospacing="0"/>
        <w:jc w:val="both"/>
        <w:textAlignment w:val="baseline"/>
        <w:rPr>
          <w:color w:val="000000"/>
          <w:lang w:val="en-US"/>
        </w:rPr>
      </w:pPr>
    </w:p>
    <w:p w:rsidR="00ED6FE6" w:rsidRDefault="00ED6FE6" w:rsidP="00844212">
      <w:pPr>
        <w:pStyle w:val="NormalWeb"/>
        <w:spacing w:before="0" w:beforeAutospacing="0" w:after="0" w:afterAutospacing="0"/>
        <w:jc w:val="both"/>
        <w:textAlignment w:val="baseline"/>
        <w:rPr>
          <w:color w:val="000000"/>
          <w:lang w:val="en-US"/>
        </w:rPr>
      </w:pPr>
    </w:p>
    <w:p w:rsidR="00ED6FE6" w:rsidRDefault="00ED6FE6" w:rsidP="00844212">
      <w:pPr>
        <w:pStyle w:val="NormalWeb"/>
        <w:spacing w:before="0" w:beforeAutospacing="0" w:after="0" w:afterAutospacing="0"/>
        <w:jc w:val="both"/>
        <w:textAlignment w:val="baseline"/>
        <w:rPr>
          <w:color w:val="000000"/>
          <w:lang w:val="en-US"/>
        </w:rPr>
      </w:pPr>
    </w:p>
    <w:p w:rsidR="00ED6FE6" w:rsidRDefault="00ED6FE6" w:rsidP="00844212">
      <w:pPr>
        <w:pStyle w:val="NormalWeb"/>
        <w:spacing w:before="0" w:beforeAutospacing="0" w:after="0" w:afterAutospacing="0"/>
        <w:jc w:val="both"/>
        <w:textAlignment w:val="baseline"/>
        <w:rPr>
          <w:color w:val="000000"/>
          <w:lang w:val="en-US"/>
        </w:rPr>
      </w:pPr>
    </w:p>
    <w:p w:rsidR="00ED6FE6" w:rsidRDefault="00ED6FE6" w:rsidP="00844212">
      <w:pPr>
        <w:pStyle w:val="NormalWeb"/>
        <w:spacing w:before="0" w:beforeAutospacing="0" w:after="0" w:afterAutospacing="0"/>
        <w:jc w:val="both"/>
        <w:textAlignment w:val="baseline"/>
        <w:rPr>
          <w:color w:val="000000"/>
          <w:lang w:val="en-US"/>
        </w:rPr>
      </w:pPr>
    </w:p>
    <w:p w:rsidR="00ED6FE6" w:rsidRDefault="00ED6FE6" w:rsidP="00844212">
      <w:pPr>
        <w:pStyle w:val="NormalWeb"/>
        <w:spacing w:before="0" w:beforeAutospacing="0" w:after="0" w:afterAutospacing="0"/>
        <w:jc w:val="both"/>
        <w:textAlignment w:val="baseline"/>
        <w:rPr>
          <w:color w:val="000000"/>
          <w:lang w:val="en-US"/>
        </w:rPr>
      </w:pPr>
    </w:p>
    <w:p w:rsidR="00337614" w:rsidRDefault="00ED6FE6" w:rsidP="00844212">
      <w:pPr>
        <w:pStyle w:val="NormalWeb"/>
        <w:spacing w:before="0" w:beforeAutospacing="0" w:after="0" w:afterAutospacing="0"/>
        <w:jc w:val="both"/>
        <w:textAlignment w:val="baseline"/>
        <w:rPr>
          <w:b/>
          <w:color w:val="000000"/>
        </w:rPr>
      </w:pPr>
      <w:r w:rsidRPr="00ED6FE6">
        <w:rPr>
          <w:b/>
          <w:color w:val="000000"/>
        </w:rPr>
        <w:lastRenderedPageBreak/>
        <w:t>- A modo de final: la “tanguedia</w:t>
      </w:r>
      <w:r w:rsidR="00E60284">
        <w:rPr>
          <w:b/>
          <w:color w:val="000000"/>
        </w:rPr>
        <w:t>” de la clase media (</w:t>
      </w:r>
      <w:r w:rsidR="00CD0BF9">
        <w:rPr>
          <w:b/>
          <w:color w:val="000000"/>
        </w:rPr>
        <w:t>los “nuevos pobres”</w:t>
      </w:r>
      <w:r w:rsidRPr="00ED6FE6">
        <w:rPr>
          <w:b/>
          <w:color w:val="000000"/>
        </w:rPr>
        <w:t>) de los países ricos</w:t>
      </w:r>
      <w:r>
        <w:rPr>
          <w:b/>
          <w:color w:val="000000"/>
        </w:rPr>
        <w:t xml:space="preserve"> (Cuesta abajo: </w:t>
      </w:r>
      <w:r w:rsidR="00C844B9">
        <w:rPr>
          <w:b/>
          <w:color w:val="000000"/>
        </w:rPr>
        <w:t>“</w:t>
      </w:r>
      <w:r>
        <w:rPr>
          <w:b/>
          <w:color w:val="000000"/>
        </w:rPr>
        <w:t>La vergüenza de haber sido. E</w:t>
      </w:r>
      <w:r w:rsidRPr="00ED6FE6">
        <w:rPr>
          <w:b/>
          <w:color w:val="000000"/>
        </w:rPr>
        <w:t>l dolor de ya no ser</w:t>
      </w:r>
      <w:r w:rsidR="00C844B9">
        <w:rPr>
          <w:b/>
          <w:color w:val="000000"/>
        </w:rPr>
        <w:t>”</w:t>
      </w:r>
      <w:r w:rsidRPr="00ED6FE6">
        <w:rPr>
          <w:b/>
          <w:color w:val="000000"/>
        </w:rPr>
        <w:t>)</w:t>
      </w:r>
      <w:r w:rsidR="00337614">
        <w:rPr>
          <w:b/>
          <w:color w:val="000000"/>
        </w:rPr>
        <w:t xml:space="preserve">  </w:t>
      </w:r>
    </w:p>
    <w:p w:rsidR="00337614" w:rsidRDefault="00337614" w:rsidP="00844212">
      <w:pPr>
        <w:pStyle w:val="NormalWeb"/>
        <w:spacing w:before="0" w:beforeAutospacing="0" w:after="0" w:afterAutospacing="0"/>
        <w:jc w:val="both"/>
        <w:textAlignment w:val="baseline"/>
        <w:rPr>
          <w:b/>
          <w:color w:val="000000"/>
        </w:rPr>
      </w:pPr>
    </w:p>
    <w:p w:rsidR="00C844B9" w:rsidRPr="00337614" w:rsidRDefault="00C844B9" w:rsidP="00844212">
      <w:pPr>
        <w:pStyle w:val="NormalWeb"/>
        <w:spacing w:before="0" w:beforeAutospacing="0" w:after="0" w:afterAutospacing="0"/>
        <w:jc w:val="both"/>
        <w:textAlignment w:val="baseline"/>
        <w:rPr>
          <w:b/>
          <w:color w:val="000000"/>
        </w:rPr>
      </w:pPr>
      <w:r>
        <w:rPr>
          <w:b/>
          <w:color w:val="000000"/>
        </w:rPr>
        <w:t xml:space="preserve">Triste, melancólico y… ¿fatal? </w:t>
      </w:r>
      <w:r w:rsidRPr="00C844B9">
        <w:rPr>
          <w:b/>
        </w:rPr>
        <w:t>(topografía del terror económico y social)</w:t>
      </w:r>
    </w:p>
    <w:p w:rsidR="00ED6FE6" w:rsidRDefault="00797E73" w:rsidP="00844212">
      <w:pPr>
        <w:pStyle w:val="NormalWeb"/>
        <w:spacing w:before="0" w:beforeAutospacing="0" w:after="0" w:afterAutospacing="0"/>
        <w:jc w:val="both"/>
        <w:textAlignment w:val="baseline"/>
        <w:rPr>
          <w:b/>
          <w:color w:val="000000"/>
        </w:rPr>
      </w:pPr>
      <w:r w:rsidRPr="00C844B9">
        <w:rPr>
          <w:b/>
        </w:rPr>
        <w:t xml:space="preserve"> </w:t>
      </w:r>
    </w:p>
    <w:p w:rsidR="001A2B4B" w:rsidRDefault="00C844B9" w:rsidP="00C844B9">
      <w:pPr>
        <w:spacing w:line="240" w:lineRule="auto"/>
        <w:jc w:val="both"/>
        <w:rPr>
          <w:rFonts w:ascii="Times New Roman" w:hAnsi="Times New Roman" w:cs="Times New Roman"/>
          <w:sz w:val="24"/>
          <w:szCs w:val="24"/>
          <w:shd w:val="clear" w:color="auto" w:fill="FAFAFA"/>
        </w:rPr>
      </w:pPr>
      <w:r w:rsidRPr="000048D2">
        <w:rPr>
          <w:rFonts w:ascii="Times New Roman" w:hAnsi="Times New Roman" w:cs="Times New Roman"/>
          <w:sz w:val="24"/>
          <w:szCs w:val="24"/>
          <w:shd w:val="clear" w:color="auto" w:fill="FAFAFA"/>
        </w:rPr>
        <w:t>Hablaron de la aldea global, de un mundo sin fronteras; proclamaron el desarrollo económico universal, expandiendo por doquier las bendiciones</w:t>
      </w:r>
      <w:r w:rsidR="00E60284">
        <w:rPr>
          <w:rFonts w:ascii="Times New Roman" w:hAnsi="Times New Roman" w:cs="Times New Roman"/>
          <w:sz w:val="24"/>
          <w:szCs w:val="24"/>
          <w:shd w:val="clear" w:color="auto" w:fill="FAFAFA"/>
        </w:rPr>
        <w:t xml:space="preserve"> de la libertad de comercio, de </w:t>
      </w:r>
      <w:r w:rsidRPr="000048D2">
        <w:rPr>
          <w:rFonts w:ascii="Times New Roman" w:hAnsi="Times New Roman" w:cs="Times New Roman"/>
          <w:sz w:val="24"/>
          <w:szCs w:val="24"/>
          <w:shd w:val="clear" w:color="auto" w:fill="FAFAFA"/>
        </w:rPr>
        <w:t>la circulación de personas y capitales y, por supuesto, de los derechos civiles;</w:t>
      </w:r>
      <w:r w:rsidR="00E60284">
        <w:rPr>
          <w:rFonts w:ascii="Times New Roman" w:hAnsi="Times New Roman" w:cs="Times New Roman"/>
          <w:sz w:val="24"/>
          <w:szCs w:val="24"/>
          <w:shd w:val="clear" w:color="auto" w:fill="FAFAFA"/>
        </w:rPr>
        <w:t xml:space="preserve"> los beneficios de la subcontratación, las ventajas de la deslocalización,</w:t>
      </w:r>
      <w:r w:rsidRPr="000048D2">
        <w:rPr>
          <w:rFonts w:ascii="Times New Roman" w:hAnsi="Times New Roman" w:cs="Times New Roman"/>
          <w:sz w:val="24"/>
          <w:szCs w:val="24"/>
          <w:shd w:val="clear" w:color="auto" w:fill="FAFAFA"/>
        </w:rPr>
        <w:t xml:space="preserve"> pregonaron la revolución tecnológica de las oportunidades, declararon el fin de la Historia… y sin embargo, los acontecimientos de los últimos años han tomado una deriva tan inquietante como para preguntarse si se ha intentado cambiar todo sin cambiar demasiado ni hacer cambiar a los que no quieren cambiar nada, se niegan a reconocer sus errores y desprecian el peligro mortal que corren con el auge del “reinado del egoísmo”, como compendio de todos los males de la globalización y el individualismo liberal.</w:t>
      </w:r>
      <w:r>
        <w:rPr>
          <w:rFonts w:ascii="Times New Roman" w:hAnsi="Times New Roman" w:cs="Times New Roman"/>
          <w:sz w:val="24"/>
          <w:szCs w:val="24"/>
          <w:shd w:val="clear" w:color="auto" w:fill="FAFAFA"/>
        </w:rPr>
        <w:t xml:space="preserve"> Han logrado “aplanar la Tierra”, poblando con  </w:t>
      </w:r>
      <w:r w:rsidR="0036518C">
        <w:rPr>
          <w:rFonts w:ascii="Times New Roman" w:hAnsi="Times New Roman" w:cs="Times New Roman"/>
          <w:sz w:val="24"/>
          <w:szCs w:val="24"/>
          <w:shd w:val="clear" w:color="auto" w:fill="FAFAFA"/>
        </w:rPr>
        <w:t>zombis</w:t>
      </w:r>
      <w:r>
        <w:rPr>
          <w:rFonts w:ascii="Times New Roman" w:hAnsi="Times New Roman" w:cs="Times New Roman"/>
          <w:sz w:val="24"/>
          <w:szCs w:val="24"/>
          <w:shd w:val="clear" w:color="auto" w:fill="FAFAFA"/>
        </w:rPr>
        <w:t xml:space="preserve"> jibarizados, los países avanzados (ahora, en vías de subdesarrollo).</w:t>
      </w:r>
      <w:r w:rsidRPr="000048D2">
        <w:rPr>
          <w:rFonts w:ascii="Times New Roman" w:hAnsi="Times New Roman" w:cs="Times New Roman"/>
          <w:sz w:val="24"/>
          <w:szCs w:val="24"/>
          <w:shd w:val="clear" w:color="auto" w:fill="FAFAFA"/>
        </w:rPr>
        <w:t xml:space="preserve"> </w:t>
      </w:r>
      <w:r w:rsidR="003703C1">
        <w:rPr>
          <w:rFonts w:ascii="Times New Roman" w:hAnsi="Times New Roman" w:cs="Times New Roman"/>
          <w:sz w:val="24"/>
          <w:szCs w:val="24"/>
          <w:shd w:val="clear" w:color="auto" w:fill="FAFAFA"/>
        </w:rPr>
        <w:t>Unos idiotas felices</w:t>
      </w:r>
      <w:r w:rsidR="001A2B4B">
        <w:rPr>
          <w:rFonts w:ascii="Times New Roman" w:hAnsi="Times New Roman" w:cs="Times New Roman"/>
          <w:sz w:val="24"/>
          <w:szCs w:val="24"/>
          <w:shd w:val="clear" w:color="auto" w:fill="FAFAFA"/>
        </w:rPr>
        <w:t>,</w:t>
      </w:r>
      <w:r w:rsidR="003703C1">
        <w:rPr>
          <w:rFonts w:ascii="Times New Roman" w:hAnsi="Times New Roman" w:cs="Times New Roman"/>
          <w:sz w:val="24"/>
          <w:szCs w:val="24"/>
          <w:shd w:val="clear" w:color="auto" w:fill="FAFAFA"/>
        </w:rPr>
        <w:t xml:space="preserve"> adictos</w:t>
      </w:r>
      <w:r w:rsidR="00E60284">
        <w:rPr>
          <w:rFonts w:ascii="Times New Roman" w:hAnsi="Times New Roman" w:cs="Times New Roman"/>
          <w:sz w:val="24"/>
          <w:szCs w:val="24"/>
          <w:shd w:val="clear" w:color="auto" w:fill="FAFAFA"/>
        </w:rPr>
        <w:t xml:space="preserve"> al móvil.</w:t>
      </w:r>
      <w:r w:rsidR="001A2B4B">
        <w:rPr>
          <w:rFonts w:ascii="Times New Roman" w:hAnsi="Times New Roman" w:cs="Times New Roman"/>
          <w:sz w:val="24"/>
          <w:szCs w:val="24"/>
          <w:shd w:val="clear" w:color="auto" w:fill="FAFAFA"/>
        </w:rPr>
        <w:t xml:space="preserve"> </w:t>
      </w:r>
    </w:p>
    <w:p w:rsidR="00C844B9" w:rsidRPr="001A2B4B" w:rsidRDefault="00C844B9" w:rsidP="00C844B9">
      <w:pPr>
        <w:spacing w:line="240" w:lineRule="auto"/>
        <w:jc w:val="both"/>
        <w:rPr>
          <w:rFonts w:ascii="Times New Roman" w:hAnsi="Times New Roman" w:cs="Times New Roman"/>
          <w:sz w:val="24"/>
          <w:szCs w:val="24"/>
          <w:shd w:val="clear" w:color="auto" w:fill="FAFAFA"/>
        </w:rPr>
      </w:pPr>
      <w:r w:rsidRPr="000048D2">
        <w:rPr>
          <w:rFonts w:ascii="Times New Roman" w:hAnsi="Times New Roman" w:cs="Times New Roman"/>
          <w:sz w:val="24"/>
          <w:szCs w:val="24"/>
        </w:rPr>
        <w:t>¿Se puede convocar a unirse en torno a la idea de “libertad de mercado” cuando se tolera (y hasta defiende) un tinglado genuinamente liberticida, como el “socialismo de mercado” o el “capitalismo de estado”?</w:t>
      </w:r>
      <w:r w:rsidR="000E5816">
        <w:rPr>
          <w:rFonts w:ascii="Times New Roman" w:hAnsi="Times New Roman" w:cs="Times New Roman"/>
          <w:sz w:val="24"/>
          <w:szCs w:val="24"/>
        </w:rPr>
        <w:t xml:space="preserve"> </w:t>
      </w:r>
      <w:r w:rsidR="000E5816" w:rsidRPr="000E5816">
        <w:rPr>
          <w:rFonts w:ascii="Times New Roman" w:hAnsi="Times New Roman" w:cs="Times New Roman"/>
          <w:sz w:val="24"/>
          <w:szCs w:val="24"/>
        </w:rPr>
        <w:t>El</w:t>
      </w:r>
      <w:r w:rsidR="000E5816">
        <w:rPr>
          <w:rFonts w:ascii="Times New Roman" w:hAnsi="Times New Roman" w:cs="Times New Roman"/>
          <w:sz w:val="24"/>
          <w:szCs w:val="24"/>
        </w:rPr>
        <w:t xml:space="preserve"> objetivo final de quienes han </w:t>
      </w:r>
      <w:r w:rsidR="000E5816" w:rsidRPr="000E5816">
        <w:rPr>
          <w:rFonts w:ascii="Times New Roman" w:hAnsi="Times New Roman" w:cs="Times New Roman"/>
          <w:sz w:val="24"/>
          <w:szCs w:val="24"/>
        </w:rPr>
        <w:t>diseñado</w:t>
      </w:r>
      <w:r w:rsidR="000E5816">
        <w:rPr>
          <w:rFonts w:ascii="Times New Roman" w:hAnsi="Times New Roman" w:cs="Times New Roman"/>
          <w:sz w:val="24"/>
          <w:szCs w:val="24"/>
        </w:rPr>
        <w:t xml:space="preserve"> este modelo</w:t>
      </w:r>
      <w:r w:rsidR="000E5816" w:rsidRPr="000E5816">
        <w:rPr>
          <w:rFonts w:ascii="Times New Roman" w:hAnsi="Times New Roman" w:cs="Times New Roman"/>
          <w:sz w:val="24"/>
          <w:szCs w:val="24"/>
        </w:rPr>
        <w:t xml:space="preserve"> es la vuelta a un neo-feudalismo, a una nueva servidumbre, apoyados en un sistema claramente represivo.</w:t>
      </w:r>
    </w:p>
    <w:p w:rsidR="00C844B9" w:rsidRPr="000048D2" w:rsidRDefault="00C844B9" w:rsidP="00C844B9">
      <w:pPr>
        <w:spacing w:line="240" w:lineRule="auto"/>
        <w:jc w:val="both"/>
        <w:rPr>
          <w:rFonts w:ascii="Times New Roman" w:hAnsi="Times New Roman" w:cs="Times New Roman"/>
          <w:sz w:val="24"/>
          <w:szCs w:val="24"/>
        </w:rPr>
      </w:pPr>
      <w:r w:rsidRPr="000048D2">
        <w:rPr>
          <w:rFonts w:ascii="Times New Roman" w:hAnsi="Times New Roman" w:cs="Times New Roman"/>
          <w:sz w:val="24"/>
          <w:szCs w:val="24"/>
        </w:rPr>
        <w:t>Después de haber soportado tantas promesas rotas, tanto desguace laboral, tantas ilusiones frustradas, tanta humillación social, tanto futuro robado: ¿cómo se puede seguir alimentando la bestia</w:t>
      </w:r>
      <w:r w:rsidR="000E5816">
        <w:rPr>
          <w:rFonts w:ascii="Times New Roman" w:hAnsi="Times New Roman" w:cs="Times New Roman"/>
          <w:sz w:val="24"/>
          <w:szCs w:val="24"/>
        </w:rPr>
        <w:t xml:space="preserve"> (China, bandera de conveniencia)</w:t>
      </w:r>
      <w:r w:rsidRPr="000048D2">
        <w:rPr>
          <w:rFonts w:ascii="Times New Roman" w:hAnsi="Times New Roman" w:cs="Times New Roman"/>
          <w:sz w:val="24"/>
          <w:szCs w:val="24"/>
        </w:rPr>
        <w:t xml:space="preserve">, mientras se entona el himno “America first”? ¿cómo se pueden proyectar los Estados Unidos de Europa, cuando se cercena la columna vertebral del desarrollo económico y equilibrio social, que representa la clase media? </w:t>
      </w:r>
    </w:p>
    <w:p w:rsidR="00C844B9" w:rsidRPr="000048D2" w:rsidRDefault="00C844B9" w:rsidP="00C844B9">
      <w:pPr>
        <w:spacing w:line="240" w:lineRule="auto"/>
        <w:jc w:val="both"/>
        <w:rPr>
          <w:rFonts w:ascii="Times New Roman" w:hAnsi="Times New Roman" w:cs="Times New Roman"/>
          <w:sz w:val="24"/>
          <w:szCs w:val="24"/>
        </w:rPr>
      </w:pPr>
      <w:r w:rsidRPr="000048D2">
        <w:rPr>
          <w:rFonts w:ascii="Times New Roman" w:hAnsi="Times New Roman" w:cs="Times New Roman"/>
          <w:sz w:val="24"/>
          <w:szCs w:val="24"/>
        </w:rPr>
        <w:t>¿Queda vida en la clase media norteamericana o europea? ¿es consciente la clase media de esos países del daño infligido y la degradación provocada? ¿hasta dónde se dejará crecer a ese enemigo formidable que representa China? ¿hasta cuándo se seguirá toler</w:t>
      </w:r>
      <w:r w:rsidR="003703C1">
        <w:rPr>
          <w:rFonts w:ascii="Times New Roman" w:hAnsi="Times New Roman" w:cs="Times New Roman"/>
          <w:sz w:val="24"/>
          <w:szCs w:val="24"/>
        </w:rPr>
        <w:t>ando esta fenomenal impostura? ¿c</w:t>
      </w:r>
      <w:r w:rsidRPr="000048D2">
        <w:rPr>
          <w:rFonts w:ascii="Times New Roman" w:hAnsi="Times New Roman" w:cs="Times New Roman"/>
          <w:sz w:val="24"/>
          <w:szCs w:val="24"/>
        </w:rPr>
        <w:t xml:space="preserve">uánto tiempo se puede soportar un modelo económico que permite que se trate como </w:t>
      </w:r>
      <w:r w:rsidR="003703C1">
        <w:rPr>
          <w:rFonts w:ascii="Times New Roman" w:hAnsi="Times New Roman" w:cs="Times New Roman"/>
          <w:sz w:val="24"/>
          <w:szCs w:val="24"/>
        </w:rPr>
        <w:t>“</w:t>
      </w:r>
      <w:r w:rsidRPr="000048D2">
        <w:rPr>
          <w:rFonts w:ascii="Times New Roman" w:hAnsi="Times New Roman" w:cs="Times New Roman"/>
          <w:sz w:val="24"/>
          <w:szCs w:val="24"/>
        </w:rPr>
        <w:t>siervos de la gleba</w:t>
      </w:r>
      <w:r w:rsidR="003703C1">
        <w:rPr>
          <w:rFonts w:ascii="Times New Roman" w:hAnsi="Times New Roman" w:cs="Times New Roman"/>
          <w:sz w:val="24"/>
          <w:szCs w:val="24"/>
        </w:rPr>
        <w:t>”</w:t>
      </w:r>
      <w:r w:rsidRPr="000048D2">
        <w:rPr>
          <w:rFonts w:ascii="Times New Roman" w:hAnsi="Times New Roman" w:cs="Times New Roman"/>
          <w:sz w:val="24"/>
          <w:szCs w:val="24"/>
        </w:rPr>
        <w:t xml:space="preserve"> al 80% de la p</w:t>
      </w:r>
      <w:r w:rsidR="000E5816">
        <w:rPr>
          <w:rFonts w:ascii="Times New Roman" w:hAnsi="Times New Roman" w:cs="Times New Roman"/>
          <w:sz w:val="24"/>
          <w:szCs w:val="24"/>
        </w:rPr>
        <w:t>oblación? ¿cuánto tiempo habrá</w:t>
      </w:r>
      <w:r w:rsidRPr="000048D2">
        <w:rPr>
          <w:rFonts w:ascii="Times New Roman" w:hAnsi="Times New Roman" w:cs="Times New Roman"/>
          <w:sz w:val="24"/>
          <w:szCs w:val="24"/>
        </w:rPr>
        <w:t xml:space="preserve"> que esperar para que se desarticule un sistema de explotación y exterminio de clases, liberticida y feudal? ¿cuánto, para que se desarticulen sus tramas y connivencias corruptas? </w:t>
      </w:r>
    </w:p>
    <w:p w:rsidR="00C637F7" w:rsidRPr="00E61943" w:rsidRDefault="00C844B9" w:rsidP="00E61943">
      <w:pPr>
        <w:spacing w:line="240" w:lineRule="auto"/>
        <w:jc w:val="both"/>
        <w:rPr>
          <w:rFonts w:ascii="Times New Roman" w:hAnsi="Times New Roman" w:cs="Times New Roman"/>
          <w:sz w:val="24"/>
          <w:szCs w:val="24"/>
        </w:rPr>
      </w:pPr>
      <w:r w:rsidRPr="000048D2">
        <w:rPr>
          <w:rFonts w:ascii="Times New Roman" w:hAnsi="Times New Roman" w:cs="Times New Roman"/>
          <w:sz w:val="24"/>
          <w:szCs w:val="24"/>
        </w:rPr>
        <w:t>Hemos llegado a un punto que era casi imposible de imaginar, algo imposible de soportar, pero real.</w:t>
      </w:r>
      <w:r w:rsidR="00946B82">
        <w:rPr>
          <w:rFonts w:ascii="Times New Roman" w:hAnsi="Times New Roman" w:cs="Times New Roman"/>
          <w:sz w:val="24"/>
          <w:szCs w:val="24"/>
        </w:rPr>
        <w:t xml:space="preserve"> Los falsos liberales, que han resultado ser, unos peligrosos liberticidas, están convirtiendo en mortal e irreversible lo que pudo ser venial y reversible. Olvidar esto ni se puede ni se debe.</w:t>
      </w:r>
      <w:r w:rsidR="003703C1">
        <w:rPr>
          <w:rFonts w:ascii="Times New Roman" w:hAnsi="Times New Roman" w:cs="Times New Roman"/>
          <w:sz w:val="24"/>
          <w:szCs w:val="24"/>
        </w:rPr>
        <w:t xml:space="preserve"> </w:t>
      </w:r>
      <w:r w:rsidR="00C637F7" w:rsidRPr="003703C1">
        <w:rPr>
          <w:rFonts w:ascii="Times New Roman" w:hAnsi="Times New Roman" w:cs="Times New Roman"/>
          <w:color w:val="000000"/>
          <w:sz w:val="24"/>
          <w:szCs w:val="24"/>
        </w:rPr>
        <w:t>No es liberalismo, no es productividad, no es competitividad. ¿Es estupidez, inmolación innecesaria, suicidio asistido, avaricia, arrogancia, fatuidad, exceso de cortoplacismo,  pre</w:t>
      </w:r>
      <w:r w:rsidR="00CD0BF9" w:rsidRPr="003703C1">
        <w:rPr>
          <w:rFonts w:ascii="Times New Roman" w:hAnsi="Times New Roman" w:cs="Times New Roman"/>
          <w:color w:val="000000"/>
          <w:sz w:val="24"/>
          <w:szCs w:val="24"/>
        </w:rPr>
        <w:t>sión de Wall Street (expectativas</w:t>
      </w:r>
      <w:r w:rsidR="00C637F7" w:rsidRPr="003703C1">
        <w:rPr>
          <w:rFonts w:ascii="Times New Roman" w:hAnsi="Times New Roman" w:cs="Times New Roman"/>
          <w:color w:val="000000"/>
          <w:sz w:val="24"/>
          <w:szCs w:val="24"/>
        </w:rPr>
        <w:t xml:space="preserve"> del mercado) para que se pueda</w:t>
      </w:r>
      <w:r w:rsidR="00CD0BF9" w:rsidRPr="003703C1">
        <w:rPr>
          <w:rFonts w:ascii="Times New Roman" w:hAnsi="Times New Roman" w:cs="Times New Roman"/>
          <w:color w:val="000000"/>
          <w:sz w:val="24"/>
          <w:szCs w:val="24"/>
        </w:rPr>
        <w:t xml:space="preserve">n continuar presentando </w:t>
      </w:r>
      <w:r w:rsidR="00C637F7" w:rsidRPr="003703C1">
        <w:rPr>
          <w:rFonts w:ascii="Times New Roman" w:hAnsi="Times New Roman" w:cs="Times New Roman"/>
          <w:color w:val="000000"/>
          <w:sz w:val="24"/>
          <w:szCs w:val="24"/>
        </w:rPr>
        <w:t>mejora</w:t>
      </w:r>
      <w:r w:rsidR="00CD0BF9" w:rsidRPr="003703C1">
        <w:rPr>
          <w:rFonts w:ascii="Times New Roman" w:hAnsi="Times New Roman" w:cs="Times New Roman"/>
          <w:color w:val="000000"/>
          <w:sz w:val="24"/>
          <w:szCs w:val="24"/>
        </w:rPr>
        <w:t>s</w:t>
      </w:r>
      <w:r w:rsidR="00C637F7" w:rsidRPr="003703C1">
        <w:rPr>
          <w:rFonts w:ascii="Times New Roman" w:hAnsi="Times New Roman" w:cs="Times New Roman"/>
          <w:color w:val="000000"/>
          <w:sz w:val="24"/>
          <w:szCs w:val="24"/>
        </w:rPr>
        <w:t xml:space="preserve"> en los resultados trimestrales, adicción a los bonus, exceso de stock options…?  </w:t>
      </w:r>
    </w:p>
    <w:p w:rsidR="00946B82" w:rsidRPr="000048D2" w:rsidRDefault="00C844B9" w:rsidP="00C844B9">
      <w:pPr>
        <w:spacing w:line="240" w:lineRule="auto"/>
        <w:jc w:val="both"/>
        <w:rPr>
          <w:rFonts w:ascii="Times New Roman" w:hAnsi="Times New Roman" w:cs="Times New Roman"/>
          <w:sz w:val="24"/>
          <w:szCs w:val="24"/>
        </w:rPr>
      </w:pPr>
      <w:r w:rsidRPr="000048D2">
        <w:rPr>
          <w:rFonts w:ascii="Times New Roman" w:hAnsi="Times New Roman" w:cs="Times New Roman"/>
          <w:sz w:val="24"/>
          <w:szCs w:val="24"/>
        </w:rPr>
        <w:t>Si los responsables de las políticas en Estados Unidos</w:t>
      </w:r>
      <w:r w:rsidR="00946B82">
        <w:rPr>
          <w:rFonts w:ascii="Times New Roman" w:hAnsi="Times New Roman" w:cs="Times New Roman"/>
          <w:sz w:val="24"/>
          <w:szCs w:val="24"/>
        </w:rPr>
        <w:t xml:space="preserve"> y Europa</w:t>
      </w:r>
      <w:r w:rsidRPr="000048D2">
        <w:rPr>
          <w:rFonts w:ascii="Times New Roman" w:hAnsi="Times New Roman" w:cs="Times New Roman"/>
          <w:sz w:val="24"/>
          <w:szCs w:val="24"/>
        </w:rPr>
        <w:t xml:space="preserve"> siguen preocupados por complacer a Wall Street, a las grandes empresas y a los economistas neoliber</w:t>
      </w:r>
      <w:r w:rsidR="00946B82">
        <w:rPr>
          <w:rFonts w:ascii="Times New Roman" w:hAnsi="Times New Roman" w:cs="Times New Roman"/>
          <w:sz w:val="24"/>
          <w:szCs w:val="24"/>
        </w:rPr>
        <w:t>ales, el desempeño económico de sus</w:t>
      </w:r>
      <w:r w:rsidRPr="000048D2">
        <w:rPr>
          <w:rFonts w:ascii="Times New Roman" w:hAnsi="Times New Roman" w:cs="Times New Roman"/>
          <w:sz w:val="24"/>
          <w:szCs w:val="24"/>
        </w:rPr>
        <w:t xml:space="preserve"> país</w:t>
      </w:r>
      <w:r w:rsidR="00946B82">
        <w:rPr>
          <w:rFonts w:ascii="Times New Roman" w:hAnsi="Times New Roman" w:cs="Times New Roman"/>
          <w:sz w:val="24"/>
          <w:szCs w:val="24"/>
        </w:rPr>
        <w:t>es</w:t>
      </w:r>
      <w:r w:rsidRPr="000048D2">
        <w:rPr>
          <w:rFonts w:ascii="Times New Roman" w:hAnsi="Times New Roman" w:cs="Times New Roman"/>
          <w:sz w:val="24"/>
          <w:szCs w:val="24"/>
        </w:rPr>
        <w:t xml:space="preserve"> se verá afectado y las desigualdades de riqueza entre los norteamericanos</w:t>
      </w:r>
      <w:r w:rsidR="00946B82">
        <w:rPr>
          <w:rFonts w:ascii="Times New Roman" w:hAnsi="Times New Roman" w:cs="Times New Roman"/>
          <w:sz w:val="24"/>
          <w:szCs w:val="24"/>
        </w:rPr>
        <w:t xml:space="preserve"> y europeos</w:t>
      </w:r>
      <w:r w:rsidRPr="000048D2">
        <w:rPr>
          <w:rFonts w:ascii="Times New Roman" w:hAnsi="Times New Roman" w:cs="Times New Roman"/>
          <w:sz w:val="24"/>
          <w:szCs w:val="24"/>
        </w:rPr>
        <w:t xml:space="preserve"> seguirán creciendo. Esto a su vez aumentará el riesgo de una mayor inestabilidad social, extremismo y populismo. Las elites estadounidenses</w:t>
      </w:r>
      <w:r w:rsidR="00946B82">
        <w:rPr>
          <w:rFonts w:ascii="Times New Roman" w:hAnsi="Times New Roman" w:cs="Times New Roman"/>
          <w:sz w:val="24"/>
          <w:szCs w:val="24"/>
        </w:rPr>
        <w:t xml:space="preserve"> y europeas</w:t>
      </w:r>
      <w:r w:rsidRPr="000048D2">
        <w:rPr>
          <w:rFonts w:ascii="Times New Roman" w:hAnsi="Times New Roman" w:cs="Times New Roman"/>
          <w:sz w:val="24"/>
          <w:szCs w:val="24"/>
        </w:rPr>
        <w:t xml:space="preserve"> no pueden darse el lujo de ignorar las señales de alarma obvias de la misma manera que </w:t>
      </w:r>
      <w:r w:rsidRPr="000048D2">
        <w:rPr>
          <w:rFonts w:ascii="Times New Roman" w:hAnsi="Times New Roman" w:cs="Times New Roman"/>
          <w:sz w:val="24"/>
          <w:szCs w:val="24"/>
        </w:rPr>
        <w:lastRenderedPageBreak/>
        <w:t>pasaron por alto la burbuja de las hipotecas de alto riesgo que desató la crisis financiera de 2008.</w:t>
      </w:r>
    </w:p>
    <w:p w:rsidR="00D64FD8" w:rsidRPr="00C844B9" w:rsidRDefault="000E5816" w:rsidP="00C844B9">
      <w:pPr>
        <w:spacing w:line="240" w:lineRule="auto"/>
        <w:jc w:val="both"/>
        <w:rPr>
          <w:rFonts w:ascii="Times New Roman" w:hAnsi="Times New Roman" w:cs="Times New Roman"/>
          <w:sz w:val="24"/>
          <w:szCs w:val="24"/>
        </w:rPr>
      </w:pPr>
      <w:r>
        <w:rPr>
          <w:rFonts w:ascii="Times New Roman" w:hAnsi="Times New Roman" w:cs="Times New Roman"/>
          <w:sz w:val="24"/>
          <w:szCs w:val="24"/>
        </w:rPr>
        <w:t>Después de haber aguantado</w:t>
      </w:r>
      <w:r w:rsidR="00C844B9" w:rsidRPr="000048D2">
        <w:rPr>
          <w:rFonts w:ascii="Times New Roman" w:hAnsi="Times New Roman" w:cs="Times New Roman"/>
          <w:sz w:val="24"/>
          <w:szCs w:val="24"/>
        </w:rPr>
        <w:t xml:space="preserve"> tantas</w:t>
      </w:r>
      <w:r>
        <w:rPr>
          <w:rFonts w:ascii="Times New Roman" w:hAnsi="Times New Roman" w:cs="Times New Roman"/>
          <w:sz w:val="24"/>
          <w:szCs w:val="24"/>
        </w:rPr>
        <w:t xml:space="preserve"> </w:t>
      </w:r>
      <w:r w:rsidR="00C844B9" w:rsidRPr="000048D2">
        <w:rPr>
          <w:rFonts w:ascii="Times New Roman" w:hAnsi="Times New Roman" w:cs="Times New Roman"/>
          <w:sz w:val="24"/>
          <w:szCs w:val="24"/>
        </w:rPr>
        <w:t>afrent</w:t>
      </w:r>
      <w:r w:rsidR="00CD0BF9">
        <w:rPr>
          <w:rFonts w:ascii="Times New Roman" w:hAnsi="Times New Roman" w:cs="Times New Roman"/>
          <w:sz w:val="24"/>
          <w:szCs w:val="24"/>
        </w:rPr>
        <w:t xml:space="preserve">as y algunas más (la lista resulta </w:t>
      </w:r>
      <w:r w:rsidR="00C844B9" w:rsidRPr="000048D2">
        <w:rPr>
          <w:rFonts w:ascii="Times New Roman" w:hAnsi="Times New Roman" w:cs="Times New Roman"/>
          <w:sz w:val="24"/>
          <w:szCs w:val="24"/>
        </w:rPr>
        <w:t>interminable): apaguen la tele, desconecten el móvil, cierren el iPad… mir</w:t>
      </w:r>
      <w:r w:rsidR="00C637F7">
        <w:rPr>
          <w:rFonts w:ascii="Times New Roman" w:hAnsi="Times New Roman" w:cs="Times New Roman"/>
          <w:sz w:val="24"/>
          <w:szCs w:val="24"/>
        </w:rPr>
        <w:t xml:space="preserve">en a sus hijos y nietos (nuevos </w:t>
      </w:r>
      <w:r w:rsidR="00C844B9" w:rsidRPr="000048D2">
        <w:rPr>
          <w:rFonts w:ascii="Times New Roman" w:hAnsi="Times New Roman" w:cs="Times New Roman"/>
          <w:sz w:val="24"/>
          <w:szCs w:val="24"/>
        </w:rPr>
        <w:t>pobres, de países ricos)… y respóndanse esta pregunta final (fatal) ¿cómo se puede “pedir la muerte” de la clase media (norteamericana o europea) antes de luchar?</w:t>
      </w:r>
      <w:r w:rsidR="003703C1">
        <w:rPr>
          <w:rFonts w:ascii="Times New Roman" w:hAnsi="Times New Roman" w:cs="Times New Roman"/>
          <w:sz w:val="24"/>
          <w:szCs w:val="24"/>
        </w:rPr>
        <w:t xml:space="preserve"> </w:t>
      </w:r>
      <w:r w:rsidR="00C844B9" w:rsidRPr="000048D2">
        <w:rPr>
          <w:rFonts w:ascii="Times New Roman" w:hAnsi="Times New Roman" w:cs="Times New Roman"/>
          <w:sz w:val="24"/>
          <w:szCs w:val="24"/>
        </w:rPr>
        <w:t xml:space="preserve">Ustedes mismos… </w:t>
      </w:r>
    </w:p>
    <w:p w:rsidR="004D135C" w:rsidRPr="00E61943" w:rsidRDefault="004D135C" w:rsidP="00E61943">
      <w:pPr>
        <w:pStyle w:val="NormalWeb"/>
        <w:jc w:val="both"/>
      </w:pPr>
      <w:bookmarkStart w:id="34" w:name="_GoBack"/>
      <w:bookmarkEnd w:id="34"/>
      <w:r>
        <w:rPr>
          <w:color w:val="000000"/>
        </w:rPr>
        <w:t>Si están dispuestos a aceptar al “d</w:t>
      </w:r>
      <w:r w:rsidR="00D64FD8" w:rsidRPr="003148AD">
        <w:rPr>
          <w:color w:val="000000"/>
        </w:rPr>
        <w:t>eep blue”</w:t>
      </w:r>
      <w:r w:rsidR="004237AF">
        <w:rPr>
          <w:color w:val="000000"/>
        </w:rPr>
        <w:t>,</w:t>
      </w:r>
      <w:r w:rsidR="00D64FD8" w:rsidRPr="003148AD">
        <w:rPr>
          <w:color w:val="000000"/>
        </w:rPr>
        <w:t xml:space="preserve"> como animal de compañía</w:t>
      </w:r>
      <w:r>
        <w:rPr>
          <w:color w:val="000000"/>
        </w:rPr>
        <w:t>,</w:t>
      </w:r>
      <w:r w:rsidR="00857069">
        <w:rPr>
          <w:color w:val="000000"/>
        </w:rPr>
        <w:t xml:space="preserve"> a tolerar </w:t>
      </w:r>
      <w:r w:rsidR="00857069" w:rsidRPr="00857069">
        <w:t>un sistema encaminado a sostener una expansión artificial de la demanda vía deuda, alrededor de distintos procesos especulativos, ninguno productivo</w:t>
      </w:r>
      <w:r w:rsidR="00857069">
        <w:t>…</w:t>
      </w:r>
      <w:r>
        <w:rPr>
          <w:color w:val="000000"/>
        </w:rPr>
        <w:t xml:space="preserve"> cuando se queden sin trabajo y se vean empujados al abismo de</w:t>
      </w:r>
      <w:r w:rsidR="00857069">
        <w:rPr>
          <w:color w:val="000000"/>
        </w:rPr>
        <w:t xml:space="preserve"> la pobreza, siempre tendrán</w:t>
      </w:r>
      <w:r w:rsidR="00EF0B44">
        <w:rPr>
          <w:color w:val="000000"/>
        </w:rPr>
        <w:t xml:space="preserve"> la “magnífica</w:t>
      </w:r>
      <w:r w:rsidR="00E32F2A">
        <w:rPr>
          <w:color w:val="000000"/>
        </w:rPr>
        <w:t>” oportunidad de “emplearse”</w:t>
      </w:r>
      <w:r>
        <w:rPr>
          <w:color w:val="000000"/>
        </w:rPr>
        <w:t xml:space="preserve"> haciendo paquetes en Amazon, como chofer en Uber, alquilar alguna de sus habitaciones, o el sillón</w:t>
      </w:r>
      <w:r w:rsidR="00857069">
        <w:rPr>
          <w:color w:val="000000"/>
        </w:rPr>
        <w:t xml:space="preserve"> preferido, o vuestra cama matri</w:t>
      </w:r>
      <w:r>
        <w:rPr>
          <w:color w:val="000000"/>
        </w:rPr>
        <w:t>monial, por Airbnb, hacer repartos en bici</w:t>
      </w:r>
      <w:r w:rsidR="008A5F0A">
        <w:rPr>
          <w:color w:val="000000"/>
        </w:rPr>
        <w:t>cleta para Glovo o Deliveroo, ser piloto</w:t>
      </w:r>
      <w:r>
        <w:rPr>
          <w:color w:val="000000"/>
        </w:rPr>
        <w:t xml:space="preserve"> de drones</w:t>
      </w:r>
      <w:r w:rsidR="008A5F0A">
        <w:rPr>
          <w:color w:val="000000"/>
        </w:rPr>
        <w:t>, ser escritor en Twitter (para lo c</w:t>
      </w:r>
      <w:r w:rsidR="00857069">
        <w:rPr>
          <w:color w:val="000000"/>
        </w:rPr>
        <w:t>ual no solo tendrán que redactar textos</w:t>
      </w:r>
      <w:r w:rsidR="008A5F0A">
        <w:rPr>
          <w:color w:val="000000"/>
        </w:rPr>
        <w:t xml:space="preserve"> en 140 caracteres, sino, lo que es peor aún, pensar en 140 caracteres</w:t>
      </w:r>
      <w:r w:rsidR="00857069">
        <w:rPr>
          <w:color w:val="000000"/>
        </w:rPr>
        <w:t>)</w:t>
      </w:r>
      <w:r w:rsidR="00CA188F">
        <w:rPr>
          <w:color w:val="000000"/>
        </w:rPr>
        <w:t xml:space="preserve">, </w:t>
      </w:r>
      <w:r w:rsidR="003703C1" w:rsidRPr="00E61943">
        <w:t>aparcador de patinetes, agente de seguros para accidentes con peatones causado</w:t>
      </w:r>
      <w:r w:rsidR="00E61943">
        <w:t xml:space="preserve">s por automóviles sin conductor o </w:t>
      </w:r>
      <w:r w:rsidR="00E61943" w:rsidRPr="00E61943">
        <w:t>scooters</w:t>
      </w:r>
      <w:r w:rsidR="003703C1" w:rsidRPr="00E61943">
        <w:t>,</w:t>
      </w:r>
      <w:r w:rsidR="00337614">
        <w:t xml:space="preserve"> impresor de</w:t>
      </w:r>
      <w:r w:rsidR="00337614" w:rsidRPr="00337614">
        <w:t xml:space="preserve"> cabezas en 3D para desbloquear smartphones</w:t>
      </w:r>
      <w:r w:rsidR="00337614">
        <w:t>,</w:t>
      </w:r>
      <w:r w:rsidR="006C65B2">
        <w:t xml:space="preserve"> experto en conocimiento linkado,</w:t>
      </w:r>
      <w:r w:rsidR="00EF0B44" w:rsidRPr="00E61943">
        <w:t xml:space="preserve"> probador</w:t>
      </w:r>
      <w:r w:rsidR="003703C1" w:rsidRPr="00E61943">
        <w:t xml:space="preserve"> de Nintendo, muñeco de Pokemon,</w:t>
      </w:r>
      <w:r w:rsidR="00E61943">
        <w:t xml:space="preserve"> emoji en</w:t>
      </w:r>
      <w:r w:rsidR="00E61943" w:rsidRPr="00E61943">
        <w:t xml:space="preserve"> WhatsApp</w:t>
      </w:r>
      <w:r w:rsidR="006C65B2">
        <w:t>,</w:t>
      </w:r>
      <w:r w:rsidR="003703C1" w:rsidRPr="00E61943">
        <w:t xml:space="preserve"> fotógrafo de todo, influencer</w:t>
      </w:r>
      <w:r w:rsidR="00EF0B44" w:rsidRPr="00E61943">
        <w:t xml:space="preserve"> en Instagram</w:t>
      </w:r>
      <w:r w:rsidR="003703C1" w:rsidRPr="00E61943">
        <w:t>, personal trainer,</w:t>
      </w:r>
      <w:r w:rsidR="00EF0B44" w:rsidRPr="00E61943">
        <w:t xml:space="preserve"> centinela</w:t>
      </w:r>
      <w:r w:rsidR="003703C1" w:rsidRPr="00E61943">
        <w:t xml:space="preserve"> de</w:t>
      </w:r>
      <w:r w:rsidR="00EF0B44" w:rsidRPr="00E61943">
        <w:t xml:space="preserve"> la</w:t>
      </w:r>
      <w:r w:rsidR="003703C1" w:rsidRPr="00E61943">
        <w:t xml:space="preserve"> ideología de género,</w:t>
      </w:r>
      <w:r w:rsidR="00EF0B44" w:rsidRPr="00E61943">
        <w:t xml:space="preserve"> activista LGTB</w:t>
      </w:r>
      <w:r w:rsidR="006C65B2">
        <w:t>I</w:t>
      </w:r>
      <w:r w:rsidR="00EF0B44" w:rsidRPr="00E61943">
        <w:t>,</w:t>
      </w:r>
      <w:r w:rsidR="00CA188F">
        <w:t xml:space="preserve"> chaleco amarillo,</w:t>
      </w:r>
      <w:r w:rsidR="003703C1" w:rsidRPr="00E61943">
        <w:t xml:space="preserve"> tr</w:t>
      </w:r>
      <w:r w:rsidR="006C65B2">
        <w:t>ipulante de buques de ONG para cooperar con</w:t>
      </w:r>
      <w:r w:rsidR="003703C1" w:rsidRPr="00E61943">
        <w:t xml:space="preserve"> las mafias que trafican con inmigrantes ilegales en el Mediterráneo, </w:t>
      </w:r>
      <w:r w:rsidR="00EF0B44" w:rsidRPr="00E61943">
        <w:t>y</w:t>
      </w:r>
      <w:r w:rsidR="003703C1" w:rsidRPr="00E61943">
        <w:t>outuber, blog</w:t>
      </w:r>
      <w:r w:rsidR="00EF0B44" w:rsidRPr="00E61943">
        <w:t>ger</w:t>
      </w:r>
      <w:r w:rsidR="003703C1" w:rsidRPr="00E61943">
        <w:t>,</w:t>
      </w:r>
      <w:r w:rsidR="00EF0B44" w:rsidRPr="00E61943">
        <w:t xml:space="preserve"> falso autón</w:t>
      </w:r>
      <w:r w:rsidR="006C65B2">
        <w:t xml:space="preserve">omo </w:t>
      </w:r>
      <w:r w:rsidR="00337614">
        <w:t>de</w:t>
      </w:r>
      <w:r w:rsidR="006C65B2">
        <w:t xml:space="preserve"> cualquiera de las “plataformas”, pero siempre “work in progress”.</w:t>
      </w:r>
      <w:r w:rsidR="00CA188F">
        <w:t xml:space="preserve"> </w:t>
      </w:r>
    </w:p>
    <w:p w:rsidR="00D64FD8" w:rsidRDefault="008A5F0A" w:rsidP="00844212">
      <w:pPr>
        <w:pStyle w:val="NormalWeb"/>
        <w:spacing w:before="0" w:beforeAutospacing="0" w:after="0" w:afterAutospacing="0"/>
        <w:jc w:val="both"/>
        <w:textAlignment w:val="baseline"/>
        <w:rPr>
          <w:color w:val="000000"/>
        </w:rPr>
      </w:pPr>
      <w:r>
        <w:rPr>
          <w:color w:val="000000"/>
        </w:rPr>
        <w:t xml:space="preserve">Mientras continúan abducidos por el último modelo de iPhone, se hacen selfies con </w:t>
      </w:r>
      <w:r w:rsidR="00BF6EB4">
        <w:rPr>
          <w:color w:val="000000"/>
        </w:rPr>
        <w:t>los colegas, siguen vendiendo la</w:t>
      </w:r>
      <w:r>
        <w:rPr>
          <w:color w:val="000000"/>
        </w:rPr>
        <w:t xml:space="preserve"> int</w:t>
      </w:r>
      <w:r w:rsidR="00F37C64">
        <w:rPr>
          <w:color w:val="000000"/>
        </w:rPr>
        <w:t>i</w:t>
      </w:r>
      <w:r>
        <w:rPr>
          <w:color w:val="000000"/>
        </w:rPr>
        <w:t>midad por Facebook</w:t>
      </w:r>
      <w:r w:rsidR="00BF6EB4">
        <w:rPr>
          <w:color w:val="000000"/>
        </w:rPr>
        <w:t xml:space="preserve"> </w:t>
      </w:r>
      <w:r w:rsidR="00F37C64">
        <w:rPr>
          <w:color w:val="000000"/>
        </w:rPr>
        <w:t xml:space="preserve">o se sienten famosos por un día en Instagram, no deben olvidarse de </w:t>
      </w:r>
      <w:r w:rsidR="004D135C">
        <w:rPr>
          <w:color w:val="000000"/>
        </w:rPr>
        <w:t>tomar</w:t>
      </w:r>
      <w:r w:rsidR="00F37C64">
        <w:rPr>
          <w:color w:val="000000"/>
        </w:rPr>
        <w:t xml:space="preserve"> las</w:t>
      </w:r>
      <w:r w:rsidR="004D135C">
        <w:rPr>
          <w:color w:val="000000"/>
        </w:rPr>
        <w:t xml:space="preserve"> pastillas para (no</w:t>
      </w:r>
      <w:r w:rsidR="001A2B4B">
        <w:rPr>
          <w:color w:val="000000"/>
        </w:rPr>
        <w:t>,</w:t>
      </w:r>
      <w:r w:rsidR="004D135C">
        <w:rPr>
          <w:color w:val="000000"/>
        </w:rPr>
        <w:t xml:space="preserve"> contra) la amnesia, o</w:t>
      </w:r>
      <w:r w:rsidR="00F37C64">
        <w:rPr>
          <w:color w:val="000000"/>
        </w:rPr>
        <w:t xml:space="preserve"> de</w:t>
      </w:r>
      <w:r w:rsidR="004D135C">
        <w:rPr>
          <w:color w:val="000000"/>
        </w:rPr>
        <w:t xml:space="preserve"> </w:t>
      </w:r>
      <w:r w:rsidR="00F37C64">
        <w:rPr>
          <w:color w:val="000000"/>
        </w:rPr>
        <w:t xml:space="preserve"> poner </w:t>
      </w:r>
      <w:r w:rsidR="004D135C">
        <w:rPr>
          <w:color w:val="000000"/>
        </w:rPr>
        <w:t>ed</w:t>
      </w:r>
      <w:r>
        <w:rPr>
          <w:color w:val="000000"/>
        </w:rPr>
        <w:t>ulcorantes</w:t>
      </w:r>
      <w:r w:rsidR="00BF6EB4">
        <w:rPr>
          <w:color w:val="000000"/>
        </w:rPr>
        <w:t xml:space="preserve"> al mejunje</w:t>
      </w:r>
      <w:r w:rsidR="001A2B4B">
        <w:rPr>
          <w:color w:val="000000"/>
        </w:rPr>
        <w:t>,</w:t>
      </w:r>
      <w:r w:rsidR="00BF6EB4">
        <w:rPr>
          <w:color w:val="000000"/>
        </w:rPr>
        <w:t xml:space="preserve"> para poder “tragarse”</w:t>
      </w:r>
      <w:r>
        <w:rPr>
          <w:color w:val="000000"/>
        </w:rPr>
        <w:t xml:space="preserve"> un sistema econ</w:t>
      </w:r>
      <w:r w:rsidR="004D135C">
        <w:rPr>
          <w:color w:val="000000"/>
        </w:rPr>
        <w:t>ómico</w:t>
      </w:r>
      <w:r>
        <w:rPr>
          <w:color w:val="000000"/>
        </w:rPr>
        <w:t xml:space="preserve"> tan</w:t>
      </w:r>
      <w:r w:rsidR="004D135C">
        <w:rPr>
          <w:color w:val="000000"/>
        </w:rPr>
        <w:t xml:space="preserve"> injusto</w:t>
      </w:r>
      <w:r w:rsidR="00BF6EB4">
        <w:rPr>
          <w:color w:val="000000"/>
        </w:rPr>
        <w:t xml:space="preserve"> como impresentable</w:t>
      </w:r>
      <w:r>
        <w:rPr>
          <w:color w:val="000000"/>
        </w:rPr>
        <w:t xml:space="preserve"> (</w:t>
      </w:r>
      <w:r w:rsidR="00BF6EB4">
        <w:rPr>
          <w:color w:val="000000"/>
        </w:rPr>
        <w:t>haciendo más soportable</w:t>
      </w:r>
      <w:r>
        <w:rPr>
          <w:color w:val="000000"/>
        </w:rPr>
        <w:t xml:space="preserve"> el sistema de ablación social</w:t>
      </w:r>
      <w:r w:rsidR="00F37C64">
        <w:rPr>
          <w:color w:val="000000"/>
        </w:rPr>
        <w:t xml:space="preserve"> en marcha</w:t>
      </w:r>
      <w:r>
        <w:rPr>
          <w:color w:val="000000"/>
        </w:rPr>
        <w:t>)</w:t>
      </w:r>
      <w:r w:rsidR="004D135C">
        <w:rPr>
          <w:color w:val="000000"/>
        </w:rPr>
        <w:t xml:space="preserve">. </w:t>
      </w:r>
    </w:p>
    <w:p w:rsidR="00F37C64" w:rsidRDefault="00F37C64" w:rsidP="00844212">
      <w:pPr>
        <w:pStyle w:val="NormalWeb"/>
        <w:spacing w:before="0" w:beforeAutospacing="0" w:after="0" w:afterAutospacing="0"/>
        <w:jc w:val="both"/>
        <w:textAlignment w:val="baseline"/>
        <w:rPr>
          <w:color w:val="000000"/>
        </w:rPr>
      </w:pPr>
    </w:p>
    <w:p w:rsidR="00F37C64" w:rsidRDefault="00F37C64" w:rsidP="00844212">
      <w:pPr>
        <w:pStyle w:val="NormalWeb"/>
        <w:spacing w:before="0" w:beforeAutospacing="0" w:after="0" w:afterAutospacing="0"/>
        <w:jc w:val="both"/>
        <w:textAlignment w:val="baseline"/>
        <w:rPr>
          <w:color w:val="000000"/>
        </w:rPr>
      </w:pPr>
      <w:r>
        <w:rPr>
          <w:color w:val="000000"/>
        </w:rPr>
        <w:t>Creo humildemente, que toda esta “pirotecnia” de la “nueva economía” (robótica, inteligencia artificial,</w:t>
      </w:r>
      <w:r w:rsidR="00BF6EB4">
        <w:rPr>
          <w:color w:val="000000"/>
        </w:rPr>
        <w:t xml:space="preserve"> datos de voz, analítica aumentada,</w:t>
      </w:r>
      <w:r>
        <w:rPr>
          <w:color w:val="000000"/>
        </w:rPr>
        <w:t xml:space="preserve"> algoritmos, </w:t>
      </w:r>
      <w:r w:rsidR="00BF6EB4">
        <w:rPr>
          <w:color w:val="000000"/>
        </w:rPr>
        <w:t>tecnologías disruptivas</w:t>
      </w:r>
      <w:r>
        <w:rPr>
          <w:color w:val="000000"/>
        </w:rPr>
        <w:t xml:space="preserve">, </w:t>
      </w:r>
      <w:r w:rsidR="00E61943">
        <w:rPr>
          <w:color w:val="000000"/>
        </w:rPr>
        <w:t>asociacionismo, gig economy…) de</w:t>
      </w:r>
      <w:r>
        <w:rPr>
          <w:color w:val="000000"/>
        </w:rPr>
        <w:t xml:space="preserve"> los países avanzados</w:t>
      </w:r>
      <w:r w:rsidR="001A2B4B">
        <w:rPr>
          <w:color w:val="000000"/>
        </w:rPr>
        <w:t>,</w:t>
      </w:r>
      <w:r>
        <w:rPr>
          <w:color w:val="000000"/>
        </w:rPr>
        <w:t xml:space="preserve"> ha servido para poco. En el fondo</w:t>
      </w:r>
      <w:r w:rsidR="001A2B4B">
        <w:rPr>
          <w:color w:val="000000"/>
        </w:rPr>
        <w:t>,</w:t>
      </w:r>
      <w:r>
        <w:rPr>
          <w:color w:val="000000"/>
        </w:rPr>
        <w:t xml:space="preserve"> para nada</w:t>
      </w:r>
      <w:r w:rsidR="00CA188F">
        <w:rPr>
          <w:color w:val="000000"/>
        </w:rPr>
        <w:t xml:space="preserve">. Para nada bueno, se entiende. </w:t>
      </w:r>
      <w:r>
        <w:rPr>
          <w:color w:val="000000"/>
        </w:rPr>
        <w:t>Si todo esto se hizo para dejar a todos con</w:t>
      </w:r>
      <w:r w:rsidR="003E2828">
        <w:rPr>
          <w:color w:val="000000"/>
        </w:rPr>
        <w:t>tentos (países pobres y ricos): e</w:t>
      </w:r>
      <w:r>
        <w:rPr>
          <w:color w:val="000000"/>
        </w:rPr>
        <w:t xml:space="preserve">l “invento” ha </w:t>
      </w:r>
      <w:r w:rsidR="0098085D">
        <w:rPr>
          <w:color w:val="000000"/>
        </w:rPr>
        <w:t>fracasado</w:t>
      </w:r>
      <w:r>
        <w:rPr>
          <w:color w:val="000000"/>
        </w:rPr>
        <w:t>. Porque no todos están contentos. Casi nadie lo está (al menos</w:t>
      </w:r>
      <w:r w:rsidR="001A2B4B">
        <w:rPr>
          <w:color w:val="000000"/>
        </w:rPr>
        <w:t>,</w:t>
      </w:r>
      <w:r>
        <w:rPr>
          <w:color w:val="000000"/>
        </w:rPr>
        <w:t xml:space="preserve"> en los países ricos).</w:t>
      </w:r>
    </w:p>
    <w:p w:rsidR="004237AF" w:rsidRDefault="004237AF" w:rsidP="00844212">
      <w:pPr>
        <w:pStyle w:val="NormalWeb"/>
        <w:spacing w:before="0" w:beforeAutospacing="0" w:after="0" w:afterAutospacing="0"/>
        <w:jc w:val="both"/>
        <w:textAlignment w:val="baseline"/>
        <w:rPr>
          <w:color w:val="000000"/>
        </w:rPr>
      </w:pPr>
    </w:p>
    <w:p w:rsidR="00D04390" w:rsidRPr="001A2B4B" w:rsidRDefault="00F37C64" w:rsidP="00844212">
      <w:pPr>
        <w:pStyle w:val="NormalWeb"/>
        <w:spacing w:before="0" w:beforeAutospacing="0" w:after="0" w:afterAutospacing="0"/>
        <w:jc w:val="both"/>
        <w:textAlignment w:val="baseline"/>
        <w:rPr>
          <w:color w:val="000000"/>
        </w:rPr>
      </w:pPr>
      <w:r>
        <w:rPr>
          <w:color w:val="000000"/>
        </w:rPr>
        <w:t>En la batalla del aplausómetro gana</w:t>
      </w:r>
      <w:r w:rsidR="0098085D">
        <w:rPr>
          <w:color w:val="000000"/>
        </w:rPr>
        <w:t>n</w:t>
      </w:r>
      <w:r>
        <w:rPr>
          <w:color w:val="000000"/>
        </w:rPr>
        <w:t xml:space="preserve"> China (lista para el “sorpasso”), Wall Street</w:t>
      </w:r>
      <w:r w:rsidR="0098085D">
        <w:rPr>
          <w:color w:val="000000"/>
        </w:rPr>
        <w:t xml:space="preserve"> (a lomos del relajamiento cuantitat</w:t>
      </w:r>
      <w:r w:rsidR="003E2828">
        <w:rPr>
          <w:color w:val="000000"/>
        </w:rPr>
        <w:t>ivo y las burbujas prefabricadas</w:t>
      </w:r>
      <w:r w:rsidR="0098085D">
        <w:rPr>
          <w:color w:val="000000"/>
        </w:rPr>
        <w:t>), y algunos paíse</w:t>
      </w:r>
      <w:r w:rsidR="00E61943">
        <w:rPr>
          <w:color w:val="000000"/>
        </w:rPr>
        <w:t>s emergentes (no todos) atentos</w:t>
      </w:r>
      <w:r w:rsidR="00CA188F">
        <w:rPr>
          <w:color w:val="000000"/>
        </w:rPr>
        <w:t xml:space="preserve"> a pescar en río revuelto. </w:t>
      </w:r>
      <w:r w:rsidR="0098085D">
        <w:rPr>
          <w:color w:val="000000"/>
        </w:rPr>
        <w:t>El resto, trabajadores,</w:t>
      </w:r>
      <w:r w:rsidR="003E2828">
        <w:rPr>
          <w:color w:val="000000"/>
        </w:rPr>
        <w:t xml:space="preserve"> profesionales,</w:t>
      </w:r>
      <w:r w:rsidR="0098085D">
        <w:rPr>
          <w:color w:val="000000"/>
        </w:rPr>
        <w:t xml:space="preserve"> jóvenes, pensionistas, familias, pequeños empresarios, de los países desarrollados, hastiados de tener que a</w:t>
      </w:r>
      <w:r w:rsidR="00484A9E">
        <w:rPr>
          <w:color w:val="000000"/>
        </w:rPr>
        <w:t>ceptar el</w:t>
      </w:r>
      <w:r w:rsidR="004237AF">
        <w:rPr>
          <w:color w:val="000000"/>
        </w:rPr>
        <w:t xml:space="preserve"> “nuevo normal”,</w:t>
      </w:r>
      <w:r w:rsidR="00484A9E">
        <w:rPr>
          <w:color w:val="000000"/>
        </w:rPr>
        <w:t xml:space="preserve"> </w:t>
      </w:r>
      <w:r w:rsidR="00484A9E" w:rsidRPr="00B32928">
        <w:t>de una China que hace alarde del mayor PIB del mundo (en términos de paridad de poder adquisitivo)</w:t>
      </w:r>
      <w:r w:rsidR="00484A9E">
        <w:t>, c</w:t>
      </w:r>
      <w:r w:rsidR="00484A9E">
        <w:rPr>
          <w:color w:val="000000"/>
        </w:rPr>
        <w:t>omo una</w:t>
      </w:r>
      <w:r w:rsidR="004237AF">
        <w:rPr>
          <w:color w:val="000000"/>
        </w:rPr>
        <w:t xml:space="preserve"> hecho de la naturaleza</w:t>
      </w:r>
      <w:r w:rsidR="00D04390">
        <w:rPr>
          <w:color w:val="000000"/>
        </w:rPr>
        <w:t>;</w:t>
      </w:r>
      <w:r w:rsidR="003E2828">
        <w:rPr>
          <w:color w:val="000000"/>
        </w:rPr>
        <w:t xml:space="preserve"> cansados de soportar e</w:t>
      </w:r>
      <w:r w:rsidR="003E2828" w:rsidRPr="0063645A">
        <w:t>l impacto negativo en términos</w:t>
      </w:r>
      <w:r w:rsidR="003E2828">
        <w:t xml:space="preserve"> de bienestar que provoca el “adiós a las armas”</w:t>
      </w:r>
      <w:r w:rsidR="00D04390">
        <w:t xml:space="preserve"> (economía real) de sus países (antes, avanzados).</w:t>
      </w:r>
      <w:r w:rsidR="001A2B4B">
        <w:rPr>
          <w:color w:val="000000"/>
        </w:rPr>
        <w:t xml:space="preserve"> </w:t>
      </w:r>
      <w:r w:rsidR="005B7C03">
        <w:t>Mientras imponen al personal una resiliencia farisea, l</w:t>
      </w:r>
      <w:r w:rsidR="00D04390" w:rsidRPr="0063645A">
        <w:t>a concentración empresarial y de riqueza que ello conlleva, y la búsqueda a cualquier precio de una renta</w:t>
      </w:r>
      <w:r w:rsidR="005B7C03">
        <w:t xml:space="preserve">bilidad determinada, tienen un </w:t>
      </w:r>
      <w:r w:rsidR="00D04390" w:rsidRPr="0063645A">
        <w:t>impac</w:t>
      </w:r>
      <w:r w:rsidR="005B7C03">
        <w:t xml:space="preserve">to demoledor en los </w:t>
      </w:r>
      <w:r w:rsidR="00D04390" w:rsidRPr="0063645A">
        <w:t>trabajadores</w:t>
      </w:r>
      <w:r w:rsidR="005B7C03">
        <w:t xml:space="preserve">, clientes y proveedores. Y todo ello </w:t>
      </w:r>
      <w:r w:rsidR="00D04390" w:rsidRPr="0063645A">
        <w:t xml:space="preserve"> con un proceso de acumulación en pocas manos, es decir, con un incremento sin paragón de las desigualdades.</w:t>
      </w:r>
      <w:r w:rsidR="005B7C03">
        <w:t xml:space="preserve"> </w:t>
      </w:r>
      <w:r w:rsidR="005B7C03" w:rsidRPr="005B7C03">
        <w:rPr>
          <w:b/>
        </w:rPr>
        <w:t>Un neofeudalismo en toda regla: adiós clase media, adiós…</w:t>
      </w:r>
    </w:p>
    <w:p w:rsidR="00AF2644" w:rsidRDefault="00AF2644" w:rsidP="00AF2644">
      <w:pPr>
        <w:spacing w:line="240" w:lineRule="auto"/>
        <w:jc w:val="both"/>
        <w:rPr>
          <w:rFonts w:ascii="Times New Roman" w:hAnsi="Times New Roman" w:cs="Times New Roman"/>
          <w:sz w:val="24"/>
          <w:szCs w:val="24"/>
        </w:rPr>
      </w:pPr>
      <w:r w:rsidRPr="00747D8D">
        <w:rPr>
          <w:rFonts w:ascii="Times New Roman" w:hAnsi="Times New Roman" w:cs="Times New Roman"/>
          <w:b/>
          <w:sz w:val="24"/>
          <w:szCs w:val="24"/>
        </w:rPr>
        <w:lastRenderedPageBreak/>
        <w:t>Post scriptum</w:t>
      </w:r>
      <w:r w:rsidRPr="009C7E88">
        <w:rPr>
          <w:rFonts w:ascii="Times New Roman" w:hAnsi="Times New Roman" w:cs="Times New Roman"/>
          <w:sz w:val="24"/>
          <w:szCs w:val="24"/>
        </w:rPr>
        <w:t xml:space="preserve">: </w:t>
      </w:r>
      <w:r>
        <w:rPr>
          <w:rFonts w:ascii="Times New Roman" w:hAnsi="Times New Roman" w:cs="Times New Roman"/>
          <w:sz w:val="24"/>
          <w:szCs w:val="24"/>
        </w:rPr>
        <w:t xml:space="preserve">Suelo incluir en los Papers, un Apartado que casi siempre denomino: </w:t>
      </w:r>
      <w:r w:rsidRPr="00747D8D">
        <w:rPr>
          <w:rFonts w:ascii="Times New Roman" w:hAnsi="Times New Roman" w:cs="Times New Roman"/>
          <w:b/>
          <w:sz w:val="24"/>
          <w:szCs w:val="24"/>
        </w:rPr>
        <w:t>“La opinión de los que saben”</w:t>
      </w:r>
      <w:r>
        <w:rPr>
          <w:rFonts w:ascii="Times New Roman" w:hAnsi="Times New Roman" w:cs="Times New Roman"/>
          <w:sz w:val="24"/>
          <w:szCs w:val="24"/>
        </w:rPr>
        <w:t xml:space="preserve"> (aunque a veces, según los autores citados, agrego la coletilla </w:t>
      </w:r>
      <w:r w:rsidR="00E32F2A">
        <w:rPr>
          <w:rFonts w:ascii="Times New Roman" w:hAnsi="Times New Roman" w:cs="Times New Roman"/>
          <w:b/>
          <w:sz w:val="24"/>
          <w:szCs w:val="24"/>
        </w:rPr>
        <w:t>“varios nob</w:t>
      </w:r>
      <w:r w:rsidRPr="00747D8D">
        <w:rPr>
          <w:rFonts w:ascii="Times New Roman" w:hAnsi="Times New Roman" w:cs="Times New Roman"/>
          <w:b/>
          <w:sz w:val="24"/>
          <w:szCs w:val="24"/>
        </w:rPr>
        <w:t>elados y algunos “noveleros”</w:t>
      </w:r>
      <w:r>
        <w:rPr>
          <w:rFonts w:ascii="Times New Roman" w:hAnsi="Times New Roman" w:cs="Times New Roman"/>
          <w:sz w:val="24"/>
          <w:szCs w:val="24"/>
        </w:rPr>
        <w:t xml:space="preserve">); lo hago con la intención de ampliar el nivel de información de los lectores, y permitirles contrastar mis comentarios y propuestas con el juicio de los “grandes bonetes” del pensamiento económico, las “vacas sagradas” de las universidades </w:t>
      </w:r>
      <w:r w:rsidR="00E32F2A">
        <w:rPr>
          <w:rFonts w:ascii="Times New Roman" w:hAnsi="Times New Roman" w:cs="Times New Roman"/>
          <w:sz w:val="24"/>
          <w:szCs w:val="24"/>
        </w:rPr>
        <w:t>más prestigiosas, o los profetas</w:t>
      </w:r>
      <w:r>
        <w:rPr>
          <w:rFonts w:ascii="Times New Roman" w:hAnsi="Times New Roman" w:cs="Times New Roman"/>
          <w:sz w:val="24"/>
          <w:szCs w:val="24"/>
        </w:rPr>
        <w:t xml:space="preserve"> de los dogmas, mantras y paradigmas de moda.</w:t>
      </w:r>
    </w:p>
    <w:p w:rsidR="00AF2644" w:rsidRDefault="00AF2644" w:rsidP="00AF2644">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caso, no he encontrado muchos autores que discutan sobre la dec</w:t>
      </w:r>
      <w:r w:rsidR="00E32F2A">
        <w:rPr>
          <w:rFonts w:ascii="Times New Roman" w:hAnsi="Times New Roman" w:cs="Times New Roman"/>
          <w:sz w:val="24"/>
          <w:szCs w:val="24"/>
        </w:rPr>
        <w:t>linación de las clases sociales en los países avanzados. Aunque</w:t>
      </w:r>
      <w:r w:rsidR="00CC2AA0">
        <w:rPr>
          <w:rFonts w:ascii="Times New Roman" w:hAnsi="Times New Roman" w:cs="Times New Roman"/>
          <w:sz w:val="24"/>
          <w:szCs w:val="24"/>
        </w:rPr>
        <w:t xml:space="preserve"> hay varios</w:t>
      </w:r>
      <w:r>
        <w:rPr>
          <w:rFonts w:ascii="Times New Roman" w:hAnsi="Times New Roman" w:cs="Times New Roman"/>
          <w:sz w:val="24"/>
          <w:szCs w:val="24"/>
        </w:rPr>
        <w:t xml:space="preserve"> que </w:t>
      </w:r>
      <w:r w:rsidR="00E32F2A">
        <w:rPr>
          <w:rFonts w:ascii="Times New Roman" w:hAnsi="Times New Roman" w:cs="Times New Roman"/>
          <w:sz w:val="24"/>
          <w:szCs w:val="24"/>
        </w:rPr>
        <w:t>han tratado asuntos referidos a la</w:t>
      </w:r>
      <w:r>
        <w:rPr>
          <w:rFonts w:ascii="Times New Roman" w:hAnsi="Times New Roman" w:cs="Times New Roman"/>
          <w:sz w:val="24"/>
          <w:szCs w:val="24"/>
        </w:rPr>
        <w:t xml:space="preserve"> dis</w:t>
      </w:r>
      <w:r w:rsidR="00E32F2A">
        <w:rPr>
          <w:rFonts w:ascii="Times New Roman" w:hAnsi="Times New Roman" w:cs="Times New Roman"/>
          <w:sz w:val="24"/>
          <w:szCs w:val="24"/>
        </w:rPr>
        <w:t xml:space="preserve">tribución (regresiva) de los ingresos, lamentablemente, </w:t>
      </w:r>
      <w:r>
        <w:rPr>
          <w:rFonts w:ascii="Times New Roman" w:hAnsi="Times New Roman" w:cs="Times New Roman"/>
          <w:sz w:val="24"/>
          <w:szCs w:val="24"/>
        </w:rPr>
        <w:t>no puedo aport</w:t>
      </w:r>
      <w:r w:rsidR="00CC2AA0">
        <w:rPr>
          <w:rFonts w:ascii="Times New Roman" w:hAnsi="Times New Roman" w:cs="Times New Roman"/>
          <w:sz w:val="24"/>
          <w:szCs w:val="24"/>
        </w:rPr>
        <w:t>arles artículos que cuantifiquen</w:t>
      </w:r>
      <w:r w:rsidR="00E32F2A">
        <w:rPr>
          <w:rFonts w:ascii="Times New Roman" w:hAnsi="Times New Roman" w:cs="Times New Roman"/>
          <w:sz w:val="24"/>
          <w:szCs w:val="24"/>
        </w:rPr>
        <w:t xml:space="preserve"> el proceso de “laminación” de la clase media en Estados Unidos o Europa. </w:t>
      </w:r>
      <w:r>
        <w:rPr>
          <w:rFonts w:ascii="Times New Roman" w:hAnsi="Times New Roman" w:cs="Times New Roman"/>
          <w:sz w:val="24"/>
          <w:szCs w:val="24"/>
        </w:rPr>
        <w:t xml:space="preserve">No obstante ello, les agrego algunos párrafos de publicaciones recientes, firmadas por autores de reconocido prestigio, como “coda” de este Paper, para que ustedes puedan “dar o quitar razón” a lo suscripto, por este humilde “reportero económico”, a lo largo del texto. </w:t>
      </w:r>
    </w:p>
    <w:p w:rsidR="00B41E3D" w:rsidRPr="00B41E3D" w:rsidRDefault="00B41E3D" w:rsidP="00B41E3D">
      <w:pPr>
        <w:spacing w:after="0" w:line="240" w:lineRule="auto"/>
        <w:jc w:val="both"/>
        <w:textAlignment w:val="baseline"/>
        <w:rPr>
          <w:rFonts w:ascii="Times New Roman" w:eastAsia="Times New Roman" w:hAnsi="Times New Roman" w:cs="Times New Roman"/>
          <w:i/>
          <w:sz w:val="24"/>
          <w:szCs w:val="24"/>
        </w:rPr>
      </w:pPr>
      <w:r w:rsidRPr="00B41E3D">
        <w:rPr>
          <w:rFonts w:ascii="Times New Roman" w:eastAsia="Times New Roman" w:hAnsi="Times New Roman" w:cs="Times New Roman"/>
          <w:i/>
          <w:sz w:val="24"/>
          <w:szCs w:val="24"/>
        </w:rPr>
        <w:t>(…) “Cuánto cambió en tres décadas. Allá por 1989, el colapso del bloque soviético parecía augurar el triunfo de los principios y valores de la democracia liberal. La creación ese mismo año de la World Wide Web prometía una nueva era de florecimiento para la humanidad y de cooperación internacional. Todavía en los primeros años de este siglo se repetían consignas osadas como que “la distancia ha muerto” y “la Tierra es plana”.</w:t>
      </w:r>
    </w:p>
    <w:p w:rsidR="00B41E3D" w:rsidRPr="00B41E3D" w:rsidRDefault="00B41E3D" w:rsidP="00B41E3D">
      <w:pPr>
        <w:spacing w:after="0" w:line="240" w:lineRule="auto"/>
        <w:jc w:val="both"/>
        <w:textAlignment w:val="baseline"/>
        <w:rPr>
          <w:rFonts w:ascii="Times New Roman" w:eastAsia="Times New Roman" w:hAnsi="Times New Roman" w:cs="Times New Roman"/>
          <w:i/>
          <w:sz w:val="24"/>
          <w:szCs w:val="24"/>
        </w:rPr>
      </w:pPr>
    </w:p>
    <w:p w:rsidR="00B41E3D" w:rsidRPr="00B41E3D" w:rsidRDefault="00B41E3D" w:rsidP="00B41E3D">
      <w:pPr>
        <w:spacing w:after="0" w:line="240" w:lineRule="auto"/>
        <w:jc w:val="both"/>
        <w:textAlignment w:val="baseline"/>
        <w:rPr>
          <w:rFonts w:ascii="Times New Roman" w:eastAsia="Times New Roman" w:hAnsi="Times New Roman" w:cs="Times New Roman"/>
          <w:i/>
          <w:sz w:val="24"/>
          <w:szCs w:val="24"/>
        </w:rPr>
      </w:pPr>
      <w:r w:rsidRPr="00B41E3D">
        <w:rPr>
          <w:rFonts w:ascii="Times New Roman" w:eastAsia="Times New Roman" w:hAnsi="Times New Roman" w:cs="Times New Roman"/>
          <w:i/>
          <w:sz w:val="24"/>
          <w:szCs w:val="24"/>
        </w:rPr>
        <w:t>Pero en vez de aplanar la Tierra, la globalización la ha vuelto más montañosa y despareja. Hoy más que nunca, el código postal determina las perspectivas, la expectativa de vida y el destino de las personas. En vez de reemplazar los ideales nacionales con valores compartidos, la globalización llevó a una competencia feroz, a la decadencia de los estados de bienestar y a la corrosión de las instituciones internacionales. Y aunque técnicamente hay más democracias hoy que en 1989, muchas se están volviendo más iliberales.</w:t>
      </w:r>
    </w:p>
    <w:p w:rsidR="00B41E3D" w:rsidRPr="00B41E3D" w:rsidRDefault="00B41E3D" w:rsidP="00B41E3D">
      <w:pPr>
        <w:spacing w:after="0" w:line="240" w:lineRule="auto"/>
        <w:jc w:val="both"/>
        <w:textAlignment w:val="baseline"/>
        <w:rPr>
          <w:rFonts w:ascii="Times New Roman" w:eastAsia="Times New Roman" w:hAnsi="Times New Roman" w:cs="Times New Roman"/>
          <w:i/>
          <w:sz w:val="24"/>
          <w:szCs w:val="24"/>
        </w:rPr>
      </w:pPr>
    </w:p>
    <w:p w:rsidR="00B41E3D" w:rsidRPr="00B41E3D" w:rsidRDefault="00B41E3D" w:rsidP="00B41E3D">
      <w:pPr>
        <w:spacing w:after="0" w:line="240" w:lineRule="auto"/>
        <w:jc w:val="both"/>
        <w:textAlignment w:val="baseline"/>
        <w:rPr>
          <w:rFonts w:ascii="Times New Roman" w:eastAsia="Times New Roman" w:hAnsi="Times New Roman" w:cs="Times New Roman"/>
          <w:i/>
          <w:sz w:val="24"/>
          <w:szCs w:val="24"/>
        </w:rPr>
      </w:pPr>
      <w:r w:rsidRPr="00B41E3D">
        <w:rPr>
          <w:rFonts w:ascii="Times New Roman" w:eastAsia="Times New Roman" w:hAnsi="Times New Roman" w:cs="Times New Roman"/>
          <w:i/>
          <w:sz w:val="24"/>
          <w:szCs w:val="24"/>
        </w:rPr>
        <w:t>No extraña que el apoyo público a la globalización haya menguado. Y en esto no ayudaron los ataques del 11 de septiembre de 2001 y los 5,6 billones de dólares gastados en la “guerra al terrorismo”. Tampoco lo hizo la crisis financiera de 2008, que expuso la incapacidad de expertos e instituciones para manejar la interdependencia y el cambio tecnológico. Una creciente divisoria entre las élites y todos aquellos que han sido “olvidados” envenena la política hace una generación…</w:t>
      </w:r>
    </w:p>
    <w:p w:rsidR="00B41E3D" w:rsidRPr="00B41E3D" w:rsidRDefault="00B41E3D" w:rsidP="00B41E3D">
      <w:pPr>
        <w:spacing w:after="0" w:line="240" w:lineRule="auto"/>
        <w:jc w:val="both"/>
        <w:textAlignment w:val="baseline"/>
        <w:rPr>
          <w:rFonts w:ascii="Times New Roman" w:eastAsia="Times New Roman" w:hAnsi="Times New Roman" w:cs="Times New Roman"/>
          <w:i/>
          <w:sz w:val="24"/>
          <w:szCs w:val="24"/>
        </w:rPr>
      </w:pPr>
    </w:p>
    <w:p w:rsidR="00B41E3D" w:rsidRPr="00B41E3D" w:rsidRDefault="00B41E3D" w:rsidP="00B41E3D">
      <w:pPr>
        <w:spacing w:after="0" w:line="240" w:lineRule="auto"/>
        <w:jc w:val="both"/>
        <w:textAlignment w:val="baseline"/>
        <w:rPr>
          <w:rFonts w:ascii="Times New Roman" w:eastAsia="Times New Roman" w:hAnsi="Times New Roman" w:cs="Times New Roman"/>
          <w:i/>
          <w:sz w:val="24"/>
          <w:szCs w:val="24"/>
        </w:rPr>
      </w:pPr>
      <w:r w:rsidRPr="00B41E3D">
        <w:rPr>
          <w:rFonts w:ascii="Times New Roman" w:eastAsia="Times New Roman" w:hAnsi="Times New Roman" w:cs="Times New Roman"/>
          <w:i/>
          <w:sz w:val="24"/>
          <w:szCs w:val="24"/>
        </w:rPr>
        <w:t>¿Podrán la dirigencia política y la ciudadanía reunir la voluntad para encarar las amenazas compartidas, o vamos camino de una mayor fragmentación? Mucho dependerá de las medidas que se tomen en 2019. Hoy más que nunca, debemos hacer frente a los motores del cambio, cada vez más rápidos e interdependientes…</w:t>
      </w:r>
    </w:p>
    <w:p w:rsidR="00B41E3D" w:rsidRPr="00B41E3D" w:rsidRDefault="00B41E3D" w:rsidP="00B41E3D">
      <w:pPr>
        <w:spacing w:after="0" w:line="240" w:lineRule="auto"/>
        <w:jc w:val="both"/>
        <w:textAlignment w:val="baseline"/>
        <w:rPr>
          <w:rFonts w:ascii="Times New Roman" w:eastAsia="Times New Roman" w:hAnsi="Times New Roman" w:cs="Times New Roman"/>
          <w:i/>
          <w:sz w:val="24"/>
          <w:szCs w:val="24"/>
        </w:rPr>
      </w:pPr>
    </w:p>
    <w:p w:rsidR="00B41E3D" w:rsidRPr="00B41E3D" w:rsidRDefault="00B41E3D" w:rsidP="00B41E3D">
      <w:pPr>
        <w:spacing w:after="0" w:line="240" w:lineRule="auto"/>
        <w:jc w:val="both"/>
        <w:textAlignment w:val="baseline"/>
        <w:rPr>
          <w:rFonts w:ascii="Times New Roman" w:eastAsia="Times New Roman" w:hAnsi="Times New Roman" w:cs="Times New Roman"/>
          <w:sz w:val="24"/>
          <w:szCs w:val="24"/>
          <w:lang w:val="en-US"/>
        </w:rPr>
      </w:pPr>
      <w:r w:rsidRPr="00B41E3D">
        <w:rPr>
          <w:rFonts w:ascii="Times New Roman" w:eastAsia="Times New Roman" w:hAnsi="Times New Roman" w:cs="Times New Roman"/>
          <w:i/>
          <w:sz w:val="24"/>
          <w:szCs w:val="24"/>
        </w:rPr>
        <w:t>Nunca hubo tanto en juego como en 2019. Cuando la política está supeditada al extremismo, a los algoritmos, a las noticias falsas y a la manipulación extranjera, la democracia misma está en peligro. Sin un involucramiento más activo de las autoridades y dirigencias políticas, no puede haber esperanzas para el futuro. El ritmo cada vez más veloz de los cambios, sumado a la creciente interdependencia internacional, no facilita la búsqueda de soluciones compartidas, sino que la dificulta”…</w:t>
      </w:r>
      <w:r>
        <w:rPr>
          <w:rFonts w:ascii="Times New Roman" w:eastAsia="Times New Roman" w:hAnsi="Times New Roman" w:cs="Times New Roman"/>
          <w:sz w:val="24"/>
          <w:szCs w:val="24"/>
        </w:rPr>
        <w:t xml:space="preserve"> </w:t>
      </w:r>
      <w:r w:rsidRPr="00B41E3D">
        <w:rPr>
          <w:rFonts w:ascii="Times New Roman" w:eastAsia="Times New Roman" w:hAnsi="Times New Roman" w:cs="Times New Roman"/>
          <w:sz w:val="24"/>
          <w:szCs w:val="24"/>
          <w:lang w:val="en-US"/>
        </w:rPr>
        <w:t xml:space="preserve">(Project Syndicate- </w:t>
      </w:r>
      <w:r w:rsidRPr="00B41E3D">
        <w:rPr>
          <w:rFonts w:ascii="Times New Roman" w:eastAsia="Times New Roman" w:hAnsi="Times New Roman" w:cs="Times New Roman"/>
          <w:b/>
          <w:sz w:val="24"/>
          <w:szCs w:val="24"/>
          <w:lang w:val="en-US"/>
        </w:rPr>
        <w:t>4/1/19</w:t>
      </w:r>
      <w:r w:rsidRPr="00B41E3D">
        <w:rPr>
          <w:rFonts w:ascii="Times New Roman" w:eastAsia="Times New Roman" w:hAnsi="Times New Roman" w:cs="Times New Roman"/>
          <w:sz w:val="24"/>
          <w:szCs w:val="24"/>
          <w:lang w:val="en-US"/>
        </w:rPr>
        <w:t>)</w:t>
      </w:r>
    </w:p>
    <w:p w:rsidR="00B41E3D" w:rsidRPr="00B41E3D" w:rsidRDefault="00B41E3D" w:rsidP="00B41E3D">
      <w:pPr>
        <w:spacing w:after="0" w:line="240" w:lineRule="auto"/>
        <w:jc w:val="both"/>
        <w:textAlignment w:val="baseline"/>
        <w:rPr>
          <w:rFonts w:ascii="Times New Roman" w:eastAsia="Times New Roman" w:hAnsi="Times New Roman" w:cs="Times New Roman"/>
          <w:i/>
          <w:sz w:val="24"/>
          <w:szCs w:val="24"/>
          <w:lang w:val="en-US"/>
        </w:rPr>
      </w:pPr>
    </w:p>
    <w:p w:rsidR="00B41E3D" w:rsidRPr="00B4468E" w:rsidRDefault="00B41E3D" w:rsidP="00CC2AA0">
      <w:pPr>
        <w:spacing w:after="0" w:line="240" w:lineRule="auto"/>
        <w:jc w:val="both"/>
        <w:textAlignment w:val="baseline"/>
        <w:rPr>
          <w:rFonts w:ascii="Times New Roman" w:eastAsia="Times New Roman" w:hAnsi="Times New Roman" w:cs="Times New Roman"/>
          <w:sz w:val="20"/>
          <w:szCs w:val="20"/>
          <w:lang w:val="en-US"/>
        </w:rPr>
      </w:pPr>
      <w:r w:rsidRPr="00B4468E">
        <w:rPr>
          <w:rFonts w:ascii="Times New Roman" w:eastAsia="Times New Roman" w:hAnsi="Times New Roman" w:cs="Times New Roman"/>
          <w:color w:val="000000"/>
          <w:sz w:val="20"/>
          <w:szCs w:val="20"/>
          <w:lang w:val="en-US"/>
        </w:rPr>
        <w:t>(</w:t>
      </w:r>
      <w:r w:rsidRPr="00B4468E">
        <w:rPr>
          <w:rFonts w:ascii="Times New Roman" w:eastAsia="Times New Roman" w:hAnsi="Times New Roman" w:cs="Times New Roman"/>
          <w:b/>
          <w:color w:val="000000"/>
          <w:sz w:val="20"/>
          <w:szCs w:val="20"/>
          <w:lang w:val="en-US"/>
        </w:rPr>
        <w:t>Ian Goldin</w:t>
      </w:r>
      <w:r w:rsidRPr="00B4468E">
        <w:rPr>
          <w:rFonts w:ascii="Times New Roman" w:eastAsia="Times New Roman" w:hAnsi="Times New Roman" w:cs="Times New Roman"/>
          <w:color w:val="000000"/>
          <w:sz w:val="20"/>
          <w:szCs w:val="20"/>
          <w:lang w:val="en-US"/>
        </w:rPr>
        <w:t xml:space="preserve">, Professor of Globalization and Development and Director of the Oxford Martin Programme on Technological and Economic Change at the University of Oxford, is an author of The Pursuit of Development: Economic Growth, Social Change, and Ideas; Exceptional People: How Migration Shaped Our World and Will Define Our Future, Age of Discovery: Navigating the Risks and Rewards of Our New Renaissance, The </w:t>
      </w:r>
      <w:r w:rsidRPr="00B4468E">
        <w:rPr>
          <w:rFonts w:ascii="Times New Roman" w:eastAsia="Times New Roman" w:hAnsi="Times New Roman" w:cs="Times New Roman"/>
          <w:color w:val="000000"/>
          <w:sz w:val="20"/>
          <w:szCs w:val="20"/>
          <w:lang w:val="en-US"/>
        </w:rPr>
        <w:lastRenderedPageBreak/>
        <w:t xml:space="preserve">Butterfly Defect: How Globalization Creates Systemic Risks, and What to Do About It,  Migration and the Economy: Economic Realities, Social Impacts and Political Choices, and Development: A Very Short </w:t>
      </w:r>
      <w:r w:rsidR="00CC2AA0" w:rsidRPr="00B4468E">
        <w:rPr>
          <w:rFonts w:ascii="Times New Roman" w:eastAsia="Times New Roman" w:hAnsi="Times New Roman" w:cs="Times New Roman"/>
          <w:color w:val="000000"/>
          <w:sz w:val="20"/>
          <w:szCs w:val="20"/>
          <w:lang w:val="en-US"/>
        </w:rPr>
        <w:t xml:space="preserve">Introduction. He is </w:t>
      </w:r>
      <w:r w:rsidRPr="00B4468E">
        <w:rPr>
          <w:rFonts w:ascii="Times New Roman" w:eastAsia="Times New Roman" w:hAnsi="Times New Roman" w:cs="Times New Roman"/>
          <w:color w:val="000000"/>
          <w:sz w:val="20"/>
          <w:szCs w:val="20"/>
          <w:lang w:val="en-US"/>
        </w:rPr>
        <w:t>the author and presenter of the BBC series After the Crash</w:t>
      </w:r>
      <w:r w:rsidR="00CC2AA0" w:rsidRPr="00B4468E">
        <w:rPr>
          <w:rFonts w:ascii="Times New Roman" w:eastAsia="Times New Roman" w:hAnsi="Times New Roman" w:cs="Times New Roman"/>
          <w:color w:val="000000"/>
          <w:sz w:val="20"/>
          <w:szCs w:val="20"/>
          <w:lang w:val="en-US"/>
        </w:rPr>
        <w:t>…</w:t>
      </w:r>
      <w:r w:rsidRPr="00B4468E">
        <w:rPr>
          <w:rFonts w:ascii="Times New Roman" w:eastAsia="Times New Roman" w:hAnsi="Times New Roman" w:cs="Times New Roman"/>
          <w:color w:val="000000"/>
          <w:sz w:val="20"/>
          <w:szCs w:val="20"/>
          <w:lang w:val="en-US"/>
        </w:rPr>
        <w:t xml:space="preserve">) </w:t>
      </w:r>
    </w:p>
    <w:p w:rsidR="00CC2AA0" w:rsidRPr="00B4468E" w:rsidRDefault="00CC2AA0" w:rsidP="00CC2AA0">
      <w:pPr>
        <w:spacing w:after="0" w:line="240" w:lineRule="auto"/>
        <w:jc w:val="both"/>
        <w:textAlignment w:val="baseline"/>
        <w:rPr>
          <w:rFonts w:ascii="Times New Roman" w:eastAsia="Times New Roman" w:hAnsi="Times New Roman" w:cs="Times New Roman"/>
          <w:sz w:val="20"/>
          <w:szCs w:val="20"/>
          <w:lang w:val="en-US"/>
        </w:rPr>
      </w:pP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“Después de la Segunda Guerra Mundial, la comunidad internacional aunó esfuerzos para construir un futuro compartido. Hoy en día, debe hacer esto de nuevo. Debido a la lenta y desigual recuperación durante la década tras la crisis financiera mundial, una parte sustancial de la sociedad se ha visto atrapada por la insatisfacción y la amargura; y, no sólo con respecto a la política y los políticos, sino también con relación a la globalización y todo el sistema económico que esta sustenta. En una época de inseguridad y frustración generalizadas, el populismo, se ha tornado como una opción cada vez más atractiva, como una alternativa al status quo…</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Al fin y al cabo, este momento de crisis ha planteado preguntas importantes sobre nuestra arquitectura de gobernanza global. Teniendo en cuenta que cada vez más y más votantes exigen “recuperar el control” de las manos de las “fuerzas globales”, el desafío que se enfrenta es la restauración de la soberanía en un mundo que necesita de la cooperación entre partes. En lugar de cerrar las economías a través del proteccionismo y la política nacionalista, debemos forjar un nuevo pacto social entre los ciudadanos y sus líderes, para que todos se sientan lo suficientemente seguros dentro de su propio país como para permanecer abiertos al mundo en general. Si esto falla, la continua desintegración de nuestro tejido social podría, en última instancia, provocar el colapso de la democracia.</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Además, los desafíos asociados con la Cuarta Revolución Industrial (4IR) coinciden con el rápido surgimiento de restricciones ecológicas, el advenimiento de un orden internacional cada vez más multipolar y una creciente desigualdad. Estos sucesos integrados están marcando el comienzo de una nueva era de globalización. Si esta nueva era va a mejorar la condición humana dependerá de si la gobernanza corporativa, local, nacional e internacional se puede adaptar a estos sucesos, a tiempo.</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De manera paralela, un nuevo marco para la cooperación público-privada global ha ido tomando forma. La cooperación público-privada consiste en aprovechar el sector privado y los mercados abiertos para impulsar el crecimiento económico para el bien público, teniendo siempre en cuenta la sostenibilidad ambiental y la inclusión social. Sin embargo, para determinar lo que comprende el bien público, primero debemos identificar las causas de la desigualdad.</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Por ejemplo, si bien los mercados abiertos y la mayor competencia ciertamente producen ganadores y perdedores en el ámbito internacional, también pueden tener un efecto aún más pronunciado sobre la desigualdad a nivel nacional. Es más, la creciente brecha entre quienes forman parte del precariado y los privilegiados se está reforzando con los modelos de negocios de la Cuarta Revolución Industrial (4IR), que a menudo hacen que las ganancias sean para quienes son dueños del capital o de la propiedad intelectual.</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 xml:space="preserve">Cerrar esa brecha requiere que reconozcamos que estamos viviendo en un nuevo tipo de economía impulsada por la innovación, y que se necesitan nuevas normas, estándares, políticas y convenios globales para salvaguardar la confianza del público. La nueva economía ya ha perturbado y recombinado innumerables industrias, y ha desplazado a millones de trabajadores. Esta nueva economía desmaterializa la producción a medida de que aumenta la intensidad del conocimiento en la creación de valor. A su vez, también aumenta la competencia dentro de los mercados nacionales de productos, capitales y trabajo, así como entre los países que adoptan diferentes estrategias de comercio e </w:t>
      </w:r>
      <w:r w:rsidRPr="00494E7F">
        <w:rPr>
          <w:rFonts w:ascii="Times New Roman" w:eastAsia="Times New Roman" w:hAnsi="Times New Roman" w:cs="Times New Roman"/>
          <w:bCs/>
          <w:i/>
          <w:sz w:val="24"/>
          <w:szCs w:val="24"/>
        </w:rPr>
        <w:lastRenderedPageBreak/>
        <w:t>inversión. Y, aviva la desconfianza, en especial con relación a las empresas de tecnología y la forma como estas administran nuestros datos…</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La globalización apenas ha comenzado; pero, ya estamos muy poco preparados para ella. Aferrarse a una mentalidad obsoleta y llevar a cabo pequeños ajustes a nuestros procesos e instituciones existentes, no será para nada suficiente. En cambio, debemos rediseñar estos procesos e instituciones desde cero, con el propósito de poder aprovechar las nuevas oportunidades que nos esperan, mientras paralelamente evitamos el tipo de perturbaciones que presenciamos hoy.</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A medida que desarrollamos un nuevo abordaje para dirigirnos hacia la nueva economía, debemos recordar que no estamos jugando un juego de suma cero. Este no es un tema de dicotomías: libre comercio o proteccionismo, tecnología o empleos, inmigración o protección de los ciudadanos, crecimiento o igualdad. Todas esas dicotomías son falsas, y las podemos evitar desarrollando políticas que favorezcan la palabra “y”, haciendo que prevalezca sobre la “o”, permitiendo que se pueda ir tras la consecución de la totalidad de los mencionados intereses, de manera paralela.</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Sin duda, los pesimistas argumentarán que las condiciones políticas se interponen en el camino de un diálogo global productivo sobre la Globalización 4.0 y la nueva economía. Pero, los realistas utilizarán el momento actual para explorar las brechas en el sistema actual e identificar los requisitos para un futuro abordaje. Y, los optimistas se aferrarán a la esperanza de que las partes interesadas con visión de futuro crearan una comunidad de intereses compartidos y, en última instancia, un propósito compartido.</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Los cambios que están en curso hoy en día no son cambios aislados que afectan a un país, una industria o un problema en particular. Son cambios universales; y, por lo tanto, requieren de una respuesta global. La no adopción de un nuevo abordaje cooperativo sería una tragedia para la humanidad. Con el propósito de elaborar un plan para una arquitectura de gobernanza global compartida, tenemos que evitar quedarnos atascados en el momento actual de gestión de crisis.</w:t>
      </w:r>
    </w:p>
    <w:p w:rsidR="00AF2644" w:rsidRPr="006C65B2" w:rsidRDefault="00AF2644" w:rsidP="00AF2644">
      <w:pPr>
        <w:spacing w:after="180" w:line="240" w:lineRule="auto"/>
        <w:jc w:val="both"/>
        <w:rPr>
          <w:rFonts w:ascii="Times New Roman" w:eastAsia="Times New Roman" w:hAnsi="Times New Roman" w:cs="Times New Roman"/>
          <w:bCs/>
          <w:i/>
          <w:sz w:val="24"/>
          <w:szCs w:val="24"/>
          <w:lang w:val="en-US"/>
        </w:rPr>
      </w:pPr>
      <w:r w:rsidRPr="00494E7F">
        <w:rPr>
          <w:rFonts w:ascii="Times New Roman" w:eastAsia="Times New Roman" w:hAnsi="Times New Roman" w:cs="Times New Roman"/>
          <w:bCs/>
          <w:i/>
          <w:sz w:val="24"/>
          <w:szCs w:val="24"/>
        </w:rPr>
        <w:t>Específicamente, esta tarea requerirá dos cosas de la comunidad internacional: un compromiso más amplio y una mayor imaginación. El compromiso de todas las partes interesadas en un diálogo sostenido será crucial, al igual que la imaginación para pensar de manera sistémica, y más allá de las propias consideraciones institucional</w:t>
      </w:r>
      <w:r w:rsidR="00CC2AA0">
        <w:rPr>
          <w:rFonts w:ascii="Times New Roman" w:eastAsia="Times New Roman" w:hAnsi="Times New Roman" w:cs="Times New Roman"/>
          <w:bCs/>
          <w:i/>
          <w:sz w:val="24"/>
          <w:szCs w:val="24"/>
        </w:rPr>
        <w:t xml:space="preserve">es y nacionales cortoplacistas… </w:t>
      </w:r>
      <w:r w:rsidRPr="00494E7F">
        <w:rPr>
          <w:rFonts w:ascii="Times New Roman" w:eastAsia="Times New Roman" w:hAnsi="Times New Roman" w:cs="Times New Roman"/>
          <w:bCs/>
          <w:i/>
          <w:sz w:val="24"/>
          <w:szCs w:val="24"/>
        </w:rPr>
        <w:t xml:space="preserve">Estos serán los dos principios organizativos de la próxima Reunión Anual del Foro Económico Mundial en Davos-Klosters, que se reunirá para considerar el tema “Globalización 4.0: Configuración de una arquitectura global en la era de la Cuarta Revolución Industrial”. Estemos listos o no, un </w:t>
      </w:r>
      <w:r>
        <w:rPr>
          <w:rFonts w:ascii="Times New Roman" w:eastAsia="Times New Roman" w:hAnsi="Times New Roman" w:cs="Times New Roman"/>
          <w:bCs/>
          <w:i/>
          <w:sz w:val="24"/>
          <w:szCs w:val="24"/>
        </w:rPr>
        <w:t xml:space="preserve">nuevo mundo se nos viene encima”. </w:t>
      </w:r>
      <w:r w:rsidRPr="00AF2644">
        <w:rPr>
          <w:rFonts w:ascii="Times New Roman" w:eastAsia="Times New Roman" w:hAnsi="Times New Roman" w:cs="Times New Roman"/>
          <w:bCs/>
          <w:sz w:val="24"/>
          <w:szCs w:val="24"/>
          <w:lang w:val="en-US"/>
        </w:rPr>
        <w:t xml:space="preserve">(Project Syndicate - </w:t>
      </w:r>
      <w:r w:rsidRPr="00AF2644">
        <w:rPr>
          <w:rFonts w:ascii="Times New Roman" w:eastAsia="Times New Roman" w:hAnsi="Times New Roman" w:cs="Times New Roman"/>
          <w:b/>
          <w:bCs/>
          <w:sz w:val="24"/>
          <w:szCs w:val="24"/>
          <w:lang w:val="en-US"/>
        </w:rPr>
        <w:t>5/1/19</w:t>
      </w:r>
      <w:r w:rsidRPr="00AF2644">
        <w:rPr>
          <w:rFonts w:ascii="Times New Roman" w:eastAsia="Times New Roman" w:hAnsi="Times New Roman" w:cs="Times New Roman"/>
          <w:bCs/>
          <w:sz w:val="24"/>
          <w:szCs w:val="24"/>
          <w:lang w:val="en-US"/>
        </w:rPr>
        <w:t>)</w:t>
      </w:r>
    </w:p>
    <w:p w:rsidR="00AF2644" w:rsidRPr="00B4468E" w:rsidRDefault="00AF2644" w:rsidP="00AF2644">
      <w:pPr>
        <w:spacing w:after="180" w:line="240" w:lineRule="auto"/>
        <w:jc w:val="both"/>
        <w:rPr>
          <w:rFonts w:ascii="Times New Roman" w:eastAsia="Times New Roman" w:hAnsi="Times New Roman" w:cs="Times New Roman"/>
          <w:bCs/>
          <w:sz w:val="20"/>
          <w:szCs w:val="20"/>
          <w:lang w:val="en-US"/>
        </w:rPr>
      </w:pPr>
      <w:r w:rsidRPr="00B4468E">
        <w:rPr>
          <w:rFonts w:ascii="Times New Roman" w:eastAsia="Times New Roman" w:hAnsi="Times New Roman" w:cs="Times New Roman"/>
          <w:bCs/>
          <w:sz w:val="20"/>
          <w:szCs w:val="20"/>
          <w:lang w:val="en-US"/>
        </w:rPr>
        <w:t>(</w:t>
      </w:r>
      <w:r w:rsidRPr="00B4468E">
        <w:rPr>
          <w:rFonts w:ascii="Times New Roman" w:eastAsia="Times New Roman" w:hAnsi="Times New Roman" w:cs="Times New Roman"/>
          <w:b/>
          <w:bCs/>
          <w:sz w:val="20"/>
          <w:szCs w:val="20"/>
          <w:lang w:val="en-US"/>
        </w:rPr>
        <w:t>Klaus Schwab</w:t>
      </w:r>
      <w:r w:rsidRPr="00B4468E">
        <w:rPr>
          <w:rFonts w:ascii="Times New Roman" w:eastAsia="Times New Roman" w:hAnsi="Times New Roman" w:cs="Times New Roman"/>
          <w:bCs/>
          <w:sz w:val="20"/>
          <w:szCs w:val="20"/>
          <w:lang w:val="en-US"/>
        </w:rPr>
        <w:t xml:space="preserve"> is Founder and Executive Chairman of the World Economic Forum)</w:t>
      </w:r>
    </w:p>
    <w:p w:rsidR="00B4468E"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“Hay buenos motivos para el descontento de hoy: cuatro décadas de promesas de los líderes políticos tanto de centro izquierda como de centro derecha, que abrazaron la fe neoliberal de que la globalización, la financiarización, la desregulación, la privatización y una serie de reformas relacionadas traerían aparejada una prosperidad sin precedentes, han caído en saco roto. Mientras que a una pequeña elite parece haberle ido muy bien, grandes segmentos de la población han quedado excluidos de la clase media y se han sumergido en un nuevo mundo de vulnerabilidad e inseguridad. Hasta los líderes en países con una desigualdad baja pero creciente han sentido la ira de su pueblo…</w:t>
      </w:r>
      <w:r w:rsidR="00B4468E">
        <w:rPr>
          <w:rFonts w:ascii="Times New Roman" w:eastAsia="Times New Roman" w:hAnsi="Times New Roman" w:cs="Times New Roman"/>
          <w:bCs/>
          <w:i/>
          <w:sz w:val="24"/>
          <w:szCs w:val="24"/>
        </w:rPr>
        <w:t xml:space="preserve"> </w:t>
      </w:r>
    </w:p>
    <w:p w:rsidR="00AF2644" w:rsidRPr="006C65B2" w:rsidRDefault="00AF2644" w:rsidP="00AF2644">
      <w:pPr>
        <w:spacing w:after="180" w:line="240" w:lineRule="auto"/>
        <w:jc w:val="both"/>
        <w:rPr>
          <w:rFonts w:ascii="Times New Roman" w:eastAsia="Times New Roman" w:hAnsi="Times New Roman" w:cs="Times New Roman"/>
          <w:bCs/>
          <w:i/>
          <w:sz w:val="24"/>
          <w:szCs w:val="24"/>
          <w:lang w:val="en-US"/>
        </w:rPr>
      </w:pPr>
      <w:r w:rsidRPr="00494E7F">
        <w:rPr>
          <w:rFonts w:ascii="Times New Roman" w:eastAsia="Times New Roman" w:hAnsi="Times New Roman" w:cs="Times New Roman"/>
          <w:bCs/>
          <w:i/>
          <w:sz w:val="24"/>
          <w:szCs w:val="24"/>
        </w:rPr>
        <w:lastRenderedPageBreak/>
        <w:t>En resumen, existe una enorme desconfianza en los gobiernos y los políticos, lo que implica que pedir sacrificios hoy a cambio de la promesa de una vida mejor mañana no será aceptado. Y esto es particularmente válido para las políticas “de goteo”: recortes impositivos para los ricos que, se supone, terminarán beneficiando a todos los demás</w:t>
      </w:r>
      <w:r>
        <w:rPr>
          <w:rFonts w:ascii="Times New Roman" w:eastAsia="Times New Roman" w:hAnsi="Times New Roman" w:cs="Times New Roman"/>
          <w:bCs/>
          <w:i/>
          <w:sz w:val="24"/>
          <w:szCs w:val="24"/>
        </w:rPr>
        <w:t>”</w:t>
      </w:r>
      <w:r w:rsidRPr="00494E7F">
        <w:rPr>
          <w:rFonts w:ascii="Times New Roman" w:eastAsia="Times New Roman" w:hAnsi="Times New Roman" w:cs="Times New Roman"/>
          <w:bCs/>
          <w:i/>
          <w:sz w:val="24"/>
          <w:szCs w:val="24"/>
        </w:rPr>
        <w:t>…</w:t>
      </w:r>
      <w:r>
        <w:rPr>
          <w:rFonts w:ascii="Times New Roman" w:eastAsia="Times New Roman" w:hAnsi="Times New Roman" w:cs="Times New Roman"/>
          <w:bCs/>
          <w:i/>
          <w:sz w:val="24"/>
          <w:szCs w:val="24"/>
        </w:rPr>
        <w:t xml:space="preserve"> </w:t>
      </w:r>
      <w:r w:rsidRPr="00AF2644">
        <w:rPr>
          <w:rFonts w:ascii="Times New Roman" w:eastAsia="Times New Roman" w:hAnsi="Times New Roman" w:cs="Times New Roman"/>
          <w:bCs/>
          <w:sz w:val="24"/>
          <w:szCs w:val="24"/>
          <w:lang w:val="en-US"/>
        </w:rPr>
        <w:t xml:space="preserve">(Project Syndicate - </w:t>
      </w:r>
      <w:r w:rsidRPr="00AF2644">
        <w:rPr>
          <w:rFonts w:ascii="Times New Roman" w:eastAsia="Times New Roman" w:hAnsi="Times New Roman" w:cs="Times New Roman"/>
          <w:b/>
          <w:bCs/>
          <w:sz w:val="24"/>
          <w:szCs w:val="24"/>
          <w:lang w:val="en-US"/>
        </w:rPr>
        <w:t>7/1/19</w:t>
      </w:r>
      <w:r w:rsidRPr="00AF2644">
        <w:rPr>
          <w:rFonts w:ascii="Times New Roman" w:eastAsia="Times New Roman" w:hAnsi="Times New Roman" w:cs="Times New Roman"/>
          <w:bCs/>
          <w:sz w:val="24"/>
          <w:szCs w:val="24"/>
          <w:lang w:val="en-US"/>
        </w:rPr>
        <w:t>)</w:t>
      </w:r>
    </w:p>
    <w:p w:rsidR="00AF2644" w:rsidRPr="00B4468E" w:rsidRDefault="00AF2644" w:rsidP="00AF2644">
      <w:pPr>
        <w:spacing w:after="180" w:line="240" w:lineRule="auto"/>
        <w:jc w:val="both"/>
        <w:rPr>
          <w:rFonts w:ascii="Times New Roman" w:eastAsia="Times New Roman" w:hAnsi="Times New Roman" w:cs="Times New Roman"/>
          <w:bCs/>
          <w:sz w:val="20"/>
          <w:szCs w:val="20"/>
          <w:lang w:val="en-US"/>
        </w:rPr>
      </w:pPr>
      <w:r w:rsidRPr="00B4468E">
        <w:rPr>
          <w:rFonts w:ascii="Times New Roman" w:eastAsia="Times New Roman" w:hAnsi="Times New Roman" w:cs="Times New Roman"/>
          <w:bCs/>
          <w:sz w:val="20"/>
          <w:szCs w:val="20"/>
          <w:lang w:val="en-US"/>
        </w:rPr>
        <w:t>(</w:t>
      </w:r>
      <w:r w:rsidRPr="00B4468E">
        <w:rPr>
          <w:rFonts w:ascii="Times New Roman" w:eastAsia="Times New Roman" w:hAnsi="Times New Roman" w:cs="Times New Roman"/>
          <w:b/>
          <w:bCs/>
          <w:sz w:val="20"/>
          <w:szCs w:val="20"/>
          <w:lang w:val="en-US"/>
        </w:rPr>
        <w:t>Joseph E. Stiglitz</w:t>
      </w:r>
      <w:r w:rsidRPr="00B4468E">
        <w:rPr>
          <w:rFonts w:ascii="Times New Roman" w:eastAsia="Times New Roman" w:hAnsi="Times New Roman" w:cs="Times New Roman"/>
          <w:bCs/>
          <w:sz w:val="20"/>
          <w:szCs w:val="20"/>
          <w:lang w:val="en-US"/>
        </w:rPr>
        <w:t>, a Nobel laureate in economics, is University Professor at Columbia University and Chief Economist at the Roosevelt Institute. His most recent book is Globalization and Its Discontents Revisited: Anti-Globalization in the Era of Trump)</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 “Y estos norteamericanos tienen muchos motivos para estar furiosos. Como señal más evidente, Estados Unidos es la única sociedad desarrollada importante donde el ingreso promedio de la mitad inferior no sólo se ha estancado, sino que ha caído marcadamente, como ha documentado Danny Quah de la Universidad Nacional de Singapur. Aún más preocupante, el ingreso promedio del 1% superior de la población fue 138 veces superior al del 50% inferior en 2010, comparado con 41 veces más alto en 1980.</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No existe una explicación única sobre por qué la desigualdad en Estados Unidos se ha disparado mientras que los intereses económicos del 50% inferior de la sociedad se han ignorado. Pero podemos obtener por lo menos una respuesta parcial si analizamos los dos principios de justicia que articuló el filósofo John Rawls de Harvard en su famoso libro Teoría de la justicia. El primer principio enfatiza que cada persona debería tener “un derecho igual a la libertad más amplia”, mientras que el segundo dice que las desigualdades sociales y económicas han de ser conformadas de modo tal que sean “ventajosas para todos”.</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El hecho innegable es que los liberales occidentales han enfatizado el primer principio por sobre el segundo, tanto en la teoría como en la práctica, priorizando la libertad individual y preocupándose mucho menos por la desigualdad. Creen que mientras haya elecciones y la gente pueda votar libre y equitativamente, están dadas las condiciones para una estabilidad social. Por lo tanto, se deduce que quienes fracasan económicamente lo hacen por incompetencia personal, no por las condiciones sociales.</w:t>
      </w:r>
    </w:p>
    <w:p w:rsidR="00AF2644" w:rsidRPr="00494E7F" w:rsidRDefault="00AF2644" w:rsidP="00AF2644">
      <w:pPr>
        <w:spacing w:after="180" w:line="240" w:lineRule="auto"/>
        <w:jc w:val="both"/>
        <w:rPr>
          <w:rFonts w:ascii="Times New Roman" w:eastAsia="Times New Roman" w:hAnsi="Times New Roman" w:cs="Times New Roman"/>
          <w:bCs/>
          <w:i/>
          <w:sz w:val="24"/>
          <w:szCs w:val="24"/>
        </w:rPr>
      </w:pPr>
      <w:r w:rsidRPr="00494E7F">
        <w:rPr>
          <w:rFonts w:ascii="Times New Roman" w:eastAsia="Times New Roman" w:hAnsi="Times New Roman" w:cs="Times New Roman"/>
          <w:bCs/>
          <w:i/>
          <w:sz w:val="24"/>
          <w:szCs w:val="24"/>
        </w:rPr>
        <w:t>Sin embargo, no había ninguna duda cuando China se sumó a la Organización Mundial de Comercio en 2001 de que lo que vendría después era una “destrucción creativa” en las economías desarrolladas, con los consiguientes millones de pérdidas de empleo. Las elites de esas economías -ya sea en Estados Unidos, Francia u otra parte- tenían la responsabilidad de ayudar a quienes estaban perdiendo sus empleos. Pero esa ayuda no era inminente…</w:t>
      </w:r>
    </w:p>
    <w:p w:rsidR="00CC2AA0" w:rsidRPr="006C65B2" w:rsidRDefault="00AF2644" w:rsidP="00AF2644">
      <w:pPr>
        <w:spacing w:after="180" w:line="240" w:lineRule="auto"/>
        <w:jc w:val="both"/>
        <w:rPr>
          <w:rFonts w:ascii="Times New Roman" w:eastAsia="Times New Roman" w:hAnsi="Times New Roman" w:cs="Times New Roman"/>
          <w:bCs/>
          <w:i/>
          <w:sz w:val="24"/>
          <w:szCs w:val="24"/>
          <w:lang w:val="en-US"/>
        </w:rPr>
      </w:pPr>
      <w:r w:rsidRPr="00494E7F">
        <w:rPr>
          <w:rFonts w:ascii="Times New Roman" w:eastAsia="Times New Roman" w:hAnsi="Times New Roman" w:cs="Times New Roman"/>
          <w:bCs/>
          <w:i/>
          <w:sz w:val="24"/>
          <w:szCs w:val="24"/>
        </w:rPr>
        <w:t>Por esta razón, los liberales pueden haber cometido un error estratégico al centrar su furia en el propio Trump. Por el contrario, deberían preguntarse por qué gran parte del 50% inferior confía en él (y hasta puede reelegirlo). Y si fueran honestos, los liberales admitirían que efectivamente ellos han desilusionado a la</w:t>
      </w:r>
      <w:r w:rsidR="00CC2AA0">
        <w:rPr>
          <w:rFonts w:ascii="Times New Roman" w:eastAsia="Times New Roman" w:hAnsi="Times New Roman" w:cs="Times New Roman"/>
          <w:bCs/>
          <w:i/>
          <w:sz w:val="24"/>
          <w:szCs w:val="24"/>
        </w:rPr>
        <w:t xml:space="preserve"> mitad inferior de la sociedad. </w:t>
      </w:r>
      <w:r w:rsidRPr="00494E7F">
        <w:rPr>
          <w:rFonts w:ascii="Times New Roman" w:eastAsia="Times New Roman" w:hAnsi="Times New Roman" w:cs="Times New Roman"/>
          <w:bCs/>
          <w:i/>
          <w:sz w:val="24"/>
          <w:szCs w:val="24"/>
        </w:rPr>
        <w:t xml:space="preserve">Si los liberales quieren derrotar a Trump, existe un único camino: recuperar la confianza de los votantes que conforman gran parte de su base. Esto les exigirá reestructurar sus sociedades de manera que el crecimiento económico beneficie a la mitad inferior más que al 1% superior. En teoría, esto se puede lograr fácilmente. En la práctica, sin embargo, los grandes intereses creados invariablemente intentarán bloquear la reforma. La opción para los liberales es clara: pueden sentirse bien condenando a Trump, o pueden hacer el bien atacando los intereses de la elite que contribuyó a su elección”… </w:t>
      </w:r>
      <w:r w:rsidRPr="00F92B5C">
        <w:rPr>
          <w:rFonts w:ascii="Times New Roman" w:eastAsia="Times New Roman" w:hAnsi="Times New Roman" w:cs="Times New Roman"/>
          <w:bCs/>
          <w:sz w:val="24"/>
          <w:szCs w:val="24"/>
          <w:lang w:val="en-US"/>
        </w:rPr>
        <w:t xml:space="preserve">(Project Syndicate - </w:t>
      </w:r>
      <w:r w:rsidRPr="00F92B5C">
        <w:rPr>
          <w:rFonts w:ascii="Times New Roman" w:eastAsia="Times New Roman" w:hAnsi="Times New Roman" w:cs="Times New Roman"/>
          <w:b/>
          <w:bCs/>
          <w:sz w:val="24"/>
          <w:szCs w:val="24"/>
          <w:lang w:val="en-US"/>
        </w:rPr>
        <w:t>22/1/19</w:t>
      </w:r>
      <w:r w:rsidRPr="00F92B5C">
        <w:rPr>
          <w:rFonts w:ascii="Times New Roman" w:eastAsia="Times New Roman" w:hAnsi="Times New Roman" w:cs="Times New Roman"/>
          <w:bCs/>
          <w:sz w:val="24"/>
          <w:szCs w:val="24"/>
          <w:lang w:val="en-US"/>
        </w:rPr>
        <w:t>)</w:t>
      </w:r>
    </w:p>
    <w:p w:rsidR="00AF2644" w:rsidRPr="00B4468E" w:rsidRDefault="00AF2644" w:rsidP="00B4468E">
      <w:pPr>
        <w:spacing w:after="180" w:line="240" w:lineRule="auto"/>
        <w:jc w:val="both"/>
        <w:rPr>
          <w:rFonts w:ascii="Times New Roman" w:eastAsia="Times New Roman" w:hAnsi="Times New Roman" w:cs="Times New Roman"/>
          <w:bCs/>
          <w:sz w:val="20"/>
          <w:szCs w:val="20"/>
          <w:lang w:val="en-US"/>
        </w:rPr>
      </w:pPr>
      <w:r w:rsidRPr="00B4468E">
        <w:rPr>
          <w:rFonts w:ascii="Times New Roman" w:eastAsia="Times New Roman" w:hAnsi="Times New Roman" w:cs="Times New Roman"/>
          <w:bCs/>
          <w:sz w:val="20"/>
          <w:szCs w:val="20"/>
          <w:lang w:val="en-US"/>
        </w:rPr>
        <w:t>(</w:t>
      </w:r>
      <w:r w:rsidRPr="00B4468E">
        <w:rPr>
          <w:rFonts w:ascii="Times New Roman" w:eastAsia="Times New Roman" w:hAnsi="Times New Roman" w:cs="Times New Roman"/>
          <w:b/>
          <w:bCs/>
          <w:sz w:val="20"/>
          <w:szCs w:val="20"/>
          <w:lang w:val="en-US"/>
        </w:rPr>
        <w:t>Kishore Mahbubani</w:t>
      </w:r>
      <w:r w:rsidRPr="00B4468E">
        <w:rPr>
          <w:rFonts w:ascii="Times New Roman" w:eastAsia="Times New Roman" w:hAnsi="Times New Roman" w:cs="Times New Roman"/>
          <w:bCs/>
          <w:sz w:val="20"/>
          <w:szCs w:val="20"/>
          <w:lang w:val="en-US"/>
        </w:rPr>
        <w:t>, Professor in the Practice of Public Policy at the National University of Singapore, is the author of Has the West Lost It? and the co-author with Jeffery Sng of The ASEAN Miracle: A Catalyst for Peace. He was selected as one of Prospect magazine’s top 50 world thinkers in 2014)</w:t>
      </w:r>
      <w:r w:rsidRPr="00494E7F">
        <w:rPr>
          <w:rFonts w:ascii="Times New Roman" w:hAnsi="Times New Roman" w:cs="Times New Roman"/>
          <w:sz w:val="24"/>
          <w:szCs w:val="24"/>
          <w:lang w:val="en-US"/>
        </w:rPr>
        <w:t xml:space="preserve">   </w:t>
      </w:r>
    </w:p>
    <w:sectPr w:rsidR="00AF2644" w:rsidRPr="00B4468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rade Gothic LT Std Bold">
    <w:altName w:val="Trade Gothic LT Std Bold"/>
    <w:panose1 w:val="00000000000000000000"/>
    <w:charset w:val="00"/>
    <w:family w:val="swiss"/>
    <w:notTrueType/>
    <w:pitch w:val="default"/>
    <w:sig w:usb0="00000003" w:usb1="00000000" w:usb2="00000000" w:usb3="00000000" w:csb0="00000001" w:csb1="00000000"/>
  </w:font>
  <w:font w:name="inherit">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34FD2"/>
    <w:multiLevelType w:val="hybridMultilevel"/>
    <w:tmpl w:val="53B49CB6"/>
    <w:lvl w:ilvl="0" w:tplc="91E6B774">
      <w:start w:val="1"/>
      <w:numFmt w:val="decimal"/>
      <w:lvlText w:val="%1-"/>
      <w:lvlJc w:val="left"/>
      <w:pPr>
        <w:ind w:left="1065" w:hanging="360"/>
      </w:pPr>
      <w:rPr>
        <w:rFonts w:hint="default"/>
      </w:rPr>
    </w:lvl>
    <w:lvl w:ilvl="1" w:tplc="0C0A0019" w:tentative="1">
      <w:start w:val="1"/>
      <w:numFmt w:val="lowerLetter"/>
      <w:lvlText w:val="%2."/>
      <w:lvlJc w:val="left"/>
      <w:pPr>
        <w:ind w:left="1785" w:hanging="360"/>
      </w:pPr>
    </w:lvl>
    <w:lvl w:ilvl="2" w:tplc="0C0A001B" w:tentative="1">
      <w:start w:val="1"/>
      <w:numFmt w:val="lowerRoman"/>
      <w:lvlText w:val="%3."/>
      <w:lvlJc w:val="right"/>
      <w:pPr>
        <w:ind w:left="2505" w:hanging="180"/>
      </w:pPr>
    </w:lvl>
    <w:lvl w:ilvl="3" w:tplc="0C0A000F" w:tentative="1">
      <w:start w:val="1"/>
      <w:numFmt w:val="decimal"/>
      <w:lvlText w:val="%4."/>
      <w:lvlJc w:val="left"/>
      <w:pPr>
        <w:ind w:left="3225" w:hanging="360"/>
      </w:pPr>
    </w:lvl>
    <w:lvl w:ilvl="4" w:tplc="0C0A0019" w:tentative="1">
      <w:start w:val="1"/>
      <w:numFmt w:val="lowerLetter"/>
      <w:lvlText w:val="%5."/>
      <w:lvlJc w:val="left"/>
      <w:pPr>
        <w:ind w:left="3945" w:hanging="360"/>
      </w:pPr>
    </w:lvl>
    <w:lvl w:ilvl="5" w:tplc="0C0A001B" w:tentative="1">
      <w:start w:val="1"/>
      <w:numFmt w:val="lowerRoman"/>
      <w:lvlText w:val="%6."/>
      <w:lvlJc w:val="right"/>
      <w:pPr>
        <w:ind w:left="4665" w:hanging="180"/>
      </w:pPr>
    </w:lvl>
    <w:lvl w:ilvl="6" w:tplc="0C0A000F" w:tentative="1">
      <w:start w:val="1"/>
      <w:numFmt w:val="decimal"/>
      <w:lvlText w:val="%7."/>
      <w:lvlJc w:val="left"/>
      <w:pPr>
        <w:ind w:left="5385" w:hanging="360"/>
      </w:pPr>
    </w:lvl>
    <w:lvl w:ilvl="7" w:tplc="0C0A0019" w:tentative="1">
      <w:start w:val="1"/>
      <w:numFmt w:val="lowerLetter"/>
      <w:lvlText w:val="%8."/>
      <w:lvlJc w:val="left"/>
      <w:pPr>
        <w:ind w:left="6105" w:hanging="360"/>
      </w:pPr>
    </w:lvl>
    <w:lvl w:ilvl="8" w:tplc="0C0A001B" w:tentative="1">
      <w:start w:val="1"/>
      <w:numFmt w:val="lowerRoman"/>
      <w:lvlText w:val="%9."/>
      <w:lvlJc w:val="right"/>
      <w:pPr>
        <w:ind w:left="6825" w:hanging="180"/>
      </w:pPr>
    </w:lvl>
  </w:abstractNum>
  <w:abstractNum w:abstractNumId="1">
    <w:nsid w:val="060802BC"/>
    <w:multiLevelType w:val="hybridMultilevel"/>
    <w:tmpl w:val="B4DA873E"/>
    <w:lvl w:ilvl="0" w:tplc="C61E0FFA">
      <w:start w:val="1"/>
      <w:numFmt w:val="decimal"/>
      <w:lvlText w:val="%1-"/>
      <w:lvlJc w:val="left"/>
      <w:pPr>
        <w:ind w:left="1069" w:hanging="360"/>
      </w:pPr>
      <w:rPr>
        <w:rFonts w:hint="default"/>
        <w:b w:val="0"/>
      </w:rPr>
    </w:lvl>
    <w:lvl w:ilvl="1" w:tplc="0C0A0019" w:tentative="1">
      <w:start w:val="1"/>
      <w:numFmt w:val="lowerLetter"/>
      <w:lvlText w:val="%2."/>
      <w:lvlJc w:val="left"/>
      <w:pPr>
        <w:ind w:left="1789" w:hanging="360"/>
      </w:p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tentative="1">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
    <w:nsid w:val="0F4A4336"/>
    <w:multiLevelType w:val="hybridMultilevel"/>
    <w:tmpl w:val="F0DA95C2"/>
    <w:lvl w:ilvl="0" w:tplc="42005616">
      <w:start w:val="3"/>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13321176"/>
    <w:multiLevelType w:val="hybridMultilevel"/>
    <w:tmpl w:val="6E341926"/>
    <w:lvl w:ilvl="0" w:tplc="1E32E212">
      <w:start w:val="1"/>
      <w:numFmt w:val="decimal"/>
      <w:lvlText w:val="%1-"/>
      <w:lvlJc w:val="left"/>
      <w:pPr>
        <w:ind w:left="1065" w:hanging="360"/>
      </w:pPr>
      <w:rPr>
        <w:rFonts w:hint="default"/>
      </w:rPr>
    </w:lvl>
    <w:lvl w:ilvl="1" w:tplc="0C0A0019" w:tentative="1">
      <w:start w:val="1"/>
      <w:numFmt w:val="lowerLetter"/>
      <w:lvlText w:val="%2."/>
      <w:lvlJc w:val="left"/>
      <w:pPr>
        <w:ind w:left="1785" w:hanging="360"/>
      </w:pPr>
    </w:lvl>
    <w:lvl w:ilvl="2" w:tplc="0C0A001B" w:tentative="1">
      <w:start w:val="1"/>
      <w:numFmt w:val="lowerRoman"/>
      <w:lvlText w:val="%3."/>
      <w:lvlJc w:val="right"/>
      <w:pPr>
        <w:ind w:left="2505" w:hanging="180"/>
      </w:pPr>
    </w:lvl>
    <w:lvl w:ilvl="3" w:tplc="0C0A000F" w:tentative="1">
      <w:start w:val="1"/>
      <w:numFmt w:val="decimal"/>
      <w:lvlText w:val="%4."/>
      <w:lvlJc w:val="left"/>
      <w:pPr>
        <w:ind w:left="3225" w:hanging="360"/>
      </w:pPr>
    </w:lvl>
    <w:lvl w:ilvl="4" w:tplc="0C0A0019" w:tentative="1">
      <w:start w:val="1"/>
      <w:numFmt w:val="lowerLetter"/>
      <w:lvlText w:val="%5."/>
      <w:lvlJc w:val="left"/>
      <w:pPr>
        <w:ind w:left="3945" w:hanging="360"/>
      </w:pPr>
    </w:lvl>
    <w:lvl w:ilvl="5" w:tplc="0C0A001B" w:tentative="1">
      <w:start w:val="1"/>
      <w:numFmt w:val="lowerRoman"/>
      <w:lvlText w:val="%6."/>
      <w:lvlJc w:val="right"/>
      <w:pPr>
        <w:ind w:left="4665" w:hanging="180"/>
      </w:pPr>
    </w:lvl>
    <w:lvl w:ilvl="6" w:tplc="0C0A000F" w:tentative="1">
      <w:start w:val="1"/>
      <w:numFmt w:val="decimal"/>
      <w:lvlText w:val="%7."/>
      <w:lvlJc w:val="left"/>
      <w:pPr>
        <w:ind w:left="5385" w:hanging="360"/>
      </w:pPr>
    </w:lvl>
    <w:lvl w:ilvl="7" w:tplc="0C0A0019" w:tentative="1">
      <w:start w:val="1"/>
      <w:numFmt w:val="lowerLetter"/>
      <w:lvlText w:val="%8."/>
      <w:lvlJc w:val="left"/>
      <w:pPr>
        <w:ind w:left="6105" w:hanging="360"/>
      </w:pPr>
    </w:lvl>
    <w:lvl w:ilvl="8" w:tplc="0C0A001B" w:tentative="1">
      <w:start w:val="1"/>
      <w:numFmt w:val="lowerRoman"/>
      <w:lvlText w:val="%9."/>
      <w:lvlJc w:val="right"/>
      <w:pPr>
        <w:ind w:left="6825" w:hanging="180"/>
      </w:pPr>
    </w:lvl>
  </w:abstractNum>
  <w:abstractNum w:abstractNumId="4">
    <w:nsid w:val="294200F3"/>
    <w:multiLevelType w:val="hybridMultilevel"/>
    <w:tmpl w:val="430204AC"/>
    <w:lvl w:ilvl="0" w:tplc="4B988BB6">
      <w:start w:val="3"/>
      <w:numFmt w:val="decimal"/>
      <w:lvlText w:val="%1"/>
      <w:lvlJc w:val="left"/>
      <w:pPr>
        <w:ind w:left="1065" w:hanging="360"/>
      </w:pPr>
      <w:rPr>
        <w:rFonts w:hint="default"/>
      </w:rPr>
    </w:lvl>
    <w:lvl w:ilvl="1" w:tplc="0C0A0019">
      <w:start w:val="1"/>
      <w:numFmt w:val="lowerLetter"/>
      <w:lvlText w:val="%2."/>
      <w:lvlJc w:val="left"/>
      <w:pPr>
        <w:ind w:left="1785" w:hanging="360"/>
      </w:pPr>
    </w:lvl>
    <w:lvl w:ilvl="2" w:tplc="0C0A001B" w:tentative="1">
      <w:start w:val="1"/>
      <w:numFmt w:val="lowerRoman"/>
      <w:lvlText w:val="%3."/>
      <w:lvlJc w:val="right"/>
      <w:pPr>
        <w:ind w:left="2505" w:hanging="180"/>
      </w:pPr>
    </w:lvl>
    <w:lvl w:ilvl="3" w:tplc="0C0A000F" w:tentative="1">
      <w:start w:val="1"/>
      <w:numFmt w:val="decimal"/>
      <w:lvlText w:val="%4."/>
      <w:lvlJc w:val="left"/>
      <w:pPr>
        <w:ind w:left="3225" w:hanging="360"/>
      </w:pPr>
    </w:lvl>
    <w:lvl w:ilvl="4" w:tplc="0C0A0019" w:tentative="1">
      <w:start w:val="1"/>
      <w:numFmt w:val="lowerLetter"/>
      <w:lvlText w:val="%5."/>
      <w:lvlJc w:val="left"/>
      <w:pPr>
        <w:ind w:left="3945" w:hanging="360"/>
      </w:pPr>
    </w:lvl>
    <w:lvl w:ilvl="5" w:tplc="0C0A001B" w:tentative="1">
      <w:start w:val="1"/>
      <w:numFmt w:val="lowerRoman"/>
      <w:lvlText w:val="%6."/>
      <w:lvlJc w:val="right"/>
      <w:pPr>
        <w:ind w:left="4665" w:hanging="180"/>
      </w:pPr>
    </w:lvl>
    <w:lvl w:ilvl="6" w:tplc="0C0A000F" w:tentative="1">
      <w:start w:val="1"/>
      <w:numFmt w:val="decimal"/>
      <w:lvlText w:val="%7."/>
      <w:lvlJc w:val="left"/>
      <w:pPr>
        <w:ind w:left="5385" w:hanging="360"/>
      </w:pPr>
    </w:lvl>
    <w:lvl w:ilvl="7" w:tplc="0C0A0019" w:tentative="1">
      <w:start w:val="1"/>
      <w:numFmt w:val="lowerLetter"/>
      <w:lvlText w:val="%8."/>
      <w:lvlJc w:val="left"/>
      <w:pPr>
        <w:ind w:left="6105" w:hanging="360"/>
      </w:pPr>
    </w:lvl>
    <w:lvl w:ilvl="8" w:tplc="0C0A001B" w:tentative="1">
      <w:start w:val="1"/>
      <w:numFmt w:val="lowerRoman"/>
      <w:lvlText w:val="%9."/>
      <w:lvlJc w:val="right"/>
      <w:pPr>
        <w:ind w:left="6825" w:hanging="180"/>
      </w:pPr>
    </w:lvl>
  </w:abstractNum>
  <w:abstractNum w:abstractNumId="5">
    <w:nsid w:val="3CE304E0"/>
    <w:multiLevelType w:val="hybridMultilevel"/>
    <w:tmpl w:val="D814FDE4"/>
    <w:lvl w:ilvl="0" w:tplc="E75413CC">
      <w:start w:val="3"/>
      <w:numFmt w:val="decimal"/>
      <w:lvlText w:val="%1"/>
      <w:lvlJc w:val="left"/>
      <w:pPr>
        <w:ind w:left="1065" w:hanging="360"/>
      </w:pPr>
      <w:rPr>
        <w:rFonts w:hint="default"/>
      </w:rPr>
    </w:lvl>
    <w:lvl w:ilvl="1" w:tplc="0C0A0019" w:tentative="1">
      <w:start w:val="1"/>
      <w:numFmt w:val="lowerLetter"/>
      <w:lvlText w:val="%2."/>
      <w:lvlJc w:val="left"/>
      <w:pPr>
        <w:ind w:left="1785" w:hanging="360"/>
      </w:pPr>
    </w:lvl>
    <w:lvl w:ilvl="2" w:tplc="0C0A001B" w:tentative="1">
      <w:start w:val="1"/>
      <w:numFmt w:val="lowerRoman"/>
      <w:lvlText w:val="%3."/>
      <w:lvlJc w:val="right"/>
      <w:pPr>
        <w:ind w:left="2505" w:hanging="180"/>
      </w:pPr>
    </w:lvl>
    <w:lvl w:ilvl="3" w:tplc="0C0A000F" w:tentative="1">
      <w:start w:val="1"/>
      <w:numFmt w:val="decimal"/>
      <w:lvlText w:val="%4."/>
      <w:lvlJc w:val="left"/>
      <w:pPr>
        <w:ind w:left="3225" w:hanging="360"/>
      </w:pPr>
    </w:lvl>
    <w:lvl w:ilvl="4" w:tplc="0C0A0019" w:tentative="1">
      <w:start w:val="1"/>
      <w:numFmt w:val="lowerLetter"/>
      <w:lvlText w:val="%5."/>
      <w:lvlJc w:val="left"/>
      <w:pPr>
        <w:ind w:left="3945" w:hanging="360"/>
      </w:pPr>
    </w:lvl>
    <w:lvl w:ilvl="5" w:tplc="0C0A001B" w:tentative="1">
      <w:start w:val="1"/>
      <w:numFmt w:val="lowerRoman"/>
      <w:lvlText w:val="%6."/>
      <w:lvlJc w:val="right"/>
      <w:pPr>
        <w:ind w:left="4665" w:hanging="180"/>
      </w:pPr>
    </w:lvl>
    <w:lvl w:ilvl="6" w:tplc="0C0A000F" w:tentative="1">
      <w:start w:val="1"/>
      <w:numFmt w:val="decimal"/>
      <w:lvlText w:val="%7."/>
      <w:lvlJc w:val="left"/>
      <w:pPr>
        <w:ind w:left="5385" w:hanging="360"/>
      </w:pPr>
    </w:lvl>
    <w:lvl w:ilvl="7" w:tplc="0C0A0019" w:tentative="1">
      <w:start w:val="1"/>
      <w:numFmt w:val="lowerLetter"/>
      <w:lvlText w:val="%8."/>
      <w:lvlJc w:val="left"/>
      <w:pPr>
        <w:ind w:left="6105" w:hanging="360"/>
      </w:pPr>
    </w:lvl>
    <w:lvl w:ilvl="8" w:tplc="0C0A001B" w:tentative="1">
      <w:start w:val="1"/>
      <w:numFmt w:val="lowerRoman"/>
      <w:lvlText w:val="%9."/>
      <w:lvlJc w:val="right"/>
      <w:pPr>
        <w:ind w:left="6825" w:hanging="180"/>
      </w:pPr>
    </w:lvl>
  </w:abstractNum>
  <w:abstractNum w:abstractNumId="6">
    <w:nsid w:val="4759709F"/>
    <w:multiLevelType w:val="hybridMultilevel"/>
    <w:tmpl w:val="DACA1A12"/>
    <w:lvl w:ilvl="0" w:tplc="E73EDAC2">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66BF78D8"/>
    <w:multiLevelType w:val="hybridMultilevel"/>
    <w:tmpl w:val="ACA23C84"/>
    <w:lvl w:ilvl="0" w:tplc="B7409ECE">
      <w:start w:val="1"/>
      <w:numFmt w:val="decimal"/>
      <w:lvlText w:val="%1-"/>
      <w:lvlJc w:val="left"/>
      <w:pPr>
        <w:ind w:left="1065" w:hanging="360"/>
      </w:pPr>
      <w:rPr>
        <w:rFonts w:hint="default"/>
      </w:rPr>
    </w:lvl>
    <w:lvl w:ilvl="1" w:tplc="0C0A0019" w:tentative="1">
      <w:start w:val="1"/>
      <w:numFmt w:val="lowerLetter"/>
      <w:lvlText w:val="%2."/>
      <w:lvlJc w:val="left"/>
      <w:pPr>
        <w:ind w:left="1785" w:hanging="360"/>
      </w:pPr>
    </w:lvl>
    <w:lvl w:ilvl="2" w:tplc="0C0A001B" w:tentative="1">
      <w:start w:val="1"/>
      <w:numFmt w:val="lowerRoman"/>
      <w:lvlText w:val="%3."/>
      <w:lvlJc w:val="right"/>
      <w:pPr>
        <w:ind w:left="2505" w:hanging="180"/>
      </w:pPr>
    </w:lvl>
    <w:lvl w:ilvl="3" w:tplc="0C0A000F" w:tentative="1">
      <w:start w:val="1"/>
      <w:numFmt w:val="decimal"/>
      <w:lvlText w:val="%4."/>
      <w:lvlJc w:val="left"/>
      <w:pPr>
        <w:ind w:left="3225" w:hanging="360"/>
      </w:pPr>
    </w:lvl>
    <w:lvl w:ilvl="4" w:tplc="0C0A0019" w:tentative="1">
      <w:start w:val="1"/>
      <w:numFmt w:val="lowerLetter"/>
      <w:lvlText w:val="%5."/>
      <w:lvlJc w:val="left"/>
      <w:pPr>
        <w:ind w:left="3945" w:hanging="360"/>
      </w:pPr>
    </w:lvl>
    <w:lvl w:ilvl="5" w:tplc="0C0A001B" w:tentative="1">
      <w:start w:val="1"/>
      <w:numFmt w:val="lowerRoman"/>
      <w:lvlText w:val="%6."/>
      <w:lvlJc w:val="right"/>
      <w:pPr>
        <w:ind w:left="4665" w:hanging="180"/>
      </w:pPr>
    </w:lvl>
    <w:lvl w:ilvl="6" w:tplc="0C0A000F" w:tentative="1">
      <w:start w:val="1"/>
      <w:numFmt w:val="decimal"/>
      <w:lvlText w:val="%7."/>
      <w:lvlJc w:val="left"/>
      <w:pPr>
        <w:ind w:left="5385" w:hanging="360"/>
      </w:pPr>
    </w:lvl>
    <w:lvl w:ilvl="7" w:tplc="0C0A0019" w:tentative="1">
      <w:start w:val="1"/>
      <w:numFmt w:val="lowerLetter"/>
      <w:lvlText w:val="%8."/>
      <w:lvlJc w:val="left"/>
      <w:pPr>
        <w:ind w:left="6105" w:hanging="360"/>
      </w:pPr>
    </w:lvl>
    <w:lvl w:ilvl="8" w:tplc="0C0A001B" w:tentative="1">
      <w:start w:val="1"/>
      <w:numFmt w:val="lowerRoman"/>
      <w:lvlText w:val="%9."/>
      <w:lvlJc w:val="right"/>
      <w:pPr>
        <w:ind w:left="6825" w:hanging="180"/>
      </w:pPr>
    </w:lvl>
  </w:abstractNum>
  <w:abstractNum w:abstractNumId="8">
    <w:nsid w:val="71DB251F"/>
    <w:multiLevelType w:val="hybridMultilevel"/>
    <w:tmpl w:val="62C221E4"/>
    <w:lvl w:ilvl="0" w:tplc="DA6AB684">
      <w:start w:val="1"/>
      <w:numFmt w:val="decimal"/>
      <w:lvlText w:val="%1-"/>
      <w:lvlJc w:val="left"/>
      <w:pPr>
        <w:ind w:left="1065" w:hanging="360"/>
      </w:pPr>
      <w:rPr>
        <w:rFonts w:hint="default"/>
      </w:rPr>
    </w:lvl>
    <w:lvl w:ilvl="1" w:tplc="0C0A0019" w:tentative="1">
      <w:start w:val="1"/>
      <w:numFmt w:val="lowerLetter"/>
      <w:lvlText w:val="%2."/>
      <w:lvlJc w:val="left"/>
      <w:pPr>
        <w:ind w:left="1785" w:hanging="360"/>
      </w:pPr>
    </w:lvl>
    <w:lvl w:ilvl="2" w:tplc="0C0A001B" w:tentative="1">
      <w:start w:val="1"/>
      <w:numFmt w:val="lowerRoman"/>
      <w:lvlText w:val="%3."/>
      <w:lvlJc w:val="right"/>
      <w:pPr>
        <w:ind w:left="2505" w:hanging="180"/>
      </w:pPr>
    </w:lvl>
    <w:lvl w:ilvl="3" w:tplc="0C0A000F" w:tentative="1">
      <w:start w:val="1"/>
      <w:numFmt w:val="decimal"/>
      <w:lvlText w:val="%4."/>
      <w:lvlJc w:val="left"/>
      <w:pPr>
        <w:ind w:left="3225" w:hanging="360"/>
      </w:pPr>
    </w:lvl>
    <w:lvl w:ilvl="4" w:tplc="0C0A0019" w:tentative="1">
      <w:start w:val="1"/>
      <w:numFmt w:val="lowerLetter"/>
      <w:lvlText w:val="%5."/>
      <w:lvlJc w:val="left"/>
      <w:pPr>
        <w:ind w:left="3945" w:hanging="360"/>
      </w:pPr>
    </w:lvl>
    <w:lvl w:ilvl="5" w:tplc="0C0A001B" w:tentative="1">
      <w:start w:val="1"/>
      <w:numFmt w:val="lowerRoman"/>
      <w:lvlText w:val="%6."/>
      <w:lvlJc w:val="right"/>
      <w:pPr>
        <w:ind w:left="4665" w:hanging="180"/>
      </w:pPr>
    </w:lvl>
    <w:lvl w:ilvl="6" w:tplc="0C0A000F" w:tentative="1">
      <w:start w:val="1"/>
      <w:numFmt w:val="decimal"/>
      <w:lvlText w:val="%7."/>
      <w:lvlJc w:val="left"/>
      <w:pPr>
        <w:ind w:left="5385" w:hanging="360"/>
      </w:pPr>
    </w:lvl>
    <w:lvl w:ilvl="7" w:tplc="0C0A0019" w:tentative="1">
      <w:start w:val="1"/>
      <w:numFmt w:val="lowerLetter"/>
      <w:lvlText w:val="%8."/>
      <w:lvlJc w:val="left"/>
      <w:pPr>
        <w:ind w:left="6105" w:hanging="360"/>
      </w:pPr>
    </w:lvl>
    <w:lvl w:ilvl="8" w:tplc="0C0A001B" w:tentative="1">
      <w:start w:val="1"/>
      <w:numFmt w:val="lowerRoman"/>
      <w:lvlText w:val="%9."/>
      <w:lvlJc w:val="right"/>
      <w:pPr>
        <w:ind w:left="6825" w:hanging="180"/>
      </w:pPr>
    </w:lvl>
  </w:abstractNum>
  <w:num w:numId="1">
    <w:abstractNumId w:val="8"/>
  </w:num>
  <w:num w:numId="2">
    <w:abstractNumId w:val="1"/>
  </w:num>
  <w:num w:numId="3">
    <w:abstractNumId w:val="6"/>
  </w:num>
  <w:num w:numId="4">
    <w:abstractNumId w:val="3"/>
  </w:num>
  <w:num w:numId="5">
    <w:abstractNumId w:val="7"/>
  </w:num>
  <w:num w:numId="6">
    <w:abstractNumId w:val="0"/>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5C12"/>
    <w:rsid w:val="0000287F"/>
    <w:rsid w:val="00002B17"/>
    <w:rsid w:val="00066C5D"/>
    <w:rsid w:val="0008203B"/>
    <w:rsid w:val="00084327"/>
    <w:rsid w:val="00085322"/>
    <w:rsid w:val="000A776A"/>
    <w:rsid w:val="000D1167"/>
    <w:rsid w:val="000D5686"/>
    <w:rsid w:val="000E4B23"/>
    <w:rsid w:val="000E5816"/>
    <w:rsid w:val="00120B38"/>
    <w:rsid w:val="001263C5"/>
    <w:rsid w:val="00132464"/>
    <w:rsid w:val="00133AA5"/>
    <w:rsid w:val="001A2B4B"/>
    <w:rsid w:val="001D2BAF"/>
    <w:rsid w:val="0020685F"/>
    <w:rsid w:val="00236323"/>
    <w:rsid w:val="002446C7"/>
    <w:rsid w:val="0026355B"/>
    <w:rsid w:val="002805E4"/>
    <w:rsid w:val="00297052"/>
    <w:rsid w:val="002A4708"/>
    <w:rsid w:val="002C3399"/>
    <w:rsid w:val="002F2FED"/>
    <w:rsid w:val="003148AD"/>
    <w:rsid w:val="00337614"/>
    <w:rsid w:val="0036518C"/>
    <w:rsid w:val="003703C1"/>
    <w:rsid w:val="00373D2C"/>
    <w:rsid w:val="0039063F"/>
    <w:rsid w:val="003928E7"/>
    <w:rsid w:val="003A64CC"/>
    <w:rsid w:val="003B2968"/>
    <w:rsid w:val="003D2344"/>
    <w:rsid w:val="003E07D7"/>
    <w:rsid w:val="003E2828"/>
    <w:rsid w:val="004237AF"/>
    <w:rsid w:val="004448F2"/>
    <w:rsid w:val="00460569"/>
    <w:rsid w:val="004620A6"/>
    <w:rsid w:val="0048192E"/>
    <w:rsid w:val="00482FE5"/>
    <w:rsid w:val="00484A9E"/>
    <w:rsid w:val="004D135C"/>
    <w:rsid w:val="004E7509"/>
    <w:rsid w:val="00507956"/>
    <w:rsid w:val="00517943"/>
    <w:rsid w:val="00546C61"/>
    <w:rsid w:val="00567278"/>
    <w:rsid w:val="005A072A"/>
    <w:rsid w:val="005B7C03"/>
    <w:rsid w:val="005C58D4"/>
    <w:rsid w:val="005C7330"/>
    <w:rsid w:val="005D2411"/>
    <w:rsid w:val="006106F6"/>
    <w:rsid w:val="00616EFB"/>
    <w:rsid w:val="006623B0"/>
    <w:rsid w:val="00694709"/>
    <w:rsid w:val="006C3F14"/>
    <w:rsid w:val="006C65B2"/>
    <w:rsid w:val="006D0F1E"/>
    <w:rsid w:val="006D64DD"/>
    <w:rsid w:val="007132F8"/>
    <w:rsid w:val="00717D41"/>
    <w:rsid w:val="00720160"/>
    <w:rsid w:val="00752E12"/>
    <w:rsid w:val="007622A7"/>
    <w:rsid w:val="00797E73"/>
    <w:rsid w:val="007C5D5A"/>
    <w:rsid w:val="007D0748"/>
    <w:rsid w:val="00805C12"/>
    <w:rsid w:val="00844212"/>
    <w:rsid w:val="00853EEB"/>
    <w:rsid w:val="00857069"/>
    <w:rsid w:val="00876EE7"/>
    <w:rsid w:val="00881688"/>
    <w:rsid w:val="00894B21"/>
    <w:rsid w:val="008A291D"/>
    <w:rsid w:val="008A5F0A"/>
    <w:rsid w:val="008B3585"/>
    <w:rsid w:val="008F0C3B"/>
    <w:rsid w:val="00920926"/>
    <w:rsid w:val="0093749B"/>
    <w:rsid w:val="00946B82"/>
    <w:rsid w:val="009720E1"/>
    <w:rsid w:val="0098085D"/>
    <w:rsid w:val="009B18BB"/>
    <w:rsid w:val="009E3503"/>
    <w:rsid w:val="009F07A9"/>
    <w:rsid w:val="009F2A59"/>
    <w:rsid w:val="00A014F9"/>
    <w:rsid w:val="00A30400"/>
    <w:rsid w:val="00A31298"/>
    <w:rsid w:val="00A3163C"/>
    <w:rsid w:val="00AC42F7"/>
    <w:rsid w:val="00AD3D00"/>
    <w:rsid w:val="00AD499D"/>
    <w:rsid w:val="00AE438F"/>
    <w:rsid w:val="00AF2644"/>
    <w:rsid w:val="00B41E3D"/>
    <w:rsid w:val="00B4468E"/>
    <w:rsid w:val="00B567A4"/>
    <w:rsid w:val="00B82BCE"/>
    <w:rsid w:val="00BB411A"/>
    <w:rsid w:val="00BB4209"/>
    <w:rsid w:val="00BF6EB4"/>
    <w:rsid w:val="00C0018F"/>
    <w:rsid w:val="00C05493"/>
    <w:rsid w:val="00C110FB"/>
    <w:rsid w:val="00C31377"/>
    <w:rsid w:val="00C50E41"/>
    <w:rsid w:val="00C637F7"/>
    <w:rsid w:val="00C64591"/>
    <w:rsid w:val="00C844B9"/>
    <w:rsid w:val="00CA188F"/>
    <w:rsid w:val="00CB26CF"/>
    <w:rsid w:val="00CC2AA0"/>
    <w:rsid w:val="00CC3E52"/>
    <w:rsid w:val="00CD0BF9"/>
    <w:rsid w:val="00CE08CB"/>
    <w:rsid w:val="00CE6F83"/>
    <w:rsid w:val="00D04390"/>
    <w:rsid w:val="00D1622B"/>
    <w:rsid w:val="00D17674"/>
    <w:rsid w:val="00D20647"/>
    <w:rsid w:val="00D37EAF"/>
    <w:rsid w:val="00D402A9"/>
    <w:rsid w:val="00D41384"/>
    <w:rsid w:val="00D45DFF"/>
    <w:rsid w:val="00D64FD8"/>
    <w:rsid w:val="00D72FC4"/>
    <w:rsid w:val="00D73C53"/>
    <w:rsid w:val="00D77F01"/>
    <w:rsid w:val="00D82D6D"/>
    <w:rsid w:val="00D845AA"/>
    <w:rsid w:val="00D9719A"/>
    <w:rsid w:val="00DA7907"/>
    <w:rsid w:val="00DE7D3F"/>
    <w:rsid w:val="00E32F2A"/>
    <w:rsid w:val="00E36E71"/>
    <w:rsid w:val="00E60284"/>
    <w:rsid w:val="00E61943"/>
    <w:rsid w:val="00E8084B"/>
    <w:rsid w:val="00ED6FE6"/>
    <w:rsid w:val="00EF0B44"/>
    <w:rsid w:val="00F244E0"/>
    <w:rsid w:val="00F32FE3"/>
    <w:rsid w:val="00F373A7"/>
    <w:rsid w:val="00F37C64"/>
    <w:rsid w:val="00F37F78"/>
    <w:rsid w:val="00F40EB3"/>
    <w:rsid w:val="00FD663D"/>
    <w:rsid w:val="00FE3332"/>
    <w:rsid w:val="00FE5EB8"/>
    <w:rsid w:val="00FF3EC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9720E1"/>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9720E1"/>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844212"/>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9720E1"/>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05C1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05C12"/>
    <w:rPr>
      <w:rFonts w:ascii="Tahoma" w:hAnsi="Tahoma" w:cs="Tahoma"/>
      <w:sz w:val="16"/>
      <w:szCs w:val="16"/>
    </w:rPr>
  </w:style>
  <w:style w:type="paragraph" w:styleId="Prrafodelista">
    <w:name w:val="List Paragraph"/>
    <w:basedOn w:val="Normal"/>
    <w:uiPriority w:val="34"/>
    <w:qFormat/>
    <w:rsid w:val="009F2A59"/>
    <w:pPr>
      <w:ind w:left="720"/>
      <w:contextualSpacing/>
    </w:pPr>
  </w:style>
  <w:style w:type="paragraph" w:styleId="NormalWeb">
    <w:name w:val="Normal (Web)"/>
    <w:basedOn w:val="Normal"/>
    <w:uiPriority w:val="99"/>
    <w:unhideWhenUsed/>
    <w:rsid w:val="00AD3D0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894B21"/>
    <w:rPr>
      <w:b/>
      <w:bCs/>
    </w:rPr>
  </w:style>
  <w:style w:type="paragraph" w:customStyle="1" w:styleId="Pa6">
    <w:name w:val="Pa6"/>
    <w:basedOn w:val="Normal"/>
    <w:next w:val="Normal"/>
    <w:uiPriority w:val="99"/>
    <w:rsid w:val="006D0F1E"/>
    <w:pPr>
      <w:autoSpaceDE w:val="0"/>
      <w:autoSpaceDN w:val="0"/>
      <w:adjustRightInd w:val="0"/>
      <w:spacing w:after="0" w:line="221" w:lineRule="atLeast"/>
    </w:pPr>
    <w:rPr>
      <w:rFonts w:ascii="Trade Gothic LT Std Bold" w:hAnsi="Trade Gothic LT Std Bold"/>
      <w:sz w:val="24"/>
      <w:szCs w:val="24"/>
    </w:rPr>
  </w:style>
  <w:style w:type="character" w:customStyle="1" w:styleId="Ttulo1Car">
    <w:name w:val="Título 1 Car"/>
    <w:basedOn w:val="Fuentedeprrafopredeter"/>
    <w:link w:val="Ttulo1"/>
    <w:uiPriority w:val="9"/>
    <w:rsid w:val="009720E1"/>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9720E1"/>
    <w:rPr>
      <w:rFonts w:asciiTheme="majorHAnsi" w:eastAsiaTheme="majorEastAsia" w:hAnsiTheme="majorHAnsi" w:cstheme="majorBidi"/>
      <w:b/>
      <w:bCs/>
      <w:color w:val="4F81BD" w:themeColor="accent1"/>
      <w:sz w:val="26"/>
      <w:szCs w:val="26"/>
      <w:lang w:eastAsia="es-ES"/>
    </w:rPr>
  </w:style>
  <w:style w:type="character" w:customStyle="1" w:styleId="Ttulo4Car">
    <w:name w:val="Título 4 Car"/>
    <w:basedOn w:val="Fuentedeprrafopredeter"/>
    <w:link w:val="Ttulo4"/>
    <w:uiPriority w:val="9"/>
    <w:semiHidden/>
    <w:rsid w:val="009720E1"/>
    <w:rPr>
      <w:rFonts w:asciiTheme="majorHAnsi" w:eastAsiaTheme="majorEastAsia" w:hAnsiTheme="majorHAnsi" w:cstheme="majorBidi"/>
      <w:b/>
      <w:bCs/>
      <w:i/>
      <w:iCs/>
      <w:color w:val="4F81BD" w:themeColor="accent1"/>
      <w:lang w:eastAsia="es-ES"/>
    </w:rPr>
  </w:style>
  <w:style w:type="character" w:customStyle="1" w:styleId="media-captiontext">
    <w:name w:val="media-caption__text"/>
    <w:basedOn w:val="Fuentedeprrafopredeter"/>
    <w:rsid w:val="009720E1"/>
  </w:style>
  <w:style w:type="character" w:styleId="Hipervnculo">
    <w:name w:val="Hyperlink"/>
    <w:basedOn w:val="Fuentedeprrafopredeter"/>
    <w:uiPriority w:val="99"/>
    <w:semiHidden/>
    <w:unhideWhenUsed/>
    <w:rsid w:val="009720E1"/>
    <w:rPr>
      <w:color w:val="0000FF"/>
      <w:u w:val="single"/>
    </w:rPr>
  </w:style>
  <w:style w:type="character" w:customStyle="1" w:styleId="Ttulo3Car">
    <w:name w:val="Título 3 Car"/>
    <w:basedOn w:val="Fuentedeprrafopredeter"/>
    <w:link w:val="Ttulo3"/>
    <w:uiPriority w:val="9"/>
    <w:rsid w:val="00844212"/>
    <w:rPr>
      <w:rFonts w:asciiTheme="majorHAnsi" w:eastAsiaTheme="majorEastAsia" w:hAnsiTheme="majorHAnsi" w:cstheme="majorBidi"/>
      <w:b/>
      <w:bCs/>
      <w:color w:val="4F81BD" w:themeColor="accent1"/>
    </w:rPr>
  </w:style>
  <w:style w:type="paragraph" w:customStyle="1" w:styleId="byline">
    <w:name w:val="byline"/>
    <w:basedOn w:val="Normal"/>
    <w:rsid w:val="0084421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844212"/>
    <w:rPr>
      <w:i/>
      <w:iCs/>
    </w:rPr>
  </w:style>
  <w:style w:type="character" w:customStyle="1" w:styleId="s1">
    <w:name w:val="s1"/>
    <w:basedOn w:val="Fuentedeprrafopredeter"/>
    <w:rsid w:val="00844212"/>
  </w:style>
  <w:style w:type="paragraph" w:customStyle="1" w:styleId="subhead">
    <w:name w:val="subhead"/>
    <w:basedOn w:val="Normal"/>
    <w:rsid w:val="00844212"/>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9720E1"/>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9720E1"/>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844212"/>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9720E1"/>
    <w:pPr>
      <w:keepNext/>
      <w:keepLines/>
      <w:spacing w:before="200" w:after="0"/>
      <w:outlineLvl w:val="3"/>
    </w:pPr>
    <w:rPr>
      <w:rFonts w:asciiTheme="majorHAnsi" w:eastAsiaTheme="majorEastAsia" w:hAnsiTheme="majorHAnsi" w:cstheme="majorBidi"/>
      <w:b/>
      <w:bCs/>
      <w:i/>
      <w:iCs/>
      <w:color w:val="4F81BD" w:themeColor="accent1"/>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805C1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05C12"/>
    <w:rPr>
      <w:rFonts w:ascii="Tahoma" w:hAnsi="Tahoma" w:cs="Tahoma"/>
      <w:sz w:val="16"/>
      <w:szCs w:val="16"/>
    </w:rPr>
  </w:style>
  <w:style w:type="paragraph" w:styleId="Prrafodelista">
    <w:name w:val="List Paragraph"/>
    <w:basedOn w:val="Normal"/>
    <w:uiPriority w:val="34"/>
    <w:qFormat/>
    <w:rsid w:val="009F2A59"/>
    <w:pPr>
      <w:ind w:left="720"/>
      <w:contextualSpacing/>
    </w:pPr>
  </w:style>
  <w:style w:type="paragraph" w:styleId="NormalWeb">
    <w:name w:val="Normal (Web)"/>
    <w:basedOn w:val="Normal"/>
    <w:uiPriority w:val="99"/>
    <w:unhideWhenUsed/>
    <w:rsid w:val="00AD3D0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894B21"/>
    <w:rPr>
      <w:b/>
      <w:bCs/>
    </w:rPr>
  </w:style>
  <w:style w:type="paragraph" w:customStyle="1" w:styleId="Pa6">
    <w:name w:val="Pa6"/>
    <w:basedOn w:val="Normal"/>
    <w:next w:val="Normal"/>
    <w:uiPriority w:val="99"/>
    <w:rsid w:val="006D0F1E"/>
    <w:pPr>
      <w:autoSpaceDE w:val="0"/>
      <w:autoSpaceDN w:val="0"/>
      <w:adjustRightInd w:val="0"/>
      <w:spacing w:after="0" w:line="221" w:lineRule="atLeast"/>
    </w:pPr>
    <w:rPr>
      <w:rFonts w:ascii="Trade Gothic LT Std Bold" w:hAnsi="Trade Gothic LT Std Bold"/>
      <w:sz w:val="24"/>
      <w:szCs w:val="24"/>
    </w:rPr>
  </w:style>
  <w:style w:type="character" w:customStyle="1" w:styleId="Ttulo1Car">
    <w:name w:val="Título 1 Car"/>
    <w:basedOn w:val="Fuentedeprrafopredeter"/>
    <w:link w:val="Ttulo1"/>
    <w:uiPriority w:val="9"/>
    <w:rsid w:val="009720E1"/>
    <w:rPr>
      <w:rFonts w:asciiTheme="majorHAnsi" w:eastAsiaTheme="majorEastAsia" w:hAnsiTheme="majorHAnsi" w:cstheme="majorBidi"/>
      <w:b/>
      <w:bCs/>
      <w:color w:val="365F91" w:themeColor="accent1" w:themeShade="BF"/>
      <w:sz w:val="28"/>
      <w:szCs w:val="28"/>
      <w:lang w:eastAsia="es-ES"/>
    </w:rPr>
  </w:style>
  <w:style w:type="character" w:customStyle="1" w:styleId="Ttulo2Car">
    <w:name w:val="Título 2 Car"/>
    <w:basedOn w:val="Fuentedeprrafopredeter"/>
    <w:link w:val="Ttulo2"/>
    <w:uiPriority w:val="9"/>
    <w:rsid w:val="009720E1"/>
    <w:rPr>
      <w:rFonts w:asciiTheme="majorHAnsi" w:eastAsiaTheme="majorEastAsia" w:hAnsiTheme="majorHAnsi" w:cstheme="majorBidi"/>
      <w:b/>
      <w:bCs/>
      <w:color w:val="4F81BD" w:themeColor="accent1"/>
      <w:sz w:val="26"/>
      <w:szCs w:val="26"/>
      <w:lang w:eastAsia="es-ES"/>
    </w:rPr>
  </w:style>
  <w:style w:type="character" w:customStyle="1" w:styleId="Ttulo4Car">
    <w:name w:val="Título 4 Car"/>
    <w:basedOn w:val="Fuentedeprrafopredeter"/>
    <w:link w:val="Ttulo4"/>
    <w:uiPriority w:val="9"/>
    <w:semiHidden/>
    <w:rsid w:val="009720E1"/>
    <w:rPr>
      <w:rFonts w:asciiTheme="majorHAnsi" w:eastAsiaTheme="majorEastAsia" w:hAnsiTheme="majorHAnsi" w:cstheme="majorBidi"/>
      <w:b/>
      <w:bCs/>
      <w:i/>
      <w:iCs/>
      <w:color w:val="4F81BD" w:themeColor="accent1"/>
      <w:lang w:eastAsia="es-ES"/>
    </w:rPr>
  </w:style>
  <w:style w:type="character" w:customStyle="1" w:styleId="media-captiontext">
    <w:name w:val="media-caption__text"/>
    <w:basedOn w:val="Fuentedeprrafopredeter"/>
    <w:rsid w:val="009720E1"/>
  </w:style>
  <w:style w:type="character" w:styleId="Hipervnculo">
    <w:name w:val="Hyperlink"/>
    <w:basedOn w:val="Fuentedeprrafopredeter"/>
    <w:uiPriority w:val="99"/>
    <w:semiHidden/>
    <w:unhideWhenUsed/>
    <w:rsid w:val="009720E1"/>
    <w:rPr>
      <w:color w:val="0000FF"/>
      <w:u w:val="single"/>
    </w:rPr>
  </w:style>
  <w:style w:type="character" w:customStyle="1" w:styleId="Ttulo3Car">
    <w:name w:val="Título 3 Car"/>
    <w:basedOn w:val="Fuentedeprrafopredeter"/>
    <w:link w:val="Ttulo3"/>
    <w:uiPriority w:val="9"/>
    <w:rsid w:val="00844212"/>
    <w:rPr>
      <w:rFonts w:asciiTheme="majorHAnsi" w:eastAsiaTheme="majorEastAsia" w:hAnsiTheme="majorHAnsi" w:cstheme="majorBidi"/>
      <w:b/>
      <w:bCs/>
      <w:color w:val="4F81BD" w:themeColor="accent1"/>
    </w:rPr>
  </w:style>
  <w:style w:type="paragraph" w:customStyle="1" w:styleId="byline">
    <w:name w:val="byline"/>
    <w:basedOn w:val="Normal"/>
    <w:rsid w:val="0084421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844212"/>
    <w:rPr>
      <w:i/>
      <w:iCs/>
    </w:rPr>
  </w:style>
  <w:style w:type="character" w:customStyle="1" w:styleId="s1">
    <w:name w:val="s1"/>
    <w:basedOn w:val="Fuentedeprrafopredeter"/>
    <w:rsid w:val="00844212"/>
  </w:style>
  <w:style w:type="paragraph" w:customStyle="1" w:styleId="subhead">
    <w:name w:val="subhead"/>
    <w:basedOn w:val="Normal"/>
    <w:rsid w:val="00844212"/>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1177747">
      <w:bodyDiv w:val="1"/>
      <w:marLeft w:val="0"/>
      <w:marRight w:val="0"/>
      <w:marTop w:val="0"/>
      <w:marBottom w:val="0"/>
      <w:divBdr>
        <w:top w:val="none" w:sz="0" w:space="0" w:color="auto"/>
        <w:left w:val="none" w:sz="0" w:space="0" w:color="auto"/>
        <w:bottom w:val="none" w:sz="0" w:space="0" w:color="auto"/>
        <w:right w:val="none" w:sz="0" w:space="0" w:color="auto"/>
      </w:divBdr>
    </w:div>
    <w:div w:id="460728298">
      <w:bodyDiv w:val="1"/>
      <w:marLeft w:val="0"/>
      <w:marRight w:val="0"/>
      <w:marTop w:val="0"/>
      <w:marBottom w:val="0"/>
      <w:divBdr>
        <w:top w:val="none" w:sz="0" w:space="0" w:color="auto"/>
        <w:left w:val="none" w:sz="0" w:space="0" w:color="auto"/>
        <w:bottom w:val="none" w:sz="0" w:space="0" w:color="auto"/>
        <w:right w:val="none" w:sz="0" w:space="0" w:color="auto"/>
      </w:divBdr>
    </w:div>
    <w:div w:id="748814856">
      <w:bodyDiv w:val="1"/>
      <w:marLeft w:val="0"/>
      <w:marRight w:val="0"/>
      <w:marTop w:val="0"/>
      <w:marBottom w:val="0"/>
      <w:divBdr>
        <w:top w:val="none" w:sz="0" w:space="0" w:color="auto"/>
        <w:left w:val="none" w:sz="0" w:space="0" w:color="auto"/>
        <w:bottom w:val="none" w:sz="0" w:space="0" w:color="auto"/>
        <w:right w:val="none" w:sz="0" w:space="0" w:color="auto"/>
      </w:divBdr>
    </w:div>
    <w:div w:id="962658744">
      <w:bodyDiv w:val="1"/>
      <w:marLeft w:val="0"/>
      <w:marRight w:val="0"/>
      <w:marTop w:val="0"/>
      <w:marBottom w:val="0"/>
      <w:divBdr>
        <w:top w:val="none" w:sz="0" w:space="0" w:color="auto"/>
        <w:left w:val="none" w:sz="0" w:space="0" w:color="auto"/>
        <w:bottom w:val="none" w:sz="0" w:space="0" w:color="auto"/>
        <w:right w:val="none" w:sz="0" w:space="0" w:color="auto"/>
      </w:divBdr>
    </w:div>
    <w:div w:id="1055814359">
      <w:bodyDiv w:val="1"/>
      <w:marLeft w:val="0"/>
      <w:marRight w:val="0"/>
      <w:marTop w:val="0"/>
      <w:marBottom w:val="0"/>
      <w:divBdr>
        <w:top w:val="none" w:sz="0" w:space="0" w:color="auto"/>
        <w:left w:val="none" w:sz="0" w:space="0" w:color="auto"/>
        <w:bottom w:val="none" w:sz="0" w:space="0" w:color="auto"/>
        <w:right w:val="none" w:sz="0" w:space="0" w:color="auto"/>
      </w:divBdr>
    </w:div>
    <w:div w:id="1064985662">
      <w:bodyDiv w:val="1"/>
      <w:marLeft w:val="0"/>
      <w:marRight w:val="0"/>
      <w:marTop w:val="0"/>
      <w:marBottom w:val="0"/>
      <w:divBdr>
        <w:top w:val="none" w:sz="0" w:space="0" w:color="auto"/>
        <w:left w:val="none" w:sz="0" w:space="0" w:color="auto"/>
        <w:bottom w:val="none" w:sz="0" w:space="0" w:color="auto"/>
        <w:right w:val="none" w:sz="0" w:space="0" w:color="auto"/>
      </w:divBdr>
    </w:div>
    <w:div w:id="1188831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99" Type="http://schemas.openxmlformats.org/officeDocument/2006/relationships/hyperlink" Target="https://www.federalreserve.gov/econres/notes/feds-notes/recent-trends-in-wealth-holding-by-race-and-ethnicity-evidence-from-the-survey-of-consumer-finances-20170927.htm" TargetMode="External"/><Relationship Id="rId303" Type="http://schemas.openxmlformats.org/officeDocument/2006/relationships/hyperlink" Target="http://www.people-press.org/2017/10/05/6-economic-fairness-corporate-profits-and-tax-policy/" TargetMode="External"/><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jpeg"/><Relationship Id="rId84" Type="http://schemas.openxmlformats.org/officeDocument/2006/relationships/image" Target="media/image78.png"/><Relationship Id="rId138" Type="http://schemas.openxmlformats.org/officeDocument/2006/relationships/image" Target="media/image132.png"/><Relationship Id="rId159" Type="http://schemas.openxmlformats.org/officeDocument/2006/relationships/image" Target="media/image153.png"/><Relationship Id="rId324" Type="http://schemas.openxmlformats.org/officeDocument/2006/relationships/hyperlink" Target="http://www.pewresearch.org/staff/rakesh-kochhar" TargetMode="External"/><Relationship Id="rId345" Type="http://schemas.openxmlformats.org/officeDocument/2006/relationships/hyperlink" Target="https://papers.ssrn.com/sol3/papers.cfm?abstract_id=2649215" TargetMode="External"/><Relationship Id="rId170" Type="http://schemas.openxmlformats.org/officeDocument/2006/relationships/image" Target="media/image164.png"/><Relationship Id="rId191" Type="http://schemas.openxmlformats.org/officeDocument/2006/relationships/hyperlink" Target="https://es.inflation.eu/tasas-de-inflacion/estados-unidos/inflacion-historica/ipc-inflacion-estados-unidos-1980.aspx" TargetMode="External"/><Relationship Id="rId205" Type="http://schemas.openxmlformats.org/officeDocument/2006/relationships/hyperlink" Target="https://es.inflation.eu/tasas-de-inflacion/estados-unidos/inflacion-historica/ipc-inflacion-estados-unidos-1973.aspx" TargetMode="External"/><Relationship Id="rId226" Type="http://schemas.openxmlformats.org/officeDocument/2006/relationships/hyperlink" Target="https://es.inflation.eu/tasas-de-inflacion/estados-unidos/inflacion-historica/ipc-inflacion-estados-unidos-1993.aspx" TargetMode="External"/><Relationship Id="rId247" Type="http://schemas.openxmlformats.org/officeDocument/2006/relationships/image" Target="media/image179.png"/><Relationship Id="rId107" Type="http://schemas.openxmlformats.org/officeDocument/2006/relationships/image" Target="media/image101.png"/><Relationship Id="rId268" Type="http://schemas.openxmlformats.org/officeDocument/2006/relationships/hyperlink" Target="http://www.pewsocialtrends.org/2008/04/09/inside-the-middle-class-bad-times-hit-the-good-life/" TargetMode="External"/><Relationship Id="rId289" Type="http://schemas.openxmlformats.org/officeDocument/2006/relationships/image" Target="media/image202.png"/><Relationship Id="rId11" Type="http://schemas.openxmlformats.org/officeDocument/2006/relationships/image" Target="media/image6.jpe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3.png"/><Relationship Id="rId314" Type="http://schemas.openxmlformats.org/officeDocument/2006/relationships/image" Target="media/image208.png"/><Relationship Id="rId335" Type="http://schemas.openxmlformats.org/officeDocument/2006/relationships/hyperlink" Target="http://wid.world/" TargetMode="External"/><Relationship Id="rId356" Type="http://schemas.openxmlformats.org/officeDocument/2006/relationships/image" Target="media/image217.png"/><Relationship Id="rId5" Type="http://schemas.openxmlformats.org/officeDocument/2006/relationships/webSettings" Target="webSettings.xml"/><Relationship Id="rId95" Type="http://schemas.openxmlformats.org/officeDocument/2006/relationships/image" Target="media/image89.png"/><Relationship Id="rId160" Type="http://schemas.openxmlformats.org/officeDocument/2006/relationships/image" Target="media/image154.png"/><Relationship Id="rId181" Type="http://schemas.openxmlformats.org/officeDocument/2006/relationships/hyperlink" Target="https://es.inflation.eu/tasas-de-inflacion/estados-unidos/inflacion-historica/ipc-inflacion-estados-unidos-1985.aspx" TargetMode="External"/><Relationship Id="rId216" Type="http://schemas.openxmlformats.org/officeDocument/2006/relationships/hyperlink" Target="https://es.inflation.eu/tasas-de-inflacion/estados-unidos/inflacion-historica/ipc-inflacion-estados-unidos-1998.aspx" TargetMode="External"/><Relationship Id="rId237" Type="http://schemas.openxmlformats.org/officeDocument/2006/relationships/hyperlink" Target="https://es.inflation.eu/tasas-de-inflacion/estados-unidos/inflacion-historica/ipc-inflacion-estados-unidos-1957.aspx" TargetMode="External"/><Relationship Id="rId258" Type="http://schemas.openxmlformats.org/officeDocument/2006/relationships/hyperlink" Target="https://www.ey.com/es/es/home/ey-the-luxury-and-cosmetics-financial-factbook-2018" TargetMode="External"/><Relationship Id="rId279" Type="http://schemas.openxmlformats.org/officeDocument/2006/relationships/image" Target="media/image198.png"/><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33.png"/><Relationship Id="rId290" Type="http://schemas.openxmlformats.org/officeDocument/2006/relationships/hyperlink" Target="http://www.pewsocialtrends.org/2015/12/09/the-american-middle-class-is-losing-ground/st_2015-12-09_middle-class-11/" TargetMode="External"/><Relationship Id="rId304" Type="http://schemas.openxmlformats.org/officeDocument/2006/relationships/hyperlink" Target="http://www.pewresearch.org/staff/rakesh-kochhar" TargetMode="External"/><Relationship Id="rId325" Type="http://schemas.openxmlformats.org/officeDocument/2006/relationships/hyperlink" Target="http://www.pewglobal.org/2017/04/24/middle-class-fortunes-in-western-europe/st_2017-04-24_western-europe-middle-class_0-01/" TargetMode="External"/><Relationship Id="rId346" Type="http://schemas.openxmlformats.org/officeDocument/2006/relationships/hyperlink" Target="http://www.pewresearch.org/fact-tank/2016/12/08/gop-gained-ground-in-middle-class-communities-in-2016/" TargetMode="External"/><Relationship Id="rId85" Type="http://schemas.openxmlformats.org/officeDocument/2006/relationships/image" Target="media/image79.png"/><Relationship Id="rId150" Type="http://schemas.openxmlformats.org/officeDocument/2006/relationships/image" Target="media/image144.png"/><Relationship Id="rId171" Type="http://schemas.openxmlformats.org/officeDocument/2006/relationships/image" Target="media/image165.png"/><Relationship Id="rId192" Type="http://schemas.openxmlformats.org/officeDocument/2006/relationships/hyperlink" Target="https://es.inflation.eu/tasas-de-inflacion/estados-unidos/inflacion-historica/ipc-inflacion-estados-unidos-2010.aspx" TargetMode="External"/><Relationship Id="rId206" Type="http://schemas.openxmlformats.org/officeDocument/2006/relationships/hyperlink" Target="https://es.inflation.eu/tasas-de-inflacion/estados-unidos/inflacion-historica/ipc-inflacion-estados-unidos-2003.aspx" TargetMode="External"/><Relationship Id="rId227" Type="http://schemas.openxmlformats.org/officeDocument/2006/relationships/hyperlink" Target="https://es.inflation.eu/tasas-de-inflacion/estados-unidos/inflacion-historica/ipc-inflacion-estados-unidos-1962.aspx" TargetMode="External"/><Relationship Id="rId248" Type="http://schemas.openxmlformats.org/officeDocument/2006/relationships/image" Target="media/image180.png"/><Relationship Id="rId269" Type="http://schemas.openxmlformats.org/officeDocument/2006/relationships/hyperlink" Target="http://www.pewsocialtrends.org/2012/08/22/the-lost-decade-of-the-middle-class/" TargetMode="External"/><Relationship Id="rId12" Type="http://schemas.openxmlformats.org/officeDocument/2006/relationships/image" Target="media/image7.jpeg"/><Relationship Id="rId33" Type="http://schemas.openxmlformats.org/officeDocument/2006/relationships/image" Target="media/image27.png"/><Relationship Id="rId108" Type="http://schemas.openxmlformats.org/officeDocument/2006/relationships/image" Target="media/image102.png"/><Relationship Id="rId129" Type="http://schemas.openxmlformats.org/officeDocument/2006/relationships/image" Target="media/image123.png"/><Relationship Id="rId280" Type="http://schemas.openxmlformats.org/officeDocument/2006/relationships/hyperlink" Target="https://twitter.com/intent/tweet?url=http://pewrsr.ch/21MiEeA&amp;text=People%2065%20and%20older%20were%20the%20only%20ones%20that%20had%20a%20smaller%20share%20in%20the%20lower-income%20tier%20in%202015%20than%20in%201971" TargetMode="External"/><Relationship Id="rId315" Type="http://schemas.openxmlformats.org/officeDocument/2006/relationships/image" Target="media/image209.png"/><Relationship Id="rId336" Type="http://schemas.openxmlformats.org/officeDocument/2006/relationships/hyperlink" Target="http://www.mckinsey.com/global-themes/employment-and-growth/poorer-than-their-parents-a-new-perspective-on-income-inequality" TargetMode="External"/><Relationship Id="rId357" Type="http://schemas.openxmlformats.org/officeDocument/2006/relationships/hyperlink" Target="http://www.pewglobal.org/2017/04/24/middle-class-fortunes-in-western-europe/" TargetMode="External"/><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png"/><Relationship Id="rId140" Type="http://schemas.openxmlformats.org/officeDocument/2006/relationships/image" Target="media/image134.png"/><Relationship Id="rId161" Type="http://schemas.openxmlformats.org/officeDocument/2006/relationships/image" Target="media/image155.png"/><Relationship Id="rId182" Type="http://schemas.openxmlformats.org/officeDocument/2006/relationships/hyperlink" Target="https://es.inflation.eu/tasas-de-inflacion/estados-unidos/inflacion-historica/ipc-inflacion-estados-unidos-2015.aspx" TargetMode="External"/><Relationship Id="rId217" Type="http://schemas.openxmlformats.org/officeDocument/2006/relationships/hyperlink" Target="https://es.inflation.eu/tasas-de-inflacion/estados-unidos/inflacion-historica/ipc-inflacion-estados-unidos-1967.aspx" TargetMode="External"/><Relationship Id="rId6" Type="http://schemas.openxmlformats.org/officeDocument/2006/relationships/image" Target="media/image1.jpeg"/><Relationship Id="rId238" Type="http://schemas.openxmlformats.org/officeDocument/2006/relationships/hyperlink" Target="https://es.inflation.eu/tasas-de-inflacion/estados-unidos/inflacion-historica/ipc-inflacion-estados-unidos-1987.aspx" TargetMode="External"/><Relationship Id="rId259" Type="http://schemas.openxmlformats.org/officeDocument/2006/relationships/image" Target="media/image190.jpeg"/><Relationship Id="rId23" Type="http://schemas.openxmlformats.org/officeDocument/2006/relationships/image" Target="media/image17.png"/><Relationship Id="rId119" Type="http://schemas.openxmlformats.org/officeDocument/2006/relationships/image" Target="media/image113.png"/><Relationship Id="rId270" Type="http://schemas.openxmlformats.org/officeDocument/2006/relationships/hyperlink" Target="http://ucdata.berkeley.edu/publication_record.php?recid=96" TargetMode="External"/><Relationship Id="rId291" Type="http://schemas.openxmlformats.org/officeDocument/2006/relationships/image" Target="media/image203.png"/><Relationship Id="rId305" Type="http://schemas.openxmlformats.org/officeDocument/2006/relationships/hyperlink" Target="http://www.pewresearch.org/staff/anthony-cilluffo" TargetMode="External"/><Relationship Id="rId326" Type="http://schemas.openxmlformats.org/officeDocument/2006/relationships/hyperlink" Target="http://www.pewsocialtrends.org/2015/12/09/the-american-middle-class-is-losing-ground/" TargetMode="External"/><Relationship Id="rId347" Type="http://schemas.openxmlformats.org/officeDocument/2006/relationships/hyperlink" Target="https://www.nytimes.com/2016/11/10/upshot/why-trump-won-working-class-whites.html?_r=1" TargetMode="External"/><Relationship Id="rId44" Type="http://schemas.openxmlformats.org/officeDocument/2006/relationships/image" Target="media/image38.pn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image" Target="media/image124.png"/><Relationship Id="rId151" Type="http://schemas.openxmlformats.org/officeDocument/2006/relationships/image" Target="media/image145.png"/><Relationship Id="rId172" Type="http://schemas.openxmlformats.org/officeDocument/2006/relationships/image" Target="media/image166.png"/><Relationship Id="rId193" Type="http://schemas.openxmlformats.org/officeDocument/2006/relationships/hyperlink" Target="https://es.inflation.eu/tasas-de-inflacion/estados-unidos/inflacion-historica/ipc-inflacion-estados-unidos-1979.aspx" TargetMode="External"/><Relationship Id="rId207" Type="http://schemas.openxmlformats.org/officeDocument/2006/relationships/hyperlink" Target="https://es.inflation.eu/tasas-de-inflacion/estados-unidos/inflacion-historica/ipc-inflacion-estados-unidos-1972.aspx" TargetMode="External"/><Relationship Id="rId228" Type="http://schemas.openxmlformats.org/officeDocument/2006/relationships/hyperlink" Target="https://es.inflation.eu/tasas-de-inflacion/estados-unidos/inflacion-historica/ipc-inflacion-estados-unidos-1992.aspx" TargetMode="External"/><Relationship Id="rId249" Type="http://schemas.openxmlformats.org/officeDocument/2006/relationships/image" Target="media/image181.png"/><Relationship Id="rId13" Type="http://schemas.openxmlformats.org/officeDocument/2006/relationships/image" Target="media/image8.png"/><Relationship Id="rId109" Type="http://schemas.openxmlformats.org/officeDocument/2006/relationships/image" Target="media/image103.png"/><Relationship Id="rId260" Type="http://schemas.openxmlformats.org/officeDocument/2006/relationships/image" Target="media/image191.jpeg"/><Relationship Id="rId281" Type="http://schemas.openxmlformats.org/officeDocument/2006/relationships/hyperlink" Target="http://www.pewsocialtrends.org/2015/12/09/the-american-middle-class-is-losing-ground/st_2015-12-09_middle-class-07/" TargetMode="External"/><Relationship Id="rId316" Type="http://schemas.openxmlformats.org/officeDocument/2006/relationships/image" Target="media/image210.jpeg"/><Relationship Id="rId337" Type="http://schemas.openxmlformats.org/officeDocument/2006/relationships/hyperlink" Target="http://www.equality-of-opportunity.org/" TargetMode="External"/><Relationship Id="rId34" Type="http://schemas.openxmlformats.org/officeDocument/2006/relationships/image" Target="media/image28.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20" Type="http://schemas.openxmlformats.org/officeDocument/2006/relationships/image" Target="media/image114.png"/><Relationship Id="rId141" Type="http://schemas.openxmlformats.org/officeDocument/2006/relationships/image" Target="media/image135.png"/><Relationship Id="rId358" Type="http://schemas.openxmlformats.org/officeDocument/2006/relationships/hyperlink" Target="http://www.pewresearch.org/fact-tank/2017/06/05/through-an-american-lens-western-europes-middle-classes-appear-smaller/ft_17-05-22_europemiddleincome_2/" TargetMode="External"/><Relationship Id="rId7" Type="http://schemas.openxmlformats.org/officeDocument/2006/relationships/image" Target="media/image2.jpeg"/><Relationship Id="rId162" Type="http://schemas.openxmlformats.org/officeDocument/2006/relationships/image" Target="media/image156.png"/><Relationship Id="rId183" Type="http://schemas.openxmlformats.org/officeDocument/2006/relationships/hyperlink" Target="https://es.inflation.eu/tasas-de-inflacion/estados-unidos/inflacion-historica/ipc-inflacion-estados-unidos-1984.aspx" TargetMode="External"/><Relationship Id="rId218" Type="http://schemas.openxmlformats.org/officeDocument/2006/relationships/hyperlink" Target="https://es.inflation.eu/tasas-de-inflacion/estados-unidos/inflacion-historica/ipc-inflacion-estados-unidos-1997.aspx" TargetMode="External"/><Relationship Id="rId239" Type="http://schemas.openxmlformats.org/officeDocument/2006/relationships/hyperlink" Target="https://es.inflation.eu/tasas-de-inflacion/estados-unidos/inflacion-historica/ipc-inflacion-estados-unidos-1956.aspx" TargetMode="External"/><Relationship Id="rId250" Type="http://schemas.openxmlformats.org/officeDocument/2006/relationships/image" Target="media/image182.png"/><Relationship Id="rId271" Type="http://schemas.openxmlformats.org/officeDocument/2006/relationships/hyperlink" Target="http://soc.sagepub.com/content/early/2013/03/12/0038038513481128" TargetMode="External"/><Relationship Id="rId292" Type="http://schemas.openxmlformats.org/officeDocument/2006/relationships/hyperlink" Target="http://www.pewresearch.org/fact-tank/2014/12/12/racial-wealth-gaps-great-recession/" TargetMode="External"/><Relationship Id="rId306" Type="http://schemas.openxmlformats.org/officeDocument/2006/relationships/hyperlink" Target="http://www.pewsocialtrends.org/2015/12/09/the-american-middle-class-is-losing-ground/" TargetMode="External"/><Relationship Id="rId24" Type="http://schemas.openxmlformats.org/officeDocument/2006/relationships/image" Target="media/image18.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31" Type="http://schemas.openxmlformats.org/officeDocument/2006/relationships/image" Target="media/image125.png"/><Relationship Id="rId327" Type="http://schemas.openxmlformats.org/officeDocument/2006/relationships/hyperlink" Target="http://www.pewglobal.org/2017/04/24/middle-class-fortunes-in-western-europe/st_2017-04-24_western-europe-middle-class_0-02/" TargetMode="External"/><Relationship Id="rId348" Type="http://schemas.openxmlformats.org/officeDocument/2006/relationships/hyperlink" Target="https://www.wired.com/2017/02/ai-threat-isnt-skynet-end-middle-class/" TargetMode="External"/><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hyperlink" Target="https://es.inflation.eu/tasas-de-inflacion/estados-unidos/inflacion-historica/ipc-inflacion-estados-unidos-2009.aspx" TargetMode="External"/><Relationship Id="rId208" Type="http://schemas.openxmlformats.org/officeDocument/2006/relationships/hyperlink" Target="https://es.inflation.eu/tasas-de-inflacion/estados-unidos/inflacion-historica/ipc-inflacion-estados-unidos-2002.aspx" TargetMode="External"/><Relationship Id="rId229" Type="http://schemas.openxmlformats.org/officeDocument/2006/relationships/hyperlink" Target="https://es.inflation.eu/tasas-de-inflacion/estados-unidos/inflacion-historica/ipc-inflacion-estados-unidos-1961.aspx" TargetMode="External"/><Relationship Id="rId240" Type="http://schemas.openxmlformats.org/officeDocument/2006/relationships/image" Target="media/image172.png"/><Relationship Id="rId261" Type="http://schemas.openxmlformats.org/officeDocument/2006/relationships/image" Target="media/image192.jpeg"/><Relationship Id="rId14" Type="http://schemas.openxmlformats.org/officeDocument/2006/relationships/hyperlink" Target="http://www.chinadaily.com.cn/a/201801/17/WS5a5ec26aa310e4ebf433e4b9.html" TargetMode="External"/><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282" Type="http://schemas.openxmlformats.org/officeDocument/2006/relationships/image" Target="media/image199.png"/><Relationship Id="rId317" Type="http://schemas.openxmlformats.org/officeDocument/2006/relationships/hyperlink" Target="http://www.pewglobal.org/2017/04/24/middle-class-fortunes-in-western-europe/" TargetMode="External"/><Relationship Id="rId338" Type="http://schemas.openxmlformats.org/officeDocument/2006/relationships/hyperlink" Target="http://ilo.org/wcmsp5/groups/public/---europe/---ro-geneva/---ilo-brussels/documents/genericdocument/wcms_455739.pdf" TargetMode="External"/><Relationship Id="rId359" Type="http://schemas.openxmlformats.org/officeDocument/2006/relationships/image" Target="media/image218.png"/><Relationship Id="rId8" Type="http://schemas.openxmlformats.org/officeDocument/2006/relationships/image" Target="media/image3.jpe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hyperlink" Target="https://es.inflation.eu/tasas-de-inflacion/estados-unidos/inflacion-historica/ipc-inflacion-estados-unidos-2014.aspx" TargetMode="External"/><Relationship Id="rId219" Type="http://schemas.openxmlformats.org/officeDocument/2006/relationships/hyperlink" Target="https://es.inflation.eu/tasas-de-inflacion/estados-unidos/inflacion-historica/ipc-inflacion-estados-unidos-1966.aspx" TargetMode="External"/><Relationship Id="rId230" Type="http://schemas.openxmlformats.org/officeDocument/2006/relationships/hyperlink" Target="https://es.inflation.eu/tasas-de-inflacion/estados-unidos/inflacion-historica/ipc-inflacion-estados-unidos-1991.aspx" TargetMode="External"/><Relationship Id="rId251" Type="http://schemas.openxmlformats.org/officeDocument/2006/relationships/image" Target="media/image183.png"/><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272" Type="http://schemas.openxmlformats.org/officeDocument/2006/relationships/hyperlink" Target="http://www.pewsocialtrends.org/2015/12/09/the-american-middle-class-is-losing-ground/st_2015-12-09_middle-class-03/" TargetMode="External"/><Relationship Id="rId293" Type="http://schemas.openxmlformats.org/officeDocument/2006/relationships/hyperlink" Target="https://www.federalreserve.gov/econres/scfindex.htm" TargetMode="External"/><Relationship Id="rId307" Type="http://schemas.openxmlformats.org/officeDocument/2006/relationships/hyperlink" Target="http://www.pewresearch.org/fact-tank/2017/11/01/how-wealth-inequality-has-changed-in-the-u-s-since-the-great-recession-by-race-ethnicity-and-income/" TargetMode="External"/><Relationship Id="rId328" Type="http://schemas.openxmlformats.org/officeDocument/2006/relationships/hyperlink" Target="http://www.pewglobal.org/2017/04/24/middle-class-fortunes-in-western-europe/st_2017-04-24_western-europe-middle-class_0-03/" TargetMode="External"/><Relationship Id="rId349" Type="http://schemas.openxmlformats.org/officeDocument/2006/relationships/hyperlink" Target="http://www.nber.org/papers/w22637" TargetMode="External"/><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png"/><Relationship Id="rId195" Type="http://schemas.openxmlformats.org/officeDocument/2006/relationships/hyperlink" Target="https://es.inflation.eu/tasas-de-inflacion/estados-unidos/inflacion-historica/ipc-inflacion-estados-unidos-1978.aspx" TargetMode="External"/><Relationship Id="rId209" Type="http://schemas.openxmlformats.org/officeDocument/2006/relationships/hyperlink" Target="https://es.inflation.eu/tasas-de-inflacion/estados-unidos/inflacion-historica/ipc-inflacion-estados-unidos-1971.aspx" TargetMode="External"/><Relationship Id="rId360" Type="http://schemas.openxmlformats.org/officeDocument/2006/relationships/hyperlink" Target="http://www.pewresearch.org/fact-tank/2017/06/05/through-an-american-lens-western-europes-middle-classes-appear-smaller/ft_17-05-22_europemiddleincome/" TargetMode="External"/><Relationship Id="rId220" Type="http://schemas.openxmlformats.org/officeDocument/2006/relationships/hyperlink" Target="https://es.inflation.eu/tasas-de-inflacion/estados-unidos/inflacion-historica/ipc-inflacion-estados-unidos-1996.aspx" TargetMode="External"/><Relationship Id="rId241" Type="http://schemas.openxmlformats.org/officeDocument/2006/relationships/image" Target="media/image173.png"/><Relationship Id="rId15" Type="http://schemas.openxmlformats.org/officeDocument/2006/relationships/image" Target="media/image9.jpe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262" Type="http://schemas.openxmlformats.org/officeDocument/2006/relationships/hyperlink" Target="https://twitter.com/intent/tweet?url=http://pewrsr.ch/21MiEeA&amp;text=Fully%2049%25%20of%20U.S.%20aggregate%20income%20went%20to%20upper-income%20households%20in%202014%2C%20up%20from%2029%25%20in%201970" TargetMode="External"/><Relationship Id="rId283" Type="http://schemas.openxmlformats.org/officeDocument/2006/relationships/hyperlink" Target="http://www.pewsocialtrends.org/2015/12/09/the-american-middle-class-is-losing-ground/st_2015-12-09_middle-class-08/" TargetMode="External"/><Relationship Id="rId313" Type="http://schemas.openxmlformats.org/officeDocument/2006/relationships/hyperlink" Target="http://www.pewsocialtrends.org/2016/05/11/americas-shrinking-middle-class-a-close-look-at-changes-within-metropolitan-areas/" TargetMode="External"/><Relationship Id="rId318" Type="http://schemas.openxmlformats.org/officeDocument/2006/relationships/hyperlink" Target="http://www.pewsocialtrends.org/2016/05/11/americas-shrinking-middle-class-a-close-look-at-changes-within-metropolitan-areas/" TargetMode="External"/><Relationship Id="rId339" Type="http://schemas.openxmlformats.org/officeDocument/2006/relationships/hyperlink" Target="https://blog-imfdirect.imf.org/2017/02/22/the-imfs-work-on-inequality-bridging-research-and-reality/" TargetMode="External"/><Relationship Id="rId10" Type="http://schemas.openxmlformats.org/officeDocument/2006/relationships/image" Target="media/image5.jpe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48" Type="http://schemas.openxmlformats.org/officeDocument/2006/relationships/image" Target="media/image142.pn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hyperlink" Target="https://es.inflation.eu/tasas-de-inflacion/estados-unidos/inflacion-historica/ipc-inflacion-estados-unidos-1983.aspx" TargetMode="External"/><Relationship Id="rId334" Type="http://schemas.openxmlformats.org/officeDocument/2006/relationships/hyperlink" Target="http://www.pewglobal.org/2017/04/24/middle-class-fortunes-in-western-europe/st_2017-04-24_western-europe-middle-class_0-06/" TargetMode="External"/><Relationship Id="rId350" Type="http://schemas.openxmlformats.org/officeDocument/2006/relationships/hyperlink" Target="http://www.pewglobal.org/2017/04/24/middle-class-fortunes-in-western-europe/st_2017-04-24_western-europe-middle-class_1-01/" TargetMode="External"/><Relationship Id="rId355" Type="http://schemas.openxmlformats.org/officeDocument/2006/relationships/hyperlink" Target="http://www.pewglobal.org/2017/04/24/middle-class-fortunes-in-western-europe/st_2017-04-24_western-europe-middle-class_1-04/" TargetMode="External"/><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hyperlink" Target="https://es.inflation.eu/tasas-de-inflacion/estados-unidos/inflacion-historica/ipc-inflacion-estados-unidos-2016.aspx" TargetMode="External"/><Relationship Id="rId210" Type="http://schemas.openxmlformats.org/officeDocument/2006/relationships/hyperlink" Target="https://es.inflation.eu/tasas-de-inflacion/estados-unidos/inflacion-historica/ipc-inflacion-estados-unidos-2001.aspx" TargetMode="External"/><Relationship Id="rId215" Type="http://schemas.openxmlformats.org/officeDocument/2006/relationships/hyperlink" Target="https://es.inflation.eu/tasas-de-inflacion/estados-unidos/inflacion-historica/ipc-inflacion-estados-unidos-1968.aspx" TargetMode="External"/><Relationship Id="rId236" Type="http://schemas.openxmlformats.org/officeDocument/2006/relationships/hyperlink" Target="https://es.inflation.eu/tasas-de-inflacion/estados-unidos/inflacion-historica/ipc-inflacion-estados-unidos-1988.aspx" TargetMode="External"/><Relationship Id="rId257" Type="http://schemas.openxmlformats.org/officeDocument/2006/relationships/image" Target="media/image189.png"/><Relationship Id="rId278" Type="http://schemas.openxmlformats.org/officeDocument/2006/relationships/hyperlink" Target="http://www.pewsocialtrends.org/2015/12/09/the-american-middle-class-is-losing-ground/st_2015-12-09_middle-class-06/" TargetMode="External"/><Relationship Id="rId26" Type="http://schemas.openxmlformats.org/officeDocument/2006/relationships/image" Target="media/image20.png"/><Relationship Id="rId231" Type="http://schemas.openxmlformats.org/officeDocument/2006/relationships/hyperlink" Target="https://es.inflation.eu/tasas-de-inflacion/estados-unidos/inflacion-historica/ipc-inflacion-estados-unidos-1960.aspx" TargetMode="External"/><Relationship Id="rId252" Type="http://schemas.openxmlformats.org/officeDocument/2006/relationships/image" Target="media/image184.png"/><Relationship Id="rId273" Type="http://schemas.openxmlformats.org/officeDocument/2006/relationships/image" Target="media/image195.png"/><Relationship Id="rId294" Type="http://schemas.openxmlformats.org/officeDocument/2006/relationships/hyperlink" Target="http://www.pewresearch.org/fact-tank/2017/11/01/how-wealth-inequality-has-changed-in-the-u-s-since-the-great-recession-by-race-ethnicity-and-income/ft_17-10-30_wealth-gap_racial_ethnic_gaps/" TargetMode="External"/><Relationship Id="rId308" Type="http://schemas.openxmlformats.org/officeDocument/2006/relationships/hyperlink" Target="http://www.pewresearch.org/fact-tank/2014/12/17/wealth-gap-upper-middle-income/" TargetMode="External"/><Relationship Id="rId329" Type="http://schemas.openxmlformats.org/officeDocument/2006/relationships/hyperlink" Target="http://bookshop.europa.eu/is-bin/INTERSHOP.enfinity/WFS/EU-Bookshop-Site/en_GB/-/EUR/ViewPublication-Start?PublicationKey=KCAH12107" TargetMode="External"/><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jpe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png"/><Relationship Id="rId340" Type="http://schemas.openxmlformats.org/officeDocument/2006/relationships/hyperlink" Target="https://www.imf.org/external/pubs/ft/wp/2016/wp16121.pdf" TargetMode="External"/><Relationship Id="rId361" Type="http://schemas.openxmlformats.org/officeDocument/2006/relationships/image" Target="media/image219.png"/><Relationship Id="rId196" Type="http://schemas.openxmlformats.org/officeDocument/2006/relationships/hyperlink" Target="https://es.inflation.eu/tasas-de-inflacion/estados-unidos/inflacion-historica/ipc-inflacion-estados-unidos-2008.aspx" TargetMode="External"/><Relationship Id="rId200" Type="http://schemas.openxmlformats.org/officeDocument/2006/relationships/hyperlink" Target="https://es.inflation.eu/tasas-de-inflacion/estados-unidos/inflacion-historica/ipc-inflacion-estados-unidos-2006.aspx" TargetMode="External"/><Relationship Id="rId16" Type="http://schemas.openxmlformats.org/officeDocument/2006/relationships/image" Target="media/image10.png"/><Relationship Id="rId221" Type="http://schemas.openxmlformats.org/officeDocument/2006/relationships/hyperlink" Target="https://es.inflation.eu/tasas-de-inflacion/estados-unidos/inflacion-historica/ipc-inflacion-estados-unidos-1965.aspx" TargetMode="External"/><Relationship Id="rId242" Type="http://schemas.openxmlformats.org/officeDocument/2006/relationships/image" Target="media/image174.png"/><Relationship Id="rId263" Type="http://schemas.openxmlformats.org/officeDocument/2006/relationships/hyperlink" Target="https://twitter.com/intent/tweet?url=http://pewrsr.ch/21MiEeA&amp;text=In%202015%2C%20the%20middle%20class%20made%20up%2050%25%20of%20the%20U.S.%20adult%20population%2C%20down%20from%2061%25%20in%201971" TargetMode="External"/><Relationship Id="rId284" Type="http://schemas.openxmlformats.org/officeDocument/2006/relationships/image" Target="media/image200.png"/><Relationship Id="rId319" Type="http://schemas.openxmlformats.org/officeDocument/2006/relationships/hyperlink" Target="http://www.pewglobal.org/2017/04/24/middle-class-fortunes-in-western-europe/" TargetMode="External"/><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330" Type="http://schemas.openxmlformats.org/officeDocument/2006/relationships/hyperlink" Target="https://mpra.ub.uni-muenchen.de/76863/1/MPRA_paper_76863.pdf" TargetMode="External"/><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hyperlink" Target="https://es.inflation.eu/tasas-de-inflacion/estados-unidos/inflacion-historica/ipc-inflacion-estados-unidos-2013.aspx" TargetMode="External"/><Relationship Id="rId351" Type="http://schemas.openxmlformats.org/officeDocument/2006/relationships/image" Target="media/image215.png"/><Relationship Id="rId211" Type="http://schemas.openxmlformats.org/officeDocument/2006/relationships/hyperlink" Target="https://es.inflation.eu/tasas-de-inflacion/estados-unidos/inflacion-historica/ipc-inflacion-estados-unidos-1970.aspx" TargetMode="External"/><Relationship Id="rId232" Type="http://schemas.openxmlformats.org/officeDocument/2006/relationships/hyperlink" Target="https://es.inflation.eu/tasas-de-inflacion/estados-unidos/inflacion-historica/ipc-inflacion-estados-unidos-1990.aspx" TargetMode="External"/><Relationship Id="rId253" Type="http://schemas.openxmlformats.org/officeDocument/2006/relationships/image" Target="media/image185.png"/><Relationship Id="rId274" Type="http://schemas.openxmlformats.org/officeDocument/2006/relationships/hyperlink" Target="http://www.pewsocialtrends.org/2015/12/09/the-american-middle-class-is-losing-ground/st_2015-12-09_middle-class-04/" TargetMode="External"/><Relationship Id="rId295" Type="http://schemas.openxmlformats.org/officeDocument/2006/relationships/image" Target="media/image204.png"/><Relationship Id="rId309" Type="http://schemas.openxmlformats.org/officeDocument/2006/relationships/hyperlink" Target="http://www.pewsocialtrends.org/2018/07/12/income-inequality-in-the-u-s-is-rising-most-rapidly-among-asians/" TargetMode="External"/><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jpeg"/><Relationship Id="rId134" Type="http://schemas.openxmlformats.org/officeDocument/2006/relationships/image" Target="media/image128.png"/><Relationship Id="rId320" Type="http://schemas.openxmlformats.org/officeDocument/2006/relationships/image" Target="media/image211.png"/><Relationship Id="rId80" Type="http://schemas.openxmlformats.org/officeDocument/2006/relationships/image" Target="media/image74.png"/><Relationship Id="rId155" Type="http://schemas.openxmlformats.org/officeDocument/2006/relationships/image" Target="media/image149.png"/><Relationship Id="rId176" Type="http://schemas.openxmlformats.org/officeDocument/2006/relationships/image" Target="media/image170.png"/><Relationship Id="rId197" Type="http://schemas.openxmlformats.org/officeDocument/2006/relationships/hyperlink" Target="https://es.inflation.eu/tasas-de-inflacion/estados-unidos/inflacion-historica/ipc-inflacion-estados-unidos-1977.aspx" TargetMode="External"/><Relationship Id="rId341" Type="http://schemas.openxmlformats.org/officeDocument/2006/relationships/hyperlink" Target="https://www.imf.org/external/pubs/ft/wp/2013/wp13249.pdf" TargetMode="External"/><Relationship Id="rId362" Type="http://schemas.openxmlformats.org/officeDocument/2006/relationships/hyperlink" Target="http://klenow.com/Jones_Klenow.pdf" TargetMode="External"/><Relationship Id="rId201" Type="http://schemas.openxmlformats.org/officeDocument/2006/relationships/hyperlink" Target="https://es.inflation.eu/tasas-de-inflacion/estados-unidos/inflacion-historica/ipc-inflacion-estados-unidos-1975.aspx" TargetMode="External"/><Relationship Id="rId222" Type="http://schemas.openxmlformats.org/officeDocument/2006/relationships/hyperlink" Target="https://es.inflation.eu/tasas-de-inflacion/estados-unidos/inflacion-historica/ipc-inflacion-estados-unidos-1995.aspx" TargetMode="External"/><Relationship Id="rId243" Type="http://schemas.openxmlformats.org/officeDocument/2006/relationships/image" Target="media/image175.jpeg"/><Relationship Id="rId264" Type="http://schemas.openxmlformats.org/officeDocument/2006/relationships/hyperlink" Target="http://www.pewsocialtrends.org/2015/12/09/the-american-middle-class-is-losing-ground/st_2015-12-09_middle-class-01/" TargetMode="External"/><Relationship Id="rId285" Type="http://schemas.openxmlformats.org/officeDocument/2006/relationships/hyperlink" Target="https://twitter.com/intent/tweet?url=http://pewrsr.ch/21MiEeA&amp;text=In%202015%2C%2050%25%20of%20American%20adults%20were%20middle%20income%2C%20compared%20with%2061%25%20in%201971" TargetMode="External"/><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310" Type="http://schemas.openxmlformats.org/officeDocument/2006/relationships/hyperlink" Target="http://www.hamiltonproject.org/papers/the_closing_of_the_jobs_gap_a_decade_of_recession_and_recovery" TargetMode="External"/><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60.png"/><Relationship Id="rId187" Type="http://schemas.openxmlformats.org/officeDocument/2006/relationships/hyperlink" Target="https://es.inflation.eu/tasas-de-inflacion/estados-unidos/inflacion-historica/ipc-inflacion-estados-unidos-1982.aspx" TargetMode="External"/><Relationship Id="rId331" Type="http://schemas.openxmlformats.org/officeDocument/2006/relationships/hyperlink" Target="http://www.pewglobal.org/2017/04/24/middle-class-fortunes-in-western-europe/st_2017-04-24_western-europe-middle-class_0-04/" TargetMode="External"/><Relationship Id="rId352" Type="http://schemas.openxmlformats.org/officeDocument/2006/relationships/hyperlink" Target="http://www.pewglobal.org/2017/04/24/middle-class-fortunes-in-western-europe/st_2017-04-24_western-europe-middle-class_1-02/" TargetMode="External"/><Relationship Id="rId1" Type="http://schemas.openxmlformats.org/officeDocument/2006/relationships/numbering" Target="numbering.xml"/><Relationship Id="rId212" Type="http://schemas.openxmlformats.org/officeDocument/2006/relationships/hyperlink" Target="https://es.inflation.eu/tasas-de-inflacion/estados-unidos/inflacion-historica/ipc-inflacion-estados-unidos-2000.aspx" TargetMode="External"/><Relationship Id="rId233" Type="http://schemas.openxmlformats.org/officeDocument/2006/relationships/hyperlink" Target="https://es.inflation.eu/tasas-de-inflacion/estados-unidos/inflacion-historica/ipc-inflacion-estados-unidos-1959.aspx" TargetMode="External"/><Relationship Id="rId254" Type="http://schemas.openxmlformats.org/officeDocument/2006/relationships/image" Target="media/image186.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275" Type="http://schemas.openxmlformats.org/officeDocument/2006/relationships/image" Target="media/image196.png"/><Relationship Id="rId296" Type="http://schemas.openxmlformats.org/officeDocument/2006/relationships/hyperlink" Target="https://www.federalreserve.gov/econres/notes/feds-notes/recent-trends-in-wealth-holding-by-race-and-ethnicity-evidence-from-the-survey-of-consumer-finances-20170927.htm" TargetMode="External"/><Relationship Id="rId300" Type="http://schemas.openxmlformats.org/officeDocument/2006/relationships/image" Target="media/image206.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71.jpeg"/><Relationship Id="rId198" Type="http://schemas.openxmlformats.org/officeDocument/2006/relationships/hyperlink" Target="https://es.inflation.eu/tasas-de-inflacion/estados-unidos/inflacion-historica/ipc-inflacion-estados-unidos-2007.aspx" TargetMode="External"/><Relationship Id="rId321" Type="http://schemas.openxmlformats.org/officeDocument/2006/relationships/hyperlink" Target="http://www.pewsocialtrends.org/2015/12/09/the-american-middle-class-is-losing-ground/" TargetMode="External"/><Relationship Id="rId342" Type="http://schemas.openxmlformats.org/officeDocument/2006/relationships/hyperlink" Target="http://www.oecd-ilibrary.org/social-issues-migration-health/trends-in-income-inequality-and-its-impact-on-economic-growth_5jxrjncwxv6j-en" TargetMode="External"/><Relationship Id="rId363" Type="http://schemas.openxmlformats.org/officeDocument/2006/relationships/fontTable" Target="fontTable.xml"/><Relationship Id="rId202" Type="http://schemas.openxmlformats.org/officeDocument/2006/relationships/hyperlink" Target="https://es.inflation.eu/tasas-de-inflacion/estados-unidos/inflacion-historica/ipc-inflacion-estados-unidos-2005.aspx" TargetMode="External"/><Relationship Id="rId223" Type="http://schemas.openxmlformats.org/officeDocument/2006/relationships/hyperlink" Target="https://es.inflation.eu/tasas-de-inflacion/estados-unidos/inflacion-historica/ipc-inflacion-estados-unidos-1964.aspx" TargetMode="External"/><Relationship Id="rId244" Type="http://schemas.openxmlformats.org/officeDocument/2006/relationships/image" Target="media/image176.png"/><Relationship Id="rId18" Type="http://schemas.openxmlformats.org/officeDocument/2006/relationships/image" Target="media/image12.png"/><Relationship Id="rId39" Type="http://schemas.openxmlformats.org/officeDocument/2006/relationships/image" Target="media/image33.png"/><Relationship Id="rId265" Type="http://schemas.openxmlformats.org/officeDocument/2006/relationships/image" Target="media/image193.png"/><Relationship Id="rId286" Type="http://schemas.openxmlformats.org/officeDocument/2006/relationships/hyperlink" Target="http://www.pewsocialtrends.org/2015/12/09/the-american-middle-class-is-losing-ground/st_2015-12-09_middle-class-09/" TargetMode="External"/><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hyperlink" Target="https://es.inflation.eu/tasas-de-inflacion/estados-unidos/inflacion-historica/ipc-inflacion-estados-unidos-2012.aspx" TargetMode="External"/><Relationship Id="rId311" Type="http://schemas.openxmlformats.org/officeDocument/2006/relationships/hyperlink" Target="https://fred.stlouisfed.org/series/A939RX0Q048SBEA" TargetMode="External"/><Relationship Id="rId332" Type="http://schemas.openxmlformats.org/officeDocument/2006/relationships/image" Target="media/image214.png"/><Relationship Id="rId353" Type="http://schemas.openxmlformats.org/officeDocument/2006/relationships/hyperlink" Target="http://www.pewglobal.org/2017/04/24/middle-class-fortunes-in-western-europe/st_2017-04-24_western-europe-middle-class_1-03/" TargetMode="External"/><Relationship Id="rId71" Type="http://schemas.openxmlformats.org/officeDocument/2006/relationships/image" Target="media/image65.png"/><Relationship Id="rId92" Type="http://schemas.openxmlformats.org/officeDocument/2006/relationships/image" Target="media/image86.png"/><Relationship Id="rId213" Type="http://schemas.openxmlformats.org/officeDocument/2006/relationships/hyperlink" Target="https://es.inflation.eu/tasas-de-inflacion/estados-unidos/inflacion-historica/ipc-inflacion-estados-unidos-1969.aspx" TargetMode="External"/><Relationship Id="rId234" Type="http://schemas.openxmlformats.org/officeDocument/2006/relationships/hyperlink" Target="https://es.inflation.eu/tasas-de-inflacion/estados-unidos/inflacion-historica/ipc-inflacion-estados-unidos-1989.aspx" TargetMode="External"/><Relationship Id="rId2" Type="http://schemas.openxmlformats.org/officeDocument/2006/relationships/styles" Target="styles.xml"/><Relationship Id="rId29" Type="http://schemas.openxmlformats.org/officeDocument/2006/relationships/image" Target="media/image23.png"/><Relationship Id="rId255" Type="http://schemas.openxmlformats.org/officeDocument/2006/relationships/image" Target="media/image187.png"/><Relationship Id="rId276" Type="http://schemas.openxmlformats.org/officeDocument/2006/relationships/hyperlink" Target="http://www.pewsocialtrends.org/2015/12/09/the-american-middle-class-is-losing-ground/st_2015-12-09_middle-class-05/" TargetMode="External"/><Relationship Id="rId297" Type="http://schemas.openxmlformats.org/officeDocument/2006/relationships/hyperlink" Target="http://www.pewsocialtrends.org/2015/12/09/methodology/" TargetMode="External"/><Relationship Id="rId40" Type="http://schemas.openxmlformats.org/officeDocument/2006/relationships/image" Target="media/image34.png"/><Relationship Id="rId115" Type="http://schemas.openxmlformats.org/officeDocument/2006/relationships/image" Target="media/image109.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hyperlink" Target="https://es.inflation.eu/tasas-de-inflacion/estados-unidos/inflacion-historica/ipc-inflacion-estados-unidos-2017.aspx" TargetMode="External"/><Relationship Id="rId301" Type="http://schemas.openxmlformats.org/officeDocument/2006/relationships/image" Target="media/image207.png"/><Relationship Id="rId322" Type="http://schemas.openxmlformats.org/officeDocument/2006/relationships/image" Target="media/image212.png"/><Relationship Id="rId343" Type="http://schemas.openxmlformats.org/officeDocument/2006/relationships/hyperlink" Target="http://www.equality-of-opportunity.org/assets/documents/mobility_geo.pdf" TargetMode="External"/><Relationship Id="rId364" Type="http://schemas.openxmlformats.org/officeDocument/2006/relationships/theme" Target="theme/theme1.xml"/><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hyperlink" Target="https://es.inflation.eu/tasas-de-inflacion/estados-unidos/inflacion-historica/ipc-inflacion-estados-unidos-1976.aspx" TargetMode="External"/><Relationship Id="rId203" Type="http://schemas.openxmlformats.org/officeDocument/2006/relationships/hyperlink" Target="https://es.inflation.eu/tasas-de-inflacion/estados-unidos/inflacion-historica/ipc-inflacion-estados-unidos-1974.aspx" TargetMode="External"/><Relationship Id="rId19" Type="http://schemas.openxmlformats.org/officeDocument/2006/relationships/image" Target="media/image13.png"/><Relationship Id="rId224" Type="http://schemas.openxmlformats.org/officeDocument/2006/relationships/hyperlink" Target="https://es.inflation.eu/tasas-de-inflacion/estados-unidos/inflacion-historica/ipc-inflacion-estados-unidos-1994.aspx" TargetMode="External"/><Relationship Id="rId245" Type="http://schemas.openxmlformats.org/officeDocument/2006/relationships/image" Target="media/image177.png"/><Relationship Id="rId266" Type="http://schemas.openxmlformats.org/officeDocument/2006/relationships/hyperlink" Target="http://www.pewsocialtrends.org/2015/12/09/the-american-middle-class-is-losing-ground/st_2015-12-09_middle-class-02/" TargetMode="External"/><Relationship Id="rId287" Type="http://schemas.openxmlformats.org/officeDocument/2006/relationships/image" Target="media/image201.png"/><Relationship Id="rId30" Type="http://schemas.openxmlformats.org/officeDocument/2006/relationships/image" Target="media/image2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312" Type="http://schemas.openxmlformats.org/officeDocument/2006/relationships/hyperlink" Target="https://www.census.gov/data/tables/2017/demo/income-poverty/p60-259.html" TargetMode="External"/><Relationship Id="rId333" Type="http://schemas.openxmlformats.org/officeDocument/2006/relationships/hyperlink" Target="http://www.pewglobal.org/2017/04/24/middle-class-fortunes-in-western-europe/st_2017-04-24_western-europe-middle-class_0-05/" TargetMode="External"/><Relationship Id="rId354" Type="http://schemas.openxmlformats.org/officeDocument/2006/relationships/image" Target="media/image216.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189" Type="http://schemas.openxmlformats.org/officeDocument/2006/relationships/hyperlink" Target="https://es.inflation.eu/tasas-de-inflacion/estados-unidos/inflacion-historica/ipc-inflacion-estados-unidos-1981.aspx" TargetMode="External"/><Relationship Id="rId3" Type="http://schemas.microsoft.com/office/2007/relationships/stylesWithEffects" Target="stylesWithEffects.xml"/><Relationship Id="rId214" Type="http://schemas.openxmlformats.org/officeDocument/2006/relationships/hyperlink" Target="https://es.inflation.eu/tasas-de-inflacion/estados-unidos/inflacion-historica/ipc-inflacion-estados-unidos-1999.aspx" TargetMode="External"/><Relationship Id="rId235" Type="http://schemas.openxmlformats.org/officeDocument/2006/relationships/hyperlink" Target="https://es.inflation.eu/tasas-de-inflacion/estados-unidos/inflacion-historica/ipc-inflacion-estados-unidos-1958.aspx" TargetMode="External"/><Relationship Id="rId256" Type="http://schemas.openxmlformats.org/officeDocument/2006/relationships/image" Target="media/image188.png"/><Relationship Id="rId277" Type="http://schemas.openxmlformats.org/officeDocument/2006/relationships/image" Target="media/image197.png"/><Relationship Id="rId298" Type="http://schemas.openxmlformats.org/officeDocument/2006/relationships/image" Target="media/image205.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302" Type="http://schemas.openxmlformats.org/officeDocument/2006/relationships/hyperlink" Target="http://www.pewresearch.org/fact-tank/2014/12/17/wealth-gap-upper-middle-income/" TargetMode="External"/><Relationship Id="rId323" Type="http://schemas.openxmlformats.org/officeDocument/2006/relationships/image" Target="media/image213.png"/><Relationship Id="rId344" Type="http://schemas.openxmlformats.org/officeDocument/2006/relationships/hyperlink" Target="https://obamawhitehouse.archives.gov/sites/default/files/speech_2012_01_12.pdf" TargetMode="External"/><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179" Type="http://schemas.openxmlformats.org/officeDocument/2006/relationships/hyperlink" Target="https://es.inflation.eu/tasas-de-inflacion/estados-unidos/inflacion-historica/ipc-inflacion-estados-unidos-1986.aspx" TargetMode="External"/><Relationship Id="rId190" Type="http://schemas.openxmlformats.org/officeDocument/2006/relationships/hyperlink" Target="https://es.inflation.eu/tasas-de-inflacion/estados-unidos/inflacion-historica/ipc-inflacion-estados-unidos-2011.aspx" TargetMode="External"/><Relationship Id="rId204" Type="http://schemas.openxmlformats.org/officeDocument/2006/relationships/hyperlink" Target="https://es.inflation.eu/tasas-de-inflacion/estados-unidos/inflacion-historica/ipc-inflacion-estados-unidos-2004.aspx" TargetMode="External"/><Relationship Id="rId225" Type="http://schemas.openxmlformats.org/officeDocument/2006/relationships/hyperlink" Target="https://es.inflation.eu/tasas-de-inflacion/estados-unidos/inflacion-historica/ipc-inflacion-estados-unidos-1963.aspx" TargetMode="External"/><Relationship Id="rId246" Type="http://schemas.openxmlformats.org/officeDocument/2006/relationships/image" Target="media/image178.png"/><Relationship Id="rId267" Type="http://schemas.openxmlformats.org/officeDocument/2006/relationships/image" Target="media/image194.png"/><Relationship Id="rId288" Type="http://schemas.openxmlformats.org/officeDocument/2006/relationships/hyperlink" Target="http://www.pewsocialtrends.org/2015/12/09/the-american-middle-class-is-losing-ground/st_2015-12-09_middle-class-10/"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195</Pages>
  <Words>50618</Words>
  <Characters>278404</Characters>
  <Application>Microsoft Office Word</Application>
  <DocSecurity>0</DocSecurity>
  <Lines>2320</Lines>
  <Paragraphs>656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328366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2019-01-28T12:57:00Z</dcterms:created>
  <dcterms:modified xsi:type="dcterms:W3CDTF">2019-01-28T12:57:00Z</dcterms:modified>
</cp:coreProperties>
</file>