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56A9" w:rsidRDefault="00797E09">
      <w:pPr>
        <w:rPr>
          <w:rFonts w:ascii="Times New Roman" w:hAnsi="Times New Roman" w:cs="Times New Roman"/>
          <w:b/>
          <w:sz w:val="24"/>
          <w:szCs w:val="24"/>
        </w:rPr>
      </w:pPr>
      <w:r w:rsidRPr="00797E09">
        <w:rPr>
          <w:rFonts w:ascii="Times New Roman" w:hAnsi="Times New Roman" w:cs="Times New Roman"/>
          <w:b/>
          <w:sz w:val="24"/>
          <w:szCs w:val="24"/>
        </w:rPr>
        <w:t xml:space="preserve">Paper </w:t>
      </w:r>
      <w:r w:rsidR="001A0533">
        <w:rPr>
          <w:rFonts w:ascii="Times New Roman" w:hAnsi="Times New Roman" w:cs="Times New Roman"/>
          <w:b/>
          <w:sz w:val="24"/>
          <w:szCs w:val="24"/>
        </w:rPr>
        <w:t xml:space="preserve">- </w:t>
      </w:r>
      <w:r w:rsidRPr="00797E09">
        <w:rPr>
          <w:rFonts w:ascii="Times New Roman" w:hAnsi="Times New Roman" w:cs="Times New Roman"/>
          <w:b/>
          <w:sz w:val="24"/>
          <w:szCs w:val="24"/>
        </w:rPr>
        <w:t xml:space="preserve">Euro-punto de vista: </w:t>
      </w:r>
      <w:r w:rsidR="0099481E">
        <w:rPr>
          <w:rFonts w:ascii="Times New Roman" w:hAnsi="Times New Roman" w:cs="Times New Roman"/>
          <w:b/>
          <w:sz w:val="24"/>
          <w:szCs w:val="24"/>
        </w:rPr>
        <w:t>¿</w:t>
      </w:r>
      <w:r w:rsidR="00903335">
        <w:rPr>
          <w:rFonts w:ascii="Times New Roman" w:hAnsi="Times New Roman" w:cs="Times New Roman"/>
          <w:b/>
          <w:sz w:val="24"/>
          <w:szCs w:val="24"/>
        </w:rPr>
        <w:t>es</w:t>
      </w:r>
      <w:r w:rsidR="00717CED">
        <w:rPr>
          <w:rFonts w:ascii="Times New Roman" w:hAnsi="Times New Roman" w:cs="Times New Roman"/>
          <w:b/>
          <w:sz w:val="24"/>
          <w:szCs w:val="24"/>
        </w:rPr>
        <w:t>tamos en</w:t>
      </w:r>
      <w:r w:rsidR="002F5176">
        <w:rPr>
          <w:rFonts w:ascii="Times New Roman" w:hAnsi="Times New Roman" w:cs="Times New Roman"/>
          <w:b/>
          <w:sz w:val="24"/>
          <w:szCs w:val="24"/>
        </w:rPr>
        <w:t xml:space="preserve"> </w:t>
      </w:r>
      <w:r w:rsidR="0099481E">
        <w:rPr>
          <w:rFonts w:ascii="Times New Roman" w:hAnsi="Times New Roman" w:cs="Times New Roman"/>
          <w:b/>
          <w:sz w:val="24"/>
          <w:szCs w:val="24"/>
        </w:rPr>
        <w:t xml:space="preserve">el “memento </w:t>
      </w:r>
      <w:proofErr w:type="spellStart"/>
      <w:r w:rsidR="0099481E">
        <w:rPr>
          <w:rFonts w:ascii="Times New Roman" w:hAnsi="Times New Roman" w:cs="Times New Roman"/>
          <w:b/>
          <w:sz w:val="24"/>
          <w:szCs w:val="24"/>
        </w:rPr>
        <w:t>mori</w:t>
      </w:r>
      <w:proofErr w:type="spellEnd"/>
      <w:r w:rsidR="0099481E">
        <w:rPr>
          <w:rFonts w:ascii="Times New Roman" w:hAnsi="Times New Roman" w:cs="Times New Roman"/>
          <w:b/>
          <w:sz w:val="24"/>
          <w:szCs w:val="24"/>
        </w:rPr>
        <w:t xml:space="preserve">” de </w:t>
      </w:r>
      <w:r w:rsidRPr="00797E09">
        <w:rPr>
          <w:rFonts w:ascii="Times New Roman" w:hAnsi="Times New Roman" w:cs="Times New Roman"/>
          <w:b/>
          <w:sz w:val="24"/>
          <w:szCs w:val="24"/>
        </w:rPr>
        <w:t xml:space="preserve"> la Unión Europea</w:t>
      </w:r>
      <w:r w:rsidR="0099481E">
        <w:rPr>
          <w:rFonts w:ascii="Times New Roman" w:hAnsi="Times New Roman" w:cs="Times New Roman"/>
          <w:b/>
          <w:sz w:val="24"/>
          <w:szCs w:val="24"/>
        </w:rPr>
        <w:t>?</w:t>
      </w:r>
    </w:p>
    <w:p w:rsidR="00A70A60" w:rsidRPr="00797E09" w:rsidRDefault="00A70A60">
      <w:pPr>
        <w:rPr>
          <w:rFonts w:ascii="Times New Roman" w:hAnsi="Times New Roman" w:cs="Times New Roman"/>
          <w:b/>
          <w:sz w:val="24"/>
          <w:szCs w:val="24"/>
        </w:rPr>
      </w:pPr>
      <w:r>
        <w:rPr>
          <w:noProof/>
          <w:lang w:val="en-GB" w:eastAsia="en-GB"/>
        </w:rPr>
        <w:drawing>
          <wp:inline distT="0" distB="0" distL="0" distR="0">
            <wp:extent cx="5670550" cy="2520950"/>
            <wp:effectExtent l="0" t="0" r="6350" b="0"/>
            <wp:docPr id="5" name="Imagen 5" descr="Foto de Â¿De verdad hay alguien a quien le importe la UniÃ³n Europea? La geopolÃ­tica y sus perde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de Â¿De verdad hay alguien a quien le importe la UniÃ³n Europea? La geopolÃ­tica y sus perdedores"/>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0550" cy="2520950"/>
                    </a:xfrm>
                    <a:prstGeom prst="rect">
                      <a:avLst/>
                    </a:prstGeom>
                    <a:noFill/>
                    <a:ln>
                      <a:noFill/>
                    </a:ln>
                  </pic:spPr>
                </pic:pic>
              </a:graphicData>
            </a:graphic>
          </wp:inline>
        </w:drawing>
      </w:r>
    </w:p>
    <w:p w:rsidR="008945E5" w:rsidRPr="008945E5" w:rsidRDefault="008945E5" w:rsidP="00797E09">
      <w:pPr>
        <w:spacing w:line="240" w:lineRule="auto"/>
        <w:jc w:val="both"/>
        <w:rPr>
          <w:rFonts w:ascii="Times New Roman" w:hAnsi="Times New Roman" w:cs="Times New Roman"/>
          <w:b/>
          <w:sz w:val="24"/>
          <w:szCs w:val="24"/>
        </w:rPr>
      </w:pPr>
      <w:r w:rsidRPr="008945E5">
        <w:rPr>
          <w:rFonts w:ascii="Times New Roman" w:hAnsi="Times New Roman" w:cs="Times New Roman"/>
          <w:b/>
          <w:sz w:val="24"/>
          <w:szCs w:val="24"/>
        </w:rPr>
        <w:t>- Introduc</w:t>
      </w:r>
      <w:r w:rsidR="00E60407">
        <w:rPr>
          <w:rFonts w:ascii="Times New Roman" w:hAnsi="Times New Roman" w:cs="Times New Roman"/>
          <w:b/>
          <w:sz w:val="24"/>
          <w:szCs w:val="24"/>
        </w:rPr>
        <w:t>ción: lo que PIMCO non da, Davos</w:t>
      </w:r>
      <w:r w:rsidRPr="008945E5">
        <w:rPr>
          <w:rFonts w:ascii="Times New Roman" w:hAnsi="Times New Roman" w:cs="Times New Roman"/>
          <w:b/>
          <w:sz w:val="24"/>
          <w:szCs w:val="24"/>
        </w:rPr>
        <w:t xml:space="preserve"> non presta</w:t>
      </w:r>
      <w:r w:rsidR="00D95F69">
        <w:rPr>
          <w:rFonts w:ascii="Times New Roman" w:hAnsi="Times New Roman" w:cs="Times New Roman"/>
          <w:b/>
          <w:sz w:val="24"/>
          <w:szCs w:val="24"/>
        </w:rPr>
        <w:t>(los “cisnes negros” y</w:t>
      </w:r>
      <w:r w:rsidR="00E60407">
        <w:rPr>
          <w:rFonts w:ascii="Times New Roman" w:hAnsi="Times New Roman" w:cs="Times New Roman"/>
          <w:b/>
          <w:sz w:val="24"/>
          <w:szCs w:val="24"/>
        </w:rPr>
        <w:t xml:space="preserve"> la UE)</w:t>
      </w:r>
    </w:p>
    <w:p w:rsidR="00F640DE" w:rsidRDefault="00DB4B8B"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Muchos </w:t>
      </w:r>
      <w:r w:rsidR="00F640DE">
        <w:rPr>
          <w:rFonts w:ascii="Times New Roman" w:hAnsi="Times New Roman" w:cs="Times New Roman"/>
          <w:sz w:val="24"/>
          <w:szCs w:val="24"/>
        </w:rPr>
        <w:t>analistas opinan que, en la actualidad (septiembre 2019), la Unión Europea, ni suma, ni resta. Que la han “borrado</w:t>
      </w:r>
      <w:r>
        <w:rPr>
          <w:rFonts w:ascii="Times New Roman" w:hAnsi="Times New Roman" w:cs="Times New Roman"/>
          <w:sz w:val="24"/>
          <w:szCs w:val="24"/>
        </w:rPr>
        <w:t>” de la aritmética</w:t>
      </w:r>
      <w:r w:rsidR="00064395">
        <w:rPr>
          <w:rFonts w:ascii="Times New Roman" w:hAnsi="Times New Roman" w:cs="Times New Roman"/>
          <w:sz w:val="24"/>
          <w:szCs w:val="24"/>
        </w:rPr>
        <w:t xml:space="preserve">. </w:t>
      </w:r>
      <w:r w:rsidR="00F640DE">
        <w:rPr>
          <w:rFonts w:ascii="Times New Roman" w:hAnsi="Times New Roman" w:cs="Times New Roman"/>
          <w:sz w:val="24"/>
          <w:szCs w:val="24"/>
        </w:rPr>
        <w:t xml:space="preserve">Otros analistas dicen que la Unión Europea, </w:t>
      </w:r>
      <w:r>
        <w:rPr>
          <w:rFonts w:ascii="Times New Roman" w:hAnsi="Times New Roman" w:cs="Times New Roman"/>
          <w:sz w:val="24"/>
          <w:szCs w:val="24"/>
        </w:rPr>
        <w:t>“</w:t>
      </w:r>
      <w:r w:rsidR="00F640DE">
        <w:rPr>
          <w:rFonts w:ascii="Times New Roman" w:hAnsi="Times New Roman" w:cs="Times New Roman"/>
          <w:sz w:val="24"/>
          <w:szCs w:val="24"/>
        </w:rPr>
        <w:t>no suele perder ninguna oportunidad</w:t>
      </w:r>
      <w:r>
        <w:rPr>
          <w:rFonts w:ascii="Times New Roman" w:hAnsi="Times New Roman" w:cs="Times New Roman"/>
          <w:sz w:val="24"/>
          <w:szCs w:val="24"/>
        </w:rPr>
        <w:t>,</w:t>
      </w:r>
      <w:r w:rsidR="00F640DE">
        <w:rPr>
          <w:rFonts w:ascii="Times New Roman" w:hAnsi="Times New Roman" w:cs="Times New Roman"/>
          <w:sz w:val="24"/>
          <w:szCs w:val="24"/>
        </w:rPr>
        <w:t xml:space="preserve"> de perder una oportunidad</w:t>
      </w:r>
      <w:r>
        <w:rPr>
          <w:rFonts w:ascii="Times New Roman" w:hAnsi="Times New Roman" w:cs="Times New Roman"/>
          <w:sz w:val="24"/>
          <w:szCs w:val="24"/>
        </w:rPr>
        <w:t>”</w:t>
      </w:r>
      <w:r w:rsidR="00064395">
        <w:rPr>
          <w:rFonts w:ascii="Times New Roman" w:hAnsi="Times New Roman" w:cs="Times New Roman"/>
          <w:sz w:val="24"/>
          <w:szCs w:val="24"/>
        </w:rPr>
        <w:t xml:space="preserve">. </w:t>
      </w:r>
      <w:r w:rsidR="00F640DE">
        <w:rPr>
          <w:rFonts w:ascii="Times New Roman" w:hAnsi="Times New Roman" w:cs="Times New Roman"/>
          <w:sz w:val="24"/>
          <w:szCs w:val="24"/>
        </w:rPr>
        <w:t>Lamentablemente (aunque no duela reconocerlo) se están cumpliendo los peores pronósticos sobre el proyecto europeo, y no hay nada que augure que esta vez vaya a ser diferente.</w:t>
      </w:r>
    </w:p>
    <w:p w:rsidR="00DB4B8B" w:rsidRDefault="00DB4B8B"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 todos los </w:t>
      </w:r>
      <w:r w:rsidR="00610E41">
        <w:rPr>
          <w:rFonts w:ascii="Times New Roman" w:hAnsi="Times New Roman" w:cs="Times New Roman"/>
          <w:sz w:val="24"/>
          <w:szCs w:val="24"/>
        </w:rPr>
        <w:t>“</w:t>
      </w:r>
      <w:r>
        <w:rPr>
          <w:rFonts w:ascii="Times New Roman" w:hAnsi="Times New Roman" w:cs="Times New Roman"/>
          <w:sz w:val="24"/>
          <w:szCs w:val="24"/>
        </w:rPr>
        <w:t>perjuicios</w:t>
      </w:r>
      <w:r w:rsidR="00610E41">
        <w:rPr>
          <w:rFonts w:ascii="Times New Roman" w:hAnsi="Times New Roman" w:cs="Times New Roman"/>
          <w:sz w:val="24"/>
          <w:szCs w:val="24"/>
        </w:rPr>
        <w:t>”</w:t>
      </w:r>
      <w:r w:rsidR="00EA3F85">
        <w:rPr>
          <w:rFonts w:ascii="Times New Roman" w:hAnsi="Times New Roman" w:cs="Times New Roman"/>
          <w:sz w:val="24"/>
          <w:szCs w:val="24"/>
        </w:rPr>
        <w:t xml:space="preserve"> que afectan</w:t>
      </w:r>
      <w:r>
        <w:rPr>
          <w:rFonts w:ascii="Times New Roman" w:hAnsi="Times New Roman" w:cs="Times New Roman"/>
          <w:sz w:val="24"/>
          <w:szCs w:val="24"/>
        </w:rPr>
        <w:t xml:space="preserve"> de</w:t>
      </w:r>
      <w:r w:rsidR="00F640DE">
        <w:rPr>
          <w:rFonts w:ascii="Times New Roman" w:hAnsi="Times New Roman" w:cs="Times New Roman"/>
          <w:sz w:val="24"/>
          <w:szCs w:val="24"/>
        </w:rPr>
        <w:t xml:space="preserve"> la Unión Europea</w:t>
      </w:r>
      <w:r>
        <w:rPr>
          <w:rFonts w:ascii="Times New Roman" w:hAnsi="Times New Roman" w:cs="Times New Roman"/>
          <w:sz w:val="24"/>
          <w:szCs w:val="24"/>
        </w:rPr>
        <w:t>,</w:t>
      </w:r>
      <w:r w:rsidR="00F640DE">
        <w:rPr>
          <w:rFonts w:ascii="Times New Roman" w:hAnsi="Times New Roman" w:cs="Times New Roman"/>
          <w:sz w:val="24"/>
          <w:szCs w:val="24"/>
        </w:rPr>
        <w:t xml:space="preserve"> desde el inicio de la crisis de las hipotecas subprime en los EEUU (septiem</w:t>
      </w:r>
      <w:r w:rsidR="00EA3F85">
        <w:rPr>
          <w:rFonts w:ascii="Times New Roman" w:hAnsi="Times New Roman" w:cs="Times New Roman"/>
          <w:sz w:val="24"/>
          <w:szCs w:val="24"/>
        </w:rPr>
        <w:t>bre 2008), que sumió a la región</w:t>
      </w:r>
      <w:r w:rsidR="00F640DE">
        <w:rPr>
          <w:rFonts w:ascii="Times New Roman" w:hAnsi="Times New Roman" w:cs="Times New Roman"/>
          <w:sz w:val="24"/>
          <w:szCs w:val="24"/>
        </w:rPr>
        <w:t xml:space="preserve"> en la mayor depresi</w:t>
      </w:r>
      <w:r>
        <w:rPr>
          <w:rFonts w:ascii="Times New Roman" w:hAnsi="Times New Roman" w:cs="Times New Roman"/>
          <w:sz w:val="24"/>
          <w:szCs w:val="24"/>
        </w:rPr>
        <w:t>ón desde el año 1930, lo que resulta</w:t>
      </w:r>
      <w:r w:rsidR="00EA3F85">
        <w:rPr>
          <w:rFonts w:ascii="Times New Roman" w:hAnsi="Times New Roman" w:cs="Times New Roman"/>
          <w:sz w:val="24"/>
          <w:szCs w:val="24"/>
        </w:rPr>
        <w:t xml:space="preserve"> más desolador, en mi opinión, ha sido la pérdida del afecto</w:t>
      </w:r>
      <w:r>
        <w:rPr>
          <w:rFonts w:ascii="Times New Roman" w:hAnsi="Times New Roman" w:cs="Times New Roman"/>
          <w:sz w:val="24"/>
          <w:szCs w:val="24"/>
        </w:rPr>
        <w:t xml:space="preserve"> de los amigos (socios)</w:t>
      </w:r>
      <w:r w:rsidR="00610E41">
        <w:rPr>
          <w:rFonts w:ascii="Times New Roman" w:hAnsi="Times New Roman" w:cs="Times New Roman"/>
          <w:sz w:val="24"/>
          <w:szCs w:val="24"/>
        </w:rPr>
        <w:t>,</w:t>
      </w:r>
      <w:r w:rsidR="00EA3F85">
        <w:rPr>
          <w:rFonts w:ascii="Times New Roman" w:hAnsi="Times New Roman" w:cs="Times New Roman"/>
          <w:sz w:val="24"/>
          <w:szCs w:val="24"/>
        </w:rPr>
        <w:t xml:space="preserve"> y la pérdida del respeto</w:t>
      </w:r>
      <w:r>
        <w:rPr>
          <w:rFonts w:ascii="Times New Roman" w:hAnsi="Times New Roman" w:cs="Times New Roman"/>
          <w:sz w:val="24"/>
          <w:szCs w:val="24"/>
        </w:rPr>
        <w:t xml:space="preserve"> de los enemigos (competidores). </w:t>
      </w:r>
    </w:p>
    <w:p w:rsidR="00C30D20" w:rsidRDefault="00DB4B8B"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algo más de 10 años de crisis financiera (contagiada por los EEUU, </w:t>
      </w:r>
      <w:r w:rsidR="00C30D20">
        <w:rPr>
          <w:rFonts w:ascii="Times New Roman" w:hAnsi="Times New Roman" w:cs="Times New Roman"/>
          <w:sz w:val="24"/>
          <w:szCs w:val="24"/>
        </w:rPr>
        <w:t>con la “estúpida”</w:t>
      </w:r>
      <w:r w:rsidR="00610E41">
        <w:rPr>
          <w:rFonts w:ascii="Times New Roman" w:hAnsi="Times New Roman" w:cs="Times New Roman"/>
          <w:sz w:val="24"/>
          <w:szCs w:val="24"/>
        </w:rPr>
        <w:t xml:space="preserve"> complicidad</w:t>
      </w:r>
      <w:r w:rsidR="00C30D20">
        <w:rPr>
          <w:rFonts w:ascii="Times New Roman" w:hAnsi="Times New Roman" w:cs="Times New Roman"/>
          <w:sz w:val="24"/>
          <w:szCs w:val="24"/>
        </w:rPr>
        <w:t xml:space="preserve"> necesaria de la banca europea) en </w:t>
      </w:r>
      <w:r w:rsidR="00610E41">
        <w:rPr>
          <w:rFonts w:ascii="Times New Roman" w:hAnsi="Times New Roman" w:cs="Times New Roman"/>
          <w:sz w:val="24"/>
          <w:szCs w:val="24"/>
        </w:rPr>
        <w:t>los países miembro de la Unión Europea</w:t>
      </w:r>
      <w:r w:rsidR="00C30D20">
        <w:rPr>
          <w:rFonts w:ascii="Times New Roman" w:hAnsi="Times New Roman" w:cs="Times New Roman"/>
          <w:sz w:val="24"/>
          <w:szCs w:val="24"/>
        </w:rPr>
        <w:t xml:space="preserve"> (aunque me duela reconocerlo), tan solo queda “incertidumbre”</w:t>
      </w:r>
      <w:r w:rsidR="00610E41">
        <w:rPr>
          <w:rFonts w:ascii="Times New Roman" w:hAnsi="Times New Roman" w:cs="Times New Roman"/>
          <w:sz w:val="24"/>
          <w:szCs w:val="24"/>
        </w:rPr>
        <w:t xml:space="preserve">, </w:t>
      </w:r>
      <w:r w:rsidR="00C30D20">
        <w:rPr>
          <w:rFonts w:ascii="Times New Roman" w:hAnsi="Times New Roman" w:cs="Times New Roman"/>
          <w:sz w:val="24"/>
          <w:szCs w:val="24"/>
        </w:rPr>
        <w:t>“decepción” y un montón de “sentimientos heridos”.</w:t>
      </w:r>
      <w:r w:rsidR="00610E41">
        <w:rPr>
          <w:rFonts w:ascii="Times New Roman" w:hAnsi="Times New Roman" w:cs="Times New Roman"/>
          <w:sz w:val="24"/>
          <w:szCs w:val="24"/>
        </w:rPr>
        <w:t xml:space="preserve"> El “euroescepticismo” de los </w:t>
      </w:r>
      <w:r w:rsidR="007D67F3">
        <w:rPr>
          <w:rFonts w:ascii="Times New Roman" w:hAnsi="Times New Roman" w:cs="Times New Roman"/>
          <w:sz w:val="24"/>
          <w:szCs w:val="24"/>
        </w:rPr>
        <w:t>ciudadanos</w:t>
      </w:r>
      <w:r w:rsidR="00EA3F85">
        <w:rPr>
          <w:rFonts w:ascii="Times New Roman" w:hAnsi="Times New Roman" w:cs="Times New Roman"/>
          <w:sz w:val="24"/>
          <w:szCs w:val="24"/>
        </w:rPr>
        <w:t>, se justifica</w:t>
      </w:r>
      <w:r w:rsidR="00610E41">
        <w:rPr>
          <w:rFonts w:ascii="Times New Roman" w:hAnsi="Times New Roman" w:cs="Times New Roman"/>
          <w:sz w:val="24"/>
          <w:szCs w:val="24"/>
        </w:rPr>
        <w:t>.</w:t>
      </w:r>
    </w:p>
    <w:p w:rsidR="00C30D20" w:rsidRDefault="00C30D20"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¿Puede decirse que la Unión Europea es un </w:t>
      </w:r>
      <w:r w:rsidR="007D67F3">
        <w:rPr>
          <w:rFonts w:ascii="Times New Roman" w:hAnsi="Times New Roman" w:cs="Times New Roman"/>
          <w:sz w:val="24"/>
          <w:szCs w:val="24"/>
        </w:rPr>
        <w:t>oxímoron</w:t>
      </w:r>
      <w:r>
        <w:rPr>
          <w:rFonts w:ascii="Times New Roman" w:hAnsi="Times New Roman" w:cs="Times New Roman"/>
          <w:sz w:val="24"/>
          <w:szCs w:val="24"/>
        </w:rPr>
        <w:t>? (*)</w:t>
      </w:r>
    </w:p>
    <w:p w:rsidR="00CA7061" w:rsidRDefault="00CA7061"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En su “</w:t>
      </w:r>
      <w:r w:rsidR="007D67F3">
        <w:rPr>
          <w:rFonts w:ascii="Times New Roman" w:hAnsi="Times New Roman" w:cs="Times New Roman"/>
          <w:sz w:val="24"/>
          <w:szCs w:val="24"/>
        </w:rPr>
        <w:t>relativización</w:t>
      </w:r>
      <w:r>
        <w:rPr>
          <w:rFonts w:ascii="Times New Roman" w:hAnsi="Times New Roman" w:cs="Times New Roman"/>
          <w:sz w:val="24"/>
          <w:szCs w:val="24"/>
        </w:rPr>
        <w:t>” permanente (¿perpetua?) el grav</w:t>
      </w:r>
      <w:r w:rsidR="00610E41">
        <w:rPr>
          <w:rFonts w:ascii="Times New Roman" w:hAnsi="Times New Roman" w:cs="Times New Roman"/>
          <w:sz w:val="24"/>
          <w:szCs w:val="24"/>
        </w:rPr>
        <w:t>e</w:t>
      </w:r>
      <w:r>
        <w:rPr>
          <w:rFonts w:ascii="Times New Roman" w:hAnsi="Times New Roman" w:cs="Times New Roman"/>
          <w:sz w:val="24"/>
          <w:szCs w:val="24"/>
        </w:rPr>
        <w:t xml:space="preserve"> problema es que nunca pasa de las palabras a los hechos, de la expresión a la acción, </w:t>
      </w:r>
      <w:r w:rsidR="00064395">
        <w:rPr>
          <w:rFonts w:ascii="Times New Roman" w:hAnsi="Times New Roman" w:cs="Times New Roman"/>
          <w:sz w:val="24"/>
          <w:szCs w:val="24"/>
        </w:rPr>
        <w:t xml:space="preserve">de la intención a la ejecución. </w:t>
      </w:r>
      <w:r>
        <w:rPr>
          <w:rFonts w:ascii="Times New Roman" w:hAnsi="Times New Roman" w:cs="Times New Roman"/>
          <w:sz w:val="24"/>
          <w:szCs w:val="24"/>
        </w:rPr>
        <w:t>Relativizar la trascendencia de lo que ocurre (de nuevo) en la Unión Europea, constituye una práctica cesión premeditada de los líderes (¿pensadores?) débiles, sean del país que sea.</w:t>
      </w:r>
    </w:p>
    <w:p w:rsidR="00610E41" w:rsidRDefault="00C30D20"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Más adelante, tal vez, los estudiosos</w:t>
      </w:r>
      <w:r w:rsidR="00064395">
        <w:rPr>
          <w:rFonts w:ascii="Times New Roman" w:hAnsi="Times New Roman" w:cs="Times New Roman"/>
          <w:sz w:val="24"/>
          <w:szCs w:val="24"/>
        </w:rPr>
        <w:t>, podrán corroborar</w:t>
      </w:r>
      <w:r w:rsidR="00610E41">
        <w:rPr>
          <w:rFonts w:ascii="Times New Roman" w:hAnsi="Times New Roman" w:cs="Times New Roman"/>
          <w:sz w:val="24"/>
          <w:szCs w:val="24"/>
        </w:rPr>
        <w:t xml:space="preserve"> la frase</w:t>
      </w:r>
      <w:r w:rsidR="00EA3F85">
        <w:rPr>
          <w:rFonts w:ascii="Times New Roman" w:hAnsi="Times New Roman" w:cs="Times New Roman"/>
          <w:sz w:val="24"/>
          <w:szCs w:val="24"/>
        </w:rPr>
        <w:t xml:space="preserve"> (aunque duela imaginarlo)</w:t>
      </w:r>
      <w:r w:rsidR="00064395">
        <w:rPr>
          <w:rFonts w:ascii="Times New Roman" w:hAnsi="Times New Roman" w:cs="Times New Roman"/>
          <w:sz w:val="24"/>
          <w:szCs w:val="24"/>
        </w:rPr>
        <w:t>:“</w:t>
      </w:r>
      <w:r w:rsidR="00610E41" w:rsidRPr="00610E41">
        <w:rPr>
          <w:rFonts w:ascii="Times New Roman" w:hAnsi="Times New Roman" w:cs="Times New Roman"/>
          <w:sz w:val="24"/>
          <w:szCs w:val="24"/>
        </w:rPr>
        <w:t>La historia ocurre dos veces: la primera vez como una gran tragedia</w:t>
      </w:r>
      <w:r w:rsidR="00610E41">
        <w:rPr>
          <w:rFonts w:ascii="Times New Roman" w:hAnsi="Times New Roman" w:cs="Times New Roman"/>
          <w:sz w:val="24"/>
          <w:szCs w:val="24"/>
        </w:rPr>
        <w:t xml:space="preserve"> (</w:t>
      </w:r>
      <w:r w:rsidR="00A80695">
        <w:rPr>
          <w:rFonts w:ascii="Times New Roman" w:hAnsi="Times New Roman" w:cs="Times New Roman"/>
          <w:sz w:val="24"/>
          <w:szCs w:val="24"/>
        </w:rPr>
        <w:t xml:space="preserve">la </w:t>
      </w:r>
      <w:r w:rsidR="00610E41">
        <w:rPr>
          <w:rFonts w:ascii="Times New Roman" w:hAnsi="Times New Roman" w:cs="Times New Roman"/>
          <w:sz w:val="24"/>
          <w:szCs w:val="24"/>
        </w:rPr>
        <w:t>Segunda Guerra Mundial)</w:t>
      </w:r>
      <w:r w:rsidR="00610E41" w:rsidRPr="00610E41">
        <w:rPr>
          <w:rFonts w:ascii="Times New Roman" w:hAnsi="Times New Roman" w:cs="Times New Roman"/>
          <w:sz w:val="24"/>
          <w:szCs w:val="24"/>
        </w:rPr>
        <w:t xml:space="preserve"> y la segunda</w:t>
      </w:r>
      <w:r w:rsidR="00064395">
        <w:rPr>
          <w:rFonts w:ascii="Times New Roman" w:hAnsi="Times New Roman" w:cs="Times New Roman"/>
          <w:sz w:val="24"/>
          <w:szCs w:val="24"/>
        </w:rPr>
        <w:t xml:space="preserve"> como una miserable farsa</w:t>
      </w:r>
      <w:r w:rsidR="00610E41">
        <w:rPr>
          <w:rFonts w:ascii="Times New Roman" w:hAnsi="Times New Roman" w:cs="Times New Roman"/>
          <w:sz w:val="24"/>
          <w:szCs w:val="24"/>
        </w:rPr>
        <w:t xml:space="preserve"> (la Unión Europea)</w:t>
      </w:r>
      <w:r w:rsidR="00064395">
        <w:rPr>
          <w:rFonts w:ascii="Times New Roman" w:hAnsi="Times New Roman" w:cs="Times New Roman"/>
          <w:sz w:val="24"/>
          <w:szCs w:val="24"/>
        </w:rPr>
        <w:t xml:space="preserve">” (**) </w:t>
      </w:r>
    </w:p>
    <w:p w:rsidR="00064395" w:rsidRDefault="00C30D20"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D67F3">
        <w:rPr>
          <w:rFonts w:ascii="Times New Roman" w:hAnsi="Times New Roman" w:cs="Times New Roman"/>
          <w:sz w:val="24"/>
          <w:szCs w:val="24"/>
        </w:rPr>
        <w:t>Oxímoron</w:t>
      </w:r>
      <w:r>
        <w:rPr>
          <w:rFonts w:ascii="Times New Roman" w:hAnsi="Times New Roman" w:cs="Times New Roman"/>
          <w:sz w:val="24"/>
          <w:szCs w:val="24"/>
        </w:rPr>
        <w:t>: figura retórica</w:t>
      </w:r>
      <w:r w:rsidR="00CA7061">
        <w:rPr>
          <w:rFonts w:ascii="Times New Roman" w:hAnsi="Times New Roman" w:cs="Times New Roman"/>
          <w:sz w:val="24"/>
          <w:szCs w:val="24"/>
        </w:rPr>
        <w:t xml:space="preserve"> de pensamiento que consiste en complementar una palabra con otra que tiene un significado contrario u opuesto.</w:t>
      </w:r>
    </w:p>
    <w:p w:rsidR="00F640DE" w:rsidRDefault="00064395"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Famosa frase de Marx “</w:t>
      </w:r>
      <w:r w:rsidRPr="00064395">
        <w:rPr>
          <w:rFonts w:ascii="Times New Roman" w:hAnsi="Times New Roman" w:cs="Times New Roman"/>
          <w:sz w:val="24"/>
          <w:szCs w:val="24"/>
        </w:rPr>
        <w:t xml:space="preserve">La historia ocurre dos veces: la primera vez como una gran tragedia y la </w:t>
      </w:r>
      <w:r>
        <w:rPr>
          <w:rFonts w:ascii="Times New Roman" w:hAnsi="Times New Roman" w:cs="Times New Roman"/>
          <w:sz w:val="24"/>
          <w:szCs w:val="24"/>
        </w:rPr>
        <w:t>segunda como una miserable farsa”</w:t>
      </w:r>
      <w:r w:rsidRPr="00064395">
        <w:rPr>
          <w:rFonts w:ascii="Times New Roman" w:hAnsi="Times New Roman" w:cs="Times New Roman"/>
          <w:sz w:val="24"/>
          <w:szCs w:val="24"/>
        </w:rPr>
        <w:t xml:space="preserve"> (que es un complemento a la frase original formulada por Hegel)</w:t>
      </w:r>
    </w:p>
    <w:p w:rsidR="00064395" w:rsidRDefault="005F3821" w:rsidP="0006439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 xml:space="preserve">PIMCO “dixit”: </w:t>
      </w:r>
      <w:r w:rsidR="00064395" w:rsidRPr="00064395">
        <w:rPr>
          <w:rFonts w:ascii="Times New Roman" w:hAnsi="Times New Roman" w:cs="Times New Roman"/>
          <w:sz w:val="24"/>
          <w:szCs w:val="24"/>
          <w:u w:val="single"/>
        </w:rPr>
        <w:t>En el mejor de los casos Europa se enfrenta a un periodo de bajo crecimiento</w:t>
      </w:r>
    </w:p>
    <w:p w:rsidR="001A0533" w:rsidRDefault="001A0533" w:rsidP="00064395">
      <w:pPr>
        <w:spacing w:line="240" w:lineRule="auto"/>
        <w:jc w:val="both"/>
        <w:rPr>
          <w:rFonts w:ascii="Times New Roman" w:hAnsi="Times New Roman" w:cs="Times New Roman"/>
          <w:sz w:val="24"/>
          <w:szCs w:val="24"/>
        </w:rPr>
      </w:pPr>
      <w:r w:rsidRPr="00EA3F85">
        <w:rPr>
          <w:rFonts w:ascii="Times New Roman" w:hAnsi="Times New Roman" w:cs="Times New Roman"/>
          <w:sz w:val="24"/>
          <w:szCs w:val="24"/>
          <w:lang w:val="en-US"/>
        </w:rPr>
        <w:t>Pacific Inve</w:t>
      </w:r>
      <w:r w:rsidR="00EA3F85">
        <w:rPr>
          <w:rFonts w:ascii="Times New Roman" w:hAnsi="Times New Roman" w:cs="Times New Roman"/>
          <w:sz w:val="24"/>
          <w:szCs w:val="24"/>
          <w:lang w:val="en-US"/>
        </w:rPr>
        <w:t>stment Management Company</w:t>
      </w:r>
      <w:r w:rsidR="00EA3F85" w:rsidRPr="00EA3F85">
        <w:rPr>
          <w:rFonts w:ascii="Times New Roman" w:hAnsi="Times New Roman" w:cs="Times New Roman"/>
          <w:sz w:val="24"/>
          <w:szCs w:val="24"/>
          <w:lang w:val="en-US"/>
        </w:rPr>
        <w:t xml:space="preserve"> LLC. </w:t>
      </w:r>
      <w:r w:rsidRPr="001A0533">
        <w:rPr>
          <w:rFonts w:ascii="Times New Roman" w:hAnsi="Times New Roman" w:cs="Times New Roman"/>
          <w:sz w:val="24"/>
          <w:szCs w:val="24"/>
        </w:rPr>
        <w:t>(comúnmente llamada PIMCO), es una firma de inversión con sede en Newport Beach, California, en los Estados Unidos, y uno de los mayores gestores de activos de inversión gl</w:t>
      </w:r>
      <w:r>
        <w:rPr>
          <w:rFonts w:ascii="Times New Roman" w:hAnsi="Times New Roman" w:cs="Times New Roman"/>
          <w:sz w:val="24"/>
          <w:szCs w:val="24"/>
        </w:rPr>
        <w:t>obales de renta fija del mundo.</w:t>
      </w:r>
      <w:r w:rsidRPr="001A0533">
        <w:rPr>
          <w:rFonts w:ascii="Times New Roman" w:hAnsi="Times New Roman" w:cs="Times New Roman"/>
          <w:sz w:val="24"/>
          <w:szCs w:val="24"/>
        </w:rPr>
        <w:t>​ Al 31 de diciembre de 2012</w:t>
      </w:r>
      <w:r>
        <w:rPr>
          <w:rFonts w:ascii="Times New Roman" w:hAnsi="Times New Roman" w:cs="Times New Roman"/>
          <w:sz w:val="24"/>
          <w:szCs w:val="24"/>
        </w:rPr>
        <w:t xml:space="preserve"> c</w:t>
      </w:r>
      <w:r w:rsidR="00277102">
        <w:rPr>
          <w:rFonts w:ascii="Times New Roman" w:hAnsi="Times New Roman" w:cs="Times New Roman"/>
          <w:sz w:val="24"/>
          <w:szCs w:val="24"/>
        </w:rPr>
        <w:t>ontaba con 2 billones US</w:t>
      </w:r>
      <w:r>
        <w:rPr>
          <w:rFonts w:ascii="Times New Roman" w:hAnsi="Times New Roman" w:cs="Times New Roman"/>
          <w:sz w:val="24"/>
          <w:szCs w:val="24"/>
        </w:rPr>
        <w:t>$ en activos bajo gestión.</w:t>
      </w:r>
      <w:r w:rsidRPr="001A0533">
        <w:rPr>
          <w:rFonts w:ascii="Times New Roman" w:hAnsi="Times New Roman" w:cs="Times New Roman"/>
          <w:sz w:val="24"/>
          <w:szCs w:val="24"/>
        </w:rPr>
        <w:t>​ Se trata del inversor</w:t>
      </w:r>
      <w:r>
        <w:rPr>
          <w:rFonts w:ascii="Times New Roman" w:hAnsi="Times New Roman" w:cs="Times New Roman"/>
          <w:sz w:val="24"/>
          <w:szCs w:val="24"/>
        </w:rPr>
        <w:t xml:space="preserve"> de bonos más grande del mundo.</w:t>
      </w:r>
      <w:r w:rsidRPr="001A0533">
        <w:rPr>
          <w:rFonts w:ascii="Times New Roman" w:hAnsi="Times New Roman" w:cs="Times New Roman"/>
          <w:sz w:val="24"/>
          <w:szCs w:val="24"/>
        </w:rPr>
        <w:t>​</w:t>
      </w:r>
    </w:p>
    <w:p w:rsidR="001A0533" w:rsidRDefault="001A0533" w:rsidP="00064395">
      <w:pPr>
        <w:spacing w:line="240" w:lineRule="auto"/>
        <w:jc w:val="both"/>
        <w:rPr>
          <w:rFonts w:ascii="Times New Roman" w:hAnsi="Times New Roman" w:cs="Times New Roman"/>
          <w:sz w:val="24"/>
          <w:szCs w:val="24"/>
        </w:rPr>
      </w:pPr>
      <w:r w:rsidRPr="001A0533">
        <w:rPr>
          <w:rFonts w:ascii="Times New Roman" w:hAnsi="Times New Roman" w:cs="Times New Roman"/>
          <w:sz w:val="24"/>
          <w:szCs w:val="24"/>
        </w:rPr>
        <w:t>La g</w:t>
      </w:r>
      <w:r>
        <w:rPr>
          <w:rFonts w:ascii="Times New Roman" w:hAnsi="Times New Roman" w:cs="Times New Roman"/>
          <w:sz w:val="24"/>
          <w:szCs w:val="24"/>
        </w:rPr>
        <w:t xml:space="preserve">estora, </w:t>
      </w:r>
      <w:r w:rsidRPr="001A0533">
        <w:rPr>
          <w:rFonts w:ascii="Times New Roman" w:hAnsi="Times New Roman" w:cs="Times New Roman"/>
          <w:sz w:val="24"/>
          <w:szCs w:val="24"/>
        </w:rPr>
        <w:t>fue fundada en California por el mítico inversor Bill Gross y en 1999 fue adquirida por la aseguradora alemana Alli</w:t>
      </w:r>
      <w:r w:rsidR="005F3821">
        <w:rPr>
          <w:rFonts w:ascii="Times New Roman" w:hAnsi="Times New Roman" w:cs="Times New Roman"/>
          <w:sz w:val="24"/>
          <w:szCs w:val="24"/>
        </w:rPr>
        <w:t xml:space="preserve">anz. </w:t>
      </w:r>
      <w:r w:rsidR="00277102">
        <w:rPr>
          <w:rFonts w:ascii="Times New Roman" w:hAnsi="Times New Roman" w:cs="Times New Roman"/>
          <w:sz w:val="24"/>
          <w:szCs w:val="24"/>
        </w:rPr>
        <w:t>C</w:t>
      </w:r>
      <w:r w:rsidRPr="001A0533">
        <w:rPr>
          <w:rFonts w:ascii="Times New Roman" w:hAnsi="Times New Roman" w:cs="Times New Roman"/>
          <w:sz w:val="24"/>
          <w:szCs w:val="24"/>
        </w:rPr>
        <w:t>uenta con más de 2.000 profesionales en 12 país</w:t>
      </w:r>
      <w:r w:rsidR="00277102">
        <w:rPr>
          <w:rFonts w:ascii="Times New Roman" w:hAnsi="Times New Roman" w:cs="Times New Roman"/>
          <w:sz w:val="24"/>
          <w:szCs w:val="24"/>
        </w:rPr>
        <w:t xml:space="preserve">es dedicados a </w:t>
      </w:r>
      <w:r w:rsidRPr="001A0533">
        <w:rPr>
          <w:rFonts w:ascii="Times New Roman" w:hAnsi="Times New Roman" w:cs="Times New Roman"/>
          <w:sz w:val="24"/>
          <w:szCs w:val="24"/>
        </w:rPr>
        <w:t>gestionar r</w:t>
      </w:r>
      <w:r w:rsidR="00277102">
        <w:rPr>
          <w:rFonts w:ascii="Times New Roman" w:hAnsi="Times New Roman" w:cs="Times New Roman"/>
          <w:sz w:val="24"/>
          <w:szCs w:val="24"/>
        </w:rPr>
        <w:t xml:space="preserve">iesgos y mantiene </w:t>
      </w:r>
      <w:r w:rsidRPr="001A0533">
        <w:rPr>
          <w:rFonts w:ascii="Times New Roman" w:hAnsi="Times New Roman" w:cs="Times New Roman"/>
          <w:sz w:val="24"/>
          <w:szCs w:val="24"/>
        </w:rPr>
        <w:t>oficinas en ciudades de todo el mundo, como Londres, Múnich, Ámsterdam y Zúrich. Tiene presencia en Europa desde 1997.</w:t>
      </w:r>
    </w:p>
    <w:p w:rsidR="00277102" w:rsidRPr="00277102" w:rsidRDefault="00277102" w:rsidP="00277102">
      <w:pPr>
        <w:spacing w:line="240" w:lineRule="auto"/>
        <w:jc w:val="both"/>
        <w:rPr>
          <w:rFonts w:ascii="Times New Roman" w:hAnsi="Times New Roman" w:cs="Times New Roman"/>
          <w:sz w:val="24"/>
          <w:szCs w:val="24"/>
        </w:rPr>
      </w:pPr>
      <w:r>
        <w:rPr>
          <w:rFonts w:ascii="Times New Roman" w:hAnsi="Times New Roman" w:cs="Times New Roman"/>
          <w:sz w:val="24"/>
          <w:szCs w:val="24"/>
        </w:rPr>
        <w:t>G</w:t>
      </w:r>
      <w:r w:rsidRPr="00277102">
        <w:rPr>
          <w:rFonts w:ascii="Times New Roman" w:hAnsi="Times New Roman" w:cs="Times New Roman"/>
          <w:sz w:val="24"/>
          <w:szCs w:val="24"/>
        </w:rPr>
        <w:t>estiona inversiones para un amplio abanico de clientes, como fondos de pensiones y planes de jubilación tanto públicos como privados, así como otros activos en nombre de millones de clientes de los más variados perfiles en todo el mundo. Asimismo, también presta servicios de asesoramiento y gestión de activos para empresas, bancos centrales, instituciones educativas, asesores financieros, fundaciones y fondos de beneficencia.</w:t>
      </w:r>
    </w:p>
    <w:p w:rsidR="00277102" w:rsidRDefault="00277102" w:rsidP="00277102">
      <w:pPr>
        <w:spacing w:line="240" w:lineRule="auto"/>
        <w:jc w:val="both"/>
        <w:rPr>
          <w:rFonts w:ascii="Times New Roman" w:hAnsi="Times New Roman" w:cs="Times New Roman"/>
          <w:sz w:val="24"/>
          <w:szCs w:val="24"/>
        </w:rPr>
      </w:pPr>
      <w:r w:rsidRPr="00277102">
        <w:rPr>
          <w:rFonts w:ascii="Times New Roman" w:hAnsi="Times New Roman" w:cs="Times New Roman"/>
          <w:sz w:val="24"/>
          <w:szCs w:val="24"/>
        </w:rPr>
        <w:t>Los análisis y soluciones se fundamentan en un contrastado proceso de inversión que proporciona perspectivas macroeconómicas cíclicas (a corto plazo) y a medio plazo (de tres a cinco años) y combina dichas previsiones con profundos estudios crediticios, análisis de valores y gestión de riesgos.</w:t>
      </w:r>
    </w:p>
    <w:p w:rsidR="00277102" w:rsidRPr="001A0533" w:rsidRDefault="00277102" w:rsidP="0027710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eso, </w:t>
      </w:r>
      <w:r w:rsidR="007E42C8">
        <w:rPr>
          <w:rFonts w:ascii="Times New Roman" w:hAnsi="Times New Roman" w:cs="Times New Roman"/>
          <w:sz w:val="24"/>
          <w:szCs w:val="24"/>
        </w:rPr>
        <w:t>creo interesante tener en consideración</w:t>
      </w:r>
      <w:r>
        <w:rPr>
          <w:rFonts w:ascii="Times New Roman" w:hAnsi="Times New Roman" w:cs="Times New Roman"/>
          <w:sz w:val="24"/>
          <w:szCs w:val="24"/>
        </w:rPr>
        <w:t xml:space="preserve">, discutir, contrastar, ampliar, o rectificar su pronóstico sobre el futuro de la Eurozona. </w:t>
      </w:r>
      <w:r w:rsidR="007E42C8">
        <w:rPr>
          <w:rFonts w:ascii="Times New Roman" w:hAnsi="Times New Roman" w:cs="Times New Roman"/>
          <w:sz w:val="24"/>
          <w:szCs w:val="24"/>
        </w:rPr>
        <w:t>Los problemas económicos que acechan a la UE.</w:t>
      </w:r>
    </w:p>
    <w:p w:rsidR="00797E09" w:rsidRDefault="00797E09"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3029">
        <w:rPr>
          <w:rFonts w:ascii="Times New Roman" w:hAnsi="Times New Roman" w:cs="Times New Roman"/>
          <w:sz w:val="24"/>
          <w:szCs w:val="24"/>
          <w:u w:val="single"/>
        </w:rPr>
        <w:t>Las cinco fuerzas disruptivas que pueden hacer desaparecer a la Eurozona</w:t>
      </w:r>
      <w:r>
        <w:rPr>
          <w:rFonts w:ascii="Times New Roman" w:hAnsi="Times New Roman" w:cs="Times New Roman"/>
          <w:sz w:val="24"/>
          <w:szCs w:val="24"/>
        </w:rPr>
        <w:t xml:space="preserve"> (Expansión - </w:t>
      </w:r>
      <w:r w:rsidRPr="004A3029">
        <w:rPr>
          <w:rFonts w:ascii="Times New Roman" w:hAnsi="Times New Roman" w:cs="Times New Roman"/>
          <w:b/>
          <w:sz w:val="24"/>
          <w:szCs w:val="24"/>
        </w:rPr>
        <w:t>6/9/19</w:t>
      </w:r>
      <w:r>
        <w:rPr>
          <w:rFonts w:ascii="Times New Roman" w:hAnsi="Times New Roman" w:cs="Times New Roman"/>
          <w:sz w:val="24"/>
          <w:szCs w:val="24"/>
        </w:rPr>
        <w:t>)</w:t>
      </w:r>
    </w:p>
    <w:p w:rsidR="00797E09" w:rsidRPr="004A3029" w:rsidRDefault="00797E09"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A3029">
        <w:rPr>
          <w:rFonts w:ascii="Times New Roman" w:hAnsi="Times New Roman" w:cs="Times New Roman"/>
          <w:sz w:val="24"/>
          <w:szCs w:val="24"/>
        </w:rPr>
        <w:t>Vicente Nieves</w:t>
      </w:r>
      <w:r>
        <w:rPr>
          <w:rFonts w:ascii="Times New Roman" w:hAnsi="Times New Roman" w:cs="Times New Roman"/>
          <w:sz w:val="24"/>
          <w:szCs w:val="24"/>
        </w:rPr>
        <w:t>)</w:t>
      </w:r>
    </w:p>
    <w:p w:rsidR="00797E09" w:rsidRPr="00374ECC" w:rsidRDefault="00797E09" w:rsidP="00797E09">
      <w:pPr>
        <w:spacing w:line="240" w:lineRule="auto"/>
        <w:jc w:val="both"/>
        <w:rPr>
          <w:rFonts w:ascii="Times New Roman" w:hAnsi="Times New Roman" w:cs="Times New Roman"/>
          <w:sz w:val="24"/>
          <w:szCs w:val="24"/>
          <w:u w:val="single"/>
        </w:rPr>
      </w:pPr>
      <w:r w:rsidRPr="00374ECC">
        <w:rPr>
          <w:rFonts w:ascii="Times New Roman" w:hAnsi="Times New Roman" w:cs="Times New Roman"/>
          <w:sz w:val="24"/>
          <w:szCs w:val="24"/>
          <w:u w:val="single"/>
        </w:rPr>
        <w:t>La mayor gestora de bonos del mundo prevé un futuro cuando menos incierto para el club del euro. Desde Pimco atisban hasta cinco fuerzas que pueden golpear la economía de la eurozona y erosionar aún más la cohesión de una unión monetaria excesivamente artificial.La creación del euro ha sido una decisión más política</w:t>
      </w:r>
      <w:r w:rsidRPr="004A3029">
        <w:rPr>
          <w:rFonts w:ascii="Times New Roman" w:hAnsi="Times New Roman" w:cs="Times New Roman"/>
          <w:sz w:val="24"/>
          <w:szCs w:val="24"/>
        </w:rPr>
        <w:t xml:space="preserve"> que de sentimiento real y que, probablemente, no contaba con el entusiasmo de unos pueblos diferentes que iban a compartir cada vez más responsabilidades y decisiones, una particularidad </w:t>
      </w:r>
      <w:r w:rsidRPr="00374ECC">
        <w:rPr>
          <w:rFonts w:ascii="Times New Roman" w:hAnsi="Times New Roman" w:cs="Times New Roman"/>
          <w:sz w:val="24"/>
          <w:szCs w:val="24"/>
          <w:u w:val="single"/>
        </w:rPr>
        <w:t>que puede ser peligrosa a la hora de enfrentarse a los problemas económicos que se atisban en el horizonte, según explican desde la gestora.</w:t>
      </w:r>
    </w:p>
    <w:p w:rsidR="00797E09" w:rsidRPr="00374ECC" w:rsidRDefault="00797E09" w:rsidP="00797E09">
      <w:pPr>
        <w:spacing w:line="240" w:lineRule="auto"/>
        <w:jc w:val="both"/>
        <w:rPr>
          <w:rFonts w:ascii="Times New Roman" w:hAnsi="Times New Roman" w:cs="Times New Roman"/>
          <w:color w:val="FF0000"/>
          <w:sz w:val="24"/>
          <w:szCs w:val="24"/>
          <w:u w:val="single"/>
        </w:rPr>
      </w:pPr>
      <w:r w:rsidRPr="00374ECC">
        <w:rPr>
          <w:rFonts w:ascii="Times New Roman" w:hAnsi="Times New Roman" w:cs="Times New Roman"/>
          <w:color w:val="FF0000"/>
          <w:sz w:val="24"/>
          <w:szCs w:val="24"/>
          <w:u w:val="single"/>
        </w:rPr>
        <w:t>Nicola Mai, analista de Pimco, com</w:t>
      </w:r>
      <w:r w:rsidR="00064395">
        <w:rPr>
          <w:rFonts w:ascii="Times New Roman" w:hAnsi="Times New Roman" w:cs="Times New Roman"/>
          <w:color w:val="FF0000"/>
          <w:sz w:val="24"/>
          <w:szCs w:val="24"/>
          <w:u w:val="single"/>
        </w:rPr>
        <w:t>ienza su reflexión tildando de “matrimonio concertado”</w:t>
      </w:r>
      <w:r w:rsidRPr="00374ECC">
        <w:rPr>
          <w:rFonts w:ascii="Times New Roman" w:hAnsi="Times New Roman" w:cs="Times New Roman"/>
          <w:color w:val="FF0000"/>
          <w:sz w:val="24"/>
          <w:szCs w:val="24"/>
          <w:u w:val="single"/>
        </w:rPr>
        <w:t xml:space="preserve"> a la unión entre los países de la Eurozona para crear una divisa nueva y regirse bajo una política monetaria única. Esta unión entre países tan diferentes ha sido una creación artificial que a la hora de afrontar problemas genera más desavenencias que ideas para </w:t>
      </w:r>
      <w:r w:rsidR="00064395">
        <w:rPr>
          <w:rFonts w:ascii="Times New Roman" w:hAnsi="Times New Roman" w:cs="Times New Roman"/>
          <w:color w:val="FF0000"/>
          <w:sz w:val="24"/>
          <w:szCs w:val="24"/>
          <w:u w:val="single"/>
        </w:rPr>
        <w:t>superarlos, lo que hace que la “japonización”</w:t>
      </w:r>
      <w:r w:rsidRPr="00374ECC">
        <w:rPr>
          <w:rFonts w:ascii="Times New Roman" w:hAnsi="Times New Roman" w:cs="Times New Roman"/>
          <w:color w:val="FF0000"/>
          <w:sz w:val="24"/>
          <w:szCs w:val="24"/>
          <w:u w:val="single"/>
        </w:rPr>
        <w:t xml:space="preserve"> en la zona euro sea más peligrosa que en otras regiones del mundo.</w:t>
      </w:r>
    </w:p>
    <w:p w:rsidR="00797E09" w:rsidRPr="00374ECC" w:rsidRDefault="00064395" w:rsidP="00797E0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Mai explica que “</w:t>
      </w:r>
      <w:r w:rsidR="00797E09" w:rsidRPr="00374ECC">
        <w:rPr>
          <w:rFonts w:ascii="Times New Roman" w:hAnsi="Times New Roman" w:cs="Times New Roman"/>
          <w:color w:val="FF0000"/>
          <w:sz w:val="24"/>
          <w:szCs w:val="24"/>
          <w:u w:val="single"/>
        </w:rPr>
        <w:t>la esperanza en un matrimonio concertado es que la gente se case y luego se enamore. A veces eso funciona, otras veces no. Dos décadas después del inicio (de la zona euro), la unión en matrimonio concertado de los países de la eurozona parece inestable en el mejor de los casos, y ahora más todavía ante las nueva</w:t>
      </w:r>
      <w:r>
        <w:rPr>
          <w:rFonts w:ascii="Times New Roman" w:hAnsi="Times New Roman" w:cs="Times New Roman"/>
          <w:color w:val="FF0000"/>
          <w:sz w:val="24"/>
          <w:szCs w:val="24"/>
          <w:u w:val="single"/>
        </w:rPr>
        <w:t>s fuerzas disruptivas mundiales”</w:t>
      </w:r>
      <w:r w:rsidR="00797E09" w:rsidRPr="00374ECC">
        <w:rPr>
          <w:rFonts w:ascii="Times New Roman" w:hAnsi="Times New Roman" w:cs="Times New Roman"/>
          <w:color w:val="FF0000"/>
          <w:sz w:val="24"/>
          <w:szCs w:val="24"/>
          <w:u w:val="single"/>
        </w:rPr>
        <w:t>.</w:t>
      </w:r>
    </w:p>
    <w:p w:rsidR="00797E09" w:rsidRPr="00374ECC" w:rsidRDefault="00797E09" w:rsidP="00797E09">
      <w:pPr>
        <w:spacing w:line="240" w:lineRule="auto"/>
        <w:jc w:val="both"/>
        <w:rPr>
          <w:rFonts w:ascii="Times New Roman" w:hAnsi="Times New Roman" w:cs="Times New Roman"/>
          <w:color w:val="FF0000"/>
          <w:sz w:val="24"/>
          <w:szCs w:val="24"/>
          <w:u w:val="single"/>
        </w:rPr>
      </w:pPr>
      <w:r w:rsidRPr="00374ECC">
        <w:rPr>
          <w:rFonts w:ascii="Times New Roman" w:hAnsi="Times New Roman" w:cs="Times New Roman"/>
          <w:color w:val="FF0000"/>
          <w:sz w:val="24"/>
          <w:szCs w:val="24"/>
          <w:u w:val="single"/>
        </w:rPr>
        <w:lastRenderedPageBreak/>
        <w:t>En un foro de inversores organizado por Pimco se analizaron estas fuerzas disruptivas, entre las que se encuentran el populismo, la tecnología, la demografía y una desaceleración en China, que podrían ser factores a tener muy en cuenta en los próximos cinco años, no sólo para la zona euro, también para la economía global que se está ac</w:t>
      </w:r>
      <w:r w:rsidR="00064395">
        <w:rPr>
          <w:rFonts w:ascii="Times New Roman" w:hAnsi="Times New Roman" w:cs="Times New Roman"/>
          <w:color w:val="FF0000"/>
          <w:sz w:val="24"/>
          <w:szCs w:val="24"/>
          <w:u w:val="single"/>
        </w:rPr>
        <w:t>oplando a la nueva normalidad, “</w:t>
      </w:r>
      <w:r w:rsidRPr="00374ECC">
        <w:rPr>
          <w:rFonts w:ascii="Times New Roman" w:hAnsi="Times New Roman" w:cs="Times New Roman"/>
          <w:color w:val="FF0000"/>
          <w:sz w:val="24"/>
          <w:szCs w:val="24"/>
          <w:u w:val="single"/>
        </w:rPr>
        <w:t>caracterizada por un bajo crecimiento, baja inf</w:t>
      </w:r>
      <w:r w:rsidR="00064395">
        <w:rPr>
          <w:rFonts w:ascii="Times New Roman" w:hAnsi="Times New Roman" w:cs="Times New Roman"/>
          <w:color w:val="FF0000"/>
          <w:sz w:val="24"/>
          <w:szCs w:val="24"/>
          <w:u w:val="single"/>
        </w:rPr>
        <w:t>lación y bajos tipos de interés”</w:t>
      </w:r>
      <w:r w:rsidRPr="00374ECC">
        <w:rPr>
          <w:rFonts w:ascii="Times New Roman" w:hAnsi="Times New Roman" w:cs="Times New Roman"/>
          <w:color w:val="FF0000"/>
          <w:sz w:val="24"/>
          <w:szCs w:val="24"/>
          <w:u w:val="single"/>
        </w:rPr>
        <w:t>.</w:t>
      </w:r>
    </w:p>
    <w:p w:rsidR="00797E09" w:rsidRPr="00374ECC" w:rsidRDefault="00797E09" w:rsidP="00797E09">
      <w:pPr>
        <w:spacing w:line="240" w:lineRule="auto"/>
        <w:jc w:val="both"/>
        <w:rPr>
          <w:rFonts w:ascii="Times New Roman" w:hAnsi="Times New Roman" w:cs="Times New Roman"/>
          <w:sz w:val="24"/>
          <w:szCs w:val="24"/>
          <w:u w:val="single"/>
        </w:rPr>
      </w:pPr>
      <w:r w:rsidRPr="00374ECC">
        <w:rPr>
          <w:rFonts w:ascii="Times New Roman" w:hAnsi="Times New Roman" w:cs="Times New Roman"/>
          <w:sz w:val="24"/>
          <w:szCs w:val="24"/>
          <w:u w:val="single"/>
        </w:rPr>
        <w:t>Esta nueva normalidad, a su vez, es consecuencia de algunos de los anteriores factores o fuerzas disruptivas, como la transición demográfica o la tecnología, ambos factores que podrían estar presionando a la baja la inflación y el precio del dinero.</w:t>
      </w:r>
    </w:p>
    <w:p w:rsidR="00797E09" w:rsidRDefault="00064395" w:rsidP="00797E0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97E09" w:rsidRPr="00374ECC">
        <w:rPr>
          <w:rFonts w:ascii="Times New Roman" w:hAnsi="Times New Roman" w:cs="Times New Roman"/>
          <w:color w:val="FF0000"/>
          <w:sz w:val="24"/>
          <w:szCs w:val="24"/>
          <w:u w:val="single"/>
        </w:rPr>
        <w:t>Desafortunadamente, una nueva normalidad es probablemente la mejor de los escenarios que la eurozona puede esperar. Con niveles elevados de deuda pública y privada, una población que envejece rápidamente y la evidencia de que las expectativas de inflación se están anclando a niveles muy deprimidos, creemos que Europa podría ser propensa a sufrir una japonización, es decir, un estado de estancamiento a largo plazo. Además, la fragilidad económica y un sentimiento de unidad que goza de poco entusiasmo sugieren que la unión monetaria podría ser más vulnerable a las perturbaci</w:t>
      </w:r>
      <w:r>
        <w:rPr>
          <w:rFonts w:ascii="Times New Roman" w:hAnsi="Times New Roman" w:cs="Times New Roman"/>
          <w:color w:val="FF0000"/>
          <w:sz w:val="24"/>
          <w:szCs w:val="24"/>
          <w:u w:val="single"/>
        </w:rPr>
        <w:t>ones que otras áreas económicas”</w:t>
      </w:r>
      <w:r w:rsidR="00797E09" w:rsidRPr="00374ECC">
        <w:rPr>
          <w:rFonts w:ascii="Times New Roman" w:hAnsi="Times New Roman" w:cs="Times New Roman"/>
          <w:color w:val="FF0000"/>
          <w:sz w:val="24"/>
          <w:szCs w:val="24"/>
          <w:u w:val="single"/>
        </w:rPr>
        <w:t>, sentencia el experto de Pimco.</w:t>
      </w:r>
    </w:p>
    <w:p w:rsidR="00797E09" w:rsidRPr="00374ECC" w:rsidRDefault="00797E09" w:rsidP="00797E09">
      <w:pPr>
        <w:spacing w:line="240" w:lineRule="auto"/>
        <w:jc w:val="both"/>
        <w:rPr>
          <w:rFonts w:ascii="Times New Roman" w:hAnsi="Times New Roman" w:cs="Times New Roman"/>
          <w:sz w:val="24"/>
          <w:szCs w:val="24"/>
          <w:u w:val="single"/>
        </w:rPr>
      </w:pPr>
      <w:r w:rsidRPr="00374ECC">
        <w:rPr>
          <w:rFonts w:ascii="Times New Roman" w:hAnsi="Times New Roman" w:cs="Times New Roman"/>
          <w:sz w:val="24"/>
          <w:szCs w:val="24"/>
          <w:u w:val="single"/>
        </w:rPr>
        <w:t>Las cinco fuerzas disruptivas</w:t>
      </w:r>
    </w:p>
    <w:p w:rsidR="00797E09" w:rsidRPr="004A3029" w:rsidRDefault="00797E09" w:rsidP="00797E09">
      <w:pPr>
        <w:spacing w:line="240" w:lineRule="auto"/>
        <w:jc w:val="both"/>
        <w:rPr>
          <w:rFonts w:ascii="Times New Roman" w:hAnsi="Times New Roman" w:cs="Times New Roman"/>
          <w:sz w:val="24"/>
          <w:szCs w:val="24"/>
        </w:rPr>
      </w:pPr>
      <w:r w:rsidRPr="00374ECC">
        <w:rPr>
          <w:rFonts w:ascii="Times New Roman" w:hAnsi="Times New Roman" w:cs="Times New Roman"/>
          <w:color w:val="FF0000"/>
          <w:sz w:val="24"/>
          <w:szCs w:val="24"/>
        </w:rPr>
        <w:t>China</w:t>
      </w:r>
      <w:r w:rsidRPr="004A3029">
        <w:rPr>
          <w:rFonts w:ascii="Times New Roman" w:hAnsi="Times New Roman" w:cs="Times New Roman"/>
          <w:sz w:val="24"/>
          <w:szCs w:val="24"/>
        </w:rPr>
        <w:t>: la desaceleración económica en China y las crecientes tensiones comerciales mundiales son particularmente perjudiciales para la eurozona. Su superávit por cuenta corriente, de alrededor del 3% del PIB, hace que esté altamente expue</w:t>
      </w:r>
      <w:r>
        <w:rPr>
          <w:rFonts w:ascii="Times New Roman" w:hAnsi="Times New Roman" w:cs="Times New Roman"/>
          <w:sz w:val="24"/>
          <w:szCs w:val="24"/>
        </w:rPr>
        <w:t>sta al ciclo comercial mundial.</w:t>
      </w:r>
    </w:p>
    <w:p w:rsidR="00797E09" w:rsidRPr="004A3029" w:rsidRDefault="00064395"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97E09" w:rsidRPr="004A3029">
        <w:rPr>
          <w:rFonts w:ascii="Times New Roman" w:hAnsi="Times New Roman" w:cs="Times New Roman"/>
          <w:sz w:val="24"/>
          <w:szCs w:val="24"/>
        </w:rPr>
        <w:t>Esto es especialmente relevante en Alemania, la economía más grande de Europa, que tiene un superávit por cuenta corriente de más del 7% del PIB, entre los más altos del mundo. Las exportaciones fuera de la eurozona constituyen aproximadamente el 28% del PIB total de la eurozona, superando con creces las cifras del 12% y 20% para los Estados Unidos y China,</w:t>
      </w:r>
      <w:r>
        <w:rPr>
          <w:rFonts w:ascii="Times New Roman" w:hAnsi="Times New Roman" w:cs="Times New Roman"/>
          <w:sz w:val="24"/>
          <w:szCs w:val="24"/>
        </w:rPr>
        <w:t xml:space="preserve"> respectivamente”</w:t>
      </w:r>
      <w:r w:rsidR="00797E09" w:rsidRPr="004A3029">
        <w:rPr>
          <w:rFonts w:ascii="Times New Roman" w:hAnsi="Times New Roman" w:cs="Times New Roman"/>
          <w:sz w:val="24"/>
          <w:szCs w:val="24"/>
        </w:rPr>
        <w:t>, destaca el economista de Pimco. En 2018, China fue el tercer mayor destino de exportación de bienes de la eurozona y la mayor fuente de importaciones de bienes en Europa, según Euro</w:t>
      </w:r>
      <w:r w:rsidR="00797E09">
        <w:rPr>
          <w:rFonts w:ascii="Times New Roman" w:hAnsi="Times New Roman" w:cs="Times New Roman"/>
          <w:sz w:val="24"/>
          <w:szCs w:val="24"/>
        </w:rPr>
        <w:t>stat.</w:t>
      </w:r>
    </w:p>
    <w:p w:rsidR="00797E09" w:rsidRPr="004A3029" w:rsidRDefault="00797E09" w:rsidP="00797E09">
      <w:pPr>
        <w:spacing w:line="240" w:lineRule="auto"/>
        <w:jc w:val="both"/>
        <w:rPr>
          <w:rFonts w:ascii="Times New Roman" w:hAnsi="Times New Roman" w:cs="Times New Roman"/>
          <w:sz w:val="24"/>
          <w:szCs w:val="24"/>
        </w:rPr>
      </w:pPr>
      <w:r w:rsidRPr="001B5A4D">
        <w:rPr>
          <w:rFonts w:ascii="Times New Roman" w:hAnsi="Times New Roman" w:cs="Times New Roman"/>
          <w:color w:val="FF0000"/>
          <w:sz w:val="24"/>
          <w:szCs w:val="24"/>
        </w:rPr>
        <w:t>Populismo</w:t>
      </w:r>
      <w:r w:rsidR="00064395">
        <w:rPr>
          <w:rFonts w:ascii="Times New Roman" w:hAnsi="Times New Roman" w:cs="Times New Roman"/>
          <w:sz w:val="24"/>
          <w:szCs w:val="24"/>
        </w:rPr>
        <w:t xml:space="preserve">: </w:t>
      </w:r>
      <w:r w:rsidRPr="004A3029">
        <w:rPr>
          <w:rFonts w:ascii="Times New Roman" w:hAnsi="Times New Roman" w:cs="Times New Roman"/>
          <w:sz w:val="24"/>
          <w:szCs w:val="24"/>
        </w:rPr>
        <w:t>el aumento del populismo es de particular importancia en la eurozona, ya que a menudo contiene elementos de escepticismo respecto a la UE y al euro. De acuerdo, la mayoría de los partidos populistas han reducido su retórica antieuropea recientemente, pero el desprecio hacia las instituciones de la UE es parte de su ADN de la mayoría de estos partidos. Estos partidos podrían resucitar una actitud más antagónica hacia la UE y la unión monetaria si la región se ve afectada por una crisis económica. La proliferación de partidos más extremos ya ha incrementado la fragmentación política en países como España e Italia, lo que ha generado dificultades en la formación del gobierno, inestabilidad política y el desafío de cuadrar las políticas populi</w:t>
      </w:r>
      <w:r>
        <w:rPr>
          <w:rFonts w:ascii="Times New Roman" w:hAnsi="Times New Roman" w:cs="Times New Roman"/>
          <w:sz w:val="24"/>
          <w:szCs w:val="24"/>
        </w:rPr>
        <w:t>stas rivales.</w:t>
      </w:r>
    </w:p>
    <w:p w:rsidR="00797E09" w:rsidRPr="004A3029" w:rsidRDefault="00797E09" w:rsidP="00797E09">
      <w:pPr>
        <w:spacing w:line="240" w:lineRule="auto"/>
        <w:jc w:val="both"/>
        <w:rPr>
          <w:rFonts w:ascii="Times New Roman" w:hAnsi="Times New Roman" w:cs="Times New Roman"/>
          <w:sz w:val="24"/>
          <w:szCs w:val="24"/>
        </w:rPr>
      </w:pPr>
      <w:r w:rsidRPr="001B5A4D">
        <w:rPr>
          <w:rFonts w:ascii="Times New Roman" w:hAnsi="Times New Roman" w:cs="Times New Roman"/>
          <w:color w:val="FF0000"/>
          <w:sz w:val="24"/>
          <w:szCs w:val="24"/>
        </w:rPr>
        <w:t>Demografía</w:t>
      </w:r>
      <w:r w:rsidRPr="004A3029">
        <w:rPr>
          <w:rFonts w:ascii="Times New Roman" w:hAnsi="Times New Roman" w:cs="Times New Roman"/>
          <w:sz w:val="24"/>
          <w:szCs w:val="24"/>
        </w:rPr>
        <w:t xml:space="preserve">: la población en edad de trabajar de la eurozona, ahora estancada, se contraerá durante la próxima década. De acuerdo con las proyecciones de la Comisión Europea, la tasa de dependencia de la vejez (el número de personas mayores de 65 años respecto a la población en edad laboral de 15 a 64 años) es de poco más del 30% y parece que pasará a más del 40%. . Entre las principales regiones, la eurozona solo está por detrás de Japón en la velocidad de </w:t>
      </w:r>
      <w:r>
        <w:rPr>
          <w:rFonts w:ascii="Times New Roman" w:hAnsi="Times New Roman" w:cs="Times New Roman"/>
          <w:sz w:val="24"/>
          <w:szCs w:val="24"/>
        </w:rPr>
        <w:t>envejecimiento de la población.</w:t>
      </w:r>
    </w:p>
    <w:p w:rsidR="00797E09" w:rsidRPr="004A3029" w:rsidRDefault="00797E09" w:rsidP="00797E09">
      <w:pPr>
        <w:spacing w:line="240" w:lineRule="auto"/>
        <w:jc w:val="both"/>
        <w:rPr>
          <w:rFonts w:ascii="Times New Roman" w:hAnsi="Times New Roman" w:cs="Times New Roman"/>
          <w:sz w:val="24"/>
          <w:szCs w:val="24"/>
        </w:rPr>
      </w:pPr>
      <w:r w:rsidRPr="004A3029">
        <w:rPr>
          <w:rFonts w:ascii="Times New Roman" w:hAnsi="Times New Roman" w:cs="Times New Roman"/>
          <w:sz w:val="24"/>
          <w:szCs w:val="24"/>
        </w:rPr>
        <w:lastRenderedPageBreak/>
        <w:t>Una menor proporción de personas en edad laboral puede dificultar el pago de los pensiones y otros gastos de los más jubilados; y en segundo lugar, el envejecimiento de la población suele ser un factor que incrementa la propensión al ahorro frente al consumo, lo que alimenta el exceso de ahorros que ya existe en la región tumba</w:t>
      </w:r>
      <w:r>
        <w:rPr>
          <w:rFonts w:ascii="Times New Roman" w:hAnsi="Times New Roman" w:cs="Times New Roman"/>
          <w:sz w:val="24"/>
          <w:szCs w:val="24"/>
        </w:rPr>
        <w:t>ndo el tipo de interés natural.</w:t>
      </w:r>
    </w:p>
    <w:p w:rsidR="00797E09" w:rsidRPr="004A3029" w:rsidRDefault="00064395"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97E09" w:rsidRPr="004A3029">
        <w:rPr>
          <w:rFonts w:ascii="Times New Roman" w:hAnsi="Times New Roman" w:cs="Times New Roman"/>
          <w:sz w:val="24"/>
          <w:szCs w:val="24"/>
        </w:rPr>
        <w:t>Más ahorro, entre otros factores, han ayudado a reducir los rendimientos de los bonos, un lastre para muchos planes de pensiones, ya que no están ganando suficiente interés para cumplir obligaciones futuras. En Alemania, por ejemplo, las compañías de seguros altamente reguladas están sufriendo que los rendimientos de toda la deuda soberana</w:t>
      </w:r>
      <w:r>
        <w:rPr>
          <w:rFonts w:ascii="Times New Roman" w:hAnsi="Times New Roman" w:cs="Times New Roman"/>
          <w:sz w:val="24"/>
          <w:szCs w:val="24"/>
        </w:rPr>
        <w:t xml:space="preserve"> del país ahora son negativos”</w:t>
      </w:r>
      <w:r w:rsidR="00797E09">
        <w:rPr>
          <w:rFonts w:ascii="Times New Roman" w:hAnsi="Times New Roman" w:cs="Times New Roman"/>
          <w:sz w:val="24"/>
          <w:szCs w:val="24"/>
        </w:rPr>
        <w:t>.</w:t>
      </w:r>
    </w:p>
    <w:p w:rsidR="00797E09" w:rsidRPr="004A3029" w:rsidRDefault="00797E09" w:rsidP="00797E09">
      <w:pPr>
        <w:spacing w:line="240" w:lineRule="auto"/>
        <w:jc w:val="both"/>
        <w:rPr>
          <w:rFonts w:ascii="Times New Roman" w:hAnsi="Times New Roman" w:cs="Times New Roman"/>
          <w:sz w:val="24"/>
          <w:szCs w:val="24"/>
        </w:rPr>
      </w:pPr>
      <w:r w:rsidRPr="004A3029">
        <w:rPr>
          <w:rFonts w:ascii="Times New Roman" w:hAnsi="Times New Roman" w:cs="Times New Roman"/>
          <w:sz w:val="24"/>
          <w:szCs w:val="24"/>
        </w:rPr>
        <w:t xml:space="preserve">Además, este exceso de ahorro y unos bajos tipos de interés son el caldo de cultivo perfecto para que se produzca una asignación de los recursos poco eficiente, manteniendo con vida a empresas </w:t>
      </w:r>
      <w:r w:rsidR="007D67F3" w:rsidRPr="004A3029">
        <w:rPr>
          <w:rFonts w:ascii="Times New Roman" w:hAnsi="Times New Roman" w:cs="Times New Roman"/>
          <w:sz w:val="24"/>
          <w:szCs w:val="24"/>
        </w:rPr>
        <w:t>zombis</w:t>
      </w:r>
      <w:r w:rsidRPr="004A3029">
        <w:rPr>
          <w:rFonts w:ascii="Times New Roman" w:hAnsi="Times New Roman" w:cs="Times New Roman"/>
          <w:sz w:val="24"/>
          <w:szCs w:val="24"/>
        </w:rPr>
        <w:t xml:space="preserve"> e impidiendo el surgimien</w:t>
      </w:r>
      <w:r>
        <w:rPr>
          <w:rFonts w:ascii="Times New Roman" w:hAnsi="Times New Roman" w:cs="Times New Roman"/>
          <w:sz w:val="24"/>
          <w:szCs w:val="24"/>
        </w:rPr>
        <w:t>to de otras firmas disruptoras.</w:t>
      </w:r>
    </w:p>
    <w:p w:rsidR="00797E09" w:rsidRPr="004A3029" w:rsidRDefault="00797E09" w:rsidP="00797E09">
      <w:pPr>
        <w:spacing w:line="240" w:lineRule="auto"/>
        <w:jc w:val="both"/>
        <w:rPr>
          <w:rFonts w:ascii="Times New Roman" w:hAnsi="Times New Roman" w:cs="Times New Roman"/>
          <w:sz w:val="24"/>
          <w:szCs w:val="24"/>
        </w:rPr>
      </w:pPr>
      <w:r w:rsidRPr="00A62FB8">
        <w:rPr>
          <w:rFonts w:ascii="Times New Roman" w:hAnsi="Times New Roman" w:cs="Times New Roman"/>
          <w:color w:val="FF0000"/>
          <w:sz w:val="24"/>
          <w:szCs w:val="24"/>
        </w:rPr>
        <w:t>Tecnología</w:t>
      </w:r>
      <w:r w:rsidRPr="004A3029">
        <w:rPr>
          <w:rFonts w:ascii="Times New Roman" w:hAnsi="Times New Roman" w:cs="Times New Roman"/>
          <w:sz w:val="24"/>
          <w:szCs w:val="24"/>
        </w:rPr>
        <w:t>: Europa ha perdido un terreno frente a EEUU y China, donde los gigantes tecnológicos han crecido exponencialmente. El crecimiento de la inversión se ha retrasado en la eurozona y el crecimiento de la productividad, que se encuentra levemente por encima del 1% anual, se ha estancado y no muestra visos de remontar. Según los datos de la Organización para la Cooperación y el Desarrollo Económico (OCDE), los 28 países de la Unión Europea gastaron el 2% del PIB en investigación y desarrollo, por debajo del 2,8% de los Estados Unidos, el 3,2% de Japón y marginalment</w:t>
      </w:r>
      <w:r>
        <w:rPr>
          <w:rFonts w:ascii="Times New Roman" w:hAnsi="Times New Roman" w:cs="Times New Roman"/>
          <w:sz w:val="24"/>
          <w:szCs w:val="24"/>
        </w:rPr>
        <w:t>e por debajo del 2,1% de China.</w:t>
      </w:r>
    </w:p>
    <w:p w:rsidR="00797E09" w:rsidRPr="004A3029" w:rsidRDefault="00797E09" w:rsidP="00797E09">
      <w:pPr>
        <w:spacing w:line="240" w:lineRule="auto"/>
        <w:jc w:val="both"/>
        <w:rPr>
          <w:rFonts w:ascii="Times New Roman" w:hAnsi="Times New Roman" w:cs="Times New Roman"/>
          <w:sz w:val="24"/>
          <w:szCs w:val="24"/>
        </w:rPr>
      </w:pPr>
      <w:r w:rsidRPr="001B5A4D">
        <w:rPr>
          <w:rFonts w:ascii="Times New Roman" w:hAnsi="Times New Roman" w:cs="Times New Roman"/>
          <w:color w:val="FF0000"/>
          <w:sz w:val="24"/>
          <w:szCs w:val="24"/>
        </w:rPr>
        <w:t>Valoraciones del mercado financiero</w:t>
      </w:r>
      <w:r w:rsidRPr="004A3029">
        <w:rPr>
          <w:rFonts w:ascii="Times New Roman" w:hAnsi="Times New Roman" w:cs="Times New Roman"/>
          <w:sz w:val="24"/>
          <w:szCs w:val="24"/>
        </w:rPr>
        <w:t xml:space="preserve">: la política monetaria del Banco Central Europeo (BCE), los rendimientos alemanes a 10 años y ahora incluso los rendimientos del Bund a 30 años son negativos, muy por debajo del nivel de sus equivalentes en EEUU, el Reino Unido e incluso por debajo de los de Japón. Los rendimientos negativos han empujado a los inversores a buscar rentabilidad donde sea, pero no han logrado elevar el crecimiento o la </w:t>
      </w:r>
      <w:r w:rsidR="001A0533">
        <w:rPr>
          <w:rFonts w:ascii="Times New Roman" w:hAnsi="Times New Roman" w:cs="Times New Roman"/>
          <w:sz w:val="24"/>
          <w:szCs w:val="24"/>
        </w:rPr>
        <w:t>inflación de manera sostenida. “</w:t>
      </w:r>
      <w:r w:rsidRPr="004A3029">
        <w:rPr>
          <w:rFonts w:ascii="Times New Roman" w:hAnsi="Times New Roman" w:cs="Times New Roman"/>
          <w:sz w:val="24"/>
          <w:szCs w:val="24"/>
        </w:rPr>
        <w:t xml:space="preserve">Dado que el crecimiento nominal sigue siendo obstinadamente bajo, las valoraciones de activos parecer cada vez más caras, lo que plantea el riesgo de posibles correcciones </w:t>
      </w:r>
      <w:r w:rsidR="001A0533">
        <w:rPr>
          <w:rFonts w:ascii="Times New Roman" w:hAnsi="Times New Roman" w:cs="Times New Roman"/>
          <w:sz w:val="24"/>
          <w:szCs w:val="24"/>
        </w:rPr>
        <w:t>severas”</w:t>
      </w:r>
      <w:r>
        <w:rPr>
          <w:rFonts w:ascii="Times New Roman" w:hAnsi="Times New Roman" w:cs="Times New Roman"/>
          <w:sz w:val="24"/>
          <w:szCs w:val="24"/>
        </w:rPr>
        <w:t>, señalan los expertos.</w:t>
      </w:r>
    </w:p>
    <w:p w:rsidR="00797E09" w:rsidRPr="004A3029" w:rsidRDefault="00797E09" w:rsidP="00797E09">
      <w:pPr>
        <w:spacing w:line="240" w:lineRule="auto"/>
        <w:jc w:val="both"/>
        <w:rPr>
          <w:rFonts w:ascii="Times New Roman" w:hAnsi="Times New Roman" w:cs="Times New Roman"/>
          <w:sz w:val="24"/>
          <w:szCs w:val="24"/>
        </w:rPr>
      </w:pPr>
      <w:r w:rsidRPr="004A3029">
        <w:rPr>
          <w:rFonts w:ascii="Times New Roman" w:hAnsi="Times New Roman" w:cs="Times New Roman"/>
          <w:sz w:val="24"/>
          <w:szCs w:val="24"/>
        </w:rPr>
        <w:t>Desafíos de un matrimonio concertado</w:t>
      </w:r>
    </w:p>
    <w:p w:rsidR="00797E09" w:rsidRPr="004A3029" w:rsidRDefault="00797E09" w:rsidP="00797E09">
      <w:pPr>
        <w:spacing w:line="240" w:lineRule="auto"/>
        <w:jc w:val="both"/>
        <w:rPr>
          <w:rFonts w:ascii="Times New Roman" w:hAnsi="Times New Roman" w:cs="Times New Roman"/>
          <w:sz w:val="24"/>
          <w:szCs w:val="24"/>
        </w:rPr>
      </w:pPr>
      <w:r w:rsidRPr="004A3029">
        <w:rPr>
          <w:rFonts w:ascii="Times New Roman" w:hAnsi="Times New Roman" w:cs="Times New Roman"/>
          <w:sz w:val="24"/>
          <w:szCs w:val="24"/>
        </w:rPr>
        <w:t>En su vigésimo año de matrimonio, la unión monetaria está incompleta y sigue siendo inherentemente inestable, ante una inflación estructuralmente baja, los grandes desequilibrios entre países, el diferente ritmo de los ciclos económicos de cada estado, la falta de compromiso con una mayor convergencia entre países y la falta de voluntad para comprometerse a una mayor integración fiscal y política.</w:t>
      </w:r>
    </w:p>
    <w:p w:rsidR="00797E09" w:rsidRPr="001B5A4D" w:rsidRDefault="001A0533" w:rsidP="00797E0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797E09" w:rsidRPr="001B5A4D">
        <w:rPr>
          <w:rFonts w:ascii="Times New Roman" w:hAnsi="Times New Roman" w:cs="Times New Roman"/>
          <w:sz w:val="24"/>
          <w:szCs w:val="24"/>
          <w:u w:val="single"/>
        </w:rPr>
        <w:t>El BCE ha sido el pegamento que ha mantenido unida a la región con los tipos de interés en niveles negativos y medidas no convencionales como las operaciones de refinanciación a largo plazo (TLTRO, la provisión de préstamos baratos a largo plazo a bancos) y cuantitativa. Al haberse implementado de forma contundente, las balas en el arsenal</w:t>
      </w:r>
      <w:r>
        <w:rPr>
          <w:rFonts w:ascii="Times New Roman" w:hAnsi="Times New Roman" w:cs="Times New Roman"/>
          <w:sz w:val="24"/>
          <w:szCs w:val="24"/>
          <w:u w:val="single"/>
        </w:rPr>
        <w:t xml:space="preserve"> monetario comienzan a escasear”</w:t>
      </w:r>
      <w:r w:rsidR="00797E09" w:rsidRPr="001B5A4D">
        <w:rPr>
          <w:rFonts w:ascii="Times New Roman" w:hAnsi="Times New Roman" w:cs="Times New Roman"/>
          <w:sz w:val="24"/>
          <w:szCs w:val="24"/>
          <w:u w:val="single"/>
        </w:rPr>
        <w:t>, reza la nota del experto.</w:t>
      </w:r>
    </w:p>
    <w:p w:rsidR="00797E09" w:rsidRPr="001B5A4D" w:rsidRDefault="00797E09" w:rsidP="00797E09">
      <w:pPr>
        <w:spacing w:line="240" w:lineRule="auto"/>
        <w:jc w:val="both"/>
        <w:rPr>
          <w:rFonts w:ascii="Times New Roman" w:hAnsi="Times New Roman" w:cs="Times New Roman"/>
          <w:sz w:val="24"/>
          <w:szCs w:val="24"/>
          <w:u w:val="single"/>
        </w:rPr>
      </w:pPr>
      <w:r w:rsidRPr="001B5A4D">
        <w:rPr>
          <w:rFonts w:ascii="Times New Roman" w:hAnsi="Times New Roman" w:cs="Times New Roman"/>
          <w:sz w:val="24"/>
          <w:szCs w:val="24"/>
          <w:u w:val="single"/>
        </w:rPr>
        <w:t>El efecto sobre la economía de la relajación monetaria ha disminuido y seguirá reduciéndose a medida que pasa el tipo. Esto está llevando a que un grupo cada vez mayor de ec</w:t>
      </w:r>
      <w:r w:rsidR="001A0533">
        <w:rPr>
          <w:rFonts w:ascii="Times New Roman" w:hAnsi="Times New Roman" w:cs="Times New Roman"/>
          <w:sz w:val="24"/>
          <w:szCs w:val="24"/>
          <w:u w:val="single"/>
        </w:rPr>
        <w:t>onomistas reclame a los político</w:t>
      </w:r>
      <w:r w:rsidRPr="001B5A4D">
        <w:rPr>
          <w:rFonts w:ascii="Times New Roman" w:hAnsi="Times New Roman" w:cs="Times New Roman"/>
          <w:sz w:val="24"/>
          <w:szCs w:val="24"/>
          <w:u w:val="single"/>
        </w:rPr>
        <w:t xml:space="preserve">s más estímulos </w:t>
      </w:r>
      <w:r w:rsidR="001A0533">
        <w:rPr>
          <w:rFonts w:ascii="Times New Roman" w:hAnsi="Times New Roman" w:cs="Times New Roman"/>
          <w:sz w:val="24"/>
          <w:szCs w:val="24"/>
          <w:u w:val="single"/>
        </w:rPr>
        <w:t>fiscales y reformas de calado: “</w:t>
      </w:r>
      <w:r w:rsidRPr="001B5A4D">
        <w:rPr>
          <w:rFonts w:ascii="Times New Roman" w:hAnsi="Times New Roman" w:cs="Times New Roman"/>
          <w:sz w:val="24"/>
          <w:szCs w:val="24"/>
          <w:u w:val="single"/>
        </w:rPr>
        <w:t xml:space="preserve">Se necesitarían otras políticas, en primer lugar la política fiscal, para impulsar el crecimiento. Sin embargo, la probabilidad de que la eurozona participe en una relajación fiscal significativa parece relativamente baja, ya que los países que son más capaces de hacerlo (Alemania y los Países </w:t>
      </w:r>
      <w:r w:rsidRPr="001B5A4D">
        <w:rPr>
          <w:rFonts w:ascii="Times New Roman" w:hAnsi="Times New Roman" w:cs="Times New Roman"/>
          <w:sz w:val="24"/>
          <w:szCs w:val="24"/>
          <w:u w:val="single"/>
        </w:rPr>
        <w:lastRenderedPageBreak/>
        <w:t xml:space="preserve">Bajos) tienden a ser los menos dispuestos, mientras que los más dispuestos (como Italia) </w:t>
      </w:r>
      <w:r w:rsidR="001A0533">
        <w:rPr>
          <w:rFonts w:ascii="Times New Roman" w:hAnsi="Times New Roman" w:cs="Times New Roman"/>
          <w:sz w:val="24"/>
          <w:szCs w:val="24"/>
          <w:u w:val="single"/>
        </w:rPr>
        <w:t>son los que menos margen tienen”</w:t>
      </w:r>
      <w:r w:rsidRPr="001B5A4D">
        <w:rPr>
          <w:rFonts w:ascii="Times New Roman" w:hAnsi="Times New Roman" w:cs="Times New Roman"/>
          <w:sz w:val="24"/>
          <w:szCs w:val="24"/>
          <w:u w:val="single"/>
        </w:rPr>
        <w:t>.</w:t>
      </w:r>
    </w:p>
    <w:p w:rsidR="00797E09" w:rsidRPr="004A3029" w:rsidRDefault="00797E09" w:rsidP="00797E09">
      <w:pPr>
        <w:spacing w:line="240" w:lineRule="auto"/>
        <w:jc w:val="both"/>
        <w:rPr>
          <w:rFonts w:ascii="Times New Roman" w:hAnsi="Times New Roman" w:cs="Times New Roman"/>
          <w:sz w:val="24"/>
          <w:szCs w:val="24"/>
        </w:rPr>
      </w:pPr>
      <w:r w:rsidRPr="004A3029">
        <w:rPr>
          <w:rFonts w:ascii="Times New Roman" w:hAnsi="Times New Roman" w:cs="Times New Roman"/>
          <w:sz w:val="24"/>
          <w:szCs w:val="24"/>
        </w:rPr>
        <w:t>En general, con un déficit presupuestario medio del -0,5% del PIB y una deuda pública del 87% del PIB, los parámetros fiscales de la eurozona parecen relativamente sanos en comparación con otras economías importantes. Pero las finanzas públicas de la eurozona son competencia de cada país, y el aumento del populismo y el nacionalismo debilita las posibilidades de que se vea en el futuro una mayor</w:t>
      </w:r>
      <w:r>
        <w:rPr>
          <w:rFonts w:ascii="Times New Roman" w:hAnsi="Times New Roman" w:cs="Times New Roman"/>
          <w:sz w:val="24"/>
          <w:szCs w:val="24"/>
        </w:rPr>
        <w:t xml:space="preserve"> integración fiscal y política.</w:t>
      </w:r>
    </w:p>
    <w:p w:rsidR="00797E09" w:rsidRPr="004A3029" w:rsidRDefault="001A0533"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97E09" w:rsidRPr="004A3029">
        <w:rPr>
          <w:rFonts w:ascii="Times New Roman" w:hAnsi="Times New Roman" w:cs="Times New Roman"/>
          <w:sz w:val="24"/>
          <w:szCs w:val="24"/>
        </w:rPr>
        <w:t xml:space="preserve">En general, la falta de herramientas políticas anticíclicas eficaces y la cohesión política hacen que la unión monetaria sea vulnerable en la próxima recesión </w:t>
      </w:r>
      <w:r>
        <w:rPr>
          <w:rFonts w:ascii="Times New Roman" w:hAnsi="Times New Roman" w:cs="Times New Roman"/>
          <w:sz w:val="24"/>
          <w:szCs w:val="24"/>
        </w:rPr>
        <w:t>económica”</w:t>
      </w:r>
      <w:r w:rsidR="00797E09">
        <w:rPr>
          <w:rFonts w:ascii="Times New Roman" w:hAnsi="Times New Roman" w:cs="Times New Roman"/>
          <w:sz w:val="24"/>
          <w:szCs w:val="24"/>
        </w:rPr>
        <w:t>, asegura Nicola Mai.</w:t>
      </w:r>
    </w:p>
    <w:p w:rsidR="00797E09" w:rsidRPr="004A3029" w:rsidRDefault="001A0533" w:rsidP="00797E0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97E09" w:rsidRPr="004A3029">
        <w:rPr>
          <w:rFonts w:ascii="Times New Roman" w:hAnsi="Times New Roman" w:cs="Times New Roman"/>
          <w:sz w:val="24"/>
          <w:szCs w:val="24"/>
        </w:rPr>
        <w:t>Así como la esperanza en un matrimonio concertado es que la gente se enamore, la esperanza hace 20 años era que la unión monetaria fomentara la integración fiscal y política. Hasta ahora, el proyecto europeo no ha dado lo que muchos esperaban, aunque el matri</w:t>
      </w:r>
      <w:r>
        <w:rPr>
          <w:rFonts w:ascii="Times New Roman" w:hAnsi="Times New Roman" w:cs="Times New Roman"/>
          <w:sz w:val="24"/>
          <w:szCs w:val="24"/>
        </w:rPr>
        <w:t>monio aún se mantiene”</w:t>
      </w:r>
      <w:r w:rsidR="00797E09" w:rsidRPr="004A3029">
        <w:rPr>
          <w:rFonts w:ascii="Times New Roman" w:hAnsi="Times New Roman" w:cs="Times New Roman"/>
          <w:sz w:val="24"/>
          <w:szCs w:val="24"/>
        </w:rPr>
        <w:t>, asegura el economista de la ma</w:t>
      </w:r>
      <w:r w:rsidR="00797E09">
        <w:rPr>
          <w:rFonts w:ascii="Times New Roman" w:hAnsi="Times New Roman" w:cs="Times New Roman"/>
          <w:sz w:val="24"/>
          <w:szCs w:val="24"/>
        </w:rPr>
        <w:t>yor gestora de bonos del mundo.</w:t>
      </w:r>
    </w:p>
    <w:p w:rsidR="005F3821" w:rsidRPr="003974FC" w:rsidRDefault="00797E09" w:rsidP="00797E09">
      <w:pPr>
        <w:spacing w:line="240" w:lineRule="auto"/>
        <w:jc w:val="both"/>
        <w:rPr>
          <w:rFonts w:ascii="Times New Roman" w:hAnsi="Times New Roman" w:cs="Times New Roman"/>
          <w:sz w:val="24"/>
          <w:szCs w:val="24"/>
        </w:rPr>
      </w:pPr>
      <w:r w:rsidRPr="004A3029">
        <w:rPr>
          <w:rFonts w:ascii="Times New Roman" w:hAnsi="Times New Roman" w:cs="Times New Roman"/>
          <w:sz w:val="24"/>
          <w:szCs w:val="24"/>
        </w:rPr>
        <w:t>No obstante, en los últimos meses han producido muchos cambios en las grandes instituciones europeas, por lo que se podría esperar un giro que lleve a la zona euro a ir más allá de una mera unión monetaria, pero a día de hoy esa cuestión sigue en el aire y el matrimonio concertado sigue sin surgir el amor.</w:t>
      </w:r>
    </w:p>
    <w:p w:rsidR="007E42C8" w:rsidRDefault="005F3821" w:rsidP="00797E09">
      <w:pPr>
        <w:spacing w:line="240" w:lineRule="auto"/>
        <w:jc w:val="both"/>
        <w:rPr>
          <w:rFonts w:ascii="Times New Roman" w:hAnsi="Times New Roman" w:cs="Times New Roman"/>
          <w:b/>
          <w:sz w:val="24"/>
          <w:szCs w:val="24"/>
        </w:rPr>
      </w:pPr>
      <w:r w:rsidRPr="005F3821">
        <w:rPr>
          <w:rFonts w:ascii="Times New Roman" w:hAnsi="Times New Roman" w:cs="Times New Roman"/>
          <w:b/>
          <w:sz w:val="24"/>
          <w:szCs w:val="24"/>
        </w:rPr>
        <w:t>Si estos fueran los únicos “cisnes negros” que acechan a la UE… hasta podría salvarse</w:t>
      </w:r>
      <w:r w:rsidR="00C06514">
        <w:rPr>
          <w:rFonts w:ascii="Times New Roman" w:hAnsi="Times New Roman" w:cs="Times New Roman"/>
          <w:b/>
          <w:sz w:val="24"/>
          <w:szCs w:val="24"/>
        </w:rPr>
        <w:t>.</w:t>
      </w:r>
    </w:p>
    <w:p w:rsidR="003974FC" w:rsidRDefault="003974FC" w:rsidP="003974F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economía europea </w:t>
      </w:r>
      <w:r w:rsidRPr="00991115">
        <w:rPr>
          <w:rFonts w:ascii="Times New Roman" w:hAnsi="Times New Roman" w:cs="Times New Roman"/>
          <w:sz w:val="24"/>
          <w:szCs w:val="24"/>
        </w:rPr>
        <w:t xml:space="preserve">se frena pero, además, los analistas alertan de que los principales riesgos de desviación son a la baja en un momento en el que los grandes motores del PIB global se apagan. Entre las principales amenazas al crecimiento se encuentran la subida de tipos de interés, la guerra comercial desatada por Estados Unidos, la desaceleración de la economía china, el auge de los populismos y la posibilidad de un Brexit sin acuerdo entre </w:t>
      </w:r>
      <w:r>
        <w:rPr>
          <w:rFonts w:ascii="Times New Roman" w:hAnsi="Times New Roman" w:cs="Times New Roman"/>
          <w:sz w:val="24"/>
          <w:szCs w:val="24"/>
        </w:rPr>
        <w:t>Reino Unido y la Unión Europea.</w:t>
      </w:r>
    </w:p>
    <w:p w:rsidR="003974FC" w:rsidRDefault="003974FC" w:rsidP="003974FC">
      <w:pPr>
        <w:spacing w:line="240" w:lineRule="auto"/>
        <w:jc w:val="both"/>
        <w:rPr>
          <w:rFonts w:ascii="Times New Roman" w:hAnsi="Times New Roman" w:cs="Times New Roman"/>
          <w:sz w:val="24"/>
          <w:szCs w:val="24"/>
        </w:rPr>
      </w:pPr>
      <w:r w:rsidRPr="00991115">
        <w:rPr>
          <w:rFonts w:ascii="Times New Roman" w:hAnsi="Times New Roman" w:cs="Times New Roman"/>
          <w:sz w:val="24"/>
          <w:szCs w:val="24"/>
        </w:rPr>
        <w:t>Los grandes organismos de previsión apuntan a una desacel</w:t>
      </w:r>
      <w:r>
        <w:rPr>
          <w:rFonts w:ascii="Times New Roman" w:hAnsi="Times New Roman" w:cs="Times New Roman"/>
          <w:sz w:val="24"/>
          <w:szCs w:val="24"/>
        </w:rPr>
        <w:t>eración de la economía europea para el año 2019 y 2020</w:t>
      </w:r>
      <w:r w:rsidRPr="00991115">
        <w:rPr>
          <w:rFonts w:ascii="Times New Roman" w:hAnsi="Times New Roman" w:cs="Times New Roman"/>
          <w:sz w:val="24"/>
          <w:szCs w:val="24"/>
        </w:rPr>
        <w:t>, pero además el escenario está abierto a la posibilidad de múltiples riesgos a la baja que se podrían materializar en los próximos meses, tales como una mayor ralentización del comercio global, unasubida de los tipos de interés o una crisis de deuda. Todo ello tendría un fuerte impacto en</w:t>
      </w:r>
      <w:r>
        <w:rPr>
          <w:rFonts w:ascii="Times New Roman" w:hAnsi="Times New Roman" w:cs="Times New Roman"/>
          <w:sz w:val="24"/>
          <w:szCs w:val="24"/>
        </w:rPr>
        <w:t xml:space="preserve"> el crecimiento del PIB regional</w:t>
      </w:r>
      <w:r w:rsidRPr="00991115">
        <w:rPr>
          <w:rFonts w:ascii="Times New Roman" w:hAnsi="Times New Roman" w:cs="Times New Roman"/>
          <w:sz w:val="24"/>
          <w:szCs w:val="24"/>
        </w:rPr>
        <w:t>, debido al creci</w:t>
      </w:r>
      <w:r>
        <w:rPr>
          <w:rFonts w:ascii="Times New Roman" w:hAnsi="Times New Roman" w:cs="Times New Roman"/>
          <w:sz w:val="24"/>
          <w:szCs w:val="24"/>
        </w:rPr>
        <w:t>ente peso de las exportaciones.</w:t>
      </w:r>
    </w:p>
    <w:p w:rsidR="00831539" w:rsidRDefault="003974FC" w:rsidP="00831539">
      <w:pPr>
        <w:spacing w:after="0" w:line="240" w:lineRule="auto"/>
        <w:jc w:val="both"/>
        <w:textAlignment w:val="baseline"/>
        <w:outlineLvl w:val="2"/>
        <w:rPr>
          <w:rFonts w:ascii="Times New Roman" w:eastAsia="Times New Roman" w:hAnsi="Times New Roman" w:cs="Times New Roman"/>
          <w:sz w:val="24"/>
          <w:szCs w:val="24"/>
          <w:bdr w:val="none" w:sz="0" w:space="0" w:color="auto" w:frame="1"/>
        </w:rPr>
      </w:pPr>
      <w:r w:rsidRPr="00A12158">
        <w:rPr>
          <w:rFonts w:ascii="Times New Roman" w:eastAsia="Times New Roman" w:hAnsi="Times New Roman" w:cs="Times New Roman"/>
          <w:color w:val="181715"/>
          <w:sz w:val="24"/>
          <w:szCs w:val="24"/>
          <w:bdr w:val="none" w:sz="0" w:space="0" w:color="auto" w:frame="1"/>
        </w:rPr>
        <w:t>La guerra arancelaria amenaza el comer</w:t>
      </w:r>
      <w:r>
        <w:rPr>
          <w:rFonts w:ascii="Times New Roman" w:eastAsia="Times New Roman" w:hAnsi="Times New Roman" w:cs="Times New Roman"/>
          <w:color w:val="181715"/>
          <w:sz w:val="24"/>
          <w:szCs w:val="24"/>
          <w:bdr w:val="none" w:sz="0" w:space="0" w:color="auto" w:frame="1"/>
        </w:rPr>
        <w:t>c</w:t>
      </w:r>
      <w:r w:rsidRPr="00A12158">
        <w:rPr>
          <w:rFonts w:ascii="Times New Roman" w:eastAsia="Times New Roman" w:hAnsi="Times New Roman" w:cs="Times New Roman"/>
          <w:color w:val="181715"/>
          <w:sz w:val="24"/>
          <w:szCs w:val="24"/>
          <w:bdr w:val="none" w:sz="0" w:space="0" w:color="auto" w:frame="1"/>
        </w:rPr>
        <w:t>io internacional</w:t>
      </w:r>
      <w:r>
        <w:rPr>
          <w:rFonts w:ascii="Times New Roman" w:hAnsi="Times New Roman" w:cs="Times New Roman"/>
          <w:sz w:val="24"/>
          <w:szCs w:val="24"/>
        </w:rPr>
        <w:t>- Una eventual subida de tipos de interés pone</w:t>
      </w:r>
      <w:r w:rsidRPr="00991115">
        <w:rPr>
          <w:rFonts w:ascii="Times New Roman" w:hAnsi="Times New Roman" w:cs="Times New Roman"/>
          <w:sz w:val="24"/>
          <w:szCs w:val="24"/>
        </w:rPr>
        <w:t xml:space="preserve"> en jaqu</w:t>
      </w:r>
      <w:r>
        <w:rPr>
          <w:rFonts w:ascii="Times New Roman" w:hAnsi="Times New Roman" w:cs="Times New Roman"/>
          <w:sz w:val="24"/>
          <w:szCs w:val="24"/>
        </w:rPr>
        <w:t xml:space="preserve">e la sostenibilidad de la deuda - </w:t>
      </w:r>
      <w:r w:rsidR="003763EC">
        <w:rPr>
          <w:rFonts w:ascii="Times New Roman" w:eastAsia="Times New Roman" w:hAnsi="Times New Roman" w:cs="Times New Roman"/>
          <w:color w:val="000000"/>
          <w:sz w:val="24"/>
          <w:szCs w:val="24"/>
        </w:rPr>
        <w:t>L</w:t>
      </w:r>
      <w:r w:rsidR="003763EC" w:rsidRPr="00A12158">
        <w:rPr>
          <w:rFonts w:ascii="Times New Roman" w:eastAsia="Times New Roman" w:hAnsi="Times New Roman" w:cs="Times New Roman"/>
          <w:color w:val="000000"/>
          <w:sz w:val="24"/>
          <w:szCs w:val="24"/>
        </w:rPr>
        <w:t>a pro</w:t>
      </w:r>
      <w:r w:rsidR="003763EC">
        <w:rPr>
          <w:rFonts w:ascii="Times New Roman" w:eastAsia="Times New Roman" w:hAnsi="Times New Roman" w:cs="Times New Roman"/>
          <w:color w:val="000000"/>
          <w:sz w:val="24"/>
          <w:szCs w:val="24"/>
        </w:rPr>
        <w:t>gresiva desaceleración que afecta</w:t>
      </w:r>
      <w:r w:rsidR="003763EC" w:rsidRPr="00A12158">
        <w:rPr>
          <w:rFonts w:ascii="Times New Roman" w:eastAsia="Times New Roman" w:hAnsi="Times New Roman" w:cs="Times New Roman"/>
          <w:color w:val="000000"/>
          <w:sz w:val="24"/>
          <w:szCs w:val="24"/>
        </w:rPr>
        <w:t xml:space="preserve"> a la economía china</w:t>
      </w:r>
      <w:r w:rsidR="003763EC">
        <w:rPr>
          <w:rFonts w:ascii="Times New Roman" w:eastAsia="Times New Roman" w:hAnsi="Times New Roman" w:cs="Times New Roman"/>
          <w:color w:val="000000"/>
          <w:sz w:val="24"/>
          <w:szCs w:val="24"/>
        </w:rPr>
        <w:t>,</w:t>
      </w:r>
      <w:r w:rsidR="003763EC" w:rsidRPr="00A12158">
        <w:rPr>
          <w:rFonts w:ascii="Times New Roman" w:eastAsia="Times New Roman" w:hAnsi="Times New Roman" w:cs="Times New Roman"/>
          <w:color w:val="000000"/>
          <w:sz w:val="24"/>
          <w:szCs w:val="24"/>
        </w:rPr>
        <w:t xml:space="preserve"> desde hace algunos años</w:t>
      </w:r>
      <w:r w:rsidR="003763EC">
        <w:rPr>
          <w:rFonts w:ascii="Times New Roman" w:eastAsia="Times New Roman" w:hAnsi="Times New Roman" w:cs="Times New Roman"/>
          <w:color w:val="000000"/>
          <w:sz w:val="24"/>
          <w:szCs w:val="24"/>
        </w:rPr>
        <w:t>, complica el desarrollo de sus importaciones (</w:t>
      </w:r>
      <w:r w:rsidR="007D67F3">
        <w:rPr>
          <w:rFonts w:ascii="Times New Roman" w:eastAsia="Times New Roman" w:hAnsi="Times New Roman" w:cs="Times New Roman"/>
          <w:color w:val="000000"/>
          <w:sz w:val="24"/>
          <w:szCs w:val="24"/>
        </w:rPr>
        <w:t>demanda</w:t>
      </w:r>
      <w:r w:rsidR="003763EC">
        <w:rPr>
          <w:rFonts w:ascii="Times New Roman" w:eastAsia="Times New Roman" w:hAnsi="Times New Roman" w:cs="Times New Roman"/>
          <w:color w:val="000000"/>
          <w:sz w:val="24"/>
          <w:szCs w:val="24"/>
        </w:rPr>
        <w:t xml:space="preserve"> externa más débil) - </w:t>
      </w:r>
      <w:r w:rsidR="003763EC" w:rsidRPr="003763EC">
        <w:rPr>
          <w:rFonts w:ascii="Times New Roman" w:eastAsia="Times New Roman" w:hAnsi="Times New Roman" w:cs="Times New Roman"/>
          <w:color w:val="000000"/>
          <w:sz w:val="24"/>
          <w:szCs w:val="24"/>
        </w:rPr>
        <w:t>La gran apertura hace a la Eurozona sensible a los shocks externo</w:t>
      </w:r>
      <w:r w:rsidR="003763EC">
        <w:rPr>
          <w:rFonts w:ascii="Times New Roman" w:eastAsia="Times New Roman" w:hAnsi="Times New Roman" w:cs="Times New Roman"/>
          <w:color w:val="000000"/>
          <w:sz w:val="24"/>
          <w:szCs w:val="24"/>
        </w:rPr>
        <w:t xml:space="preserve">s - </w:t>
      </w:r>
      <w:r w:rsidR="003763EC" w:rsidRPr="003763EC">
        <w:rPr>
          <w:rFonts w:ascii="Times New Roman" w:eastAsia="Times New Roman" w:hAnsi="Times New Roman" w:cs="Times New Roman"/>
          <w:color w:val="000000"/>
          <w:sz w:val="24"/>
          <w:szCs w:val="24"/>
        </w:rPr>
        <w:t>El peso de las exportaciones en Europa supera al de EEUU o China</w:t>
      </w:r>
      <w:r w:rsidR="003763EC">
        <w:rPr>
          <w:rFonts w:ascii="Times New Roman" w:eastAsia="Times New Roman" w:hAnsi="Times New Roman" w:cs="Times New Roman"/>
          <w:color w:val="000000"/>
          <w:sz w:val="24"/>
          <w:szCs w:val="24"/>
        </w:rPr>
        <w:t xml:space="preserve"> - </w:t>
      </w:r>
      <w:r w:rsidR="003763EC" w:rsidRPr="00A12158">
        <w:rPr>
          <w:rFonts w:ascii="Times New Roman" w:eastAsia="Times New Roman" w:hAnsi="Times New Roman" w:cs="Times New Roman"/>
          <w:color w:val="181715"/>
          <w:sz w:val="24"/>
          <w:szCs w:val="24"/>
          <w:bdr w:val="none" w:sz="0" w:space="0" w:color="auto" w:frame="1"/>
        </w:rPr>
        <w:t>El avance de los populismos compromete el proyecto europeo</w:t>
      </w:r>
      <w:r w:rsidR="003763EC" w:rsidRPr="00831539">
        <w:rPr>
          <w:rFonts w:ascii="Times New Roman" w:eastAsia="Times New Roman" w:hAnsi="Times New Roman" w:cs="Times New Roman"/>
          <w:sz w:val="24"/>
          <w:szCs w:val="24"/>
          <w:bdr w:val="none" w:sz="0" w:space="0" w:color="auto" w:frame="1"/>
        </w:rPr>
        <w:t xml:space="preserve">- </w:t>
      </w:r>
      <w:r w:rsidR="00831539" w:rsidRPr="00831539">
        <w:rPr>
          <w:rFonts w:ascii="Times New Roman" w:hAnsi="Times New Roman" w:cs="Times New Roman"/>
          <w:sz w:val="24"/>
          <w:szCs w:val="24"/>
        </w:rPr>
        <w:t xml:space="preserve">La zona euro se estanca - Alemania, al borde de la recesión - Crisis política en Italia - España se frena - </w:t>
      </w:r>
      <w:r w:rsidR="00831539" w:rsidRPr="00831539">
        <w:rPr>
          <w:rFonts w:ascii="Times New Roman" w:eastAsia="Times New Roman" w:hAnsi="Times New Roman" w:cs="Times New Roman"/>
          <w:sz w:val="24"/>
          <w:szCs w:val="24"/>
          <w:bdr w:val="none" w:sz="0" w:space="0" w:color="auto" w:frame="1"/>
        </w:rPr>
        <w:t>Cuenta final para evitar un Brexit caótico</w:t>
      </w:r>
      <w:r w:rsidR="002A170C">
        <w:rPr>
          <w:rFonts w:ascii="Times New Roman" w:eastAsia="Times New Roman" w:hAnsi="Times New Roman" w:cs="Times New Roman"/>
          <w:sz w:val="24"/>
          <w:szCs w:val="24"/>
          <w:bdr w:val="none" w:sz="0" w:space="0" w:color="auto" w:frame="1"/>
        </w:rPr>
        <w:t xml:space="preserve">… </w:t>
      </w:r>
      <w:r w:rsidR="00831539">
        <w:rPr>
          <w:rFonts w:ascii="Times New Roman" w:eastAsia="Times New Roman" w:hAnsi="Times New Roman" w:cs="Times New Roman"/>
          <w:sz w:val="24"/>
          <w:szCs w:val="24"/>
          <w:bdr w:val="none" w:sz="0" w:space="0" w:color="auto" w:frame="1"/>
        </w:rPr>
        <w:t>Hagan sus “apuestas” Señores… (la bolit</w:t>
      </w:r>
      <w:r w:rsidR="00EA3F85">
        <w:rPr>
          <w:rFonts w:ascii="Times New Roman" w:eastAsia="Times New Roman" w:hAnsi="Times New Roman" w:cs="Times New Roman"/>
          <w:sz w:val="24"/>
          <w:szCs w:val="24"/>
          <w:bdr w:val="none" w:sz="0" w:space="0" w:color="auto" w:frame="1"/>
        </w:rPr>
        <w:t>a, dónde está la bolita…</w:t>
      </w:r>
      <w:r w:rsidR="00831539">
        <w:rPr>
          <w:rFonts w:ascii="Times New Roman" w:eastAsia="Times New Roman" w:hAnsi="Times New Roman" w:cs="Times New Roman"/>
          <w:sz w:val="24"/>
          <w:szCs w:val="24"/>
          <w:bdr w:val="none" w:sz="0" w:space="0" w:color="auto" w:frame="1"/>
        </w:rPr>
        <w:t>)</w:t>
      </w:r>
      <w:r w:rsidR="002A170C">
        <w:rPr>
          <w:rFonts w:ascii="Times New Roman" w:eastAsia="Times New Roman" w:hAnsi="Times New Roman" w:cs="Times New Roman"/>
          <w:sz w:val="24"/>
          <w:szCs w:val="24"/>
          <w:bdr w:val="none" w:sz="0" w:space="0" w:color="auto" w:frame="1"/>
        </w:rPr>
        <w:t>.</w:t>
      </w:r>
    </w:p>
    <w:p w:rsidR="00831539" w:rsidRDefault="00831539" w:rsidP="00831539">
      <w:pPr>
        <w:spacing w:after="0" w:line="240" w:lineRule="auto"/>
        <w:jc w:val="both"/>
        <w:textAlignment w:val="baseline"/>
        <w:outlineLvl w:val="2"/>
        <w:rPr>
          <w:rFonts w:ascii="Times New Roman" w:eastAsia="Times New Roman" w:hAnsi="Times New Roman" w:cs="Times New Roman"/>
          <w:sz w:val="24"/>
          <w:szCs w:val="24"/>
          <w:bdr w:val="none" w:sz="0" w:space="0" w:color="auto" w:frame="1"/>
        </w:rPr>
      </w:pPr>
    </w:p>
    <w:p w:rsidR="00831539" w:rsidRDefault="00831539" w:rsidP="00831539">
      <w:pPr>
        <w:spacing w:after="0" w:line="240" w:lineRule="auto"/>
        <w:jc w:val="both"/>
        <w:textAlignment w:val="baseline"/>
        <w:outlineLvl w:val="2"/>
        <w:rPr>
          <w:rFonts w:ascii="Times New Roman" w:eastAsia="Times New Roman" w:hAnsi="Times New Roman" w:cs="Times New Roman"/>
          <w:sz w:val="24"/>
          <w:szCs w:val="24"/>
          <w:bdr w:val="none" w:sz="0" w:space="0" w:color="auto" w:frame="1"/>
        </w:rPr>
      </w:pPr>
      <w:r>
        <w:rPr>
          <w:rFonts w:ascii="Times New Roman" w:eastAsia="Times New Roman" w:hAnsi="Times New Roman" w:cs="Times New Roman"/>
          <w:sz w:val="24"/>
          <w:szCs w:val="24"/>
          <w:bdr w:val="none" w:sz="0" w:space="0" w:color="auto" w:frame="1"/>
        </w:rPr>
        <w:t>La economía europea sufre un tiempo</w:t>
      </w:r>
      <w:r w:rsidRPr="00831539">
        <w:rPr>
          <w:rFonts w:ascii="Times New Roman" w:eastAsia="Times New Roman" w:hAnsi="Times New Roman" w:cs="Times New Roman"/>
          <w:sz w:val="24"/>
          <w:szCs w:val="24"/>
          <w:bdr w:val="none" w:sz="0" w:space="0" w:color="auto" w:frame="1"/>
        </w:rPr>
        <w:t xml:space="preserve"> muy turbulento</w:t>
      </w:r>
      <w:r>
        <w:rPr>
          <w:rFonts w:ascii="Times New Roman" w:eastAsia="Times New Roman" w:hAnsi="Times New Roman" w:cs="Times New Roman"/>
          <w:sz w:val="24"/>
          <w:szCs w:val="24"/>
          <w:bdr w:val="none" w:sz="0" w:space="0" w:color="auto" w:frame="1"/>
        </w:rPr>
        <w:t>,</w:t>
      </w:r>
      <w:r w:rsidRPr="00831539">
        <w:rPr>
          <w:rFonts w:ascii="Times New Roman" w:eastAsia="Times New Roman" w:hAnsi="Times New Roman" w:cs="Times New Roman"/>
          <w:sz w:val="24"/>
          <w:szCs w:val="24"/>
          <w:bdr w:val="none" w:sz="0" w:space="0" w:color="auto" w:frame="1"/>
        </w:rPr>
        <w:t xml:space="preserve"> debido a la acumulación de graves amenazas</w:t>
      </w:r>
      <w:r>
        <w:rPr>
          <w:rFonts w:ascii="Times New Roman" w:eastAsia="Times New Roman" w:hAnsi="Times New Roman" w:cs="Times New Roman"/>
          <w:sz w:val="24"/>
          <w:szCs w:val="24"/>
          <w:bdr w:val="none" w:sz="0" w:space="0" w:color="auto" w:frame="1"/>
        </w:rPr>
        <w:t>,</w:t>
      </w:r>
      <w:r w:rsidRPr="00831539">
        <w:rPr>
          <w:rFonts w:ascii="Times New Roman" w:eastAsia="Times New Roman" w:hAnsi="Times New Roman" w:cs="Times New Roman"/>
          <w:sz w:val="24"/>
          <w:szCs w:val="24"/>
          <w:bdr w:val="none" w:sz="0" w:space="0" w:color="auto" w:frame="1"/>
        </w:rPr>
        <w:t xml:space="preserve"> a nivel financiero y geopolítico</w:t>
      </w:r>
      <w:r w:rsidR="002A170C">
        <w:rPr>
          <w:rFonts w:ascii="Times New Roman" w:eastAsia="Times New Roman" w:hAnsi="Times New Roman" w:cs="Times New Roman"/>
          <w:sz w:val="24"/>
          <w:szCs w:val="24"/>
          <w:bdr w:val="none" w:sz="0" w:space="0" w:color="auto" w:frame="1"/>
        </w:rPr>
        <w:t xml:space="preserve">, externas e internas. En el </w:t>
      </w:r>
      <w:r w:rsidR="002A170C" w:rsidRPr="00554672">
        <w:rPr>
          <w:rFonts w:ascii="Times New Roman" w:eastAsia="Times New Roman" w:hAnsi="Times New Roman" w:cs="Times New Roman"/>
          <w:b/>
          <w:sz w:val="24"/>
          <w:szCs w:val="24"/>
          <w:bdr w:val="none" w:sz="0" w:space="0" w:color="auto" w:frame="1"/>
        </w:rPr>
        <w:t>Apartado</w:t>
      </w:r>
      <w:r w:rsidR="002A170C">
        <w:rPr>
          <w:rFonts w:ascii="Times New Roman" w:eastAsia="Times New Roman" w:hAnsi="Times New Roman" w:cs="Times New Roman"/>
          <w:sz w:val="24"/>
          <w:szCs w:val="24"/>
          <w:bdr w:val="none" w:sz="0" w:space="0" w:color="auto" w:frame="1"/>
        </w:rPr>
        <w:t xml:space="preserve"> siguiente</w:t>
      </w:r>
      <w:r w:rsidR="00554672">
        <w:rPr>
          <w:rFonts w:ascii="Times New Roman" w:eastAsia="Times New Roman" w:hAnsi="Times New Roman" w:cs="Times New Roman"/>
          <w:sz w:val="24"/>
          <w:szCs w:val="24"/>
          <w:bdr w:val="none" w:sz="0" w:space="0" w:color="auto" w:frame="1"/>
        </w:rPr>
        <w:t>,</w:t>
      </w:r>
      <w:r w:rsidR="002A170C">
        <w:rPr>
          <w:rFonts w:ascii="Times New Roman" w:eastAsia="Times New Roman" w:hAnsi="Times New Roman" w:cs="Times New Roman"/>
          <w:sz w:val="24"/>
          <w:szCs w:val="24"/>
          <w:bdr w:val="none" w:sz="0" w:space="0" w:color="auto" w:frame="1"/>
        </w:rPr>
        <w:t xml:space="preserve"> se presentan algunos de los “</w:t>
      </w:r>
      <w:r w:rsidR="00A80695">
        <w:rPr>
          <w:rFonts w:ascii="Times New Roman" w:eastAsia="Times New Roman" w:hAnsi="Times New Roman" w:cs="Times New Roman"/>
          <w:sz w:val="24"/>
          <w:szCs w:val="24"/>
          <w:bdr w:val="none" w:sz="0" w:space="0" w:color="auto" w:frame="1"/>
        </w:rPr>
        <w:t xml:space="preserve">pronósticos” realizados por </w:t>
      </w:r>
      <w:r w:rsidR="00244993">
        <w:rPr>
          <w:rFonts w:ascii="Times New Roman" w:eastAsia="Times New Roman" w:hAnsi="Times New Roman" w:cs="Times New Roman"/>
          <w:sz w:val="24"/>
          <w:szCs w:val="24"/>
          <w:bdr w:val="none" w:sz="0" w:space="0" w:color="auto" w:frame="1"/>
        </w:rPr>
        <w:t>“</w:t>
      </w:r>
      <w:r w:rsidR="002A170C">
        <w:rPr>
          <w:rFonts w:ascii="Times New Roman" w:eastAsia="Times New Roman" w:hAnsi="Times New Roman" w:cs="Times New Roman"/>
          <w:sz w:val="24"/>
          <w:szCs w:val="24"/>
          <w:bdr w:val="none" w:sz="0" w:space="0" w:color="auto" w:frame="1"/>
        </w:rPr>
        <w:t>grandes bonetes</w:t>
      </w:r>
      <w:r w:rsidR="00244993">
        <w:rPr>
          <w:rFonts w:ascii="Times New Roman" w:eastAsia="Times New Roman" w:hAnsi="Times New Roman" w:cs="Times New Roman"/>
          <w:sz w:val="24"/>
          <w:szCs w:val="24"/>
          <w:bdr w:val="none" w:sz="0" w:space="0" w:color="auto" w:frame="1"/>
        </w:rPr>
        <w:t>” (</w:t>
      </w:r>
      <w:r w:rsidR="00A80695">
        <w:rPr>
          <w:rFonts w:ascii="Times New Roman" w:eastAsia="Times New Roman" w:hAnsi="Times New Roman" w:cs="Times New Roman"/>
          <w:sz w:val="24"/>
          <w:szCs w:val="24"/>
          <w:bdr w:val="none" w:sz="0" w:space="0" w:color="auto" w:frame="1"/>
        </w:rPr>
        <w:t>“</w:t>
      </w:r>
      <w:r w:rsidR="00244993">
        <w:rPr>
          <w:rFonts w:ascii="Times New Roman" w:eastAsia="Times New Roman" w:hAnsi="Times New Roman" w:cs="Times New Roman"/>
          <w:sz w:val="24"/>
          <w:szCs w:val="24"/>
          <w:bdr w:val="none" w:sz="0" w:space="0" w:color="auto" w:frame="1"/>
        </w:rPr>
        <w:t>los que saben</w:t>
      </w:r>
      <w:r w:rsidR="00A80695">
        <w:rPr>
          <w:rFonts w:ascii="Times New Roman" w:eastAsia="Times New Roman" w:hAnsi="Times New Roman" w:cs="Times New Roman"/>
          <w:sz w:val="24"/>
          <w:szCs w:val="24"/>
          <w:bdr w:val="none" w:sz="0" w:space="0" w:color="auto" w:frame="1"/>
        </w:rPr>
        <w:t>”</w:t>
      </w:r>
      <w:r w:rsidR="002A170C">
        <w:rPr>
          <w:rFonts w:ascii="Times New Roman" w:eastAsia="Times New Roman" w:hAnsi="Times New Roman" w:cs="Times New Roman"/>
          <w:sz w:val="24"/>
          <w:szCs w:val="24"/>
          <w:bdr w:val="none" w:sz="0" w:space="0" w:color="auto" w:frame="1"/>
        </w:rPr>
        <w:t xml:space="preserve">). </w:t>
      </w:r>
    </w:p>
    <w:p w:rsidR="002A170C" w:rsidRDefault="002A170C" w:rsidP="00831539">
      <w:pPr>
        <w:spacing w:after="0" w:line="240" w:lineRule="auto"/>
        <w:jc w:val="both"/>
        <w:textAlignment w:val="baseline"/>
        <w:outlineLvl w:val="2"/>
        <w:rPr>
          <w:rFonts w:ascii="Times New Roman" w:eastAsia="Times New Roman" w:hAnsi="Times New Roman" w:cs="Times New Roman"/>
          <w:sz w:val="24"/>
          <w:szCs w:val="24"/>
          <w:bdr w:val="none" w:sz="0" w:space="0" w:color="auto" w:frame="1"/>
        </w:rPr>
      </w:pPr>
    </w:p>
    <w:p w:rsidR="00717CED" w:rsidRDefault="004C4747" w:rsidP="00831539">
      <w:pPr>
        <w:spacing w:after="0" w:line="240" w:lineRule="auto"/>
        <w:jc w:val="both"/>
        <w:textAlignment w:val="baseline"/>
        <w:outlineLvl w:val="2"/>
        <w:rPr>
          <w:rFonts w:ascii="Times New Roman" w:hAnsi="Times New Roman" w:cs="Times New Roman"/>
          <w:b/>
          <w:sz w:val="24"/>
          <w:szCs w:val="24"/>
        </w:rPr>
      </w:pPr>
      <w:r>
        <w:rPr>
          <w:rFonts w:ascii="Times New Roman" w:hAnsi="Times New Roman" w:cs="Times New Roman"/>
          <w:b/>
          <w:sz w:val="24"/>
          <w:szCs w:val="24"/>
        </w:rPr>
        <w:lastRenderedPageBreak/>
        <w:t>- P</w:t>
      </w:r>
      <w:r w:rsidR="00717CED">
        <w:rPr>
          <w:rFonts w:ascii="Times New Roman" w:hAnsi="Times New Roman" w:cs="Times New Roman"/>
          <w:b/>
          <w:sz w:val="24"/>
          <w:szCs w:val="24"/>
        </w:rPr>
        <w:t>anorama desde el pue</w:t>
      </w:r>
      <w:r>
        <w:rPr>
          <w:rFonts w:ascii="Times New Roman" w:hAnsi="Times New Roman" w:cs="Times New Roman"/>
          <w:b/>
          <w:sz w:val="24"/>
          <w:szCs w:val="24"/>
        </w:rPr>
        <w:t>nte:claroscuros europeos (las</w:t>
      </w:r>
      <w:r w:rsidR="007D67F3">
        <w:rPr>
          <w:rFonts w:ascii="Times New Roman" w:hAnsi="Times New Roman" w:cs="Times New Roman"/>
          <w:b/>
          <w:sz w:val="24"/>
          <w:szCs w:val="24"/>
        </w:rPr>
        <w:t>amenazas</w:t>
      </w:r>
      <w:r w:rsidR="00497E25">
        <w:rPr>
          <w:rFonts w:ascii="Times New Roman" w:hAnsi="Times New Roman" w:cs="Times New Roman"/>
          <w:b/>
          <w:sz w:val="24"/>
          <w:szCs w:val="24"/>
        </w:rPr>
        <w:t xml:space="preserve"> que acechan</w:t>
      </w:r>
      <w:r w:rsidR="00831539">
        <w:rPr>
          <w:rFonts w:ascii="Times New Roman" w:hAnsi="Times New Roman" w:cs="Times New Roman"/>
          <w:b/>
          <w:sz w:val="24"/>
          <w:szCs w:val="24"/>
        </w:rPr>
        <w:t xml:space="preserve"> a la UE</w:t>
      </w:r>
      <w:r w:rsidR="00717CED">
        <w:rPr>
          <w:rFonts w:ascii="Times New Roman" w:hAnsi="Times New Roman" w:cs="Times New Roman"/>
          <w:b/>
          <w:sz w:val="24"/>
          <w:szCs w:val="24"/>
        </w:rPr>
        <w:t>)</w:t>
      </w:r>
    </w:p>
    <w:p w:rsidR="00831539" w:rsidRPr="00831539" w:rsidRDefault="00831539" w:rsidP="00831539">
      <w:pPr>
        <w:spacing w:after="0" w:line="240" w:lineRule="auto"/>
        <w:jc w:val="both"/>
        <w:textAlignment w:val="baseline"/>
        <w:outlineLvl w:val="2"/>
        <w:rPr>
          <w:rFonts w:ascii="Times New Roman" w:eastAsia="Times New Roman" w:hAnsi="Times New Roman" w:cs="Times New Roman"/>
          <w:sz w:val="24"/>
          <w:szCs w:val="24"/>
          <w:bdr w:val="none" w:sz="0" w:space="0" w:color="auto" w:frame="1"/>
        </w:rPr>
      </w:pPr>
    </w:p>
    <w:p w:rsidR="00717CED" w:rsidRDefault="00717CED" w:rsidP="00717CED">
      <w:pPr>
        <w:spacing w:line="240" w:lineRule="auto"/>
        <w:jc w:val="both"/>
        <w:rPr>
          <w:rFonts w:ascii="Times New Roman" w:hAnsi="Times New Roman" w:cs="Times New Roman"/>
          <w:b/>
          <w:sz w:val="24"/>
          <w:szCs w:val="24"/>
        </w:rPr>
      </w:pPr>
      <w:r>
        <w:rPr>
          <w:noProof/>
          <w:lang w:val="en-GB" w:eastAsia="en-GB"/>
        </w:rPr>
        <w:drawing>
          <wp:inline distT="0" distB="0" distL="0" distR="0">
            <wp:extent cx="5715000" cy="2571750"/>
            <wp:effectExtent l="0" t="0" r="0" b="0"/>
            <wp:docPr id="8" name="Imagen 8" descr="Image result for fotos de los cisnes neg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tos de los cisnes negros"/>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571750"/>
                    </a:xfrm>
                    <a:prstGeom prst="rect">
                      <a:avLst/>
                    </a:prstGeom>
                    <a:noFill/>
                    <a:ln>
                      <a:noFill/>
                    </a:ln>
                  </pic:spPr>
                </pic:pic>
              </a:graphicData>
            </a:graphic>
          </wp:inline>
        </w:drawing>
      </w:r>
    </w:p>
    <w:p w:rsidR="00497E25" w:rsidRDefault="00A80695" w:rsidP="00717CED">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004C4747">
        <w:rPr>
          <w:rFonts w:ascii="Times New Roman" w:hAnsi="Times New Roman" w:cs="Times New Roman"/>
          <w:b/>
          <w:sz w:val="24"/>
          <w:szCs w:val="24"/>
        </w:rPr>
        <w:t>Swan lake</w:t>
      </w:r>
      <w:r>
        <w:rPr>
          <w:rFonts w:ascii="Times New Roman" w:hAnsi="Times New Roman" w:cs="Times New Roman"/>
          <w:b/>
          <w:sz w:val="24"/>
          <w:szCs w:val="24"/>
        </w:rPr>
        <w:t>”</w:t>
      </w:r>
      <w:r w:rsidR="004C4747">
        <w:rPr>
          <w:rFonts w:ascii="Times New Roman" w:hAnsi="Times New Roman" w:cs="Times New Roman"/>
          <w:b/>
          <w:sz w:val="24"/>
          <w:szCs w:val="24"/>
        </w:rPr>
        <w:t>:</w:t>
      </w:r>
      <w:r w:rsidR="00717CED">
        <w:rPr>
          <w:rFonts w:ascii="Times New Roman" w:hAnsi="Times New Roman" w:cs="Times New Roman"/>
          <w:b/>
          <w:sz w:val="24"/>
          <w:szCs w:val="24"/>
        </w:rPr>
        <w:t xml:space="preserve"> ciclogénesis perfecta, vórtice polar, depresión aislada en niveles altos</w:t>
      </w:r>
      <w:r>
        <w:rPr>
          <w:rFonts w:ascii="Times New Roman" w:hAnsi="Times New Roman" w:cs="Times New Roman"/>
          <w:b/>
          <w:sz w:val="24"/>
          <w:szCs w:val="24"/>
        </w:rPr>
        <w:t xml:space="preserve"> (DANA)</w:t>
      </w:r>
      <w:r w:rsidR="00717CED">
        <w:rPr>
          <w:rFonts w:ascii="Times New Roman" w:hAnsi="Times New Roman" w:cs="Times New Roman"/>
          <w:b/>
          <w:sz w:val="24"/>
          <w:szCs w:val="24"/>
        </w:rPr>
        <w:t>, tornado, huracán,</w:t>
      </w:r>
      <w:r>
        <w:rPr>
          <w:rFonts w:ascii="Times New Roman" w:hAnsi="Times New Roman" w:cs="Times New Roman"/>
          <w:b/>
          <w:sz w:val="24"/>
          <w:szCs w:val="24"/>
        </w:rPr>
        <w:t xml:space="preserve"> tifón, </w:t>
      </w:r>
      <w:r w:rsidR="00717CED">
        <w:rPr>
          <w:rFonts w:ascii="Times New Roman" w:hAnsi="Times New Roman" w:cs="Times New Roman"/>
          <w:b/>
          <w:sz w:val="24"/>
          <w:szCs w:val="24"/>
        </w:rPr>
        <w:t>tsunami, gota fría…</w:t>
      </w:r>
      <w:r w:rsidR="005858A4">
        <w:rPr>
          <w:rFonts w:ascii="Times New Roman" w:hAnsi="Times New Roman" w:cs="Times New Roman"/>
          <w:b/>
          <w:sz w:val="24"/>
          <w:szCs w:val="24"/>
        </w:rPr>
        <w:t xml:space="preserve"> los hombres del “tiempo económico</w:t>
      </w:r>
      <w:r w:rsidR="00497E25">
        <w:rPr>
          <w:rFonts w:ascii="Times New Roman" w:hAnsi="Times New Roman" w:cs="Times New Roman"/>
          <w:b/>
          <w:sz w:val="24"/>
          <w:szCs w:val="24"/>
        </w:rPr>
        <w:t>”, hacen</w:t>
      </w:r>
      <w:r w:rsidR="0076371D">
        <w:rPr>
          <w:rFonts w:ascii="Times New Roman" w:hAnsi="Times New Roman" w:cs="Times New Roman"/>
          <w:b/>
          <w:sz w:val="24"/>
          <w:szCs w:val="24"/>
        </w:rPr>
        <w:t xml:space="preserve"> sus pronósticos (¿o </w:t>
      </w:r>
      <w:r w:rsidR="00497E25">
        <w:rPr>
          <w:rFonts w:ascii="Times New Roman" w:hAnsi="Times New Roman" w:cs="Times New Roman"/>
          <w:b/>
          <w:sz w:val="24"/>
          <w:szCs w:val="24"/>
        </w:rPr>
        <w:t xml:space="preserve">apuestas?)… </w:t>
      </w:r>
    </w:p>
    <w:p w:rsidR="00497E25" w:rsidRPr="00F01646" w:rsidRDefault="00497E25" w:rsidP="00497E25">
      <w:pPr>
        <w:spacing w:after="0" w:line="240" w:lineRule="auto"/>
        <w:jc w:val="both"/>
        <w:textAlignment w:val="baseline"/>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 </w:t>
      </w:r>
      <w:r w:rsidRPr="00570C0D">
        <w:rPr>
          <w:rFonts w:ascii="Times New Roman" w:eastAsia="Times New Roman" w:hAnsi="Times New Roman" w:cs="Times New Roman"/>
          <w:color w:val="000000"/>
          <w:sz w:val="24"/>
          <w:szCs w:val="24"/>
          <w:u w:val="single"/>
        </w:rPr>
        <w:t>Un año para actuar</w:t>
      </w:r>
      <w:r>
        <w:rPr>
          <w:rFonts w:ascii="Times New Roman" w:eastAsia="Times New Roman" w:hAnsi="Times New Roman" w:cs="Times New Roman"/>
          <w:color w:val="000000"/>
          <w:sz w:val="24"/>
          <w:szCs w:val="24"/>
        </w:rPr>
        <w:t xml:space="preserve"> (Project Syndicate - </w:t>
      </w:r>
      <w:r w:rsidRPr="00570C0D">
        <w:rPr>
          <w:rFonts w:ascii="Times New Roman" w:eastAsia="Times New Roman" w:hAnsi="Times New Roman" w:cs="Times New Roman"/>
          <w:b/>
          <w:color w:val="000000"/>
          <w:sz w:val="24"/>
          <w:szCs w:val="24"/>
        </w:rPr>
        <w:t>4/1/19</w:t>
      </w:r>
      <w:r>
        <w:rPr>
          <w:rFonts w:ascii="Times New Roman" w:eastAsia="Times New Roman" w:hAnsi="Times New Roman" w:cs="Times New Roman"/>
          <w:color w:val="000000"/>
          <w:sz w:val="24"/>
          <w:szCs w:val="24"/>
        </w:rPr>
        <w:t xml:space="preserve">) </w:t>
      </w: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Pr="00803020" w:rsidRDefault="004C4747" w:rsidP="00497E25">
      <w:pPr>
        <w:spacing w:after="0" w:line="240" w:lineRule="auto"/>
        <w:jc w:val="both"/>
        <w:textAlignment w:val="baseline"/>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rPr>
        <w:t>Oxford.-</w:t>
      </w:r>
      <w:r w:rsidR="00497E25" w:rsidRPr="00803020">
        <w:rPr>
          <w:rFonts w:ascii="Times New Roman" w:eastAsia="Times New Roman" w:hAnsi="Times New Roman" w:cs="Times New Roman"/>
          <w:color w:val="000000"/>
          <w:sz w:val="24"/>
          <w:szCs w:val="24"/>
          <w:u w:val="single"/>
        </w:rPr>
        <w:t>Esperemos que 2019 sea el año en que comience a invertirse la tendencia histórica. En 2018, las divisiones intra e internacionales no dejaron de profundizarse. Y a la par de la transformación que las tensiones geopolíticas y el tribalismo político han provocado en las relaciones internacionales y en la política nacional, nuevas tecnologías trastocan viejos supuestos sobre la seguridad, la política y la economía. Esto se complica todavía más por la creciente interdependencia de nuestras sociedades. Todos estamos cada vez más sujetos a fuerzas que escapan al control de cualquier país, ciudad o persona por separado (sobre todo en lo referido al cambio climático).</w:t>
      </w: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Cuánto cambió en tres décadas. Allá por 1989, el colapso del bloque soviético parecía augurar el triunfo de los principios y valores de la democracia liberal. La creación ese mismo año de la World Wide Web prometía una nueva era de florecimiento para la humanidad y de cooperación internacional. Todavía en los primeros años de este siglo se repetían consignas osadas como que “la distancia ha muerto” y “la Tierra es plana”.</w:t>
      </w:r>
    </w:p>
    <w:p w:rsidR="00497E25" w:rsidRPr="00803020" w:rsidRDefault="00497E25" w:rsidP="00497E25">
      <w:pPr>
        <w:spacing w:after="0" w:line="240" w:lineRule="auto"/>
        <w:jc w:val="both"/>
        <w:textAlignment w:val="baseline"/>
        <w:rPr>
          <w:rFonts w:ascii="Times New Roman" w:eastAsia="Times New Roman" w:hAnsi="Times New Roman" w:cs="Times New Roman"/>
          <w:color w:val="FF0000"/>
          <w:sz w:val="24"/>
          <w:szCs w:val="24"/>
          <w:u w:val="single"/>
        </w:rPr>
      </w:pPr>
    </w:p>
    <w:p w:rsidR="00497E25" w:rsidRPr="00803020" w:rsidRDefault="00497E25" w:rsidP="00497E25">
      <w:pPr>
        <w:spacing w:after="0" w:line="240" w:lineRule="auto"/>
        <w:jc w:val="both"/>
        <w:textAlignment w:val="baseline"/>
        <w:rPr>
          <w:rFonts w:ascii="Times New Roman" w:eastAsia="Times New Roman" w:hAnsi="Times New Roman" w:cs="Times New Roman"/>
          <w:b/>
          <w:color w:val="FF0000"/>
          <w:sz w:val="24"/>
          <w:szCs w:val="24"/>
          <w:u w:val="single"/>
        </w:rPr>
      </w:pPr>
      <w:r w:rsidRPr="00803020">
        <w:rPr>
          <w:rFonts w:ascii="Times New Roman" w:eastAsia="Times New Roman" w:hAnsi="Times New Roman" w:cs="Times New Roman"/>
          <w:b/>
          <w:color w:val="FF0000"/>
          <w:sz w:val="24"/>
          <w:szCs w:val="24"/>
          <w:u w:val="single"/>
        </w:rPr>
        <w:t>Pero en vez de aplanar la Tierra, la globalización la ha vuelto más montañosa y despareja. Hoy más que nunca, el código postal determina las perspectivas, la expectativa de vida y el destino de las personas. En vez de reemplazar los ideales nacionales con valores compartidos, la globalización llevó a una competencia feroz, a la decadencia de los estados de bienestar y a la corrosión de las instituciones internacionales. Y aunque técnicamente hay más democracias hoy que en 1989, muchas se están volviendo más iliberales.</w:t>
      </w:r>
    </w:p>
    <w:p w:rsidR="00497E25" w:rsidRPr="00803020" w:rsidRDefault="00497E25" w:rsidP="00497E25">
      <w:pPr>
        <w:spacing w:after="0" w:line="240" w:lineRule="auto"/>
        <w:jc w:val="both"/>
        <w:textAlignment w:val="baseline"/>
        <w:rPr>
          <w:rFonts w:ascii="Times New Roman" w:eastAsia="Times New Roman" w:hAnsi="Times New Roman" w:cs="Times New Roman"/>
          <w:b/>
          <w:color w:val="FF0000"/>
          <w:sz w:val="24"/>
          <w:szCs w:val="24"/>
          <w:u w:val="single"/>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 xml:space="preserve">No extraña que el apoyo público a la globalización haya menguado. Y en esto no ayudaron los ataques del 11 de septiembre de 2001 y los 5,6 billones de dólares gastados en la “guerra al terrorismo”. Tampoco lo hizo la crisis financiera de 2008, que expuso la incapacidad de expertos e instituciones para manejar la interdependencia y el cambio tecnológico. Una </w:t>
      </w:r>
      <w:r w:rsidRPr="00803020">
        <w:rPr>
          <w:rFonts w:ascii="Times New Roman" w:eastAsia="Times New Roman" w:hAnsi="Times New Roman" w:cs="Times New Roman"/>
          <w:color w:val="FF0000"/>
          <w:sz w:val="24"/>
          <w:szCs w:val="24"/>
          <w:u w:val="single"/>
        </w:rPr>
        <w:lastRenderedPageBreak/>
        <w:t>creciente divisoria entre las élites y todos aquellos que han sido “olvidados” envenena la política hace una generación.</w:t>
      </w: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Sin embargo, la desilusión con la globalización está en su mayor parte confinada a los países de América del Norte y Europa occidental. Al fin y al cabo, la suerte de las potencias emergentes en el este y el sudeste de Asia mejoró, y la mayoría de las personas en todo el mundo hoy están objetivamente mejor en términos agregados que hace 30 años. Fuera de Occidente, la media de ingresos se duplicó desde la caída del Muro de Berlín (y se triplicó en el caso de China). La expectativa de vida en muchos países en desarrollo aumentó nada menos que 15 años, y tres mil millones de personas en todo el mundo aprendieron a leer y escribir.</w:t>
      </w: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Pero no hay garantías de que esta “Nueva Ilustración”, como la denomina Steven Pinker (de la Universidad Harvard), siga entregando progreso. La Ilustración de los siglos XVII y XVIII vino después del Renacimiento, que fue un período no sólo de revolución científica y artística, sino también de aumento de la intolerancia, guerras religiosas y persecución de científicos e intelectuales.</w:t>
      </w: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r w:rsidRPr="00570C0D">
        <w:rPr>
          <w:rFonts w:ascii="Times New Roman" w:eastAsia="Times New Roman" w:hAnsi="Times New Roman" w:cs="Times New Roman"/>
          <w:color w:val="000000"/>
          <w:sz w:val="24"/>
          <w:szCs w:val="24"/>
        </w:rPr>
        <w:t xml:space="preserve">La violencia reaccionaria durante el Renacimiento y después tuvo mucho que ver con la incapacidad de las élites para manejar los veloces cambios y las crecientes desigualdades ocasionadas por la revolución de la imprenta. Las élites actuales deberían tomar nota. Los espectaculares efectos colaterales de la invasión a Irak liderada por los Estados Unidos y de la crisis financiera de 2008 dañaron profundamente la confianza de la población en las autoridades y en los expertos. </w:t>
      </w:r>
      <w:r w:rsidRPr="00803020">
        <w:rPr>
          <w:rFonts w:ascii="Times New Roman" w:eastAsia="Times New Roman" w:hAnsi="Times New Roman" w:cs="Times New Roman"/>
          <w:color w:val="000000"/>
          <w:sz w:val="24"/>
          <w:szCs w:val="24"/>
          <w:u w:val="single"/>
        </w:rPr>
        <w:t>Una misma idea reúne al populismo de derecha con el de izquierda: la idea de que la vieja guardia abandonó al pueblo y se encerró en una isla de privilegios.</w:t>
      </w: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000000"/>
          <w:sz w:val="24"/>
          <w:szCs w:val="24"/>
          <w:u w:val="single"/>
        </w:rPr>
        <w:t>Y algo de razón tienen. Es un hecho que políticas defectuosas de promoción de la globalización nos abandonaron y contribuyeron a una creciente desigualdad</w:t>
      </w:r>
      <w:r w:rsidRPr="00570C0D">
        <w:rPr>
          <w:rFonts w:ascii="Times New Roman" w:eastAsia="Times New Roman" w:hAnsi="Times New Roman" w:cs="Times New Roman"/>
          <w:color w:val="000000"/>
          <w:sz w:val="24"/>
          <w:szCs w:val="24"/>
        </w:rPr>
        <w:t xml:space="preserve">. Y ahora la inteligencia artificial y la automatización amenazan con reemplazar los puestos de trabajo rutinarios y acentuar las divisiones sociales. </w:t>
      </w:r>
      <w:r w:rsidRPr="00803020">
        <w:rPr>
          <w:rFonts w:ascii="Times New Roman" w:eastAsia="Times New Roman" w:hAnsi="Times New Roman" w:cs="Times New Roman"/>
          <w:color w:val="FF0000"/>
          <w:sz w:val="24"/>
          <w:szCs w:val="24"/>
          <w:u w:val="single"/>
        </w:rPr>
        <w:t>¿Podrán la dirigencia política y la ciudadanía reunir la voluntad para encarar las amenazas compartidas, o vamos camino de una mayor fragmentación? Mucho dependerá de las medidas que se tomen en 2019. Hoy más que nunca, debemos hacer frente a los motores del cambio, cada vez más rápidos e interdependientes.</w:t>
      </w:r>
    </w:p>
    <w:p w:rsidR="00497E25" w:rsidRPr="00803020" w:rsidRDefault="00497E25" w:rsidP="00497E25">
      <w:pPr>
        <w:spacing w:after="0" w:line="240" w:lineRule="auto"/>
        <w:jc w:val="both"/>
        <w:textAlignment w:val="baseline"/>
        <w:rPr>
          <w:rFonts w:ascii="Times New Roman" w:eastAsia="Times New Roman" w:hAnsi="Times New Roman" w:cs="Times New Roman"/>
          <w:color w:val="FF0000"/>
          <w:sz w:val="24"/>
          <w:szCs w:val="24"/>
          <w:u w:val="single"/>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r w:rsidRPr="00803020">
        <w:rPr>
          <w:rFonts w:ascii="Times New Roman" w:eastAsia="Times New Roman" w:hAnsi="Times New Roman" w:cs="Times New Roman"/>
          <w:color w:val="000000"/>
          <w:sz w:val="24"/>
          <w:szCs w:val="24"/>
          <w:u w:val="single"/>
        </w:rPr>
        <w:t>A tal fin, las autoridades deben tomar medidas para proteger a los más vulnerables. Se están eliminando redes de seguridad social precisamente cuando la gente más las necesita. Después de que la crisis financiera dejó a los gobiernos sin recursos y con deudas asfixiantes, algunos, como el de Estados Unidos, empeoraron las cosas recortando impuestos.</w:t>
      </w: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r w:rsidRPr="00803020">
        <w:rPr>
          <w:rFonts w:ascii="Times New Roman" w:eastAsia="Times New Roman" w:hAnsi="Times New Roman" w:cs="Times New Roman"/>
          <w:color w:val="000000"/>
          <w:sz w:val="24"/>
          <w:szCs w:val="24"/>
          <w:u w:val="single"/>
        </w:rPr>
        <w:t>En un nivel más amplio, todos tenemos que poner manos a la tarea de comprender y controlar la globalización</w:t>
      </w:r>
      <w:r w:rsidRPr="00570C0D">
        <w:rPr>
          <w:rFonts w:ascii="Times New Roman" w:eastAsia="Times New Roman" w:hAnsi="Times New Roman" w:cs="Times New Roman"/>
          <w:color w:val="000000"/>
          <w:sz w:val="24"/>
          <w:szCs w:val="24"/>
        </w:rPr>
        <w:t xml:space="preserve">. Eso implica abandonar el anticuado paradigma del siglo XX que divide toda la política en izquierda y derecha, en socialismo y capitalismo. </w:t>
      </w:r>
      <w:r w:rsidRPr="00803020">
        <w:rPr>
          <w:rFonts w:ascii="Times New Roman" w:eastAsia="Times New Roman" w:hAnsi="Times New Roman" w:cs="Times New Roman"/>
          <w:color w:val="000000"/>
          <w:sz w:val="24"/>
          <w:szCs w:val="24"/>
          <w:u w:val="single"/>
        </w:rPr>
        <w:t>La política de 2019 gira en torno de valores; por eso los partidos políticos tradicionales están siendo desplazados por otros que apelan al sentimiento nacional y a fantasías nostálgicas.</w:t>
      </w: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r w:rsidRPr="00803020">
        <w:rPr>
          <w:rFonts w:ascii="Times New Roman" w:eastAsia="Times New Roman" w:hAnsi="Times New Roman" w:cs="Times New Roman"/>
          <w:color w:val="000000"/>
          <w:sz w:val="24"/>
          <w:szCs w:val="24"/>
          <w:u w:val="single"/>
        </w:rPr>
        <w:t xml:space="preserve">Hasta ahora, la revolución política que se desarrolla estuvo signada por la rabia y la frustración. Pero es posible (y necesario) encauzar esos sentimientos y ponerlos al servicio del cambio constructivo. Para lograr una globalización inclusiva, tenemos que hacer frente a </w:t>
      </w:r>
      <w:r w:rsidRPr="00803020">
        <w:rPr>
          <w:rFonts w:ascii="Times New Roman" w:eastAsia="Times New Roman" w:hAnsi="Times New Roman" w:cs="Times New Roman"/>
          <w:color w:val="000000"/>
          <w:sz w:val="24"/>
          <w:szCs w:val="24"/>
          <w:u w:val="single"/>
        </w:rPr>
        <w:lastRenderedPageBreak/>
        <w:t>la desigualdad creciente, abrazar la diversidad y rescatar la cooperación internacional del espectro del unilateralismo.</w:t>
      </w: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FF0000"/>
          <w:sz w:val="24"/>
          <w:szCs w:val="24"/>
          <w:u w:val="single"/>
        </w:rPr>
      </w:pPr>
      <w:r w:rsidRPr="00803020">
        <w:rPr>
          <w:rFonts w:ascii="Times New Roman" w:eastAsia="Times New Roman" w:hAnsi="Times New Roman" w:cs="Times New Roman"/>
          <w:color w:val="FF0000"/>
          <w:sz w:val="24"/>
          <w:szCs w:val="24"/>
          <w:u w:val="single"/>
        </w:rPr>
        <w:t>Nunca hubo tanto en juego como en 2019. Cuando la política está supeditada al extremismo, a los algoritmos, a las noticias falsas y a la manipulación extranjera, la democracia misma está en peligro. Sin un involucramiento más activo de las autoridades y dirigencias políticas, no puede haber esperanzas para el futuro. El ritmo cada vez más veloz de los cambios, sumado a la creciente interdependencia internacional, no facilita la búsqueda de soluciones compartidas, sino que la dificulta.</w:t>
      </w:r>
    </w:p>
    <w:p w:rsidR="00497E25" w:rsidRPr="00570C0D"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r w:rsidRPr="00570C0D">
        <w:rPr>
          <w:rFonts w:ascii="Times New Roman" w:eastAsia="Times New Roman" w:hAnsi="Times New Roman" w:cs="Times New Roman"/>
          <w:color w:val="000000"/>
          <w:sz w:val="24"/>
          <w:szCs w:val="24"/>
        </w:rPr>
        <w:t xml:space="preserve">Es tentador tratar de detener el reloj para no tener que tomar decisiones difíciles. Pero los cambios en curso nos afectarán a todos, participemos o no de la conversación. </w:t>
      </w:r>
      <w:r w:rsidRPr="00803020">
        <w:rPr>
          <w:rFonts w:ascii="Times New Roman" w:eastAsia="Times New Roman" w:hAnsi="Times New Roman" w:cs="Times New Roman"/>
          <w:color w:val="000000"/>
          <w:sz w:val="24"/>
          <w:szCs w:val="24"/>
          <w:u w:val="single"/>
        </w:rPr>
        <w:t>De modo que la única salida es mejorar nuestra comprensión y dialogar con ideas complejas. No hacerlo, optando en cambio por victimizarnos, es invitar a la catástrofe. El único modo de que el futuro sea menos temible es dándole forma nosotros mismos. Sin la acción de personas audaces, el rumbo de la historia no virará por sí solo hacia la justicia o a mejores resultados.</w:t>
      </w: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rPr>
      </w:pP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lang w:val="en-US"/>
        </w:rPr>
      </w:pPr>
      <w:r w:rsidRPr="00803020">
        <w:rPr>
          <w:rFonts w:ascii="Times New Roman" w:eastAsia="Times New Roman" w:hAnsi="Times New Roman" w:cs="Times New Roman"/>
          <w:color w:val="000000"/>
          <w:sz w:val="24"/>
          <w:szCs w:val="24"/>
          <w:u w:val="single"/>
        </w:rPr>
        <w:t xml:space="preserve">Tres décadas después de la caída del Muro de Berlín, estamos otra vez en una encrucijada, y se libra una encarnizada batalla de ideas. Los nuevos muros que hoy se erigen dentro de las sociedades y entre ellas plantean una grave amenaza a nuestro futuro colectivo. </w:t>
      </w:r>
      <w:r w:rsidRPr="00803020">
        <w:rPr>
          <w:rFonts w:ascii="Times New Roman" w:eastAsia="Times New Roman" w:hAnsi="Times New Roman" w:cs="Times New Roman"/>
          <w:color w:val="000000"/>
          <w:sz w:val="24"/>
          <w:szCs w:val="24"/>
          <w:u w:val="single"/>
          <w:lang w:val="en-US"/>
        </w:rPr>
        <w:t>Este es el año para empezar a derribarlos.</w:t>
      </w:r>
    </w:p>
    <w:p w:rsidR="00497E25" w:rsidRPr="00803020" w:rsidRDefault="00497E25" w:rsidP="00497E25">
      <w:pPr>
        <w:spacing w:after="0" w:line="240" w:lineRule="auto"/>
        <w:jc w:val="both"/>
        <w:textAlignment w:val="baseline"/>
        <w:rPr>
          <w:rFonts w:ascii="Times New Roman" w:eastAsia="Times New Roman" w:hAnsi="Times New Roman" w:cs="Times New Roman"/>
          <w:color w:val="000000"/>
          <w:sz w:val="24"/>
          <w:szCs w:val="24"/>
          <w:u w:val="single"/>
          <w:lang w:val="en-US"/>
        </w:rPr>
      </w:pPr>
    </w:p>
    <w:p w:rsidR="00244993" w:rsidRDefault="00497E25" w:rsidP="00244993">
      <w:pPr>
        <w:spacing w:after="0" w:line="240" w:lineRule="auto"/>
        <w:jc w:val="both"/>
        <w:textAlignment w:val="baseline"/>
        <w:rPr>
          <w:rFonts w:ascii="Times New Roman" w:eastAsia="Times New Roman" w:hAnsi="Times New Roman" w:cs="Times New Roman"/>
          <w:color w:val="000000"/>
          <w:sz w:val="24"/>
          <w:szCs w:val="24"/>
          <w:lang w:val="en-US"/>
        </w:rPr>
      </w:pPr>
      <w:r w:rsidRPr="00570C0D">
        <w:rPr>
          <w:rFonts w:ascii="Times New Roman" w:eastAsia="Times New Roman" w:hAnsi="Times New Roman" w:cs="Times New Roman"/>
          <w:color w:val="000000"/>
          <w:sz w:val="24"/>
          <w:szCs w:val="24"/>
          <w:lang w:val="en-US"/>
        </w:rPr>
        <w:t>(Ian Goldin, Professor of Globalization and Development and Director of the Oxford Martin Programme on Technological and Economic Change at the University of Oxford, is an author of The Pursuit of Development: Economic Growth, Social Change, and Ideas; Exceptional People: How Migration Shaped Our World and Will Define Our Future, Age of Discovery: Navigating the Risks and Rewards of Our New Renaissance, The Butterfly Defect: How Globalization Creates Systemic Risks, and What to Do About It,  Migration and the Economy: Economic Realities, Social Impacts and Political Choices, and Development: A Very Short Introdution. He is also the author and presenter of</w:t>
      </w:r>
      <w:r w:rsidR="00954FE9">
        <w:rPr>
          <w:rFonts w:ascii="Times New Roman" w:eastAsia="Times New Roman" w:hAnsi="Times New Roman" w:cs="Times New Roman"/>
          <w:color w:val="000000"/>
          <w:sz w:val="24"/>
          <w:szCs w:val="24"/>
          <w:lang w:val="en-US"/>
        </w:rPr>
        <w:t xml:space="preserve"> the BBC series After the Crash)</w:t>
      </w:r>
    </w:p>
    <w:p w:rsidR="00244993" w:rsidRPr="00244993" w:rsidRDefault="00244993" w:rsidP="00244993">
      <w:pPr>
        <w:spacing w:after="0" w:line="240" w:lineRule="auto"/>
        <w:jc w:val="both"/>
        <w:textAlignment w:val="baseline"/>
        <w:rPr>
          <w:rFonts w:ascii="Times New Roman" w:eastAsia="Times New Roman" w:hAnsi="Times New Roman" w:cs="Times New Roman"/>
          <w:color w:val="000000"/>
          <w:sz w:val="24"/>
          <w:szCs w:val="24"/>
          <w:lang w:val="en-US"/>
        </w:rPr>
      </w:pPr>
    </w:p>
    <w:p w:rsidR="0076371D" w:rsidRPr="000865A8" w:rsidRDefault="0076371D" w:rsidP="0076371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8E001D">
        <w:rPr>
          <w:rFonts w:ascii="Times New Roman" w:hAnsi="Times New Roman" w:cs="Times New Roman"/>
          <w:sz w:val="24"/>
          <w:szCs w:val="24"/>
          <w:u w:val="single"/>
        </w:rPr>
        <w:t>Los riesgos para la economía global en 2019</w:t>
      </w:r>
      <w:r>
        <w:rPr>
          <w:rFonts w:ascii="Times New Roman" w:hAnsi="Times New Roman" w:cs="Times New Roman"/>
          <w:sz w:val="24"/>
          <w:szCs w:val="24"/>
        </w:rPr>
        <w:t xml:space="preserve"> (Project Syndicate - </w:t>
      </w:r>
      <w:r w:rsidRPr="008E001D">
        <w:rPr>
          <w:rFonts w:ascii="Times New Roman" w:hAnsi="Times New Roman" w:cs="Times New Roman"/>
          <w:b/>
          <w:sz w:val="24"/>
          <w:szCs w:val="24"/>
        </w:rPr>
        <w:t>11/1/19</w:t>
      </w:r>
      <w:r>
        <w:rPr>
          <w:rFonts w:ascii="Times New Roman" w:hAnsi="Times New Roman" w:cs="Times New Roman"/>
          <w:sz w:val="24"/>
          <w:szCs w:val="24"/>
        </w:rPr>
        <w:t xml:space="preserve">) </w:t>
      </w:r>
    </w:p>
    <w:p w:rsidR="0076371D" w:rsidRPr="00DD7B76" w:rsidRDefault="004C4747" w:rsidP="0076371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0076371D" w:rsidRPr="008E001D">
        <w:rPr>
          <w:rFonts w:ascii="Times New Roman" w:hAnsi="Times New Roman" w:cs="Times New Roman"/>
          <w:sz w:val="24"/>
          <w:szCs w:val="24"/>
        </w:rPr>
        <w:t xml:space="preserve"> Como Mark Twain nunca dijo, “Lo que te mete en problemas no es lo que no sabes, sino lo que crees que sabes, pero no sabes del todo bien”. </w:t>
      </w:r>
      <w:r w:rsidR="0076371D" w:rsidRPr="00DD7B76">
        <w:rPr>
          <w:rFonts w:ascii="Times New Roman" w:hAnsi="Times New Roman" w:cs="Times New Roman"/>
          <w:sz w:val="24"/>
          <w:szCs w:val="24"/>
          <w:u w:val="single"/>
        </w:rPr>
        <w:t>En el curso de este año y el próximo, los mayores riesgos económicos surgirán en aquellas áreas en las que los inversores piensan que es poco probable que los patrones recientes vayan a cambiar. Incluirán una recesión del crecimiento en China, un alza de las tasas de interés reales de largo plazo a nivel global y un crescendo de políticas económicas populistas que minarán la credibilidad de la independencia de los bancos centrales, lo que resultará en tasas de interés más altas sobre bonos gubernamentales de países avanzados “seguros”.</w:t>
      </w:r>
    </w:p>
    <w:p w:rsidR="0076371D" w:rsidRPr="00DD7B76" w:rsidRDefault="0076371D" w:rsidP="0076371D">
      <w:pPr>
        <w:spacing w:line="240" w:lineRule="auto"/>
        <w:jc w:val="both"/>
        <w:rPr>
          <w:rFonts w:ascii="Times New Roman" w:hAnsi="Times New Roman" w:cs="Times New Roman"/>
          <w:sz w:val="24"/>
          <w:szCs w:val="24"/>
          <w:u w:val="single"/>
        </w:rPr>
      </w:pPr>
      <w:r w:rsidRPr="00DD7B76">
        <w:rPr>
          <w:rFonts w:ascii="Times New Roman" w:hAnsi="Times New Roman" w:cs="Times New Roman"/>
          <w:color w:val="FF0000"/>
          <w:sz w:val="24"/>
          <w:szCs w:val="24"/>
          <w:u w:val="single"/>
        </w:rPr>
        <w:t>Una desaceleración china significativa tal vez ya esté en marcha</w:t>
      </w:r>
      <w:r w:rsidRPr="008E001D">
        <w:rPr>
          <w:rFonts w:ascii="Times New Roman" w:hAnsi="Times New Roman" w:cs="Times New Roman"/>
          <w:sz w:val="24"/>
          <w:szCs w:val="24"/>
        </w:rPr>
        <w:t xml:space="preserve">. La guerra comercial del presidente norteamericano, Donald Trump, ha sacudido la confianza, </w:t>
      </w:r>
      <w:r w:rsidRPr="00DD7B76">
        <w:rPr>
          <w:rFonts w:ascii="Times New Roman" w:hAnsi="Times New Roman" w:cs="Times New Roman"/>
          <w:sz w:val="24"/>
          <w:szCs w:val="24"/>
          <w:u w:val="single"/>
        </w:rPr>
        <w:t>pero éste es apenas un golpe más para una economía que ya se estaba desacelerando en tanto hace la transición de un crecimiento liderado por las exportaciones y las inversiones a un crecimiento liderado por un consumo doméstico más sostenible.</w:t>
      </w:r>
      <w:r w:rsidRPr="008E001D">
        <w:rPr>
          <w:rFonts w:ascii="Times New Roman" w:hAnsi="Times New Roman" w:cs="Times New Roman"/>
          <w:sz w:val="24"/>
          <w:szCs w:val="24"/>
        </w:rPr>
        <w:t xml:space="preserve"> Cuánto va a desacelerarse la economía china es un interrogante abierto; </w:t>
      </w:r>
      <w:r w:rsidRPr="00DD7B76">
        <w:rPr>
          <w:rFonts w:ascii="Times New Roman" w:hAnsi="Times New Roman" w:cs="Times New Roman"/>
          <w:sz w:val="24"/>
          <w:szCs w:val="24"/>
          <w:u w:val="single"/>
        </w:rPr>
        <w:t>pero, dada la contradicción inherente entre un sistema político liderado por un partido cada vez más centralizado y la necesidad de un sistema económico liderado por el consumo más descentralizado, el crecimiento a largo plazo podría caer de manera bastante drástica.</w:t>
      </w:r>
    </w:p>
    <w:p w:rsidR="0076371D" w:rsidRPr="008E001D" w:rsidRDefault="0076371D" w:rsidP="0076371D">
      <w:pPr>
        <w:spacing w:line="240" w:lineRule="auto"/>
        <w:jc w:val="both"/>
        <w:rPr>
          <w:rFonts w:ascii="Times New Roman" w:hAnsi="Times New Roman" w:cs="Times New Roman"/>
          <w:sz w:val="24"/>
          <w:szCs w:val="24"/>
        </w:rPr>
      </w:pPr>
      <w:r w:rsidRPr="008E001D">
        <w:rPr>
          <w:rFonts w:ascii="Times New Roman" w:hAnsi="Times New Roman" w:cs="Times New Roman"/>
          <w:sz w:val="24"/>
          <w:szCs w:val="24"/>
        </w:rPr>
        <w:lastRenderedPageBreak/>
        <w:t>Desafortunadamente, la opción de evitar la transición a un crecimiento liderado por el consumo y seguir promoviendo las exportaciones y la inversión en bienes raíces tampoco es muy atractiva. China ya es un exportador global dominante, y no hay ni espacio de mercado ni tolerancia política para que pueda seguir manteniendo su ritmo anterior de expansión de las exportaciones. Impulsar el crecimiento a través de la inversión, particularmente en bienes raíces residenciales (que representa la parte más sustancial de la producción china en el sector de la con</w:t>
      </w:r>
      <w:r>
        <w:rPr>
          <w:rFonts w:ascii="Times New Roman" w:hAnsi="Times New Roman" w:cs="Times New Roman"/>
          <w:sz w:val="24"/>
          <w:szCs w:val="24"/>
        </w:rPr>
        <w:t>strucción) es aún más complejo.</w:t>
      </w:r>
    </w:p>
    <w:p w:rsidR="0076371D" w:rsidRPr="008E001D" w:rsidRDefault="0076371D" w:rsidP="0076371D">
      <w:pPr>
        <w:spacing w:line="240" w:lineRule="auto"/>
        <w:jc w:val="both"/>
        <w:rPr>
          <w:rFonts w:ascii="Times New Roman" w:hAnsi="Times New Roman" w:cs="Times New Roman"/>
          <w:sz w:val="24"/>
          <w:szCs w:val="24"/>
        </w:rPr>
      </w:pPr>
      <w:r w:rsidRPr="008E001D">
        <w:rPr>
          <w:rFonts w:ascii="Times New Roman" w:hAnsi="Times New Roman" w:cs="Times New Roman"/>
          <w:sz w:val="24"/>
          <w:szCs w:val="24"/>
        </w:rPr>
        <w:t>La presión a la baja sobre los precios, especialmente fuera de las ciudades más importantes, está tornando cada vez más difícil inducir a las familias a invertir una porción aun mayor de su riqueza en vivienda. Si bien China puede estar mucho mejor posicionada que cualquier economía occidental para socializar las pérdidas que afectaron al sector bancario, una marcada contracción en los precios de la vivienda y de la construcción podría resultar extremada</w:t>
      </w:r>
      <w:r>
        <w:rPr>
          <w:rFonts w:ascii="Times New Roman" w:hAnsi="Times New Roman" w:cs="Times New Roman"/>
          <w:sz w:val="24"/>
          <w:szCs w:val="24"/>
        </w:rPr>
        <w:t>mente difícil de absorber.</w:t>
      </w:r>
    </w:p>
    <w:p w:rsidR="0076371D" w:rsidRPr="008233C4" w:rsidRDefault="0076371D" w:rsidP="0076371D">
      <w:pPr>
        <w:spacing w:line="240" w:lineRule="auto"/>
        <w:jc w:val="both"/>
        <w:rPr>
          <w:rFonts w:ascii="Times New Roman" w:hAnsi="Times New Roman" w:cs="Times New Roman"/>
          <w:color w:val="FF0000"/>
          <w:sz w:val="24"/>
          <w:szCs w:val="24"/>
          <w:u w:val="single"/>
        </w:rPr>
      </w:pPr>
      <w:r w:rsidRPr="008233C4">
        <w:rPr>
          <w:rFonts w:ascii="Times New Roman" w:hAnsi="Times New Roman" w:cs="Times New Roman"/>
          <w:color w:val="FF0000"/>
          <w:sz w:val="24"/>
          <w:szCs w:val="24"/>
          <w:u w:val="single"/>
        </w:rPr>
        <w:t>Cualquier recesión significativa del crecimiento en China afectaría y mucho al resto de Asia, junto con las economías en desarrollo y emergentes que exportan m</w:t>
      </w:r>
      <w:r w:rsidR="004C4747">
        <w:rPr>
          <w:rFonts w:ascii="Times New Roman" w:hAnsi="Times New Roman" w:cs="Times New Roman"/>
          <w:color w:val="FF0000"/>
          <w:sz w:val="24"/>
          <w:szCs w:val="24"/>
          <w:u w:val="single"/>
        </w:rPr>
        <w:t>aterias primas. Tampoco Europa -</w:t>
      </w:r>
      <w:r w:rsidRPr="008233C4">
        <w:rPr>
          <w:rFonts w:ascii="Times New Roman" w:hAnsi="Times New Roman" w:cs="Times New Roman"/>
          <w:color w:val="FF0000"/>
          <w:sz w:val="24"/>
          <w:szCs w:val="24"/>
          <w:u w:val="single"/>
        </w:rPr>
        <w:t>y especialmente Alemania- se salvarían. Si bien Estados Unidos es menos dependiente de China, el trauma para los mercados financieros y las exportaciones políticamente sensibles haría que una desaceleración china resultara mucho más dolorosa de lo que parecen pensar los líderes estadounidenses.</w:t>
      </w:r>
    </w:p>
    <w:p w:rsidR="0076371D" w:rsidRPr="008E001D" w:rsidRDefault="0076371D" w:rsidP="0076371D">
      <w:pPr>
        <w:spacing w:line="240" w:lineRule="auto"/>
        <w:jc w:val="both"/>
        <w:rPr>
          <w:rFonts w:ascii="Times New Roman" w:hAnsi="Times New Roman" w:cs="Times New Roman"/>
          <w:sz w:val="24"/>
          <w:szCs w:val="24"/>
        </w:rPr>
      </w:pPr>
      <w:r w:rsidRPr="008233C4">
        <w:rPr>
          <w:rFonts w:ascii="Times New Roman" w:hAnsi="Times New Roman" w:cs="Times New Roman"/>
          <w:color w:val="FF0000"/>
          <w:sz w:val="24"/>
          <w:szCs w:val="24"/>
          <w:u w:val="single"/>
        </w:rPr>
        <w:t>Un riesgo externo menos probable pero mucho más traumático se materializaría si, después de muchos años de tendencia descendente, las tasas de interés reales de largo plazo a nivel global revierten el curso y aumentan significativamente</w:t>
      </w:r>
      <w:r w:rsidRPr="008E001D">
        <w:rPr>
          <w:rFonts w:ascii="Times New Roman" w:hAnsi="Times New Roman" w:cs="Times New Roman"/>
          <w:sz w:val="24"/>
          <w:szCs w:val="24"/>
        </w:rPr>
        <w:t>. No estoy hablando simplemente de un ajuste excesivo por parte de la Reserva Federal de Estados Unidos en 2019. Eso sería problemático, pero afectaría principalmente las tasas de interés reales de corto plazo, y en principio podría llegar a revertirse. El riesgo mucho más grave es un shock de las tasas de interés reales de muy largo plazo, que están más bajas que en cualquier momento de la era moderna (excepto por el período de represión financiera posterior a la Segunda Guerra Mundial, cuando los mercados estaban mucho menos desarrollados que hoy).</w:t>
      </w:r>
    </w:p>
    <w:p w:rsidR="0076371D" w:rsidRPr="008E001D" w:rsidRDefault="0076371D" w:rsidP="0076371D">
      <w:pPr>
        <w:spacing w:line="240" w:lineRule="auto"/>
        <w:jc w:val="both"/>
        <w:rPr>
          <w:rFonts w:ascii="Times New Roman" w:hAnsi="Times New Roman" w:cs="Times New Roman"/>
          <w:sz w:val="24"/>
          <w:szCs w:val="24"/>
        </w:rPr>
      </w:pPr>
      <w:r w:rsidRPr="008233C4">
        <w:rPr>
          <w:rFonts w:ascii="Times New Roman" w:hAnsi="Times New Roman" w:cs="Times New Roman"/>
          <w:sz w:val="24"/>
          <w:szCs w:val="24"/>
          <w:u w:val="single"/>
        </w:rPr>
        <w:t>Si bien un incremento sostenido en la tasa de interés real de largo plazo es un acontecimiento muy poco probable, dista mucho de ser imposible</w:t>
      </w:r>
      <w:r w:rsidRPr="008E001D">
        <w:rPr>
          <w:rFonts w:ascii="Times New Roman" w:hAnsi="Times New Roman" w:cs="Times New Roman"/>
          <w:sz w:val="24"/>
          <w:szCs w:val="24"/>
        </w:rPr>
        <w:t>. Aunque existen muchas explicaciones de la tendencia descendente de largo plazo, algunos factores podrían ser temporarios, y resulta difícil establecer empíricamente la magnitud de l</w:t>
      </w:r>
      <w:r>
        <w:rPr>
          <w:rFonts w:ascii="Times New Roman" w:hAnsi="Times New Roman" w:cs="Times New Roman"/>
          <w:sz w:val="24"/>
          <w:szCs w:val="24"/>
        </w:rPr>
        <w:t>os diferentes efectos posibles.</w:t>
      </w:r>
    </w:p>
    <w:p w:rsidR="0076371D" w:rsidRPr="008233C4" w:rsidRDefault="0076371D" w:rsidP="0076371D">
      <w:pPr>
        <w:spacing w:line="240" w:lineRule="auto"/>
        <w:jc w:val="both"/>
        <w:rPr>
          <w:rFonts w:ascii="Times New Roman" w:hAnsi="Times New Roman" w:cs="Times New Roman"/>
          <w:sz w:val="24"/>
          <w:szCs w:val="24"/>
          <w:u w:val="single"/>
        </w:rPr>
      </w:pPr>
      <w:r w:rsidRPr="008233C4">
        <w:rPr>
          <w:rFonts w:ascii="Times New Roman" w:hAnsi="Times New Roman" w:cs="Times New Roman"/>
          <w:color w:val="FF0000"/>
          <w:sz w:val="24"/>
          <w:szCs w:val="24"/>
          <w:u w:val="single"/>
        </w:rPr>
        <w:t>Un factor que podría hacer que aumentaran las tasas globales, desde un punto de vista benigno, sería una disparada de la productividad, por ejemplo si la llamada Cuarta Revolución Industrial comenzara a afectar el crecimiento mucho más aceleradamente de lo que se anticipa hoy en día</w:t>
      </w:r>
      <w:r w:rsidRPr="008233C4">
        <w:rPr>
          <w:rFonts w:ascii="Times New Roman" w:hAnsi="Times New Roman" w:cs="Times New Roman"/>
          <w:color w:val="FF0000"/>
          <w:sz w:val="24"/>
          <w:szCs w:val="24"/>
        </w:rPr>
        <w:t>.</w:t>
      </w:r>
      <w:r w:rsidRPr="008E001D">
        <w:rPr>
          <w:rFonts w:ascii="Times New Roman" w:hAnsi="Times New Roman" w:cs="Times New Roman"/>
          <w:sz w:val="24"/>
          <w:szCs w:val="24"/>
        </w:rPr>
        <w:t xml:space="preserve"> Esto, por supuesto, sería bueno en general para la economía global, pero podría perjudicar enormemente a las regiones y grupos rezagados. </w:t>
      </w:r>
      <w:r w:rsidRPr="008233C4">
        <w:rPr>
          <w:rFonts w:ascii="Times New Roman" w:hAnsi="Times New Roman" w:cs="Times New Roman"/>
          <w:sz w:val="24"/>
          <w:szCs w:val="24"/>
          <w:u w:val="single"/>
        </w:rPr>
        <w:t>Ahora bien, la presión alcista sobre las tasas globales podría provenir de un factor menos benigno: una marcada disminución de la tendencia en el crecimiento asiático (por ejemplo, a partir de una desaceleración de largo plazo en China) que haga que los superávits externos de larga data de la región pasen a ser déficits.</w:t>
      </w:r>
    </w:p>
    <w:p w:rsidR="0076371D" w:rsidRPr="008233C4" w:rsidRDefault="0076371D" w:rsidP="0076371D">
      <w:pPr>
        <w:spacing w:line="240" w:lineRule="auto"/>
        <w:jc w:val="both"/>
        <w:rPr>
          <w:rFonts w:ascii="Times New Roman" w:hAnsi="Times New Roman" w:cs="Times New Roman"/>
          <w:color w:val="FF0000"/>
          <w:sz w:val="24"/>
          <w:szCs w:val="24"/>
          <w:u w:val="single"/>
        </w:rPr>
      </w:pPr>
      <w:r w:rsidRPr="008233C4">
        <w:rPr>
          <w:rFonts w:ascii="Times New Roman" w:hAnsi="Times New Roman" w:cs="Times New Roman"/>
          <w:color w:val="FF0000"/>
          <w:sz w:val="24"/>
          <w:szCs w:val="24"/>
          <w:u w:val="single"/>
        </w:rPr>
        <w:t xml:space="preserve">Sin embargo, tal vez la causa más probable de tasas de interés reales más altas a nivel global sea la explosión del populismo en gran parte del mundo. En la medida que los populistas pueden revocar las políticas económicas amigables con el mercado de las últimas décadas, quizá siembren dudas en los mercados globales sobre cuán “segura” es, en verdad, la deuda de los países avanzados. Esto podría hacer aumentar las primas de riesgo y las tasas de </w:t>
      </w:r>
      <w:r w:rsidRPr="008233C4">
        <w:rPr>
          <w:rFonts w:ascii="Times New Roman" w:hAnsi="Times New Roman" w:cs="Times New Roman"/>
          <w:color w:val="FF0000"/>
          <w:sz w:val="24"/>
          <w:szCs w:val="24"/>
          <w:u w:val="single"/>
        </w:rPr>
        <w:lastRenderedPageBreak/>
        <w:t>interés, y si los gobiernos fueran lentos a la hora de hacer ajustes, los déficits presupuestarios aumentarían, los mercados dudarían más de los gobiernos y los acontecimientos podrían entrar en una espiral.</w:t>
      </w:r>
    </w:p>
    <w:p w:rsidR="0076371D" w:rsidRPr="008E001D" w:rsidRDefault="0076371D" w:rsidP="0076371D">
      <w:pPr>
        <w:spacing w:line="240" w:lineRule="auto"/>
        <w:jc w:val="both"/>
        <w:rPr>
          <w:rFonts w:ascii="Times New Roman" w:hAnsi="Times New Roman" w:cs="Times New Roman"/>
          <w:sz w:val="24"/>
          <w:szCs w:val="24"/>
        </w:rPr>
      </w:pPr>
      <w:r w:rsidRPr="008E001D">
        <w:rPr>
          <w:rFonts w:ascii="Times New Roman" w:hAnsi="Times New Roman" w:cs="Times New Roman"/>
          <w:sz w:val="24"/>
          <w:szCs w:val="24"/>
        </w:rPr>
        <w:t xml:space="preserve">La mayoría de los economistas coinciden en que las tasas de interés de largo plazo más bajas de hoy les permiten a las economías avanzadas sustentar significativamente más deuda de lo que podrían si éste no fuera el caso. Pero </w:t>
      </w:r>
      <w:r w:rsidRPr="008233C4">
        <w:rPr>
          <w:rFonts w:ascii="Times New Roman" w:hAnsi="Times New Roman" w:cs="Times New Roman"/>
          <w:sz w:val="24"/>
          <w:szCs w:val="24"/>
          <w:u w:val="single"/>
        </w:rPr>
        <w:t>la noción de que la deuda adicional es gratuita es una tontería. Los altos niveles de deuda hacen que a los gobiernos les resulte más difícil responder agresivamente a los shocks.</w:t>
      </w:r>
      <w:r w:rsidRPr="008E001D">
        <w:rPr>
          <w:rFonts w:ascii="Times New Roman" w:hAnsi="Times New Roman" w:cs="Times New Roman"/>
          <w:sz w:val="24"/>
          <w:szCs w:val="24"/>
        </w:rPr>
        <w:t xml:space="preserve"> La incapacidad para responder de manera agresiva a una crisis financiera, un ataque cibernético, una pandemia o una guerra comercial aumenta significativamente el riesgo de un estancamiento a largo plazo, y es una explicación importante de por qué la mayoría de los estudios académicos sostienen que los niveles de deuda muy altos están asociados con un crecim</w:t>
      </w:r>
      <w:r>
        <w:rPr>
          <w:rFonts w:ascii="Times New Roman" w:hAnsi="Times New Roman" w:cs="Times New Roman"/>
          <w:sz w:val="24"/>
          <w:szCs w:val="24"/>
        </w:rPr>
        <w:t>iento de largo plazo más lento.</w:t>
      </w:r>
    </w:p>
    <w:p w:rsidR="0076371D" w:rsidRPr="008233C4" w:rsidRDefault="0076371D" w:rsidP="0076371D">
      <w:pPr>
        <w:spacing w:line="240" w:lineRule="auto"/>
        <w:jc w:val="both"/>
        <w:rPr>
          <w:rFonts w:ascii="Times New Roman" w:hAnsi="Times New Roman" w:cs="Times New Roman"/>
          <w:color w:val="FF0000"/>
          <w:sz w:val="24"/>
          <w:szCs w:val="24"/>
          <w:u w:val="single"/>
        </w:rPr>
      </w:pPr>
      <w:r w:rsidRPr="008233C4">
        <w:rPr>
          <w:rFonts w:ascii="Times New Roman" w:hAnsi="Times New Roman" w:cs="Times New Roman"/>
          <w:color w:val="FF0000"/>
          <w:sz w:val="24"/>
          <w:szCs w:val="24"/>
          <w:u w:val="single"/>
        </w:rPr>
        <w:t>Si los responsables de las políticas dependen demasiado de la deuda (comparado con una mayor tributación para los ricos) a fin de implementar políticas progresistas que redistribuyan el ingreso, es fácil imaginar que los mercados duden de que los países encuentren una salida de los niveles de deuda muy altos. El escepticismo de los inversores bien podría hacer subir las tasas de interés a niveles incómodos.</w:t>
      </w:r>
    </w:p>
    <w:p w:rsidR="0076371D" w:rsidRPr="008233C4" w:rsidRDefault="0076371D" w:rsidP="0076371D">
      <w:pPr>
        <w:spacing w:line="240" w:lineRule="auto"/>
        <w:jc w:val="both"/>
        <w:rPr>
          <w:rFonts w:ascii="Times New Roman" w:hAnsi="Times New Roman" w:cs="Times New Roman"/>
          <w:color w:val="FF0000"/>
          <w:sz w:val="24"/>
          <w:szCs w:val="24"/>
          <w:u w:val="single"/>
        </w:rPr>
      </w:pPr>
      <w:r w:rsidRPr="008233C4">
        <w:rPr>
          <w:rFonts w:ascii="Times New Roman" w:hAnsi="Times New Roman" w:cs="Times New Roman"/>
          <w:color w:val="FF0000"/>
          <w:sz w:val="24"/>
          <w:szCs w:val="24"/>
          <w:u w:val="single"/>
        </w:rPr>
        <w:t>Por supuesto, existen muchos otros riesgos para el crecimiento global, incluyendo un caos político cada vez mayor en Estados Unidos, un Brexit desordenado, bancos inestables en Italia y mayores tensiones geopolíticas.</w:t>
      </w:r>
    </w:p>
    <w:p w:rsidR="0076371D" w:rsidRPr="008233C4" w:rsidRDefault="0076371D" w:rsidP="0076371D">
      <w:pPr>
        <w:spacing w:line="240" w:lineRule="auto"/>
        <w:jc w:val="both"/>
        <w:rPr>
          <w:rFonts w:ascii="Times New Roman" w:hAnsi="Times New Roman" w:cs="Times New Roman"/>
          <w:color w:val="FF0000"/>
          <w:sz w:val="24"/>
          <w:szCs w:val="24"/>
          <w:u w:val="single"/>
        </w:rPr>
      </w:pPr>
      <w:r w:rsidRPr="008233C4">
        <w:rPr>
          <w:rFonts w:ascii="Times New Roman" w:hAnsi="Times New Roman" w:cs="Times New Roman"/>
          <w:color w:val="FF0000"/>
          <w:sz w:val="24"/>
          <w:szCs w:val="24"/>
          <w:u w:val="single"/>
        </w:rPr>
        <w:t>Pero estos riesgos externos no hacen que las perspectivas de crecimiento global sean necesariamente lúgubres. La hipótesis general para Estados Unidos sigue siendo un crecimiento fuerte. El crecimiento de Europa también podría estar por encima de la tendencia, en tanto continúa su larga y lenta recuperación de las crisis de deuda a comienzos de la década. Y la economía de China viene desmintiendo a los incrédulos desde hace muchos años.</w:t>
      </w:r>
    </w:p>
    <w:p w:rsidR="0076371D" w:rsidRPr="008233C4" w:rsidRDefault="0076371D" w:rsidP="0076371D">
      <w:pPr>
        <w:spacing w:line="240" w:lineRule="auto"/>
        <w:jc w:val="both"/>
        <w:rPr>
          <w:rFonts w:ascii="Times New Roman" w:hAnsi="Times New Roman" w:cs="Times New Roman"/>
          <w:color w:val="FF0000"/>
          <w:sz w:val="24"/>
          <w:szCs w:val="24"/>
          <w:u w:val="single"/>
        </w:rPr>
      </w:pPr>
      <w:r w:rsidRPr="008233C4">
        <w:rPr>
          <w:rFonts w:ascii="Times New Roman" w:hAnsi="Times New Roman" w:cs="Times New Roman"/>
          <w:color w:val="FF0000"/>
          <w:sz w:val="24"/>
          <w:szCs w:val="24"/>
          <w:u w:val="single"/>
        </w:rPr>
        <w:t>De manera que 2019 podría terminar siendo otro año de sólido crecimiento global. Desafortunadamente, es muy probable que también sea un año exasperante.</w:t>
      </w:r>
    </w:p>
    <w:p w:rsidR="0076371D" w:rsidRPr="0076371D" w:rsidRDefault="0076371D" w:rsidP="0076371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E001D">
        <w:rPr>
          <w:rFonts w:ascii="Times New Roman" w:hAnsi="Times New Roman" w:cs="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w:t>
      </w:r>
      <w:r>
        <w:rPr>
          <w:rFonts w:ascii="Times New Roman" w:hAnsi="Times New Roman" w:cs="Times New Roman"/>
          <w:sz w:val="24"/>
          <w:szCs w:val="24"/>
          <w:lang w:val="en-US"/>
        </w:rPr>
        <w:t>sh, was released in August 2016)</w:t>
      </w:r>
    </w:p>
    <w:p w:rsidR="0076371D" w:rsidRPr="000865A8" w:rsidRDefault="0076371D" w:rsidP="0076371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7046C3">
        <w:rPr>
          <w:rFonts w:ascii="Times New Roman" w:hAnsi="Times New Roman" w:cs="Times New Roman"/>
          <w:sz w:val="24"/>
          <w:szCs w:val="24"/>
          <w:u w:val="single"/>
        </w:rPr>
        <w:t>Perspectivas económicas mixtas para el 2019</w:t>
      </w:r>
      <w:r>
        <w:rPr>
          <w:rFonts w:ascii="Times New Roman" w:hAnsi="Times New Roman" w:cs="Times New Roman"/>
          <w:sz w:val="24"/>
          <w:szCs w:val="24"/>
        </w:rPr>
        <w:t xml:space="preserve"> (Project Syndicate - </w:t>
      </w:r>
      <w:r w:rsidRPr="007046C3">
        <w:rPr>
          <w:rFonts w:ascii="Times New Roman" w:hAnsi="Times New Roman" w:cs="Times New Roman"/>
          <w:b/>
          <w:sz w:val="24"/>
          <w:szCs w:val="24"/>
        </w:rPr>
        <w:t>8/2/19</w:t>
      </w:r>
      <w:r>
        <w:rPr>
          <w:rFonts w:ascii="Times New Roman" w:hAnsi="Times New Roman" w:cs="Times New Roman"/>
          <w:sz w:val="24"/>
          <w:szCs w:val="24"/>
        </w:rPr>
        <w:t xml:space="preserve">) </w:t>
      </w:r>
    </w:p>
    <w:p w:rsidR="0076371D" w:rsidRPr="00FA4614" w:rsidRDefault="004C4747" w:rsidP="0076371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New York.-</w:t>
      </w:r>
      <w:r w:rsidR="0076371D" w:rsidRPr="00FA4614">
        <w:rPr>
          <w:rFonts w:ascii="Times New Roman" w:hAnsi="Times New Roman" w:cs="Times New Roman"/>
          <w:color w:val="FF0000"/>
          <w:sz w:val="24"/>
          <w:szCs w:val="24"/>
          <w:u w:val="single"/>
        </w:rPr>
        <w:t>Después de la expansión económica mundial sincronizada de 2017, vino el crecimiento asincrónico de 2018, cuando la mayoría de los países, además de Estados Unidos, comenzaron a experimentar desaceleraciones. Las preocupaciones sobre la inflación en Estados Unidos, la trayectoria de la política de la Reserva Federal, las guerras comerciales en curso, el presupuesto italiano y sus problemas de deuda, la desaceleración de China y las fragilidades de los mercados emergentes condujeron hacia el final del año a una fuerte caída en los mercados.</w:t>
      </w:r>
    </w:p>
    <w:p w:rsidR="0076371D" w:rsidRPr="00FA4614" w:rsidRDefault="0076371D" w:rsidP="0076371D">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 xml:space="preserve">La buena noticia a inicios de 2019 es que el riesgo de una recesión absoluta es bajo. La mala noticia es que nos estamos dirigiendo hacia un año de desaceleración global sincronizada: el </w:t>
      </w:r>
      <w:r w:rsidRPr="00FA4614">
        <w:rPr>
          <w:rFonts w:ascii="Times New Roman" w:hAnsi="Times New Roman" w:cs="Times New Roman"/>
          <w:color w:val="FF0000"/>
          <w:sz w:val="24"/>
          <w:szCs w:val="24"/>
          <w:u w:val="single"/>
        </w:rPr>
        <w:lastRenderedPageBreak/>
        <w:t>crecimiento caerá por debajo de las proyecciones en la mayoría de las regiones y, en algunos casos, todavía más.</w:t>
      </w:r>
    </w:p>
    <w:p w:rsidR="0076371D" w:rsidRPr="007046C3" w:rsidRDefault="0076371D" w:rsidP="0076371D">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El año comenzó con un repunte en los activos de riesgo (capital estadounidense y mundial) después del baño de sangre del último trimestre de 2018, cuando las preocupaciones sobre los aumentos de las tasas de interés de la Reserva Federal y sobre el crecimiento de China y Estados Unidos destrozaron muchos mercados. Desde entonces, la Reserva Federal se ha volcado hac</w:t>
      </w:r>
      <w:r w:rsidR="00244993">
        <w:rPr>
          <w:rFonts w:ascii="Times New Roman" w:hAnsi="Times New Roman" w:cs="Times New Roman"/>
          <w:sz w:val="24"/>
          <w:szCs w:val="24"/>
        </w:rPr>
        <w:t>ia una renovada moderación, EE</w:t>
      </w:r>
      <w:r w:rsidRPr="007046C3">
        <w:rPr>
          <w:rFonts w:ascii="Times New Roman" w:hAnsi="Times New Roman" w:cs="Times New Roman"/>
          <w:sz w:val="24"/>
          <w:szCs w:val="24"/>
        </w:rPr>
        <w:t>UU ha mantenido un sólido crecimiento, y la flexibilización macroeconómica de China ha mostrado cierta esperanza de contener la desaceleración.</w:t>
      </w:r>
    </w:p>
    <w:p w:rsidR="0076371D" w:rsidRPr="007046C3" w:rsidRDefault="0076371D" w:rsidP="0076371D">
      <w:pPr>
        <w:spacing w:line="240" w:lineRule="auto"/>
        <w:jc w:val="both"/>
        <w:rPr>
          <w:rFonts w:ascii="Times New Roman" w:hAnsi="Times New Roman" w:cs="Times New Roman"/>
          <w:sz w:val="24"/>
          <w:szCs w:val="24"/>
        </w:rPr>
      </w:pPr>
      <w:r w:rsidRPr="00FA4614">
        <w:rPr>
          <w:rFonts w:ascii="Times New Roman" w:hAnsi="Times New Roman" w:cs="Times New Roman"/>
          <w:sz w:val="24"/>
          <w:szCs w:val="24"/>
          <w:u w:val="single"/>
        </w:rPr>
        <w:t>Son muchos los factores de los que dependerá que estas condiciones relativamente positivas sean duraderas. Lo primero a considerar es la Fed. En la pausa de la política monetaria de la Fed durante todo el año, los mercados ahora están descontando los precios, pero el mercado laboral de Estados Unidos sigue siendo sólido</w:t>
      </w:r>
      <w:r w:rsidRPr="007046C3">
        <w:rPr>
          <w:rFonts w:ascii="Times New Roman" w:hAnsi="Times New Roman" w:cs="Times New Roman"/>
          <w:sz w:val="24"/>
          <w:szCs w:val="24"/>
        </w:rPr>
        <w:t>. Si los salarios se aceleraran y produjeran incluso una inflación moderada por encima del 2%, los temores de al menos dos aumentos de tasas durante este año volverían, lo que podría impactar a los mercados y llevar a un endurecimiento de las condiciones financieras. Eso, a su vez, reavivaría las preocupaciones sobre el crecimiento de Estados Unidos.</w:t>
      </w:r>
    </w:p>
    <w:p w:rsidR="0076371D" w:rsidRPr="007046C3" w:rsidRDefault="0076371D" w:rsidP="0076371D">
      <w:pPr>
        <w:spacing w:line="240" w:lineRule="auto"/>
        <w:jc w:val="both"/>
        <w:rPr>
          <w:rFonts w:ascii="Times New Roman" w:hAnsi="Times New Roman" w:cs="Times New Roman"/>
          <w:sz w:val="24"/>
          <w:szCs w:val="24"/>
        </w:rPr>
      </w:pPr>
      <w:r w:rsidRPr="00FA4614">
        <w:rPr>
          <w:rFonts w:ascii="Times New Roman" w:hAnsi="Times New Roman" w:cs="Times New Roman"/>
          <w:sz w:val="24"/>
          <w:szCs w:val="24"/>
          <w:u w:val="single"/>
        </w:rPr>
        <w:t>En segundo lugar, mientras continúa la desaceleración en China, la actual combinación de estímulos monetarios, crediticios y fiscales del gobierno podría resultar inadecuada, dada la falta de confianza del sector privado y los altos niveles de exceso de capacidad y apalancamiento</w:t>
      </w:r>
      <w:r w:rsidRPr="007046C3">
        <w:rPr>
          <w:rFonts w:ascii="Times New Roman" w:hAnsi="Times New Roman" w:cs="Times New Roman"/>
          <w:sz w:val="24"/>
          <w:szCs w:val="24"/>
        </w:rPr>
        <w:t>. Si las preocupaciones sobre una desaceleración china vuelven a aparecer, los mercados podrían verse gravemente afectados. Por otro lado, una estabilización del crecimiento renovaría debidamente la confianza del mercado.</w:t>
      </w:r>
    </w:p>
    <w:p w:rsidR="0076371D" w:rsidRPr="00FA4614" w:rsidRDefault="0076371D" w:rsidP="0076371D">
      <w:pPr>
        <w:spacing w:line="240" w:lineRule="auto"/>
        <w:jc w:val="both"/>
        <w:rPr>
          <w:rFonts w:ascii="Times New Roman" w:hAnsi="Times New Roman" w:cs="Times New Roman"/>
          <w:sz w:val="24"/>
          <w:szCs w:val="24"/>
          <w:u w:val="single"/>
        </w:rPr>
      </w:pPr>
      <w:r w:rsidRPr="00FA4614">
        <w:rPr>
          <w:rFonts w:ascii="Times New Roman" w:hAnsi="Times New Roman" w:cs="Times New Roman"/>
          <w:sz w:val="24"/>
          <w:szCs w:val="24"/>
          <w:u w:val="single"/>
        </w:rPr>
        <w:t>Un factor importante es el comercio. Si bien una escalada del conflicto chino-estadounidense obstaculizaría el crecimiento mundial, la prolongación de la tregua actual a través de un acuerdo sobre el comercio tranquilizaría a los mercados, incluso a medida que la rivalidad geopolítica y tecnológica de los dos países continúa creciendo.</w:t>
      </w:r>
    </w:p>
    <w:p w:rsidR="0076371D" w:rsidRPr="00FA4614" w:rsidRDefault="0076371D" w:rsidP="0076371D">
      <w:pPr>
        <w:spacing w:line="240" w:lineRule="auto"/>
        <w:jc w:val="both"/>
        <w:rPr>
          <w:rFonts w:ascii="Times New Roman" w:hAnsi="Times New Roman" w:cs="Times New Roman"/>
          <w:sz w:val="24"/>
          <w:szCs w:val="24"/>
          <w:u w:val="single"/>
        </w:rPr>
      </w:pPr>
      <w:r w:rsidRPr="00FA4614">
        <w:rPr>
          <w:rFonts w:ascii="Times New Roman" w:hAnsi="Times New Roman" w:cs="Times New Roman"/>
          <w:sz w:val="24"/>
          <w:szCs w:val="24"/>
          <w:u w:val="single"/>
        </w:rPr>
        <w:t>Cuarto, la eurozona se está desacelerando y queda por ver si se dirige hacia un crecimiento potencial más bajo o a algo peor. El resultado se determinará tanto por variables a nivel nacional, como los desarrollos políticos en Francia, Italia y Alemania, y a factores regionales y globales más amplios.</w:t>
      </w:r>
    </w:p>
    <w:p w:rsidR="0076371D" w:rsidRPr="00FA4614" w:rsidRDefault="004C4747" w:rsidP="0076371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Evidentemente, un Brexit “duro”</w:t>
      </w:r>
      <w:r w:rsidR="0076371D" w:rsidRPr="00FA4614">
        <w:rPr>
          <w:rFonts w:ascii="Times New Roman" w:hAnsi="Times New Roman" w:cs="Times New Roman"/>
          <w:sz w:val="24"/>
          <w:szCs w:val="24"/>
          <w:u w:val="single"/>
        </w:rPr>
        <w:t xml:space="preserve"> afectaría negativamente la confianza de las empresas y los inversores en el Reino Unido y en la Unión Europea. El presidente de Estados Unidos, Donald Trump, extendiendo su guerra comercial al sector automotriz europeo socavaría gravemente el crecimiento de toda la UE, no solo de Alemania. Por último, mucho dependerá de cómo evolucionen los partidos euroescépticos en las elecciones al Parlamento Europeo de este mes de mayo. Y eso, a su vez, aumentará la incertidumbre que rodean al sucesor del presidente del Banco Central Europeo, Mario Draghi, y el futuro de la política monetaria de la eurozona.</w:t>
      </w:r>
    </w:p>
    <w:p w:rsidR="0076371D" w:rsidRPr="007046C3" w:rsidRDefault="0076371D" w:rsidP="0076371D">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En quinto lugar, la política doméstica disfuncional de Estados Unidos podría aumentar la incertidumbre a nivel mundial. El reciente cierre del gobierno sugiere que cada próxima negociación sobre el presupuesto y el techo de la deuda se convertirá</w:t>
      </w:r>
      <w:r>
        <w:rPr>
          <w:rFonts w:ascii="Times New Roman" w:hAnsi="Times New Roman" w:cs="Times New Roman"/>
          <w:sz w:val="24"/>
          <w:szCs w:val="24"/>
        </w:rPr>
        <w:t>n</w:t>
      </w:r>
      <w:r w:rsidRPr="007046C3">
        <w:rPr>
          <w:rFonts w:ascii="Times New Roman" w:hAnsi="Times New Roman" w:cs="Times New Roman"/>
          <w:sz w:val="24"/>
          <w:szCs w:val="24"/>
        </w:rPr>
        <w:t xml:space="preserve"> en una guerra de desgaste partidista. El informe esperado del abogado especial, Robert Mueller, puede o no conducir a procedimientos de juicio político contra Trump. Y para fines de año, el estímulo </w:t>
      </w:r>
      <w:r w:rsidRPr="007046C3">
        <w:rPr>
          <w:rFonts w:ascii="Times New Roman" w:hAnsi="Times New Roman" w:cs="Times New Roman"/>
          <w:sz w:val="24"/>
          <w:szCs w:val="24"/>
        </w:rPr>
        <w:lastRenderedPageBreak/>
        <w:t>fiscal de los recortes de impuestos republicanos se convertirá en un lastre fiscal, lo que posiblemente debilitará el crecimiento.</w:t>
      </w:r>
    </w:p>
    <w:p w:rsidR="0076371D" w:rsidRPr="00486AC1" w:rsidRDefault="0076371D" w:rsidP="0076371D">
      <w:pPr>
        <w:spacing w:line="240" w:lineRule="auto"/>
        <w:jc w:val="both"/>
        <w:rPr>
          <w:rFonts w:ascii="Times New Roman" w:hAnsi="Times New Roman" w:cs="Times New Roman"/>
          <w:color w:val="FF0000"/>
          <w:sz w:val="24"/>
          <w:szCs w:val="24"/>
          <w:u w:val="single"/>
        </w:rPr>
      </w:pPr>
      <w:r w:rsidRPr="00486AC1">
        <w:rPr>
          <w:rFonts w:ascii="Times New Roman" w:hAnsi="Times New Roman" w:cs="Times New Roman"/>
          <w:sz w:val="24"/>
          <w:szCs w:val="24"/>
          <w:u w:val="single"/>
        </w:rPr>
        <w:t xml:space="preserve">Sexto, </w:t>
      </w:r>
      <w:r w:rsidR="004C4747">
        <w:rPr>
          <w:rFonts w:ascii="Times New Roman" w:hAnsi="Times New Roman" w:cs="Times New Roman"/>
          <w:sz w:val="24"/>
          <w:szCs w:val="24"/>
          <w:u w:val="single"/>
        </w:rPr>
        <w:t>los mercados de acciones en EE</w:t>
      </w:r>
      <w:r w:rsidRPr="00486AC1">
        <w:rPr>
          <w:rFonts w:ascii="Times New Roman" w:hAnsi="Times New Roman" w:cs="Times New Roman"/>
          <w:sz w:val="24"/>
          <w:szCs w:val="24"/>
          <w:u w:val="single"/>
        </w:rPr>
        <w:t xml:space="preserve">UU y otros lugares aún están sobrevalorados, incluso después de la reciente corrección. A medida que aumentan los costos salariales, las ganancias y márgenes de </w:t>
      </w:r>
      <w:r w:rsidR="004C4747">
        <w:rPr>
          <w:rFonts w:ascii="Times New Roman" w:hAnsi="Times New Roman" w:cs="Times New Roman"/>
          <w:sz w:val="24"/>
          <w:szCs w:val="24"/>
          <w:u w:val="single"/>
        </w:rPr>
        <w:t>ganancia más débiles de los EE</w:t>
      </w:r>
      <w:r w:rsidRPr="00486AC1">
        <w:rPr>
          <w:rFonts w:ascii="Times New Roman" w:hAnsi="Times New Roman" w:cs="Times New Roman"/>
          <w:sz w:val="24"/>
          <w:szCs w:val="24"/>
          <w:u w:val="single"/>
        </w:rPr>
        <w:t>UU en los próximos meses podrían ser una sorpresa no deseada</w:t>
      </w:r>
      <w:r w:rsidRPr="007046C3">
        <w:rPr>
          <w:rFonts w:ascii="Times New Roman" w:hAnsi="Times New Roman" w:cs="Times New Roman"/>
          <w:sz w:val="24"/>
          <w:szCs w:val="24"/>
        </w:rPr>
        <w:t xml:space="preserve">. </w:t>
      </w:r>
      <w:r w:rsidRPr="00486AC1">
        <w:rPr>
          <w:rFonts w:ascii="Times New Roman" w:hAnsi="Times New Roman" w:cs="Times New Roman"/>
          <w:color w:val="FF0000"/>
          <w:sz w:val="24"/>
          <w:szCs w:val="24"/>
          <w:u w:val="single"/>
        </w:rPr>
        <w:t>Con firmas altamente endeudadas que enfrentan la posibilidad de aumentar los costos de endeudamiento a corto y largo plazo, y con mucho capital tecnológico que necesita correcciones adicionales, no se puede descartar el peligro de otro episodio de riesgo y la corrección del mercado.</w:t>
      </w:r>
    </w:p>
    <w:p w:rsidR="0076371D" w:rsidRPr="007046C3" w:rsidRDefault="0076371D" w:rsidP="0076371D">
      <w:pPr>
        <w:spacing w:line="240" w:lineRule="auto"/>
        <w:jc w:val="both"/>
        <w:rPr>
          <w:rFonts w:ascii="Times New Roman" w:hAnsi="Times New Roman" w:cs="Times New Roman"/>
          <w:sz w:val="24"/>
          <w:szCs w:val="24"/>
        </w:rPr>
      </w:pPr>
      <w:r w:rsidRPr="00486AC1">
        <w:rPr>
          <w:rFonts w:ascii="Times New Roman" w:hAnsi="Times New Roman" w:cs="Times New Roman"/>
          <w:sz w:val="24"/>
          <w:szCs w:val="24"/>
          <w:u w:val="single"/>
        </w:rPr>
        <w:t>Séptimo, el precio del petróleo puede verse reducido por un exceso de o</w:t>
      </w:r>
      <w:r w:rsidR="004C4747">
        <w:rPr>
          <w:rFonts w:ascii="Times New Roman" w:hAnsi="Times New Roman" w:cs="Times New Roman"/>
          <w:sz w:val="24"/>
          <w:szCs w:val="24"/>
          <w:u w:val="single"/>
        </w:rPr>
        <w:t>ferta, por la producción en EE</w:t>
      </w:r>
      <w:r w:rsidRPr="00486AC1">
        <w:rPr>
          <w:rFonts w:ascii="Times New Roman" w:hAnsi="Times New Roman" w:cs="Times New Roman"/>
          <w:sz w:val="24"/>
          <w:szCs w:val="24"/>
          <w:u w:val="single"/>
        </w:rPr>
        <w:t>UU, por un posible cambio de régimen en Venezuela (que llevaría a una mayor producción a largo plazo), y a los fracasos de los países de la OPEP para cooperar entre sí para minimizar riesgos</w:t>
      </w:r>
      <w:r w:rsidRPr="007046C3">
        <w:rPr>
          <w:rFonts w:ascii="Times New Roman" w:hAnsi="Times New Roman" w:cs="Times New Roman"/>
          <w:sz w:val="24"/>
          <w:szCs w:val="24"/>
        </w:rPr>
        <w:t>. Si bien los bajos precios del petróleo son buenos para los consumidores, tienden a debilitar las</w:t>
      </w:r>
      <w:r w:rsidR="004C4747">
        <w:rPr>
          <w:rFonts w:ascii="Times New Roman" w:hAnsi="Times New Roman" w:cs="Times New Roman"/>
          <w:sz w:val="24"/>
          <w:szCs w:val="24"/>
        </w:rPr>
        <w:t xml:space="preserve"> acciones y los mercados de EE</w:t>
      </w:r>
      <w:r w:rsidRPr="007046C3">
        <w:rPr>
          <w:rFonts w:ascii="Times New Roman" w:hAnsi="Times New Roman" w:cs="Times New Roman"/>
          <w:sz w:val="24"/>
          <w:szCs w:val="24"/>
        </w:rPr>
        <w:t>UU en las economías exportadoras de petróleo, lo que aumenta la preocupación por los incumplimientos corporativos en los sectores relacionados con la energía (como sucedió a principios de 2016).</w:t>
      </w:r>
    </w:p>
    <w:p w:rsidR="0076371D" w:rsidRPr="007046C3" w:rsidRDefault="0076371D" w:rsidP="0076371D">
      <w:pPr>
        <w:spacing w:line="240" w:lineRule="auto"/>
        <w:jc w:val="both"/>
        <w:rPr>
          <w:rFonts w:ascii="Times New Roman" w:hAnsi="Times New Roman" w:cs="Times New Roman"/>
          <w:sz w:val="24"/>
          <w:szCs w:val="24"/>
        </w:rPr>
      </w:pPr>
      <w:r w:rsidRPr="00486AC1">
        <w:rPr>
          <w:rFonts w:ascii="Times New Roman" w:hAnsi="Times New Roman" w:cs="Times New Roman"/>
          <w:sz w:val="24"/>
          <w:szCs w:val="24"/>
          <w:u w:val="single"/>
        </w:rPr>
        <w:t>Finalmente, las perspectivas para muchas economías en mercados emergentes dependerán de las incertidumbres globales mencionadas anteriormente</w:t>
      </w:r>
      <w:r w:rsidRPr="007046C3">
        <w:rPr>
          <w:rFonts w:ascii="Times New Roman" w:hAnsi="Times New Roman" w:cs="Times New Roman"/>
          <w:sz w:val="24"/>
          <w:szCs w:val="24"/>
        </w:rPr>
        <w:t>. Los riesgos principales in</w:t>
      </w:r>
      <w:r w:rsidR="004C4747">
        <w:rPr>
          <w:rFonts w:ascii="Times New Roman" w:hAnsi="Times New Roman" w:cs="Times New Roman"/>
          <w:sz w:val="24"/>
          <w:szCs w:val="24"/>
        </w:rPr>
        <w:t>cluyen la desaceleración en EE</w:t>
      </w:r>
      <w:r w:rsidRPr="007046C3">
        <w:rPr>
          <w:rFonts w:ascii="Times New Roman" w:hAnsi="Times New Roman" w:cs="Times New Roman"/>
          <w:sz w:val="24"/>
          <w:szCs w:val="24"/>
        </w:rPr>
        <w:t>UU o China,</w:t>
      </w:r>
      <w:r w:rsidR="004C4747">
        <w:rPr>
          <w:rFonts w:ascii="Times New Roman" w:hAnsi="Times New Roman" w:cs="Times New Roman"/>
          <w:sz w:val="24"/>
          <w:szCs w:val="24"/>
        </w:rPr>
        <w:t xml:space="preserve"> una mayor inflación en los EE</w:t>
      </w:r>
      <w:r w:rsidRPr="007046C3">
        <w:rPr>
          <w:rFonts w:ascii="Times New Roman" w:hAnsi="Times New Roman" w:cs="Times New Roman"/>
          <w:sz w:val="24"/>
          <w:szCs w:val="24"/>
        </w:rPr>
        <w:t>UU y un ajuste posterior por parte de la Fed, guerras comerciales, un dólar más fuerte y la caída de los precios del petróleo y los productos básicos.</w:t>
      </w:r>
    </w:p>
    <w:p w:rsidR="0076371D" w:rsidRPr="007046C3" w:rsidRDefault="0076371D" w:rsidP="0076371D">
      <w:pPr>
        <w:spacing w:line="240" w:lineRule="auto"/>
        <w:jc w:val="both"/>
        <w:rPr>
          <w:rFonts w:ascii="Times New Roman" w:hAnsi="Times New Roman" w:cs="Times New Roman"/>
          <w:sz w:val="24"/>
          <w:szCs w:val="24"/>
        </w:rPr>
      </w:pPr>
      <w:r w:rsidRPr="007046C3">
        <w:rPr>
          <w:rFonts w:ascii="Times New Roman" w:hAnsi="Times New Roman" w:cs="Times New Roman"/>
          <w:sz w:val="24"/>
          <w:szCs w:val="24"/>
        </w:rPr>
        <w:t>Aunque hay una nube sobre la economía global, el lado positivo es que ha hecho que los principales bancos centrales sean más moderados, empezando por la Reserva Federal y el Banco Popular de China, y seguido rápidamente por el Banco Central Europeo, el Banco de Inglaterra, el Banco de Japón y otros. Sin embargo, el hecho de que la mayoría de bancos centrales se encuentren en una posición muy acomodada significa que hay poco espacio para una mayor relajación monetaria. E incluso si la política fiscal no estuviera restringida en la mayoría de las regiones del mundo, los estímulos tienden a producirse solo después de que el estancamiento del crecimiento ya está en marcha, y generalmente con un retraso significativo.</w:t>
      </w:r>
    </w:p>
    <w:p w:rsidR="0076371D" w:rsidRPr="00486AC1" w:rsidRDefault="0076371D" w:rsidP="0076371D">
      <w:pPr>
        <w:spacing w:line="240" w:lineRule="auto"/>
        <w:jc w:val="both"/>
        <w:rPr>
          <w:rFonts w:ascii="Times New Roman" w:hAnsi="Times New Roman" w:cs="Times New Roman"/>
          <w:color w:val="FF0000"/>
          <w:sz w:val="24"/>
          <w:szCs w:val="24"/>
          <w:u w:val="single"/>
        </w:rPr>
      </w:pPr>
      <w:r w:rsidRPr="00486AC1">
        <w:rPr>
          <w:rFonts w:ascii="Times New Roman" w:hAnsi="Times New Roman" w:cs="Times New Roman"/>
          <w:color w:val="FF0000"/>
          <w:sz w:val="24"/>
          <w:szCs w:val="24"/>
          <w:u w:val="single"/>
        </w:rPr>
        <w:t>Puede haber suficientes factores positivos para hacer de este año un año relativamente decente, aunque mediocre, para la economía global. Pero si algunos de los escenarios negativos descritos anteriormente se materializan, la desaceleración sincronizada de 2019 podría llevar a un estancamiento del crecimiento global y una fuerte desaceleración del mercado en 2020.</w:t>
      </w:r>
    </w:p>
    <w:p w:rsidR="0076371D" w:rsidRDefault="0076371D" w:rsidP="0076371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046C3">
        <w:rPr>
          <w:rFonts w:ascii="Times New Roman" w:hAnsi="Times New Roman" w:cs="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rFonts w:ascii="Times New Roman" w:hAnsi="Times New Roman" w:cs="Times New Roman"/>
          <w:sz w:val="24"/>
          <w:szCs w:val="24"/>
          <w:lang w:val="en-US"/>
        </w:rPr>
        <w:t>ral Reserve, and the World Bank)</w:t>
      </w:r>
    </w:p>
    <w:p w:rsidR="0076371D" w:rsidRPr="00B97CD8" w:rsidRDefault="0076371D" w:rsidP="0076371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CB3897">
        <w:rPr>
          <w:rFonts w:ascii="Times New Roman" w:hAnsi="Times New Roman" w:cs="Times New Roman"/>
          <w:sz w:val="24"/>
          <w:szCs w:val="24"/>
          <w:u w:val="single"/>
        </w:rPr>
        <w:t>La OCDE alerta del parón de la economía de la zona euro y destaca que España resiste mejor</w:t>
      </w:r>
      <w:r>
        <w:rPr>
          <w:rFonts w:ascii="Times New Roman" w:hAnsi="Times New Roman" w:cs="Times New Roman"/>
          <w:sz w:val="24"/>
          <w:szCs w:val="24"/>
        </w:rPr>
        <w:t xml:space="preserve"> (Cinco Días - </w:t>
      </w:r>
      <w:r w:rsidRPr="00CB3897">
        <w:rPr>
          <w:rFonts w:ascii="Times New Roman" w:hAnsi="Times New Roman" w:cs="Times New Roman"/>
          <w:b/>
          <w:sz w:val="24"/>
          <w:szCs w:val="24"/>
        </w:rPr>
        <w:t>6/3/19</w:t>
      </w:r>
      <w:r>
        <w:rPr>
          <w:rFonts w:ascii="Times New Roman" w:hAnsi="Times New Roman" w:cs="Times New Roman"/>
          <w:sz w:val="24"/>
          <w:szCs w:val="24"/>
        </w:rPr>
        <w:t xml:space="preserve">) </w:t>
      </w:r>
    </w:p>
    <w:p w:rsidR="0076371D"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Calcula que el PIB de la unión monetaria sólo crecerá un 1% este año, ocho décimas menos de lo previsto en noviembre</w:t>
      </w:r>
    </w:p>
    <w:p w:rsidR="0076371D" w:rsidRDefault="0076371D" w:rsidP="0076371D">
      <w:pPr>
        <w:spacing w:line="240" w:lineRule="auto"/>
        <w:jc w:val="both"/>
        <w:rPr>
          <w:rFonts w:ascii="Times New Roman" w:hAnsi="Times New Roman" w:cs="Times New Roman"/>
          <w:sz w:val="24"/>
          <w:szCs w:val="24"/>
        </w:rPr>
      </w:pPr>
      <w:r>
        <w:rPr>
          <w:noProof/>
          <w:lang w:val="en-GB" w:eastAsia="en-GB"/>
        </w:rPr>
        <w:lastRenderedPageBreak/>
        <w:drawing>
          <wp:inline distT="0" distB="0" distL="0" distR="0">
            <wp:extent cx="5732776" cy="2863850"/>
            <wp:effectExtent l="0" t="0" r="1905" b="0"/>
            <wp:docPr id="16" name="Imagen 16" descr="https://d500.epimg.net/descargables/2019/03/06/ec9169a791cc4d77565b4ab1298035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9/03/06/ec9169a791cc4d77565b4ab1298035eb.pn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63218"/>
                    </a:xfrm>
                    <a:prstGeom prst="rect">
                      <a:avLst/>
                    </a:prstGeom>
                    <a:noFill/>
                    <a:ln>
                      <a:noFill/>
                    </a:ln>
                  </pic:spPr>
                </pic:pic>
              </a:graphicData>
            </a:graphic>
          </wp:inline>
        </w:drawing>
      </w:r>
    </w:p>
    <w:p w:rsidR="0076371D" w:rsidRPr="00CB3897" w:rsidRDefault="0076371D" w:rsidP="0076371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CB3897">
        <w:rPr>
          <w:rFonts w:ascii="Times New Roman" w:hAnsi="Times New Roman" w:cs="Times New Roman"/>
          <w:sz w:val="24"/>
          <w:szCs w:val="24"/>
        </w:rPr>
        <w:t xml:space="preserve">l futuro económico de la zona euro se ensombrece cada día que pasa. Tras las advertencias de la Comisión Europea del martes que alertaban de la cercanía de una posible recesión si se materializaban los riesgos que sobrevuelan la UE, hoy han sido los responsables de la OCDE quienes avisaron del parón de la economía en la zona euro y rebajaron fuertemente </w:t>
      </w:r>
      <w:r>
        <w:rPr>
          <w:rFonts w:ascii="Times New Roman" w:hAnsi="Times New Roman" w:cs="Times New Roman"/>
          <w:sz w:val="24"/>
          <w:szCs w:val="24"/>
        </w:rPr>
        <w:t>sus previsiones de crecimiento.</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 general, la Organización para la Cooperación y el Desarrollo Económicos (OCDE), que agrupa a la treintena de países más desarrollados del mundo, ha rebajado sus expectativas de crecimiento global. Así, su estimación de crecimiento mundial se rebaja dos décimas para este año hasta el 3,3% y una décima para 2020, hasta el 3,4%.</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Si bien, esta rebaja ha sido especialmente pronunciada para la zona euro y Reino Unido, marcados por una mayor incertidumbre política, una fuerte ralentización del comercio exterior y el brexit.</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 su último informe de perspectivas conocido hoy esta organización calcula que el producto interior bruto (PIB) de la zona euro sólo crecerá un 1% en 2019 (tras el 1,8% de 2018), lo que significa ocho décimas menos de lo que había anticipado en noviembre. La rebaja para 2020 es de</w:t>
      </w:r>
      <w:r>
        <w:rPr>
          <w:rFonts w:ascii="Times New Roman" w:hAnsi="Times New Roman" w:cs="Times New Roman"/>
          <w:sz w:val="24"/>
          <w:szCs w:val="24"/>
        </w:rPr>
        <w:t xml:space="preserve"> cuatro décimas, hasta el 1,4%.</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Entre los grandes países de la moneda única (en este informe sólo hay datos desglosados para los del G20 entre los que no está España), los más afectados son Alemania, con un incremento del 0,7% este año (nueve décimas menos) y del 1,1% el próximo (tres menos) e Italia, con un año 2019 de recesión (-0,2%, 1,1 puntos menos) y una tímida recuperación en 20</w:t>
      </w:r>
      <w:r>
        <w:rPr>
          <w:rFonts w:ascii="Times New Roman" w:hAnsi="Times New Roman" w:cs="Times New Roman"/>
          <w:sz w:val="24"/>
          <w:szCs w:val="24"/>
        </w:rPr>
        <w:t>20 (0,5%, cinco décimas menos).</w:t>
      </w:r>
    </w:p>
    <w:p w:rsidR="0076371D" w:rsidRPr="00CB3897" w:rsidRDefault="004C4747" w:rsidP="0076371D">
      <w:pPr>
        <w:spacing w:line="240" w:lineRule="auto"/>
        <w:jc w:val="both"/>
        <w:rPr>
          <w:rFonts w:ascii="Times New Roman" w:hAnsi="Times New Roman" w:cs="Times New Roman"/>
          <w:sz w:val="24"/>
          <w:szCs w:val="24"/>
        </w:rPr>
      </w:pPr>
      <w:r>
        <w:rPr>
          <w:rFonts w:ascii="Times New Roman" w:hAnsi="Times New Roman" w:cs="Times New Roman"/>
          <w:sz w:val="24"/>
          <w:szCs w:val="24"/>
        </w:rPr>
        <w:t>“España está resistiendo la “tormenta”</w:t>
      </w:r>
      <w:r w:rsidR="0076371D" w:rsidRPr="00CB3897">
        <w:rPr>
          <w:rFonts w:ascii="Times New Roman" w:hAnsi="Times New Roman" w:cs="Times New Roman"/>
          <w:sz w:val="24"/>
          <w:szCs w:val="24"/>
        </w:rPr>
        <w:t xml:space="preserve"> mejor que Italia o Alemania”, destacó en rueda de prensa la economista jefe de la OCDE, Laurence Boone, señalando que, a pesar de la ralentización de la tasa de crecimiento del crédito en el país, el crecimiento de España “sigue siendo positivo y menos afectado que por ejemplo lo q</w:t>
      </w:r>
      <w:r w:rsidR="0076371D">
        <w:rPr>
          <w:rFonts w:ascii="Times New Roman" w:hAnsi="Times New Roman" w:cs="Times New Roman"/>
          <w:sz w:val="24"/>
          <w:szCs w:val="24"/>
        </w:rPr>
        <w:t>ue vemos en Alemania o Italia”.</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Respecto a Reino Unido, la incertidumbre sobre las consecuencias del Brexit y la debilidad de la zona euro son dos de los factores que lastran su PIB, que tendrá una expansión solo del 0,8% en 2019 (seis décimas menos de lo avanzado en noviembre) y el 0,</w:t>
      </w:r>
      <w:r>
        <w:rPr>
          <w:rFonts w:ascii="Times New Roman" w:hAnsi="Times New Roman" w:cs="Times New Roman"/>
          <w:sz w:val="24"/>
          <w:szCs w:val="24"/>
        </w:rPr>
        <w:t>9% en 2020 (dos décimas menos).</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lastRenderedPageBreak/>
        <w:t>No obstante, y a pesar de que la desaceleración estaría afectando a todos los países desarrollados, la OCDE considera que la ralentización económica será mucho más moderada en Estados Unidos, cuya economía mantendrá un avance del 2,6% este año, una décimas menos que lo previsto en</w:t>
      </w:r>
      <w:r>
        <w:rPr>
          <w:rFonts w:ascii="Times New Roman" w:hAnsi="Times New Roman" w:cs="Times New Roman"/>
          <w:sz w:val="24"/>
          <w:szCs w:val="24"/>
        </w:rPr>
        <w:t xml:space="preserve"> noviembre) y del 2,2% en 2021.</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Según constataron ayer los autores de este informe, el impacto económico de las tensiones comerciales provocadas por las políticas de Donald Trump</w:t>
      </w:r>
      <w:r w:rsidR="004C4747">
        <w:rPr>
          <w:rFonts w:ascii="Times New Roman" w:hAnsi="Times New Roman" w:cs="Times New Roman"/>
          <w:sz w:val="24"/>
          <w:szCs w:val="24"/>
        </w:rPr>
        <w:t>,</w:t>
      </w:r>
      <w:r w:rsidRPr="00CB3897">
        <w:rPr>
          <w:rFonts w:ascii="Times New Roman" w:hAnsi="Times New Roman" w:cs="Times New Roman"/>
          <w:sz w:val="24"/>
          <w:szCs w:val="24"/>
        </w:rPr>
        <w:t xml:space="preserve"> están afectando más a Europa y a China que a Estados Unidos.  Boone argumentó que el impacto más limitado en la economía estadounidense se debe a que ésta es menos dependiente del comercio exterior que la de China u otros países europeos, especialmente los más expor</w:t>
      </w:r>
      <w:r>
        <w:rPr>
          <w:rFonts w:ascii="Times New Roman" w:hAnsi="Times New Roman" w:cs="Times New Roman"/>
          <w:sz w:val="24"/>
          <w:szCs w:val="24"/>
        </w:rPr>
        <w:t>tadores como Alemania o Italia.</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Además, el tipo de bienes a los que se ha puesto aranceles por las guerras comerciales de los últimos meses no son precisamente los que más afectan a la actividad económica estadounidense. Asimismo, Boone atribuyó este menor impacto en Estados Unidos por los estímulos fiscales que está aplica</w:t>
      </w:r>
      <w:r>
        <w:rPr>
          <w:rFonts w:ascii="Times New Roman" w:hAnsi="Times New Roman" w:cs="Times New Roman"/>
          <w:sz w:val="24"/>
          <w:szCs w:val="24"/>
        </w:rPr>
        <w:t>ndo la Administración de Trump.</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Pide</w:t>
      </w:r>
      <w:r>
        <w:rPr>
          <w:rFonts w:ascii="Times New Roman" w:hAnsi="Times New Roman" w:cs="Times New Roman"/>
          <w:sz w:val="24"/>
          <w:szCs w:val="24"/>
        </w:rPr>
        <w:t>n reformas y estímulos fiscales</w:t>
      </w:r>
    </w:p>
    <w:p w:rsidR="0076371D" w:rsidRPr="00CB3897"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Ante estas malas perspectivas, sobre todo para la zona euro, la economista jefe de esta organización reclamó a los gobiernos de la unión monetaria que actúen “de forma urgente” aplicando reformas estructurales, que incluyan una mayor integración de los países miembros. Y demandó también una mayor inversión pública por parte de los Estados que tienen más margen fiscal, como es el caso de Alemania, Austria u Holanda. En opinión de esta responsable dicho margen viene dado porque en estos tres países el porcentaje de deuda s</w:t>
      </w:r>
      <w:r>
        <w:rPr>
          <w:rFonts w:ascii="Times New Roman" w:hAnsi="Times New Roman" w:cs="Times New Roman"/>
          <w:sz w:val="24"/>
          <w:szCs w:val="24"/>
        </w:rPr>
        <w:t>obre el PIB es inferior al 80%.</w:t>
      </w:r>
      <w:r w:rsidRPr="00CB3897">
        <w:rPr>
          <w:rFonts w:ascii="Times New Roman" w:hAnsi="Times New Roman" w:cs="Times New Roman"/>
          <w:sz w:val="24"/>
          <w:szCs w:val="24"/>
        </w:rPr>
        <w:t>Boone admitió, no obstante, que el margen de maniobra de la mayoría de los países es limitado, “aunque se puede hacer mucho si los Gobiernos cooperan”, añadió.</w:t>
      </w:r>
    </w:p>
    <w:p w:rsidR="0076371D" w:rsidRDefault="0076371D" w:rsidP="0076371D">
      <w:pPr>
        <w:spacing w:line="240" w:lineRule="auto"/>
        <w:jc w:val="both"/>
        <w:rPr>
          <w:rFonts w:ascii="Times New Roman" w:hAnsi="Times New Roman" w:cs="Times New Roman"/>
          <w:sz w:val="24"/>
          <w:szCs w:val="24"/>
        </w:rPr>
      </w:pPr>
      <w:r w:rsidRPr="00CB3897">
        <w:rPr>
          <w:rFonts w:ascii="Times New Roman" w:hAnsi="Times New Roman" w:cs="Times New Roman"/>
          <w:sz w:val="24"/>
          <w:szCs w:val="24"/>
        </w:rPr>
        <w:t>De hecho, según sus cálculos, si el estímulo fiscal de los países con margen fuera de 0,5% puntos del PIB y a eso se sumaran las reformas estructurales de forma coordinada, se podría incrementar el crecimiento de la zona euro en casi tres décimas en 2019; en más de cuatro décimas el año próximo; y hasta en cinco décimas en 2021. Esto ocurriría, según Boone, porque gracias al mercado único, el estímulo fiscal en uno solo de los Estados del euro tienen efectos beneficios para todos, incluidos los que no tienen margen fiscal.</w:t>
      </w:r>
    </w:p>
    <w:p w:rsidR="0076371D" w:rsidRDefault="0076371D" w:rsidP="0076371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C4747">
        <w:rPr>
          <w:rFonts w:ascii="Times New Roman" w:hAnsi="Times New Roman" w:cs="Times New Roman"/>
          <w:sz w:val="24"/>
          <w:szCs w:val="24"/>
          <w:u w:val="single"/>
        </w:rPr>
        <w:t>La OCDE da el mayor “palo”</w:t>
      </w:r>
      <w:r w:rsidRPr="00CB3897">
        <w:rPr>
          <w:rFonts w:ascii="Times New Roman" w:hAnsi="Times New Roman" w:cs="Times New Roman"/>
          <w:sz w:val="24"/>
          <w:szCs w:val="24"/>
          <w:u w:val="single"/>
        </w:rPr>
        <w:t xml:space="preserve"> a la Eurozona: hunde su crecimiento y avisa de las consecuencias de un choque con EEUU</w:t>
      </w:r>
      <w:r>
        <w:rPr>
          <w:rFonts w:ascii="Times New Roman" w:hAnsi="Times New Roman" w:cs="Times New Roman"/>
          <w:sz w:val="24"/>
          <w:szCs w:val="24"/>
        </w:rPr>
        <w:t xml:space="preserve"> (El Economista - </w:t>
      </w:r>
      <w:r w:rsidRPr="00CB3897">
        <w:rPr>
          <w:rFonts w:ascii="Times New Roman" w:hAnsi="Times New Roman" w:cs="Times New Roman"/>
          <w:b/>
          <w:sz w:val="24"/>
          <w:szCs w:val="24"/>
        </w:rPr>
        <w:t>6/3/19</w:t>
      </w:r>
      <w:r>
        <w:rPr>
          <w:rFonts w:ascii="Times New Roman" w:hAnsi="Times New Roman" w:cs="Times New Roman"/>
          <w:sz w:val="24"/>
          <w:szCs w:val="24"/>
        </w:rPr>
        <w:t xml:space="preserve">) </w:t>
      </w:r>
    </w:p>
    <w:p w:rsidR="0076371D" w:rsidRPr="00B97CD8" w:rsidRDefault="0076371D" w:rsidP="0076371D">
      <w:pPr>
        <w:spacing w:line="240" w:lineRule="auto"/>
        <w:jc w:val="both"/>
        <w:rPr>
          <w:rFonts w:ascii="Times New Roman" w:hAnsi="Times New Roman" w:cs="Times New Roman"/>
          <w:color w:val="FF0000"/>
          <w:sz w:val="24"/>
          <w:szCs w:val="24"/>
        </w:rPr>
      </w:pPr>
      <w:r w:rsidRPr="00CB3897">
        <w:rPr>
          <w:rFonts w:ascii="Times New Roman" w:hAnsi="Times New Roman" w:cs="Times New Roman"/>
          <w:noProof/>
          <w:color w:val="212529"/>
          <w:sz w:val="24"/>
          <w:szCs w:val="24"/>
          <w:lang w:val="en-GB" w:eastAsia="en-GB"/>
        </w:rPr>
        <w:drawing>
          <wp:inline distT="0" distB="0" distL="0" distR="0">
            <wp:extent cx="5594350" cy="2514600"/>
            <wp:effectExtent l="0" t="0" r="6350" b="0"/>
            <wp:docPr id="17" name="Imagen 17" descr="https://s03.s3c.es/imag/_v0/770x535/8/a/8/previsiones-crecimi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35/8/a/8/previsiones-crecimiento.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4350" cy="2514600"/>
                    </a:xfrm>
                    <a:prstGeom prst="rect">
                      <a:avLst/>
                    </a:prstGeom>
                    <a:noFill/>
                    <a:ln>
                      <a:noFill/>
                    </a:ln>
                  </pic:spPr>
                </pic:pic>
              </a:graphicData>
            </a:graphic>
          </wp:inline>
        </w:drawing>
      </w:r>
    </w:p>
    <w:p w:rsidR="0076371D" w:rsidRDefault="0076371D" w:rsidP="0076371D">
      <w:pPr>
        <w:pStyle w:val="NormalWeb"/>
        <w:shd w:val="clear" w:color="auto" w:fill="FFFFFF"/>
        <w:spacing w:after="270"/>
        <w:jc w:val="both"/>
        <w:rPr>
          <w:color w:val="212529"/>
          <w:spacing w:val="-1"/>
        </w:rPr>
      </w:pPr>
      <w:r>
        <w:rPr>
          <w:color w:val="212529"/>
          <w:spacing w:val="-1"/>
        </w:rPr>
        <w:lastRenderedPageBreak/>
        <w:t xml:space="preserve">- </w:t>
      </w:r>
      <w:r w:rsidRPr="00CB3897">
        <w:rPr>
          <w:color w:val="212529"/>
          <w:spacing w:val="-1"/>
          <w:u w:val="single"/>
        </w:rPr>
        <w:t>Tambores de crisis en Europa: la OCDE rebaja a la mitad su previsión de crecimiento</w:t>
      </w:r>
      <w:r>
        <w:rPr>
          <w:color w:val="212529"/>
          <w:spacing w:val="-1"/>
        </w:rPr>
        <w:t xml:space="preserve"> (El Confidencial - </w:t>
      </w:r>
      <w:r w:rsidRPr="00CB3897">
        <w:rPr>
          <w:b/>
          <w:color w:val="212529"/>
          <w:spacing w:val="-1"/>
        </w:rPr>
        <w:t>6/3/19</w:t>
      </w:r>
      <w:r>
        <w:rPr>
          <w:color w:val="212529"/>
          <w:spacing w:val="-1"/>
        </w:rPr>
        <w:t xml:space="preserve">) </w:t>
      </w:r>
    </w:p>
    <w:p w:rsidR="0076371D" w:rsidRDefault="0076371D" w:rsidP="0076371D">
      <w:pPr>
        <w:pStyle w:val="NormalWeb"/>
        <w:shd w:val="clear" w:color="auto" w:fill="FFFFFF"/>
        <w:spacing w:after="270"/>
        <w:jc w:val="both"/>
        <w:rPr>
          <w:color w:val="FF0000"/>
          <w:spacing w:val="-1"/>
        </w:rPr>
      </w:pPr>
      <w:r w:rsidRPr="0054267A">
        <w:rPr>
          <w:noProof/>
          <w:color w:val="212529"/>
          <w:spacing w:val="-1"/>
          <w:lang w:val="en-GB" w:eastAsia="en-GB"/>
        </w:rPr>
        <w:drawing>
          <wp:inline distT="0" distB="0" distL="0" distR="0">
            <wp:extent cx="5733285" cy="3759200"/>
            <wp:effectExtent l="0" t="0" r="127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758036"/>
                    </a:xfrm>
                    <a:prstGeom prst="rect">
                      <a:avLst/>
                    </a:prstGeom>
                  </pic:spPr>
                </pic:pic>
              </a:graphicData>
            </a:graphic>
          </wp:inline>
        </w:drawing>
      </w:r>
    </w:p>
    <w:p w:rsidR="0076371D" w:rsidRPr="00B97CD8" w:rsidRDefault="0076371D" w:rsidP="0076371D">
      <w:pPr>
        <w:pStyle w:val="NormalWeb"/>
        <w:shd w:val="clear" w:color="auto" w:fill="FFFFFF"/>
        <w:spacing w:after="270"/>
        <w:jc w:val="both"/>
        <w:rPr>
          <w:color w:val="FF0000"/>
          <w:spacing w:val="-1"/>
        </w:rPr>
      </w:pPr>
      <w:r w:rsidRPr="0054267A">
        <w:rPr>
          <w:noProof/>
          <w:color w:val="212529"/>
          <w:spacing w:val="-1"/>
          <w:lang w:val="en-GB" w:eastAsia="en-GB"/>
        </w:rPr>
        <w:drawing>
          <wp:inline distT="0" distB="0" distL="0" distR="0">
            <wp:extent cx="5731510" cy="4117340"/>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4117340"/>
                    </a:xfrm>
                    <a:prstGeom prst="rect">
                      <a:avLst/>
                    </a:prstGeom>
                  </pic:spPr>
                </pic:pic>
              </a:graphicData>
            </a:graphic>
          </wp:inline>
        </w:drawing>
      </w:r>
    </w:p>
    <w:p w:rsidR="0076371D" w:rsidRPr="0076371D" w:rsidRDefault="0076371D" w:rsidP="00497E25">
      <w:pPr>
        <w:spacing w:after="0" w:line="240" w:lineRule="auto"/>
        <w:jc w:val="both"/>
        <w:textAlignment w:val="baseline"/>
        <w:rPr>
          <w:rFonts w:ascii="Times New Roman" w:eastAsia="Times New Roman" w:hAnsi="Times New Roman" w:cs="Times New Roman"/>
          <w:color w:val="000000"/>
          <w:sz w:val="24"/>
          <w:szCs w:val="24"/>
        </w:rPr>
      </w:pPr>
    </w:p>
    <w:p w:rsidR="00497E25" w:rsidRDefault="0076371D" w:rsidP="00497E25">
      <w:pPr>
        <w:spacing w:after="0" w:line="240" w:lineRule="auto"/>
        <w:jc w:val="both"/>
        <w:textAlignment w:val="baseline"/>
        <w:rPr>
          <w:rFonts w:ascii="Times New Roman" w:eastAsia="Times New Roman" w:hAnsi="Times New Roman" w:cs="Times New Roman"/>
          <w:color w:val="000000"/>
          <w:sz w:val="24"/>
          <w:szCs w:val="24"/>
        </w:rPr>
      </w:pPr>
      <w:r w:rsidRPr="0054267A">
        <w:rPr>
          <w:noProof/>
          <w:color w:val="212529"/>
          <w:spacing w:val="-1"/>
          <w:lang w:val="en-GB" w:eastAsia="en-GB"/>
        </w:rPr>
        <w:drawing>
          <wp:inline distT="0" distB="0" distL="0" distR="0">
            <wp:extent cx="5731510" cy="4079875"/>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4079875"/>
                    </a:xfrm>
                    <a:prstGeom prst="rect">
                      <a:avLst/>
                    </a:prstGeom>
                  </pic:spPr>
                </pic:pic>
              </a:graphicData>
            </a:graphic>
          </wp:inline>
        </w:drawing>
      </w:r>
    </w:p>
    <w:p w:rsidR="003974FC" w:rsidRDefault="003974FC" w:rsidP="0076371D">
      <w:pPr>
        <w:spacing w:line="240" w:lineRule="auto"/>
        <w:jc w:val="both"/>
        <w:rPr>
          <w:rFonts w:ascii="Times New Roman" w:hAnsi="Times New Roman" w:cs="Times New Roman"/>
          <w:sz w:val="24"/>
          <w:szCs w:val="24"/>
        </w:rPr>
      </w:pPr>
    </w:p>
    <w:p w:rsidR="0076371D" w:rsidRPr="00EF1450" w:rsidRDefault="0076371D" w:rsidP="0076371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6E75B4">
        <w:rPr>
          <w:rFonts w:ascii="Times New Roman" w:hAnsi="Times New Roman" w:cs="Times New Roman"/>
          <w:sz w:val="24"/>
          <w:szCs w:val="24"/>
          <w:u w:val="single"/>
        </w:rPr>
        <w:t>Las consecuencias económicas de la incertidumbre global</w:t>
      </w:r>
      <w:r>
        <w:rPr>
          <w:rFonts w:ascii="Times New Roman" w:hAnsi="Times New Roman" w:cs="Times New Roman"/>
          <w:sz w:val="24"/>
          <w:szCs w:val="24"/>
        </w:rPr>
        <w:t xml:space="preserve"> (Project Syndicate - </w:t>
      </w:r>
      <w:r w:rsidRPr="006E75B4">
        <w:rPr>
          <w:rFonts w:ascii="Times New Roman" w:hAnsi="Times New Roman" w:cs="Times New Roman"/>
          <w:b/>
          <w:sz w:val="24"/>
          <w:szCs w:val="24"/>
        </w:rPr>
        <w:t>25/3/19</w:t>
      </w:r>
      <w:r>
        <w:rPr>
          <w:rFonts w:ascii="Times New Roman" w:hAnsi="Times New Roman" w:cs="Times New Roman"/>
          <w:sz w:val="24"/>
          <w:szCs w:val="24"/>
        </w:rPr>
        <w:t xml:space="preserve">) </w:t>
      </w:r>
    </w:p>
    <w:p w:rsidR="0076371D" w:rsidRPr="0019750F" w:rsidRDefault="004C4747" w:rsidP="0076371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Beijing.-</w:t>
      </w:r>
      <w:r w:rsidR="0076371D" w:rsidRPr="0019750F">
        <w:rPr>
          <w:rFonts w:ascii="Times New Roman" w:hAnsi="Times New Roman" w:cs="Times New Roman"/>
          <w:color w:val="FF0000"/>
          <w:sz w:val="24"/>
          <w:szCs w:val="24"/>
          <w:u w:val="single"/>
        </w:rPr>
        <w:t>La economía global se está debilitando, en gran medida por una sensación profunda y generalizada de incertidumbre. Y una causa importante de esa incertidumbre es la “guerra comercial” en curso entre China y Estados Unidos.</w:t>
      </w:r>
    </w:p>
    <w:p w:rsidR="0076371D" w:rsidRPr="0019750F" w:rsidRDefault="0076371D" w:rsidP="0076371D">
      <w:pPr>
        <w:spacing w:line="240" w:lineRule="auto"/>
        <w:jc w:val="both"/>
        <w:rPr>
          <w:rFonts w:ascii="Times New Roman" w:hAnsi="Times New Roman" w:cs="Times New Roman"/>
          <w:sz w:val="24"/>
          <w:szCs w:val="24"/>
          <w:u w:val="single"/>
        </w:rPr>
      </w:pPr>
      <w:r w:rsidRPr="006E75B4">
        <w:rPr>
          <w:rFonts w:ascii="Times New Roman" w:hAnsi="Times New Roman" w:cs="Times New Roman"/>
          <w:sz w:val="24"/>
          <w:szCs w:val="24"/>
        </w:rPr>
        <w:t xml:space="preserve">Como ha demostrado Lawrence J. Lau de la Universidad de Stanford, el problema no es que los aranceles en carácter de represalia hayan tenido un impacto especialmente relevante, excepto quizás en algunos sectores económicos estadounidenses y chinos. Más bien, </w:t>
      </w:r>
      <w:r w:rsidRPr="0019750F">
        <w:rPr>
          <w:rFonts w:ascii="Times New Roman" w:hAnsi="Times New Roman" w:cs="Times New Roman"/>
          <w:sz w:val="24"/>
          <w:szCs w:val="24"/>
          <w:u w:val="single"/>
        </w:rPr>
        <w:t>el conflicto ha arrojado dudas sobre el futuro de la conectividad económica global, que se ha traducido en una menor inversión y en un menor consumo en China y Estados Unidos, y entre sus respectivos socios comerciales.</w:t>
      </w:r>
    </w:p>
    <w:p w:rsidR="0076371D" w:rsidRPr="0019750F" w:rsidRDefault="0076371D" w:rsidP="0076371D">
      <w:pPr>
        <w:spacing w:line="240" w:lineRule="auto"/>
        <w:jc w:val="both"/>
        <w:rPr>
          <w:rFonts w:ascii="Times New Roman" w:hAnsi="Times New Roman" w:cs="Times New Roman"/>
          <w:sz w:val="24"/>
          <w:szCs w:val="24"/>
          <w:u w:val="single"/>
        </w:rPr>
      </w:pPr>
      <w:r w:rsidRPr="0019750F">
        <w:rPr>
          <w:rFonts w:ascii="Times New Roman" w:hAnsi="Times New Roman" w:cs="Times New Roman"/>
          <w:sz w:val="24"/>
          <w:szCs w:val="24"/>
          <w:u w:val="single"/>
        </w:rPr>
        <w:t>Es más, el estado chino ha expandido su rol en la economía. Las empresas estatales vuelven a ser las favoritas entre los jóvenes que buscan empleo y a los ojos del sector bancario principalmente estatal, aunque a muchas empresas estatales realmente habría que reestructurarlas en lugar de mantenerlas a flote. Al mismo tiempo, a muchas compañías del sector privado el crédito les está resultando escaso y muy costoso, y las quiebras parecen estar en aumento. Las intervenciones políticas periódicas para revertir estas asimetrías de larga data entre el ámbito público y privado han demostrado ser insuficientes.</w:t>
      </w:r>
    </w:p>
    <w:p w:rsidR="0076371D" w:rsidRPr="0019750F" w:rsidRDefault="0076371D" w:rsidP="0076371D">
      <w:pPr>
        <w:spacing w:line="240" w:lineRule="auto"/>
        <w:jc w:val="both"/>
        <w:rPr>
          <w:rFonts w:ascii="Times New Roman" w:hAnsi="Times New Roman" w:cs="Times New Roman"/>
          <w:color w:val="FF0000"/>
          <w:sz w:val="24"/>
          <w:szCs w:val="24"/>
          <w:u w:val="single"/>
        </w:rPr>
      </w:pPr>
      <w:r w:rsidRPr="0019750F">
        <w:rPr>
          <w:rFonts w:ascii="Times New Roman" w:hAnsi="Times New Roman" w:cs="Times New Roman"/>
          <w:color w:val="FF0000"/>
          <w:sz w:val="24"/>
          <w:szCs w:val="24"/>
          <w:u w:val="single"/>
        </w:rPr>
        <w:t xml:space="preserve">En cuanto a Estados Unidos, la economía está cayendo de un estímulo fiscal pro-cíclico que iba a dejar una ligera resaca. Y hasta hace muy poco, la Reserva Federal de Estados Unidos venía ajustando la política monetaria, con un probable retraso de los efectos de las tasas de </w:t>
      </w:r>
      <w:r w:rsidRPr="0019750F">
        <w:rPr>
          <w:rFonts w:ascii="Times New Roman" w:hAnsi="Times New Roman" w:cs="Times New Roman"/>
          <w:color w:val="FF0000"/>
          <w:sz w:val="24"/>
          <w:szCs w:val="24"/>
          <w:u w:val="single"/>
        </w:rPr>
        <w:lastRenderedPageBreak/>
        <w:t>interés más elevadas como consecuencia de los recortes impositivos de diciembre de 2017 implementados por la administración Trump.</w:t>
      </w:r>
    </w:p>
    <w:p w:rsidR="0076371D" w:rsidRPr="006E75B4" w:rsidRDefault="0076371D" w:rsidP="0076371D">
      <w:pPr>
        <w:spacing w:line="240" w:lineRule="auto"/>
        <w:jc w:val="both"/>
        <w:rPr>
          <w:rFonts w:ascii="Times New Roman" w:hAnsi="Times New Roman" w:cs="Times New Roman"/>
          <w:sz w:val="24"/>
          <w:szCs w:val="24"/>
        </w:rPr>
      </w:pPr>
      <w:r w:rsidRPr="006E75B4">
        <w:rPr>
          <w:rFonts w:ascii="Times New Roman" w:hAnsi="Times New Roman" w:cs="Times New Roman"/>
          <w:sz w:val="24"/>
          <w:szCs w:val="24"/>
        </w:rPr>
        <w:t>Mientras tanto, según un informe reciente del Consejo de Relaciones Exteriores, los empleos en la industria, la construcción y la minería se han vuelto relativamente escasos, mientras que las vacantes sin ocupar en una serie de industrias de servicios de mayor productividad cada vez son más. En términos más generales, el crecimiento de la productividad ha sido a la baja, lo que debilita el crecimiento a largo plazo. Un informe del McKinsey Global Institute observa que esta tendencia se debe en parte a los retrasos en la implementación de nuevas tecnologías digitales. Otro factor es la creciente divergencia de capacidades, que también ha contribuido a una inmovilidad laboral entre los empleos tradicionales de l</w:t>
      </w:r>
      <w:r>
        <w:rPr>
          <w:rFonts w:ascii="Times New Roman" w:hAnsi="Times New Roman" w:cs="Times New Roman"/>
          <w:sz w:val="24"/>
          <w:szCs w:val="24"/>
        </w:rPr>
        <w:t>a clase obrera y los servicios.</w:t>
      </w:r>
    </w:p>
    <w:p w:rsidR="0076371D" w:rsidRPr="0019750F" w:rsidRDefault="0076371D" w:rsidP="0076371D">
      <w:pPr>
        <w:spacing w:line="240" w:lineRule="auto"/>
        <w:jc w:val="both"/>
        <w:rPr>
          <w:rFonts w:ascii="Times New Roman" w:hAnsi="Times New Roman" w:cs="Times New Roman"/>
          <w:sz w:val="24"/>
          <w:szCs w:val="24"/>
          <w:u w:val="single"/>
        </w:rPr>
      </w:pPr>
      <w:r w:rsidRPr="0019750F">
        <w:rPr>
          <w:rFonts w:ascii="Times New Roman" w:hAnsi="Times New Roman" w:cs="Times New Roman"/>
          <w:sz w:val="24"/>
          <w:szCs w:val="24"/>
          <w:u w:val="single"/>
        </w:rPr>
        <w:t>Los acontecimientos políticos agravan la incertidumbre. En Estados Unidos, nadie sabe si la elección presidencial de 2020 resultará en un segundo mandato de Donald Trump o en una nueva administración demócrata que gobierne desde el centro o desde la extrema izquierda. El rango de</w:t>
      </w:r>
      <w:r w:rsidR="004C4747">
        <w:rPr>
          <w:rFonts w:ascii="Times New Roman" w:hAnsi="Times New Roman" w:cs="Times New Roman"/>
          <w:sz w:val="24"/>
          <w:szCs w:val="24"/>
          <w:u w:val="single"/>
        </w:rPr>
        <w:t xml:space="preserve"> posibles escenarios políticos -</w:t>
      </w:r>
      <w:r w:rsidRPr="0019750F">
        <w:rPr>
          <w:rFonts w:ascii="Times New Roman" w:hAnsi="Times New Roman" w:cs="Times New Roman"/>
          <w:sz w:val="24"/>
          <w:szCs w:val="24"/>
          <w:u w:val="single"/>
        </w:rPr>
        <w:t>desde acciones antimonopólicas contra las principales plataformas digitales hasta planes de atención médica universal y cambios importantes en el sistema tributario- es más expansivo de lo que ha sido en décadas.</w:t>
      </w:r>
    </w:p>
    <w:p w:rsidR="0076371D" w:rsidRPr="0019750F" w:rsidRDefault="0076371D" w:rsidP="0076371D">
      <w:pPr>
        <w:spacing w:line="240" w:lineRule="auto"/>
        <w:jc w:val="both"/>
        <w:rPr>
          <w:rFonts w:ascii="Times New Roman" w:hAnsi="Times New Roman" w:cs="Times New Roman"/>
          <w:sz w:val="24"/>
          <w:szCs w:val="24"/>
          <w:u w:val="single"/>
        </w:rPr>
      </w:pPr>
      <w:r w:rsidRPr="0019750F">
        <w:rPr>
          <w:rFonts w:ascii="Times New Roman" w:hAnsi="Times New Roman" w:cs="Times New Roman"/>
          <w:sz w:val="24"/>
          <w:szCs w:val="24"/>
          <w:u w:val="single"/>
        </w:rPr>
        <w:t>La situación en Europa no es muy diferente. En un escenario de fortalecimiento del nacionalismo y del populismo (de izquierda y de derecha), los partidos anti-establishment han ganado terreno o han llegado al poder en muchos países</w:t>
      </w:r>
      <w:r w:rsidRPr="006E75B4">
        <w:rPr>
          <w:rFonts w:ascii="Times New Roman" w:hAnsi="Times New Roman" w:cs="Times New Roman"/>
          <w:sz w:val="24"/>
          <w:szCs w:val="24"/>
        </w:rPr>
        <w:t xml:space="preserve">. </w:t>
      </w:r>
      <w:r w:rsidRPr="0019750F">
        <w:rPr>
          <w:rFonts w:ascii="Times New Roman" w:hAnsi="Times New Roman" w:cs="Times New Roman"/>
          <w:color w:val="FF0000"/>
          <w:sz w:val="24"/>
          <w:szCs w:val="24"/>
          <w:u w:val="single"/>
        </w:rPr>
        <w:t>A la luz de estos acontecimientos, parece cada vez más improbable que la Unión Europea implemente las reformas estructurales que tanto se necesitan.</w:t>
      </w:r>
      <w:r w:rsidRPr="0019750F">
        <w:rPr>
          <w:rFonts w:ascii="Times New Roman" w:hAnsi="Times New Roman" w:cs="Times New Roman"/>
          <w:sz w:val="24"/>
          <w:szCs w:val="24"/>
          <w:u w:val="single"/>
        </w:rPr>
        <w:t>Los dos únicos líderes que podrían ejercer presión para que se tomaran estas medidas, la canciller alemana, Angela Merkel, y el presidente francés, Emmanuel Macron, se han debilitado políticamente. Merkel ha anunciado que este mandato será el último para ella, y Macron ha tenido que lidiar con protestas generalizadas (y en muchos casos violentas) desde el mes de noviembre.</w:t>
      </w:r>
    </w:p>
    <w:p w:rsidR="0076371D" w:rsidRPr="0019750F" w:rsidRDefault="0076371D" w:rsidP="0076371D">
      <w:pPr>
        <w:spacing w:line="240" w:lineRule="auto"/>
        <w:jc w:val="both"/>
        <w:rPr>
          <w:rFonts w:ascii="Times New Roman" w:hAnsi="Times New Roman" w:cs="Times New Roman"/>
          <w:sz w:val="24"/>
          <w:szCs w:val="24"/>
          <w:u w:val="single"/>
        </w:rPr>
      </w:pPr>
      <w:r w:rsidRPr="0019750F">
        <w:rPr>
          <w:rFonts w:ascii="Times New Roman" w:hAnsi="Times New Roman" w:cs="Times New Roman"/>
          <w:sz w:val="24"/>
          <w:szCs w:val="24"/>
          <w:u w:val="single"/>
        </w:rPr>
        <w:t>En mayo, todas las miradas estarán depositadas en las elecciones del Parlamento Europeo, que podrían resultar en una reestructuración radical del personal en el Consejo Europeo y la Comisión Europea. Y para complicar aún más las cosas, el Reino Unido ha caído en el abismo del Brexit, agravando el clima de incertidumbre.</w:t>
      </w:r>
    </w:p>
    <w:p w:rsidR="0076371D" w:rsidRPr="006E75B4" w:rsidRDefault="0076371D" w:rsidP="0076371D">
      <w:pPr>
        <w:spacing w:line="240" w:lineRule="auto"/>
        <w:jc w:val="both"/>
        <w:rPr>
          <w:rFonts w:ascii="Times New Roman" w:hAnsi="Times New Roman" w:cs="Times New Roman"/>
          <w:sz w:val="24"/>
          <w:szCs w:val="24"/>
        </w:rPr>
      </w:pPr>
      <w:r w:rsidRPr="006E75B4">
        <w:rPr>
          <w:rFonts w:ascii="Times New Roman" w:hAnsi="Times New Roman" w:cs="Times New Roman"/>
          <w:sz w:val="24"/>
          <w:szCs w:val="24"/>
        </w:rPr>
        <w:t>En el frente económico, los problem</w:t>
      </w:r>
      <w:r w:rsidR="004C4747">
        <w:rPr>
          <w:rFonts w:ascii="Times New Roman" w:hAnsi="Times New Roman" w:cs="Times New Roman"/>
          <w:sz w:val="24"/>
          <w:szCs w:val="24"/>
        </w:rPr>
        <w:t>as de Alemania -</w:t>
      </w:r>
      <w:r w:rsidRPr="006E75B4">
        <w:rPr>
          <w:rFonts w:ascii="Times New Roman" w:hAnsi="Times New Roman" w:cs="Times New Roman"/>
          <w:sz w:val="24"/>
          <w:szCs w:val="24"/>
        </w:rPr>
        <w:t>debido a su considerable sector industrial y a la exposición significativa a lo que suceda en China- han tenido efectos indirectos en toda Europa. Italia sigue en un período de dos décadas de crecimiento débil y el desempleo juvenil está en 32%, que resulta intolerablemente alto. Peor aún, el gobierno italiano ha adoptado una estrategia belicosa con la UE en materia de reglas fiscales, pero carece de un plan convincente para alcanzar un crecimiento de largo plazo. La deuda soberana italiana ha subido hasta el 140% del PIB y hay motivos para temer que un repunte de los rendimie</w:t>
      </w:r>
      <w:r w:rsidR="00244993">
        <w:rPr>
          <w:rFonts w:ascii="Times New Roman" w:hAnsi="Times New Roman" w:cs="Times New Roman"/>
          <w:sz w:val="24"/>
          <w:szCs w:val="24"/>
        </w:rPr>
        <w:t>ntos de los bonos del gobierno -</w:t>
      </w:r>
      <w:r w:rsidRPr="006E75B4">
        <w:rPr>
          <w:rFonts w:ascii="Times New Roman" w:hAnsi="Times New Roman" w:cs="Times New Roman"/>
          <w:sz w:val="24"/>
          <w:szCs w:val="24"/>
        </w:rPr>
        <w:t>como sucedió en 2010-2012- pu</w:t>
      </w:r>
      <w:r>
        <w:rPr>
          <w:rFonts w:ascii="Times New Roman" w:hAnsi="Times New Roman" w:cs="Times New Roman"/>
          <w:sz w:val="24"/>
          <w:szCs w:val="24"/>
        </w:rPr>
        <w:t>eda provocar una crisis fiscal.</w:t>
      </w:r>
    </w:p>
    <w:p w:rsidR="0076371D" w:rsidRPr="006E75B4" w:rsidRDefault="0076371D" w:rsidP="0076371D">
      <w:pPr>
        <w:spacing w:line="240" w:lineRule="auto"/>
        <w:jc w:val="both"/>
        <w:rPr>
          <w:rFonts w:ascii="Times New Roman" w:hAnsi="Times New Roman" w:cs="Times New Roman"/>
          <w:sz w:val="24"/>
          <w:szCs w:val="24"/>
        </w:rPr>
      </w:pPr>
      <w:r w:rsidRPr="006E75B4">
        <w:rPr>
          <w:rFonts w:ascii="Times New Roman" w:hAnsi="Times New Roman" w:cs="Times New Roman"/>
          <w:sz w:val="24"/>
          <w:szCs w:val="24"/>
        </w:rPr>
        <w:t>Si esto sucediera, no resulta claro cómo respondería el Banco Central Europeo. En cualquier caso, la ausencia de un crecimiento sólido agravará la fragilidad del sector bancario italiano, ya que los créditos morosos tienden a aumentar con los vientos en contra del crecimiento. Eso, a su vez, resultará en un crédito más ajustado y en un perjuicio para los sectores todavía salu</w:t>
      </w:r>
      <w:r>
        <w:rPr>
          <w:rFonts w:ascii="Times New Roman" w:hAnsi="Times New Roman" w:cs="Times New Roman"/>
          <w:sz w:val="24"/>
          <w:szCs w:val="24"/>
        </w:rPr>
        <w:t>dables de la economía italiana.</w:t>
      </w:r>
    </w:p>
    <w:p w:rsidR="0076371D" w:rsidRPr="00DC48B7" w:rsidRDefault="0076371D" w:rsidP="0076371D">
      <w:pPr>
        <w:spacing w:line="240" w:lineRule="auto"/>
        <w:jc w:val="both"/>
        <w:rPr>
          <w:rFonts w:ascii="Times New Roman" w:hAnsi="Times New Roman" w:cs="Times New Roman"/>
          <w:sz w:val="24"/>
          <w:szCs w:val="24"/>
          <w:u w:val="single"/>
        </w:rPr>
      </w:pPr>
      <w:r w:rsidRPr="00DC48B7">
        <w:rPr>
          <w:rFonts w:ascii="Times New Roman" w:hAnsi="Times New Roman" w:cs="Times New Roman"/>
          <w:sz w:val="24"/>
          <w:szCs w:val="24"/>
          <w:u w:val="single"/>
        </w:rPr>
        <w:lastRenderedPageBreak/>
        <w:t>En términos más generales, Europa está rezagada detrás de otras potencias en términos de innovación y adopción de nuevas tecnologías digitales. Pero las propias tecnologías digitales también están contribuyendo a la incertidumbre global</w:t>
      </w:r>
      <w:r w:rsidRPr="006E75B4">
        <w:rPr>
          <w:rFonts w:ascii="Times New Roman" w:hAnsi="Times New Roman" w:cs="Times New Roman"/>
          <w:sz w:val="24"/>
          <w:szCs w:val="24"/>
        </w:rPr>
        <w:t xml:space="preserve">. </w:t>
      </w:r>
      <w:r w:rsidRPr="00DC48B7">
        <w:rPr>
          <w:rFonts w:ascii="Times New Roman" w:hAnsi="Times New Roman" w:cs="Times New Roman"/>
          <w:sz w:val="24"/>
          <w:szCs w:val="24"/>
          <w:u w:val="single"/>
        </w:rPr>
        <w:t>Hasta qué punto las plataformas digitales pueden influir en los procesos políticos no resulta claro; pero hay suficiente evidencia que sugiere que han agrandado las grietas sociales y que han hecho que las elecciones democráticas sean más fáciles de explotar. Detrás de estas grietas hay tendencias económicas poderosas, sobre todo la polarización del mercado laboral y de ingresos que se observa en las economías desarrolladas.</w:t>
      </w:r>
    </w:p>
    <w:p w:rsidR="0076371D" w:rsidRPr="006E75B4" w:rsidRDefault="0076371D" w:rsidP="0076371D">
      <w:pPr>
        <w:spacing w:line="240" w:lineRule="auto"/>
        <w:jc w:val="both"/>
        <w:rPr>
          <w:rFonts w:ascii="Times New Roman" w:hAnsi="Times New Roman" w:cs="Times New Roman"/>
          <w:sz w:val="24"/>
          <w:szCs w:val="24"/>
        </w:rPr>
      </w:pPr>
      <w:r w:rsidRPr="006E75B4">
        <w:rPr>
          <w:rFonts w:ascii="Times New Roman" w:hAnsi="Times New Roman" w:cs="Times New Roman"/>
          <w:sz w:val="24"/>
          <w:szCs w:val="24"/>
        </w:rPr>
        <w:t>La economía global está atravesando una transición importante, debido al ascenso de las economías emergentes, especialmente en Asia, y la transformación digital de los modelos de negocios y las cadenas de suministro globales. Los servicios representan un porcentaje creciente del comercio global y se buscan nuevas fuentes de ventaja comparativa. El emplazamiento de los mercados finales y la configuración de las cadenas de suministro están en marcha, o se los está cambiando por completo. Y si bien es obvio que las estructuras y las reglas de gobernanza global necesitan una reestructuración, las instituciones internacionales existentes carecen del poder para presionar por este tipo de cambios por su cuenta, y los gobiernos de las principales potencias económicas del mundo no parecen estar a la</w:t>
      </w:r>
      <w:r>
        <w:rPr>
          <w:rFonts w:ascii="Times New Roman" w:hAnsi="Times New Roman" w:cs="Times New Roman"/>
          <w:sz w:val="24"/>
          <w:szCs w:val="24"/>
        </w:rPr>
        <w:t xml:space="preserve"> altura de la tarea.</w:t>
      </w:r>
    </w:p>
    <w:p w:rsidR="0076371D" w:rsidRPr="006E75B4" w:rsidRDefault="0076371D" w:rsidP="0076371D">
      <w:pPr>
        <w:spacing w:line="240" w:lineRule="auto"/>
        <w:jc w:val="both"/>
        <w:rPr>
          <w:rFonts w:ascii="Times New Roman" w:hAnsi="Times New Roman" w:cs="Times New Roman"/>
          <w:sz w:val="24"/>
          <w:szCs w:val="24"/>
        </w:rPr>
      </w:pPr>
      <w:r w:rsidRPr="006E75B4">
        <w:rPr>
          <w:rFonts w:ascii="Times New Roman" w:hAnsi="Times New Roman" w:cs="Times New Roman"/>
          <w:sz w:val="24"/>
          <w:szCs w:val="24"/>
        </w:rPr>
        <w:t>En conjunto, estas diversas tendencias económicas y políticas pueden o no derivar en otra crisis global o parada repentina. En cualquiera de los dos casos, alimentarán un período prolongado de incertidumbre radical. En estas circunstancias, la cautela puede parecer la mejor política para las empresas, los inversores, los consumidores y hasta los gobiernos. Pero la cautela conlleva sus propios costos: las empresas y los países que no invierten lo suficiente, por ejemplo, en nuevas tecnologías digitales bien pueden quedarse en el camino. Y mientras las reglas y las instituciones que gobiernan la economía global sigan en duda, no cabe más que esperar un desempeño insuficiente continuo.</w:t>
      </w:r>
    </w:p>
    <w:p w:rsidR="0076371D" w:rsidRDefault="0076371D" w:rsidP="0076371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E75B4">
        <w:rPr>
          <w:rFonts w:ascii="Times New Roman" w:hAnsi="Times New Roman" w:cs="Times New Roman"/>
          <w:sz w:val="24"/>
          <w:szCs w:val="24"/>
          <w:lang w:val="en-US"/>
        </w:rPr>
        <w:t xml:space="preserve">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w:t>
      </w:r>
      <w:r w:rsidR="002A170C">
        <w:rPr>
          <w:rFonts w:ascii="Times New Roman" w:hAnsi="Times New Roman" w:cs="Times New Roman"/>
          <w:sz w:val="24"/>
          <w:szCs w:val="24"/>
          <w:lang w:val="en-US"/>
        </w:rPr>
        <w:t>author of The Next Convergence -</w:t>
      </w:r>
      <w:r w:rsidRPr="006E75B4">
        <w:rPr>
          <w:rFonts w:ascii="Times New Roman" w:hAnsi="Times New Roman" w:cs="Times New Roman"/>
          <w:sz w:val="24"/>
          <w:szCs w:val="24"/>
          <w:lang w:val="en-US"/>
        </w:rPr>
        <w:t xml:space="preserve"> The Future of Econom</w:t>
      </w:r>
      <w:r>
        <w:rPr>
          <w:rFonts w:ascii="Times New Roman" w:hAnsi="Times New Roman" w:cs="Times New Roman"/>
          <w:sz w:val="24"/>
          <w:szCs w:val="24"/>
          <w:lang w:val="en-US"/>
        </w:rPr>
        <w:t>ic Growth in a Multispeed World)</w:t>
      </w:r>
    </w:p>
    <w:p w:rsidR="0076371D" w:rsidRPr="00EF1450" w:rsidRDefault="0076371D" w:rsidP="0076371D">
      <w:pPr>
        <w:spacing w:line="240" w:lineRule="auto"/>
        <w:jc w:val="both"/>
        <w:rPr>
          <w:rFonts w:ascii="Times New Roman" w:hAnsi="Times New Roman" w:cs="Times New Roman"/>
          <w:color w:val="FF0000"/>
          <w:sz w:val="24"/>
          <w:szCs w:val="24"/>
        </w:rPr>
      </w:pPr>
      <w:r w:rsidRPr="003012AA">
        <w:rPr>
          <w:rFonts w:ascii="Times New Roman" w:hAnsi="Times New Roman" w:cs="Times New Roman"/>
          <w:sz w:val="24"/>
          <w:szCs w:val="24"/>
        </w:rPr>
        <w:t xml:space="preserve">- </w:t>
      </w:r>
      <w:r w:rsidR="004C4747">
        <w:rPr>
          <w:rFonts w:ascii="Times New Roman" w:hAnsi="Times New Roman" w:cs="Times New Roman"/>
          <w:sz w:val="24"/>
          <w:szCs w:val="24"/>
          <w:u w:val="single"/>
        </w:rPr>
        <w:t>La “japonización”</w:t>
      </w:r>
      <w:r w:rsidRPr="003012AA">
        <w:rPr>
          <w:rFonts w:ascii="Times New Roman" w:hAnsi="Times New Roman" w:cs="Times New Roman"/>
          <w:sz w:val="24"/>
          <w:szCs w:val="24"/>
          <w:u w:val="single"/>
        </w:rPr>
        <w:t xml:space="preserve"> de Occidente</w:t>
      </w:r>
      <w:r w:rsidRPr="003012AA">
        <w:rPr>
          <w:rFonts w:ascii="Times New Roman" w:hAnsi="Times New Roman" w:cs="Times New Roman"/>
          <w:sz w:val="24"/>
          <w:szCs w:val="24"/>
        </w:rPr>
        <w:t xml:space="preserve"> (El Economista - </w:t>
      </w:r>
      <w:r w:rsidRPr="003012AA">
        <w:rPr>
          <w:rFonts w:ascii="Times New Roman" w:hAnsi="Times New Roman" w:cs="Times New Roman"/>
          <w:b/>
          <w:sz w:val="24"/>
          <w:szCs w:val="24"/>
        </w:rPr>
        <w:t>14/4/19</w:t>
      </w:r>
      <w:r w:rsidRPr="003012AA">
        <w:rPr>
          <w:rFonts w:ascii="Times New Roman" w:hAnsi="Times New Roman" w:cs="Times New Roman"/>
          <w:sz w:val="24"/>
          <w:szCs w:val="24"/>
        </w:rPr>
        <w:t>)</w:t>
      </w:r>
    </w:p>
    <w:p w:rsidR="0076371D" w:rsidRPr="003012AA" w:rsidRDefault="0076371D" w:rsidP="0076371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012AA">
        <w:rPr>
          <w:rFonts w:ascii="Times New Roman" w:hAnsi="Times New Roman" w:cs="Times New Roman"/>
          <w:sz w:val="24"/>
          <w:szCs w:val="24"/>
        </w:rPr>
        <w:t>Mohamed A. El-Erian</w:t>
      </w:r>
      <w:r>
        <w:rPr>
          <w:rFonts w:ascii="Times New Roman" w:hAnsi="Times New Roman" w:cs="Times New Roman"/>
          <w:sz w:val="24"/>
          <w:szCs w:val="24"/>
        </w:rPr>
        <w:t>)</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6135C6">
        <w:rPr>
          <w:rFonts w:ascii="Times New Roman" w:hAnsi="Times New Roman" w:cs="Times New Roman"/>
          <w:color w:val="FF0000"/>
          <w:sz w:val="24"/>
          <w:szCs w:val="24"/>
          <w:u w:val="single"/>
        </w:rPr>
        <w:t>Hace mucho tiempo, la opinión generalizada era que una japonización nunca podía suceder en las economías occidentales. Los principales economistas estadounidenses sostenían que si la amenaza combinada de un crecimiento débil, desinflación y tasas de interés perpetuamente bajas alguna vez llegaba a materializarse, los responsables de las políticas tendrían las herramientas para hacerle frente.</w:t>
      </w:r>
    </w:p>
    <w:p w:rsidR="0076371D" w:rsidRPr="00EF1450" w:rsidRDefault="0076371D" w:rsidP="0076371D">
      <w:pPr>
        <w:spacing w:line="240" w:lineRule="auto"/>
        <w:jc w:val="both"/>
        <w:rPr>
          <w:rFonts w:ascii="Times New Roman" w:hAnsi="Times New Roman" w:cs="Times New Roman"/>
          <w:sz w:val="24"/>
          <w:szCs w:val="24"/>
          <w:u w:val="single"/>
        </w:rPr>
      </w:pPr>
      <w:r w:rsidRPr="006135C6">
        <w:rPr>
          <w:rFonts w:ascii="Times New Roman" w:hAnsi="Times New Roman" w:cs="Times New Roman"/>
          <w:sz w:val="24"/>
          <w:szCs w:val="24"/>
          <w:u w:val="single"/>
        </w:rPr>
        <w:t>No tenían ningún problema en dar lecciones a los japoneses sobre la necesidad de medidas audaces para sacar a su economía de un atolladero de décadas. La japonización era considerada como la consecuencia evitable de políticas deficient</w:t>
      </w:r>
      <w:r>
        <w:rPr>
          <w:rFonts w:ascii="Times New Roman" w:hAnsi="Times New Roman" w:cs="Times New Roman"/>
          <w:sz w:val="24"/>
          <w:szCs w:val="24"/>
          <w:u w:val="single"/>
        </w:rPr>
        <w:t>es, no como una inevitabilidad.</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6135C6">
        <w:rPr>
          <w:rFonts w:ascii="Times New Roman" w:hAnsi="Times New Roman" w:cs="Times New Roman"/>
          <w:color w:val="FF0000"/>
          <w:sz w:val="24"/>
          <w:szCs w:val="24"/>
          <w:u w:val="single"/>
        </w:rPr>
        <w:lastRenderedPageBreak/>
        <w:t xml:space="preserve">Y, sin embargo, el espectro de este fenómeno ahora se asoma sobre Occidente. Después de la crisis financiera de 2008, las recuperaciones tanto en Europa como en Estados Unidos fueron más aletargadas y menos inclusivas de lo que esperaban la mayoría de los responsables de las políticas económicas, los políticos y los economistas. Y, más recientemente, </w:t>
      </w:r>
      <w:r w:rsidR="004C4747">
        <w:rPr>
          <w:rFonts w:ascii="Times New Roman" w:hAnsi="Times New Roman" w:cs="Times New Roman"/>
          <w:color w:val="FF0000"/>
          <w:sz w:val="24"/>
          <w:szCs w:val="24"/>
          <w:u w:val="single"/>
        </w:rPr>
        <w:t>las esperanzas de alcanzar una “velocidad de escape” para salir de la “</w:t>
      </w:r>
      <w:r w:rsidRPr="006135C6">
        <w:rPr>
          <w:rFonts w:ascii="Times New Roman" w:hAnsi="Times New Roman" w:cs="Times New Roman"/>
          <w:color w:val="FF0000"/>
          <w:sz w:val="24"/>
          <w:szCs w:val="24"/>
          <w:u w:val="single"/>
        </w:rPr>
        <w:t>nueva no</w:t>
      </w:r>
      <w:r w:rsidR="004C4747">
        <w:rPr>
          <w:rFonts w:ascii="Times New Roman" w:hAnsi="Times New Roman" w:cs="Times New Roman"/>
          <w:color w:val="FF0000"/>
          <w:sz w:val="24"/>
          <w:szCs w:val="24"/>
          <w:u w:val="single"/>
        </w:rPr>
        <w:t>rmalidad”</w:t>
      </w:r>
      <w:r w:rsidRPr="006135C6">
        <w:rPr>
          <w:rFonts w:ascii="Times New Roman" w:hAnsi="Times New Roman" w:cs="Times New Roman"/>
          <w:color w:val="FF0000"/>
          <w:sz w:val="24"/>
          <w:szCs w:val="24"/>
          <w:u w:val="single"/>
        </w:rPr>
        <w:t xml:space="preserve"> de crecimiento bajo y presión desinflacionista persistente se han frustrado en Europa y Japón, y algunos temen que puedan estar esfumándose también en Estados Unidos.</w:t>
      </w:r>
    </w:p>
    <w:p w:rsidR="0076371D" w:rsidRPr="003012AA" w:rsidRDefault="0076371D" w:rsidP="0076371D">
      <w:pPr>
        <w:spacing w:line="240" w:lineRule="auto"/>
        <w:jc w:val="both"/>
        <w:rPr>
          <w:rFonts w:ascii="Times New Roman" w:hAnsi="Times New Roman" w:cs="Times New Roman"/>
          <w:sz w:val="24"/>
          <w:szCs w:val="24"/>
        </w:rPr>
      </w:pPr>
      <w:r w:rsidRPr="006135C6">
        <w:rPr>
          <w:rFonts w:ascii="Times New Roman" w:hAnsi="Times New Roman" w:cs="Times New Roman"/>
          <w:color w:val="FF0000"/>
          <w:sz w:val="24"/>
          <w:szCs w:val="24"/>
          <w:u w:val="single"/>
        </w:rPr>
        <w:t>Europa, en particular, está nuevamente asolada por una desaceleración regional preocupante.Las proyecciones de crecimiento han sido consistentemente revisadas a la baja y el Banco Central Europeo ha admitido que su optimismo temprano sobre alcanzar una inflación ajustada a las metas era equivocado</w:t>
      </w:r>
      <w:r w:rsidRPr="003012AA">
        <w:rPr>
          <w:rFonts w:ascii="Times New Roman" w:hAnsi="Times New Roman" w:cs="Times New Roman"/>
          <w:sz w:val="24"/>
          <w:szCs w:val="24"/>
        </w:rPr>
        <w:t>. Los rendimientos de los bonos gubernamentales han caído y el comercio global de títulos a tipos de interés negativos ha alcanzado un volumen aproxi</w:t>
      </w:r>
      <w:r>
        <w:rPr>
          <w:rFonts w:ascii="Times New Roman" w:hAnsi="Times New Roman" w:cs="Times New Roman"/>
          <w:sz w:val="24"/>
          <w:szCs w:val="24"/>
        </w:rPr>
        <w:t>mado de 10 billones de dólares.</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6135C6">
        <w:rPr>
          <w:rFonts w:ascii="Times New Roman" w:hAnsi="Times New Roman" w:cs="Times New Roman"/>
          <w:color w:val="FF0000"/>
          <w:sz w:val="24"/>
          <w:szCs w:val="24"/>
          <w:u w:val="single"/>
        </w:rPr>
        <w:t>Mientras tanto, Japón se está acercando a su cuarta década consecutiva de crecimiento nominal, inflación y tasas de interés consistentemente bajos. Y, en Estados Unidos, cada vez son más los economistas preocupados por una desaceleración inminente. Algunos inclusive instan a la Reserva Federal a recortar las tasas de interés y otros le piden que adopte una meta de inflación más alta para combatir el riesgo de una desinflación excesiva.</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6135C6">
        <w:rPr>
          <w:rFonts w:ascii="Times New Roman" w:hAnsi="Times New Roman" w:cs="Times New Roman"/>
          <w:sz w:val="24"/>
          <w:szCs w:val="24"/>
          <w:u w:val="single"/>
        </w:rPr>
        <w:t xml:space="preserve">¿Todos esos economistas occidentales que desestimaban la amenaza de la japonización en el pasado eran demasiado simplistas? Sí y no. </w:t>
      </w:r>
      <w:r w:rsidRPr="006135C6">
        <w:rPr>
          <w:rFonts w:ascii="Times New Roman" w:hAnsi="Times New Roman" w:cs="Times New Roman"/>
          <w:color w:val="FF0000"/>
          <w:sz w:val="24"/>
          <w:szCs w:val="24"/>
          <w:u w:val="single"/>
        </w:rPr>
        <w:t xml:space="preserve">Los miedos a la japonización </w:t>
      </w:r>
      <w:r w:rsidRPr="006135C6">
        <w:rPr>
          <w:rFonts w:ascii="Times New Roman" w:hAnsi="Times New Roman" w:cs="Times New Roman"/>
          <w:sz w:val="24"/>
          <w:szCs w:val="24"/>
          <w:u w:val="single"/>
        </w:rPr>
        <w:t xml:space="preserve">de hoy surgen de temores legítimos sobre fuerzas desinflacionarias estructurales que puedan causar un crecimiento más bajo y menos inclusivo, tanto directa como indirectamente. Esas fuerzas </w:t>
      </w:r>
      <w:r w:rsidRPr="006135C6">
        <w:rPr>
          <w:rFonts w:ascii="Times New Roman" w:hAnsi="Times New Roman" w:cs="Times New Roman"/>
          <w:color w:val="FF0000"/>
          <w:sz w:val="24"/>
          <w:szCs w:val="24"/>
          <w:u w:val="single"/>
        </w:rPr>
        <w:t>incluyen el envejecimiento demográfico, la creciente desigualdad (en términos de ingresos, riqueza y oportunidad), la inseguridad social y económica en amplios segmentos de la población y una pérdida de confianza en las instituciones y la opinión de los expertos.</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6135C6">
        <w:rPr>
          <w:rFonts w:ascii="Times New Roman" w:hAnsi="Times New Roman" w:cs="Times New Roman"/>
          <w:color w:val="FF0000"/>
          <w:sz w:val="24"/>
          <w:szCs w:val="24"/>
          <w:u w:val="single"/>
        </w:rPr>
        <w:t>Junto con la zombificación de las empresas después de la última burbuja financiera, estos factores estructurales han llevado a una menor demanda, así como a una mayor aversión al riesgo, y no a un reparto del riesgo que promueva el crecimiento. La innovación, particularmente en inteligencia artificial, datos y movilidad, es otro factor.</w:t>
      </w:r>
    </w:p>
    <w:p w:rsidR="0076371D" w:rsidRPr="006135C6" w:rsidRDefault="0076371D" w:rsidP="0076371D">
      <w:pPr>
        <w:spacing w:line="240" w:lineRule="auto"/>
        <w:jc w:val="both"/>
        <w:rPr>
          <w:rFonts w:ascii="Times New Roman" w:hAnsi="Times New Roman" w:cs="Times New Roman"/>
          <w:sz w:val="24"/>
          <w:szCs w:val="24"/>
          <w:u w:val="single"/>
        </w:rPr>
      </w:pPr>
      <w:r w:rsidRPr="006135C6">
        <w:rPr>
          <w:rFonts w:ascii="Times New Roman" w:hAnsi="Times New Roman" w:cs="Times New Roman"/>
          <w:sz w:val="24"/>
          <w:szCs w:val="24"/>
          <w:u w:val="single"/>
        </w:rPr>
        <w:t>Si bien el impacto económico de estas tecnologías es ambiguo</w:t>
      </w:r>
      <w:r w:rsidRPr="003012AA">
        <w:rPr>
          <w:rFonts w:ascii="Times New Roman" w:hAnsi="Times New Roman" w:cs="Times New Roman"/>
          <w:sz w:val="24"/>
          <w:szCs w:val="24"/>
        </w:rPr>
        <w:t xml:space="preserve">, no existe ninguna duda de que están reduciendo las barreras de entrada en una cantidad cada vez mayor de actividades económicas y </w:t>
      </w:r>
      <w:r w:rsidRPr="006135C6">
        <w:rPr>
          <w:rFonts w:ascii="Times New Roman" w:hAnsi="Times New Roman" w:cs="Times New Roman"/>
          <w:sz w:val="24"/>
          <w:szCs w:val="24"/>
          <w:u w:val="single"/>
        </w:rPr>
        <w:t>ejerciendo una presión bajista sobre los precios</w:t>
      </w:r>
      <w:r w:rsidRPr="003012AA">
        <w:rPr>
          <w:rFonts w:ascii="Times New Roman" w:hAnsi="Times New Roman" w:cs="Times New Roman"/>
          <w:sz w:val="24"/>
          <w:szCs w:val="24"/>
        </w:rPr>
        <w:t xml:space="preserve"> (el efecto Amazon), al menos en el corto plazo. De todos modos, </w:t>
      </w:r>
      <w:r w:rsidRPr="006135C6">
        <w:rPr>
          <w:rFonts w:ascii="Times New Roman" w:hAnsi="Times New Roman" w:cs="Times New Roman"/>
          <w:sz w:val="24"/>
          <w:szCs w:val="24"/>
          <w:u w:val="single"/>
        </w:rPr>
        <w:t>sus efectos de largo plazo en el crecimiento y la productividad todavía están por verse.</w:t>
      </w:r>
    </w:p>
    <w:p w:rsidR="0076371D" w:rsidRPr="003012AA" w:rsidRDefault="0076371D" w:rsidP="0076371D">
      <w:pPr>
        <w:spacing w:line="240" w:lineRule="auto"/>
        <w:jc w:val="both"/>
        <w:rPr>
          <w:rFonts w:ascii="Times New Roman" w:hAnsi="Times New Roman" w:cs="Times New Roman"/>
          <w:sz w:val="24"/>
          <w:szCs w:val="24"/>
        </w:rPr>
      </w:pPr>
      <w:r w:rsidRPr="006135C6">
        <w:rPr>
          <w:rFonts w:ascii="Times New Roman" w:hAnsi="Times New Roman" w:cs="Times New Roman"/>
          <w:color w:val="FF0000"/>
          <w:sz w:val="24"/>
          <w:szCs w:val="24"/>
          <w:u w:val="single"/>
        </w:rPr>
        <w:t>El crecimiento se ve debilitado de maneras menos directas</w:t>
      </w:r>
      <w:r w:rsidRPr="003012AA">
        <w:rPr>
          <w:rFonts w:ascii="Times New Roman" w:hAnsi="Times New Roman" w:cs="Times New Roman"/>
          <w:sz w:val="24"/>
          <w:szCs w:val="24"/>
        </w:rPr>
        <w:t xml:space="preserve">. Por ejemplo, </w:t>
      </w:r>
      <w:r w:rsidRPr="006135C6">
        <w:rPr>
          <w:rFonts w:ascii="Times New Roman" w:hAnsi="Times New Roman" w:cs="Times New Roman"/>
          <w:sz w:val="24"/>
          <w:szCs w:val="24"/>
          <w:u w:val="single"/>
        </w:rPr>
        <w:t>los tipos de interés persistentemente bajos -y en algunos casos negativos- tienden a afectar la integridad institucional y la efectividad operativa del sistema financiero</w:t>
      </w:r>
      <w:r w:rsidRPr="003012AA">
        <w:rPr>
          <w:rFonts w:ascii="Times New Roman" w:hAnsi="Times New Roman" w:cs="Times New Roman"/>
          <w:sz w:val="24"/>
          <w:szCs w:val="24"/>
        </w:rPr>
        <w:t>, reduciendo así el crédito bancario y limitando el rango de productos de largo plazo que las empresas de seguro/retir</w:t>
      </w:r>
      <w:r>
        <w:rPr>
          <w:rFonts w:ascii="Times New Roman" w:hAnsi="Times New Roman" w:cs="Times New Roman"/>
          <w:sz w:val="24"/>
          <w:szCs w:val="24"/>
        </w:rPr>
        <w:t>o pueden ofrecer a los hogares.</w:t>
      </w:r>
    </w:p>
    <w:p w:rsidR="0076371D" w:rsidRPr="006135C6" w:rsidRDefault="0076371D" w:rsidP="0076371D">
      <w:pPr>
        <w:spacing w:line="240" w:lineRule="auto"/>
        <w:jc w:val="both"/>
        <w:rPr>
          <w:rFonts w:ascii="Times New Roman" w:hAnsi="Times New Roman" w:cs="Times New Roman"/>
          <w:sz w:val="24"/>
          <w:szCs w:val="24"/>
          <w:u w:val="single"/>
        </w:rPr>
      </w:pPr>
      <w:r w:rsidRPr="006135C6">
        <w:rPr>
          <w:rFonts w:ascii="Times New Roman" w:hAnsi="Times New Roman" w:cs="Times New Roman"/>
          <w:sz w:val="24"/>
          <w:szCs w:val="24"/>
          <w:u w:val="single"/>
        </w:rPr>
        <w:t>Otro efecto indirecto surge de las expectativas sobre el futuro. Cuanto más tiempo se mantengan bajos el crecimiento y la inflación, más tentados se sentirán los hogares y las empresas a posponer las decisiones en materia de consumo e inversión, prolongando así el bajo crecimiento y la baja inflación</w:t>
      </w:r>
      <w:r w:rsidRPr="003012AA">
        <w:rPr>
          <w:rFonts w:ascii="Times New Roman" w:hAnsi="Times New Roman" w:cs="Times New Roman"/>
          <w:sz w:val="24"/>
          <w:szCs w:val="24"/>
        </w:rPr>
        <w:t xml:space="preserve">. Los economistas occidentales que inicialmente </w:t>
      </w:r>
      <w:r w:rsidRPr="006135C6">
        <w:rPr>
          <w:rFonts w:ascii="Times New Roman" w:hAnsi="Times New Roman" w:cs="Times New Roman"/>
          <w:sz w:val="24"/>
          <w:szCs w:val="24"/>
          <w:u w:val="single"/>
        </w:rPr>
        <w:t>subestimaron la amenaza de la japonización</w:t>
      </w:r>
      <w:r w:rsidRPr="003012AA">
        <w:rPr>
          <w:rFonts w:ascii="Times New Roman" w:hAnsi="Times New Roman" w:cs="Times New Roman"/>
          <w:sz w:val="24"/>
          <w:szCs w:val="24"/>
        </w:rPr>
        <w:t xml:space="preserve"> lo hicieron porque habían minimizado o simplemente ignorado estos factores directos e indirectos. </w:t>
      </w:r>
      <w:r w:rsidRPr="006135C6">
        <w:rPr>
          <w:rFonts w:ascii="Times New Roman" w:hAnsi="Times New Roman" w:cs="Times New Roman"/>
          <w:sz w:val="24"/>
          <w:szCs w:val="24"/>
          <w:u w:val="single"/>
        </w:rPr>
        <w:t xml:space="preserve">En retrospectiva, no les debería </w:t>
      </w:r>
      <w:r w:rsidRPr="006135C6">
        <w:rPr>
          <w:rFonts w:ascii="Times New Roman" w:hAnsi="Times New Roman" w:cs="Times New Roman"/>
          <w:sz w:val="24"/>
          <w:szCs w:val="24"/>
          <w:u w:val="single"/>
        </w:rPr>
        <w:lastRenderedPageBreak/>
        <w:t>sorprender descubrir que las sociedades con las poblaciones que envejecen más rápido y con una inmigración menor son las que hoy lidian con este problema.</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3012AA">
        <w:rPr>
          <w:rFonts w:ascii="Times New Roman" w:hAnsi="Times New Roman" w:cs="Times New Roman"/>
          <w:sz w:val="24"/>
          <w:szCs w:val="24"/>
        </w:rPr>
        <w:t xml:space="preserve">Aun así, esos economistas no se equivocaron al decir que las políticas pueden jugar un papel decisivo en los resultados macroeconómicos -especialmente cuando las fuerzas estructurales se ven amplificadas por un excesivo ajuste cíclico, como fue el caso en Japón en 1989-. El problema es que han tendido a centrarse demasiado en la política monetaria, sobreestimando al mismo tiempo su efectividad. </w:t>
      </w:r>
      <w:r w:rsidRPr="006135C6">
        <w:rPr>
          <w:rFonts w:ascii="Times New Roman" w:hAnsi="Times New Roman" w:cs="Times New Roman"/>
          <w:color w:val="FF0000"/>
          <w:sz w:val="24"/>
          <w:szCs w:val="24"/>
          <w:u w:val="single"/>
        </w:rPr>
        <w:t>Los países en riesgo de una japonización necesitan una combinación más amplia de políticas para abordar tanto el lado de la demanda como el lado de la oferta de la economía.</w:t>
      </w:r>
    </w:p>
    <w:p w:rsidR="0076371D" w:rsidRPr="006135C6" w:rsidRDefault="0076371D" w:rsidP="0076371D">
      <w:pPr>
        <w:spacing w:line="240" w:lineRule="auto"/>
        <w:jc w:val="both"/>
        <w:rPr>
          <w:rFonts w:ascii="Times New Roman" w:hAnsi="Times New Roman" w:cs="Times New Roman"/>
          <w:b/>
          <w:color w:val="FF0000"/>
          <w:sz w:val="24"/>
          <w:szCs w:val="24"/>
          <w:u w:val="single"/>
        </w:rPr>
      </w:pPr>
      <w:r w:rsidRPr="006135C6">
        <w:rPr>
          <w:rFonts w:ascii="Times New Roman" w:hAnsi="Times New Roman" w:cs="Times New Roman"/>
          <w:b/>
          <w:color w:val="FF0000"/>
          <w:sz w:val="24"/>
          <w:szCs w:val="24"/>
          <w:u w:val="single"/>
        </w:rPr>
        <w:t>La política monetaria, después de tod</w:t>
      </w:r>
      <w:r w:rsidR="004C4747">
        <w:rPr>
          <w:rFonts w:ascii="Times New Roman" w:hAnsi="Times New Roman" w:cs="Times New Roman"/>
          <w:b/>
          <w:color w:val="FF0000"/>
          <w:sz w:val="24"/>
          <w:szCs w:val="24"/>
          <w:u w:val="single"/>
        </w:rPr>
        <w:t>o, es menos efectiva cerca del “límite cero”</w:t>
      </w:r>
      <w:r w:rsidRPr="006135C6">
        <w:rPr>
          <w:rFonts w:ascii="Times New Roman" w:hAnsi="Times New Roman" w:cs="Times New Roman"/>
          <w:b/>
          <w:color w:val="FF0000"/>
          <w:sz w:val="24"/>
          <w:szCs w:val="24"/>
          <w:u w:val="single"/>
        </w:rPr>
        <w:t xml:space="preserve"> y en escenar</w:t>
      </w:r>
      <w:r w:rsidR="004C4747">
        <w:rPr>
          <w:rFonts w:ascii="Times New Roman" w:hAnsi="Times New Roman" w:cs="Times New Roman"/>
          <w:b/>
          <w:color w:val="FF0000"/>
          <w:sz w:val="24"/>
          <w:szCs w:val="24"/>
          <w:u w:val="single"/>
        </w:rPr>
        <w:t>ios donde otros factores de la “trampa de liquidez”</w:t>
      </w:r>
      <w:r w:rsidRPr="006135C6">
        <w:rPr>
          <w:rFonts w:ascii="Times New Roman" w:hAnsi="Times New Roman" w:cs="Times New Roman"/>
          <w:b/>
          <w:color w:val="FF0000"/>
          <w:sz w:val="24"/>
          <w:szCs w:val="24"/>
          <w:u w:val="single"/>
        </w:rPr>
        <w:t xml:space="preserve"> están en juego. Las operaciones de uso los recursos de los bancos centrales en gran escala como el alivio cuantitativo (QE por su sigla en inglés) pueden permitir ganar tiempo al intentar inyectar más liquidez directamente en el sistema. Pero no abordan las cuestiones subyacentes, y vienen de la mano de sus propios costes, formas de daño colateral y consecuencias no buscadas.</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6135C6">
        <w:rPr>
          <w:rFonts w:ascii="Times New Roman" w:hAnsi="Times New Roman" w:cs="Times New Roman"/>
          <w:color w:val="FF0000"/>
          <w:sz w:val="24"/>
          <w:szCs w:val="24"/>
          <w:u w:val="single"/>
        </w:rPr>
        <w:t>La mayor protección contra la japonización, entonces, es una combinación de medidas del lado de la demanda y de la oferta a nivel nacional, regional (en el caso de Europa) y global. En países con un espacio fiscal adecuado, esto podría implicar presupuestos gubernamentales más flexibles y más inversiones que mejoren la productividad (como en infraestructura, educación y formación). Y en un país que enfrenta una escasez de trabajadores capacitados, una mayor migración legal y mejores políticas para facilitar la movilidad laboral pueden ayudar a achicar la brecha.</w:t>
      </w:r>
    </w:p>
    <w:p w:rsidR="0076371D" w:rsidRPr="006135C6" w:rsidRDefault="0076371D" w:rsidP="0076371D">
      <w:pPr>
        <w:spacing w:line="240" w:lineRule="auto"/>
        <w:jc w:val="both"/>
        <w:rPr>
          <w:rFonts w:ascii="Times New Roman" w:hAnsi="Times New Roman" w:cs="Times New Roman"/>
          <w:color w:val="FF0000"/>
          <w:sz w:val="24"/>
          <w:szCs w:val="24"/>
          <w:u w:val="single"/>
        </w:rPr>
      </w:pPr>
      <w:r w:rsidRPr="006135C6">
        <w:rPr>
          <w:rFonts w:ascii="Times New Roman" w:hAnsi="Times New Roman" w:cs="Times New Roman"/>
          <w:color w:val="FF0000"/>
          <w:sz w:val="24"/>
          <w:szCs w:val="24"/>
          <w:u w:val="single"/>
        </w:rPr>
        <w:t>Es más, estas políticas tendrían que estar acompañadas por protecciones más efectivas para los segmentos más vulnerables de la población, particularmente en lo que concierne a la salud, la formación y el recualificación laboral. Nada de esto se concretará sin un mejor liderazgo político e interacciones políticas globales más claras.</w:t>
      </w:r>
    </w:p>
    <w:p w:rsidR="0076371D" w:rsidRPr="006135C6" w:rsidRDefault="0076371D" w:rsidP="0076371D">
      <w:pPr>
        <w:spacing w:line="240" w:lineRule="auto"/>
        <w:jc w:val="both"/>
        <w:rPr>
          <w:rFonts w:ascii="Times New Roman" w:hAnsi="Times New Roman" w:cs="Times New Roman"/>
          <w:b/>
          <w:color w:val="FF0000"/>
          <w:sz w:val="24"/>
          <w:szCs w:val="24"/>
          <w:u w:val="single"/>
        </w:rPr>
      </w:pPr>
      <w:r w:rsidRPr="006135C6">
        <w:rPr>
          <w:rFonts w:ascii="Times New Roman" w:hAnsi="Times New Roman" w:cs="Times New Roman"/>
          <w:b/>
          <w:color w:val="FF0000"/>
          <w:sz w:val="24"/>
          <w:szCs w:val="24"/>
          <w:u w:val="single"/>
        </w:rPr>
        <w:t>La japonización ofrece tres lecciones que los responsables de las políticas económicas y los políticos occidentales todavía tienen que asumir. Primero, las presiones estructurales que actúan prontamente para revertir el crecimiento bajo, la desinflación y las tasas de interés anuladas son las más críticas. Segundo, pueden hacer falta medidas monetarias no convencionales, pero por cierto no son suficientes. Y, tercero, al diseñar la respuesta política integral requerida, debemos reconocer que los obstáculos son mucho menos técnicos y mucho más políticos.</w:t>
      </w:r>
    </w:p>
    <w:p w:rsidR="0076371D" w:rsidRPr="00C350DC" w:rsidRDefault="0076371D" w:rsidP="0076371D">
      <w:pPr>
        <w:pStyle w:val="NormalWeb"/>
        <w:spacing w:after="0"/>
        <w:jc w:val="both"/>
        <w:textAlignment w:val="baseline"/>
        <w:rPr>
          <w:color w:val="FF0000"/>
        </w:rPr>
      </w:pPr>
      <w:r w:rsidRPr="00752556">
        <w:rPr>
          <w:color w:val="000000"/>
        </w:rPr>
        <w:t xml:space="preserve">- </w:t>
      </w:r>
      <w:r w:rsidRPr="00752556">
        <w:rPr>
          <w:color w:val="000000"/>
          <w:u w:val="single"/>
        </w:rPr>
        <w:t>Cada vez más riesgo de recesión y crisis en 2020</w:t>
      </w:r>
      <w:r>
        <w:rPr>
          <w:color w:val="000000"/>
        </w:rPr>
        <w:t xml:space="preserve"> (Project Syndicate - </w:t>
      </w:r>
      <w:r w:rsidRPr="00752556">
        <w:rPr>
          <w:b/>
          <w:color w:val="000000"/>
        </w:rPr>
        <w:t>14/6/19</w:t>
      </w:r>
      <w:r>
        <w:rPr>
          <w:color w:val="000000"/>
        </w:rPr>
        <w:t xml:space="preserve">) </w:t>
      </w:r>
    </w:p>
    <w:p w:rsidR="0076371D" w:rsidRPr="008E162F" w:rsidRDefault="00616CD1" w:rsidP="0076371D">
      <w:pPr>
        <w:pStyle w:val="NormalWeb"/>
        <w:spacing w:after="0"/>
        <w:jc w:val="both"/>
        <w:textAlignment w:val="baseline"/>
        <w:rPr>
          <w:color w:val="FF0000"/>
          <w:u w:val="single"/>
        </w:rPr>
      </w:pPr>
      <w:r>
        <w:rPr>
          <w:color w:val="000000"/>
        </w:rPr>
        <w:t>Nueva York.-</w:t>
      </w:r>
      <w:r w:rsidR="0076371D" w:rsidRPr="008E162F">
        <w:rPr>
          <w:color w:val="FF0000"/>
          <w:u w:val="single"/>
        </w:rPr>
        <w:t>El año pasado, con mi colega Brunello Rosa identificamos diez factores de riesgo capaces de provocar una recesión en Estados Unidos y todo el mundo en 2020. Nueve de ellos todavía están en juego.</w:t>
      </w:r>
    </w:p>
    <w:p w:rsidR="0076371D" w:rsidRPr="00752556" w:rsidRDefault="0076371D" w:rsidP="0076371D">
      <w:pPr>
        <w:pStyle w:val="NormalWeb"/>
        <w:spacing w:after="0"/>
        <w:jc w:val="both"/>
        <w:textAlignment w:val="baseline"/>
        <w:rPr>
          <w:color w:val="000000"/>
        </w:rPr>
      </w:pPr>
      <w:r w:rsidRPr="00752556">
        <w:rPr>
          <w:color w:val="000000"/>
        </w:rPr>
        <w:t xml:space="preserve">Muchos tienen que ver con Estados Unidos. Las guerras comerciales con China y otros países, sumadas a restricciones a la inmigración, a la inversión extranjera directa y a la transferencia tecnológica, pueden tener profundas repercusiones sobre las cadenas globales de suministro, con amenaza de estanflación (desaceleración del crecimiento a la par de un </w:t>
      </w:r>
      <w:r w:rsidRPr="00752556">
        <w:rPr>
          <w:color w:val="000000"/>
        </w:rPr>
        <w:lastRenderedPageBreak/>
        <w:t>aumento de la inflación). Y el riesgo de un menor crecimiento en Estados Unidos se ha vuelto mayor, ahora que el estímulo de la rebaja impositiva de 2017 ya se agotó.</w:t>
      </w:r>
    </w:p>
    <w:p w:rsidR="0076371D" w:rsidRPr="00752556" w:rsidRDefault="0076371D" w:rsidP="0076371D">
      <w:pPr>
        <w:pStyle w:val="NormalWeb"/>
        <w:spacing w:after="0"/>
        <w:jc w:val="both"/>
        <w:textAlignment w:val="baseline"/>
        <w:rPr>
          <w:color w:val="000000"/>
        </w:rPr>
      </w:pPr>
      <w:r w:rsidRPr="00752556">
        <w:rPr>
          <w:color w:val="000000"/>
        </w:rPr>
        <w:t>En tanto, después de la publicación de aquel artículo, los mercados de acciones estadounidenses se han mantenido en un estado de efervescencia. A esto se suman riesgos relacionados con la aparición de nuevas formas de deuda (lo que incluye a muchos mercados emergentes, que tienen buena parte de sus deudas en moneda extranjera). Como la capacidad de los bancos centrales para actuar como prestamistas de última instancia está cada vez más limitada, la iliquidez de los mercados financieros los hace vulnerables a derrumbes repentinos y otras disrupciones: una sería que el presidente estadounidense Donald Trump ceda a la tentación de crear una crisis de política exterior (una “cortina de humo”) con algún país, por ejemplo Irán. Aunque eso tal vez refuerce sus índices de aprobación locales, también puede provocar una crisis petrolera.</w:t>
      </w:r>
    </w:p>
    <w:p w:rsidR="0076371D" w:rsidRPr="008E162F" w:rsidRDefault="0076371D" w:rsidP="0076371D">
      <w:pPr>
        <w:pStyle w:val="NormalWeb"/>
        <w:spacing w:after="0"/>
        <w:jc w:val="both"/>
        <w:textAlignment w:val="baseline"/>
        <w:rPr>
          <w:color w:val="FF0000"/>
          <w:u w:val="single"/>
        </w:rPr>
      </w:pPr>
      <w:r w:rsidRPr="008E162F">
        <w:rPr>
          <w:color w:val="FF0000"/>
          <w:u w:val="single"/>
        </w:rPr>
        <w:t>Fuera de los Estados Unidos, la fragilidad del crecimiento en la muy endeudada China y en otros mercados emergentes sigue siendo preocupante, lo mismo que los riesgos económicos, gubernamentales, financieros y políticos en Europa. Para peor, en todas las economías avanzadas, las herramientas de las autoridades para responder a una crisis siguen siendo limitadas. Las intervenciones monetarias y fiscales y las medidas de respaldo al sector privado que se usaron después de la crisis financiera de 2008 ya no pueden usarse con la misma eficacia hoy.</w:t>
      </w:r>
    </w:p>
    <w:p w:rsidR="0076371D" w:rsidRPr="00752556" w:rsidRDefault="0076371D" w:rsidP="0076371D">
      <w:pPr>
        <w:pStyle w:val="NormalWeb"/>
        <w:spacing w:after="0"/>
        <w:jc w:val="both"/>
        <w:textAlignment w:val="baseline"/>
        <w:rPr>
          <w:color w:val="000000"/>
        </w:rPr>
      </w:pPr>
      <w:r w:rsidRPr="00752556">
        <w:rPr>
          <w:color w:val="000000"/>
        </w:rPr>
        <w:t>El décimo factor que analizamos fue la política de tipos de interés de la Reserva Federal de los Estados Unidos. Tras subir la tasa en respuesta al estímulo fiscal procíclico de la administración Trump, en enero la Fed dio marcha atrás. A futuro, lo más probable es que la Fed y otros grandes bancos centrales deban reducir las tasas para manejar diversas perturbaciones a la economía global.</w:t>
      </w:r>
    </w:p>
    <w:p w:rsidR="0076371D" w:rsidRPr="008E162F" w:rsidRDefault="0076371D" w:rsidP="0076371D">
      <w:pPr>
        <w:pStyle w:val="NormalWeb"/>
        <w:spacing w:after="0"/>
        <w:jc w:val="both"/>
        <w:textAlignment w:val="baseline"/>
        <w:rPr>
          <w:color w:val="000000"/>
          <w:u w:val="single"/>
        </w:rPr>
      </w:pPr>
      <w:r w:rsidRPr="008E162F">
        <w:rPr>
          <w:color w:val="000000"/>
          <w:u w:val="single"/>
        </w:rPr>
        <w:t>Si bien las guerras comerciales y la posibilidad de picos de precio del petróleo constituyen un riesgo del lado de la oferta, también son una amenaza para la demanda agregada y, por tanto, para el crecimiento del consumo, porque los aranceles y el encarecimiento de los combustibles reducen el ingreso disponible. Con tanta incertidumbre, es probable que las empresas opten por reducir el gasto en capital y la inversión.</w:t>
      </w:r>
    </w:p>
    <w:p w:rsidR="0076371D" w:rsidRPr="008E162F" w:rsidRDefault="0076371D" w:rsidP="0076371D">
      <w:pPr>
        <w:pStyle w:val="NormalWeb"/>
        <w:spacing w:after="0"/>
        <w:jc w:val="both"/>
        <w:textAlignment w:val="baseline"/>
        <w:rPr>
          <w:color w:val="000000"/>
        </w:rPr>
      </w:pPr>
      <w:r w:rsidRPr="008E162F">
        <w:rPr>
          <w:color w:val="000000"/>
        </w:rPr>
        <w:t xml:space="preserve">En estas condiciones, una perturbación suficientemente grave puede provocar una recesión global, incluso si los bancos centrales responden rápidamente. </w:t>
      </w:r>
      <w:r w:rsidRPr="008E162F">
        <w:rPr>
          <w:color w:val="FF0000"/>
          <w:u w:val="single"/>
        </w:rPr>
        <w:t>Al fin y al cabo, pese a la respuesta decidida que dieron en 2007</w:t>
      </w:r>
      <w:r w:rsidRPr="008E162F">
        <w:rPr>
          <w:rFonts w:eastAsia="MS Gothic" w:hAnsi="MS Gothic"/>
          <w:color w:val="FF0000"/>
          <w:u w:val="single"/>
        </w:rPr>
        <w:t>‑</w:t>
      </w:r>
      <w:r w:rsidRPr="008E162F">
        <w:rPr>
          <w:color w:val="FF0000"/>
          <w:u w:val="single"/>
        </w:rPr>
        <w:t xml:space="preserve">2009 la Fed y otros bancos centrales a las perturbaciones que iniciaron la crisis financiera global, no consiguieron evitar la “Gran Recesión”. </w:t>
      </w:r>
      <w:r w:rsidRPr="008E162F">
        <w:rPr>
          <w:color w:val="000000"/>
        </w:rPr>
        <w:t>Hoy la Fed parte de una tasa de referencia situada en 2,25</w:t>
      </w:r>
      <w:r w:rsidRPr="008E162F">
        <w:rPr>
          <w:rFonts w:eastAsia="MS Gothic" w:hAnsi="MS Gothic"/>
          <w:color w:val="000000"/>
        </w:rPr>
        <w:t>‑</w:t>
      </w:r>
      <w:r w:rsidRPr="008E162F">
        <w:rPr>
          <w:color w:val="000000"/>
        </w:rPr>
        <w:t>2,5%, contra 5,25% en septiembre de 2007. En Europa y Japón, los bancos centrales ya están en territorio de tipos de interés negativos, y su capacidad de reducir las tasas todavía más se verá limitada. Y como los bancos centrales tienen sus balances inflados por sucesivas rondas de flexibilización cuantitativa (FC), enfrentarían restricciones similares si tuvieran que volver a implementar compras de activos a gran escala.</w:t>
      </w:r>
    </w:p>
    <w:p w:rsidR="0076371D" w:rsidRPr="00752556" w:rsidRDefault="0076371D" w:rsidP="0076371D">
      <w:pPr>
        <w:pStyle w:val="NormalWeb"/>
        <w:spacing w:after="0"/>
        <w:jc w:val="both"/>
        <w:textAlignment w:val="baseline"/>
        <w:rPr>
          <w:color w:val="000000"/>
        </w:rPr>
      </w:pPr>
      <w:r w:rsidRPr="00752556">
        <w:rPr>
          <w:color w:val="000000"/>
        </w:rPr>
        <w:t>Por el lado fiscal, la mayoría de las economías avanzadas tienen más déficit y deuda pública hoy que antes de la crisis financiera global, lo que deja poco margen para un estímulo. Y como sostuvimos Rosa y yo el año pasado, “en países con movimientos populistas resurgentes y gobiernos casi insolventes no habrá tolerancia a rescates del sector financiero”.</w:t>
      </w:r>
    </w:p>
    <w:p w:rsidR="0076371D" w:rsidRPr="00752556" w:rsidRDefault="0076371D" w:rsidP="0076371D">
      <w:pPr>
        <w:pStyle w:val="NormalWeb"/>
        <w:spacing w:after="0"/>
        <w:jc w:val="both"/>
        <w:textAlignment w:val="baseline"/>
        <w:rPr>
          <w:color w:val="000000"/>
        </w:rPr>
      </w:pPr>
      <w:r w:rsidRPr="00752556">
        <w:rPr>
          <w:color w:val="000000"/>
        </w:rPr>
        <w:lastRenderedPageBreak/>
        <w:t>Entre los factores que pueden provocar una recesión en 2020, la guerra comercial y tecnológica sinoestadounidense merece especial atención. El conflicto puede intensificarse de varias maneras. Una sería que la administración Trump decida extender los aranceles a los 300 000 millones de dólares de exportaciones chinas que todavía no están alcanzadas. O que la prohibición a Huawei y otras empresas chinas de usar componentes estadounidenses inicie un proceso de desglobalización a gran escala, conforme las empresas se apresuren a proteger sus cadenas de suministro. En tal caso, China tendría varias opciones para tomar represalias contra Estados Unidos, por ejemplo cerrar su mercado a multinacionales estadounidenses como Apple.</w:t>
      </w:r>
    </w:p>
    <w:p w:rsidR="0076371D" w:rsidRPr="00752556" w:rsidRDefault="0076371D" w:rsidP="0076371D">
      <w:pPr>
        <w:pStyle w:val="NormalWeb"/>
        <w:spacing w:after="0"/>
        <w:jc w:val="both"/>
        <w:textAlignment w:val="baseline"/>
        <w:rPr>
          <w:color w:val="000000"/>
        </w:rPr>
      </w:pPr>
      <w:r w:rsidRPr="00752556">
        <w:rPr>
          <w:color w:val="000000"/>
        </w:rPr>
        <w:t>En este escenario, la sacudida a los mercados de todo el mundo bastaría para generar una crisis global, independientemente de lo que hagan los grandes bancos centrales. Las tensiones actuales ya afectan la confianza de empresas, consumidores e inversores y frenan el crecimiento global; su agravamiento empujaría al mundo a una recesión. Y en vista de la magnitud del endeudamiento público y privado, el resultado más probable sería otra crisis financiera.</w:t>
      </w:r>
    </w:p>
    <w:p w:rsidR="0076371D" w:rsidRPr="007C6876" w:rsidRDefault="0076371D" w:rsidP="0076371D">
      <w:pPr>
        <w:pStyle w:val="NormalWeb"/>
        <w:spacing w:after="0"/>
        <w:jc w:val="both"/>
        <w:textAlignment w:val="baseline"/>
        <w:rPr>
          <w:color w:val="000000"/>
          <w:u w:val="single"/>
        </w:rPr>
      </w:pPr>
      <w:r w:rsidRPr="007C6876">
        <w:rPr>
          <w:color w:val="000000"/>
          <w:u w:val="single"/>
        </w:rPr>
        <w:t>Trump y el presidente chino Xi Jinping saben que lo mejor para sus respectivos países es evitar una crisis global, así que tienen un incentivo para hallar una solución en los próximos meses. Pero los dos lados siguen intensificando la retórica nacionalista y aplicándose recíprocamente medidas de represalia. Trump y Xi parecen creer que la seguridad nacional y económica de sus países a largo plazo depende de enfrentar sin pestañear la perspectiva de una nueva guerra fría. Y si cada uno está convencido de que la otra parte se rendirá antes, el riesgo de un choque desastroso es realmente alto.</w:t>
      </w:r>
    </w:p>
    <w:p w:rsidR="0076371D" w:rsidRPr="007C6876" w:rsidRDefault="0076371D" w:rsidP="0076371D">
      <w:pPr>
        <w:pStyle w:val="NormalWeb"/>
        <w:spacing w:after="0"/>
        <w:jc w:val="both"/>
        <w:textAlignment w:val="baseline"/>
        <w:rPr>
          <w:color w:val="000000"/>
          <w:u w:val="single"/>
        </w:rPr>
      </w:pPr>
      <w:r w:rsidRPr="00752556">
        <w:rPr>
          <w:color w:val="000000"/>
        </w:rPr>
        <w:t xml:space="preserve">Es posible que Trump y Xi se reúnan durante la cumbre del G20 que tendrá lugar el 28 y 29 de junio en Osaka. Pero incluso si aceptan reiniciar negociaciones, todavía se estaría lejos de un acuerdo integral que resuelva sus muchas diferencias. </w:t>
      </w:r>
      <w:r w:rsidRPr="007C6876">
        <w:rPr>
          <w:color w:val="000000"/>
          <w:u w:val="single"/>
        </w:rPr>
        <w:t>Mientras ambas partes se alejan cada vez más, el margen para una solución negociada se achica, y crece el riesgo de una recesión y crisis global en una economía mundial que ya está frágil.</w:t>
      </w:r>
    </w:p>
    <w:p w:rsidR="0076371D" w:rsidRDefault="0076371D" w:rsidP="0076371D">
      <w:pPr>
        <w:pStyle w:val="NormalWeb"/>
        <w:spacing w:before="0" w:beforeAutospacing="0" w:after="0" w:afterAutospacing="0"/>
        <w:jc w:val="both"/>
        <w:textAlignment w:val="baseline"/>
        <w:rPr>
          <w:color w:val="000000"/>
          <w:lang w:val="en-US"/>
        </w:rPr>
      </w:pPr>
      <w:r>
        <w:rPr>
          <w:color w:val="000000"/>
          <w:lang w:val="en-US"/>
        </w:rPr>
        <w:t>(</w:t>
      </w:r>
      <w:r w:rsidRPr="00752556">
        <w:rPr>
          <w:color w:val="000000"/>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color w:val="000000"/>
          <w:lang w:val="en-US"/>
        </w:rPr>
        <w:t>ral Reserve, and the World Bank)</w:t>
      </w:r>
    </w:p>
    <w:p w:rsidR="003974FC" w:rsidRPr="00953CB7" w:rsidRDefault="003974FC" w:rsidP="003974FC">
      <w:pPr>
        <w:pStyle w:val="NormalWeb"/>
        <w:shd w:val="clear" w:color="auto" w:fill="FFFFFF"/>
        <w:spacing w:after="0"/>
        <w:jc w:val="both"/>
        <w:textAlignment w:val="baseline"/>
        <w:rPr>
          <w:color w:val="FF0000"/>
        </w:rPr>
      </w:pPr>
      <w:r>
        <w:t xml:space="preserve">- </w:t>
      </w:r>
      <w:r w:rsidRPr="00015F8A">
        <w:rPr>
          <w:u w:val="single"/>
        </w:rPr>
        <w:t>La anatomía de la recesión que viene</w:t>
      </w:r>
      <w:r>
        <w:t xml:space="preserve"> (Project Syndicate - </w:t>
      </w:r>
      <w:r w:rsidRPr="00015F8A">
        <w:rPr>
          <w:b/>
        </w:rPr>
        <w:t>20/8/19</w:t>
      </w:r>
      <w:r>
        <w:t xml:space="preserve">) </w:t>
      </w:r>
    </w:p>
    <w:p w:rsidR="003974FC" w:rsidRPr="00135B87" w:rsidRDefault="00616CD1" w:rsidP="003974FC">
      <w:pPr>
        <w:pStyle w:val="NormalWeb"/>
        <w:shd w:val="clear" w:color="auto" w:fill="FFFFFF"/>
        <w:spacing w:after="0"/>
        <w:jc w:val="both"/>
        <w:textAlignment w:val="baseline"/>
        <w:rPr>
          <w:color w:val="FF0000"/>
          <w:u w:val="single"/>
        </w:rPr>
      </w:pPr>
      <w:r>
        <w:t>Nueva York.-</w:t>
      </w:r>
      <w:r w:rsidR="003974FC" w:rsidRPr="00135B87">
        <w:rPr>
          <w:b/>
          <w:color w:val="FF0000"/>
          <w:u w:val="single"/>
        </w:rPr>
        <w:t>Hay tres posibles shocks de oferta negativos capaces de provocar una recesión global en 2020</w:t>
      </w:r>
      <w:r w:rsidR="003974FC">
        <w:t xml:space="preserve">. </w:t>
      </w:r>
      <w:r w:rsidR="003974FC" w:rsidRPr="00135B87">
        <w:rPr>
          <w:color w:val="FF0000"/>
          <w:u w:val="single"/>
        </w:rPr>
        <w:t>Todos ellos son reflejo de factores políticos que afectan las relaciones internacionales; dos involucran a China, y Estados Unidos está en el centro de cada uno de ellos. Además, ninguno admite tratamiento con las herramientas tradicionales de la política macroeconómica anticíclica.</w:t>
      </w:r>
    </w:p>
    <w:p w:rsidR="003974FC" w:rsidRDefault="003974FC" w:rsidP="003974FC">
      <w:pPr>
        <w:pStyle w:val="NormalWeb"/>
        <w:shd w:val="clear" w:color="auto" w:fill="FFFFFF"/>
        <w:spacing w:after="0"/>
        <w:jc w:val="both"/>
        <w:textAlignment w:val="baseline"/>
      </w:pPr>
      <w:r w:rsidRPr="00135B87">
        <w:rPr>
          <w:b/>
          <w:color w:val="FF0000"/>
          <w:u w:val="single"/>
        </w:rPr>
        <w:t>El primer shock potencial deriva de la guerra comercial y de monedas entre Estados Unidos y China, que a principios de este mes se agravó cuando el gobierno del presidente estadounidense Donald Trump amenazó con imponer más aranceles a las exportaciones chinas y designó formalmente a China como manipulador cambiario</w:t>
      </w:r>
      <w:r>
        <w:t xml:space="preserve">. </w:t>
      </w:r>
      <w:r w:rsidRPr="00135B87">
        <w:rPr>
          <w:b/>
          <w:color w:val="FF0000"/>
          <w:u w:val="single"/>
        </w:rPr>
        <w:t xml:space="preserve">El segundo tiene que ver con la guerra fría que se está gestando lentamente entre Estados Unidos y China en torno de la tecnología. En una rivalidad con todas las señas de una </w:t>
      </w:r>
      <w:r w:rsidRPr="00135B87">
        <w:rPr>
          <w:b/>
          <w:color w:val="FF0000"/>
          <w:u w:val="single"/>
        </w:rPr>
        <w:lastRenderedPageBreak/>
        <w:t>“trampa de Tucídides”, China y Estados Unidos compiten por el dominio de las industrias del futuro: la inteligencia artificial (IA), la robótica, el 5G, etcétera</w:t>
      </w:r>
      <w:r>
        <w:t>. Estados Unidos incluyó a la gigante china de las telecomunicaciones Huawei en una “lista de entidades” reservada a empresas extranjeras a las que considera una amenaza a su seguridad nacional. Y aunque después le otorgó exenciones transitorias que le permiten seguir usando componentes estadounidenses, esta semana la administración Trump anunció la inclusión en la lista de otras 46 empresas afiliadas a Huawei.</w:t>
      </w:r>
    </w:p>
    <w:p w:rsidR="003974FC" w:rsidRDefault="003974FC" w:rsidP="003974FC">
      <w:pPr>
        <w:pStyle w:val="NormalWeb"/>
        <w:shd w:val="clear" w:color="auto" w:fill="FFFFFF"/>
        <w:spacing w:after="0"/>
        <w:jc w:val="both"/>
        <w:textAlignment w:val="baseline"/>
      </w:pPr>
      <w:r w:rsidRPr="00135B87">
        <w:rPr>
          <w:b/>
          <w:color w:val="FF0000"/>
          <w:u w:val="single"/>
        </w:rPr>
        <w:t>El tercer riesgo importante tiene que ver con el petróleo. Si bien sus precios han disminuido en las últimas semanas, y una recesión activada por una guerra comercial, monetaria y tecnológica deprimiría la demanda de energía y presionaría a la baja sobre los precios, la confrontación de Estados Unidos con Irán puede tener el efecto contrario.</w:t>
      </w:r>
      <w:r>
        <w:t xml:space="preserve"> Si ese conflicto llegara al nivel militar, puede producirse un súbito encarecimiento mundial del petróleo que provoque una recesión, como sucedió durante enfrentamientos previos en Medio Oriente en 1973, 1979 y 1990.</w:t>
      </w:r>
    </w:p>
    <w:p w:rsidR="003974FC" w:rsidRPr="00135B87" w:rsidRDefault="003974FC" w:rsidP="003974FC">
      <w:pPr>
        <w:pStyle w:val="NormalWeb"/>
        <w:shd w:val="clear" w:color="auto" w:fill="FFFFFF"/>
        <w:spacing w:after="0"/>
        <w:jc w:val="both"/>
        <w:textAlignment w:val="baseline"/>
        <w:rPr>
          <w:b/>
          <w:color w:val="FF0000"/>
          <w:u w:val="single"/>
        </w:rPr>
      </w:pPr>
      <w:r w:rsidRPr="00135B87">
        <w:rPr>
          <w:b/>
          <w:color w:val="FF0000"/>
          <w:u w:val="single"/>
        </w:rPr>
        <w:t>Los tres shocks potenciales tendrían efecto estanflacionario, al provocar un encarecimiento de las importaciones de bienes de consumo, insumos intermedios, componentes tecnológicos y energía y al mismo tiempo reducir la producción al trastocar las cadenas globales de suministro. Encima, el conflicto sinoestadounidense ya está provocando un proceso más amplio de desglobalización, porque los países y las empresas ya no pueden confiar en la estabilidad a largo plazo de esas cadenas de valor integradas. La creciente balcanización del comercio de bienes, servicios, capital, mano de obra, información, datos y tecnología aumentará los costos de producción globales en todas las industrias.</w:t>
      </w:r>
    </w:p>
    <w:p w:rsidR="003974FC" w:rsidRPr="00135B87" w:rsidRDefault="003974FC" w:rsidP="003974FC">
      <w:pPr>
        <w:pStyle w:val="NormalWeb"/>
        <w:shd w:val="clear" w:color="auto" w:fill="FFFFFF"/>
        <w:spacing w:after="0"/>
        <w:jc w:val="both"/>
        <w:textAlignment w:val="baseline"/>
        <w:rPr>
          <w:u w:val="single"/>
        </w:rPr>
      </w:pPr>
      <w:r w:rsidRPr="00135B87">
        <w:rPr>
          <w:b/>
          <w:color w:val="FF0000"/>
          <w:u w:val="single"/>
        </w:rPr>
        <w:t>Además, la guerra comercial y de divisas y la competencia tecnológica se amplificarán mutuamente</w:t>
      </w:r>
      <w:r>
        <w:t xml:space="preserve">. Tomemos el caso de Huawei, que en la actualidad es un líder mundial en equipamiento 5G. Pronto esta tecnología será la forma de conectividad estándar de la mayor parte de las infraestructuras civiles y militares críticas, por no hablar de los bienes de consumo básicos conectados a través de la emergente Internet de las Cosas. Cualquier cosa que tenga un chip 5G (desde una tostadora hasta una cafetera) puede convertirse en un dispositivo de escucha. Es decir que </w:t>
      </w:r>
      <w:r w:rsidRPr="00135B87">
        <w:rPr>
          <w:u w:val="single"/>
        </w:rPr>
        <w:t>si Huawei es una amenaza a la seguridad nacional, lo mismo habrá que decir de miles de bienes de consumo de fabricación china.</w:t>
      </w:r>
    </w:p>
    <w:p w:rsidR="003974FC" w:rsidRPr="00135B87" w:rsidRDefault="003974FC" w:rsidP="003974FC">
      <w:pPr>
        <w:pStyle w:val="NormalWeb"/>
        <w:shd w:val="clear" w:color="auto" w:fill="FFFFFF"/>
        <w:spacing w:after="0"/>
        <w:jc w:val="both"/>
        <w:textAlignment w:val="baseline"/>
        <w:rPr>
          <w:color w:val="FF0000"/>
          <w:u w:val="single"/>
        </w:rPr>
      </w:pPr>
      <w:r w:rsidRPr="00135B87">
        <w:rPr>
          <w:color w:val="FF0000"/>
          <w:u w:val="single"/>
        </w:rPr>
        <w:t>Es fácil imaginar de qué manera la situación actual puede llevar a una implosión total del sistema internacional abierto de comercio. De modo que cabe preguntarse si las autoridades monetarias y fiscales están preparadas para un shock de oferta negativo sostenido, o incluso permanente.</w:t>
      </w:r>
    </w:p>
    <w:p w:rsidR="003974FC" w:rsidRPr="00135B87" w:rsidRDefault="003974FC" w:rsidP="003974FC">
      <w:pPr>
        <w:pStyle w:val="NormalWeb"/>
        <w:shd w:val="clear" w:color="auto" w:fill="FFFFFF"/>
        <w:spacing w:after="0"/>
        <w:jc w:val="both"/>
        <w:textAlignment w:val="baseline"/>
        <w:rPr>
          <w:u w:val="single"/>
        </w:rPr>
      </w:pPr>
      <w:r>
        <w:t xml:space="preserve">Después de los shocks estanflacionarios de los setenta, las autoridades monetarias respondieron con un endurecimiento de la política monetaria. Pero hoy, los grandes bancos centrales (por ejemplo la Reserva Federal de los Estados Unidos) siguen políticas monetarias expansivas, porque la inflación y sus expectativas siguen siendo bajas. De modo que </w:t>
      </w:r>
      <w:r w:rsidRPr="00135B87">
        <w:rPr>
          <w:u w:val="single"/>
        </w:rPr>
        <w:t>cualquier presión inflacionaria derivada de un shock del petróleo la percibirán como un efecto nivel de precios y no como un aumento persistente de la inflación.</w:t>
      </w:r>
    </w:p>
    <w:p w:rsidR="003974FC" w:rsidRPr="00135B87" w:rsidRDefault="003974FC" w:rsidP="003974FC">
      <w:pPr>
        <w:pStyle w:val="NormalWeb"/>
        <w:shd w:val="clear" w:color="auto" w:fill="FFFFFF"/>
        <w:spacing w:after="0"/>
        <w:jc w:val="both"/>
        <w:textAlignment w:val="baseline"/>
        <w:rPr>
          <w:u w:val="single"/>
        </w:rPr>
      </w:pPr>
      <w:r>
        <w:t>Con el tiempo, los shocks de oferta negativos tienden a convertirse también en shocks de demanda negativos que reducen transitoriamente el crecimiento y la inflación, al deprimir el consumo y el gasto en capital. De hecho</w:t>
      </w:r>
      <w:r w:rsidRPr="00616CD1">
        <w:t xml:space="preserve">, </w:t>
      </w:r>
      <w:r w:rsidRPr="00135B87">
        <w:rPr>
          <w:u w:val="single"/>
        </w:rPr>
        <w:t xml:space="preserve">en las condiciones actuales, el gasto en capital de </w:t>
      </w:r>
      <w:r w:rsidRPr="00135B87">
        <w:rPr>
          <w:u w:val="single"/>
        </w:rPr>
        <w:lastRenderedPageBreak/>
        <w:t>las corporaciones dentro y fuera de los Estados Unidos está muy deprimido, por incertidumbres relacionadas con la probabilidad, gravedad y persistencia de los tres shocks potenciales.</w:t>
      </w:r>
    </w:p>
    <w:p w:rsidR="003974FC" w:rsidRPr="00135B87" w:rsidRDefault="003974FC" w:rsidP="003974FC">
      <w:pPr>
        <w:pStyle w:val="NormalWeb"/>
        <w:shd w:val="clear" w:color="auto" w:fill="FFFFFF"/>
        <w:spacing w:after="0"/>
        <w:jc w:val="both"/>
        <w:textAlignment w:val="baseline"/>
        <w:rPr>
          <w:b/>
          <w:color w:val="FF0000"/>
          <w:u w:val="single"/>
        </w:rPr>
      </w:pPr>
      <w:r w:rsidRPr="00135B87">
        <w:rPr>
          <w:b/>
          <w:color w:val="FF0000"/>
          <w:u w:val="single"/>
        </w:rPr>
        <w:t>De hecho, como las empresas en Estados Unidos, Europa, China y otras partes de Asia redujeron el gasto en capital, el sector tecnológico, manufacturero e industrial de todo el mundo ya está en recesión.</w:t>
      </w:r>
      <w:r>
        <w:t xml:space="preserve"> El único motivo por el cual todavía no se trasladó a una desaceleración global es que el consumo privado se mantuvo firme. </w:t>
      </w:r>
      <w:r w:rsidRPr="00135B87">
        <w:rPr>
          <w:b/>
          <w:color w:val="FF0000"/>
          <w:u w:val="single"/>
        </w:rPr>
        <w:t>Si cualquiera de estos tres shocks de oferta negativos provocara un mayor encarecimiento de los bienes importados, eso repercutiría sobre el crecimiento del ingreso disponible real (deflactado) de los hogares, lo mismo que la confianza de los consumidores, y probablemente empujaría la economía global hacia una recesión.</w:t>
      </w:r>
    </w:p>
    <w:p w:rsidR="003974FC" w:rsidRPr="00135B87" w:rsidRDefault="003974FC" w:rsidP="003974FC">
      <w:pPr>
        <w:pStyle w:val="NormalWeb"/>
        <w:shd w:val="clear" w:color="auto" w:fill="FFFFFF"/>
        <w:spacing w:after="0"/>
        <w:jc w:val="both"/>
        <w:textAlignment w:val="baseline"/>
        <w:rPr>
          <w:b/>
          <w:color w:val="FF0000"/>
          <w:u w:val="single"/>
        </w:rPr>
      </w:pPr>
      <w:r w:rsidRPr="00135B87">
        <w:rPr>
          <w:b/>
          <w:color w:val="FF0000"/>
          <w:u w:val="single"/>
        </w:rPr>
        <w:t>En vista de la posibilidad de que se produzca un shock negativo de la demanda agregada en el corto plazo, las bajas de tasas de los bancos centrales son correctas. Pero también las autoridades fiscales deberían prepararse para dar una respuesta similar en el corto plazo. Una marcada caída del crecimiento y de la demanda agregada exigirá una política fiscal expansiva anticíclica para evitar que la recesión se agrave demasiado.</w:t>
      </w:r>
    </w:p>
    <w:p w:rsidR="003974FC" w:rsidRPr="00135B87" w:rsidRDefault="003974FC" w:rsidP="003974FC">
      <w:pPr>
        <w:pStyle w:val="NormalWeb"/>
        <w:shd w:val="clear" w:color="auto" w:fill="FFFFFF"/>
        <w:spacing w:after="0"/>
        <w:jc w:val="both"/>
        <w:textAlignment w:val="baseline"/>
        <w:rPr>
          <w:b/>
          <w:color w:val="FF0000"/>
          <w:u w:val="single"/>
        </w:rPr>
      </w:pPr>
      <w:r w:rsidRPr="00135B87">
        <w:rPr>
          <w:b/>
          <w:color w:val="FF0000"/>
          <w:u w:val="single"/>
        </w:rPr>
        <w:t>Pero en el mediano plazo, la respuesta óptima a los shocks negativos de la oferta no es una política expansiva, sino ajustarse a ellos sin continuar la expansión. Al fin y al cabo, los shocks de oferta negativos de una guerra comercial y tecnológica serán más o menos permanentes, lo mismo que la reducción del crecimiento potencial. Lo mismo se aplica al Brexit: abandonar la Unión Europea asestará al Reino Unido un shock de oferta negativo permanente, y por consiguiente, una caída permanente del crecimiento potencial.</w:t>
      </w:r>
    </w:p>
    <w:p w:rsidR="003974FC" w:rsidRDefault="003974FC" w:rsidP="003974FC">
      <w:pPr>
        <w:pStyle w:val="NormalWeb"/>
        <w:shd w:val="clear" w:color="auto" w:fill="FFFFFF"/>
        <w:spacing w:after="0"/>
        <w:jc w:val="both"/>
        <w:textAlignment w:val="baseline"/>
      </w:pPr>
      <w:r w:rsidRPr="00135B87">
        <w:rPr>
          <w:b/>
          <w:color w:val="FF0000"/>
          <w:u w:val="single"/>
        </w:rPr>
        <w:t>Esos shocks no se pueden revertir con medidas monetarias o fiscales. Se los puede manejar en el corto plazo, pero todo intento de oponerles una política expansiva en forma permanente llevará a la larga a que la inflación y sus expectativas aumenten muy por encima de las metas de los bancos centrales</w:t>
      </w:r>
      <w:r>
        <w:t>. En los setenta, los bancos centrales respondieron con políticas expansivas a dos grandes shocks petroleros. El resultado fue un aumento persistente de la inflación y de sus expectativas, déficits fiscales insostenibles y acumulación de deuda pública.</w:t>
      </w:r>
    </w:p>
    <w:p w:rsidR="003974FC" w:rsidRPr="00135B87" w:rsidRDefault="003974FC" w:rsidP="003974FC">
      <w:pPr>
        <w:pStyle w:val="NormalWeb"/>
        <w:shd w:val="clear" w:color="auto" w:fill="FFFFFF"/>
        <w:spacing w:after="0"/>
        <w:jc w:val="both"/>
        <w:textAlignment w:val="baseline"/>
        <w:rPr>
          <w:color w:val="FF0000"/>
          <w:u w:val="single"/>
        </w:rPr>
      </w:pPr>
      <w:r w:rsidRPr="00135B87">
        <w:rPr>
          <w:color w:val="FF0000"/>
          <w:u w:val="single"/>
        </w:rPr>
        <w:t>Finalmente, hay una diferencia importante entre la crisis financiera global de 2008 y los shocks de oferta negativos que pueden afectar a la economía global hoy. Como la primera fue más que nada un gran shock negativo de la demanda agregada, que deprimió el crecimiento y la inflación, era correcto responder con un estímulo monetario y fiscal. Pero esta vez, el mundo se enfrentará a shocks negativos sostenidos de la oferta, que exigirán una clase de respuesta muy distinta en el mediano plazo. Tratar de deshacer el daño con un estímulo monetario y fiscal interminable no será una opción sensata.</w:t>
      </w:r>
    </w:p>
    <w:p w:rsidR="003974FC" w:rsidRDefault="003974FC" w:rsidP="003974FC">
      <w:pPr>
        <w:pStyle w:val="NormalWeb"/>
        <w:shd w:val="clear" w:color="auto" w:fill="FFFFFF"/>
        <w:spacing w:before="0" w:beforeAutospacing="0" w:after="0" w:afterAutospacing="0"/>
        <w:jc w:val="both"/>
        <w:textAlignment w:val="baseline"/>
        <w:rPr>
          <w:lang w:val="en-US"/>
        </w:rPr>
      </w:pPr>
      <w:r>
        <w:rPr>
          <w:lang w:val="en-US"/>
        </w:rPr>
        <w:t>(</w:t>
      </w:r>
      <w:r w:rsidRPr="00015F8A">
        <w:rPr>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lang w:val="en-US"/>
        </w:rPr>
        <w:t>ral Reserve, and the World Bank)</w:t>
      </w:r>
    </w:p>
    <w:p w:rsidR="00954FE9" w:rsidRDefault="00954FE9" w:rsidP="003974FC">
      <w:pPr>
        <w:pStyle w:val="NormalWeb"/>
        <w:shd w:val="clear" w:color="auto" w:fill="FFFFFF"/>
        <w:spacing w:before="0" w:beforeAutospacing="0" w:after="0" w:afterAutospacing="0"/>
        <w:jc w:val="both"/>
        <w:textAlignment w:val="baseline"/>
        <w:rPr>
          <w:lang w:val="en-US"/>
        </w:rPr>
      </w:pPr>
    </w:p>
    <w:p w:rsidR="002A170C" w:rsidRDefault="002A170C" w:rsidP="003974FC">
      <w:pPr>
        <w:pStyle w:val="NormalWeb"/>
        <w:shd w:val="clear" w:color="auto" w:fill="FFFFFF"/>
        <w:spacing w:before="0" w:beforeAutospacing="0" w:after="0" w:afterAutospacing="0"/>
        <w:jc w:val="both"/>
        <w:textAlignment w:val="baseline"/>
        <w:rPr>
          <w:lang w:val="en-US"/>
        </w:rPr>
      </w:pPr>
    </w:p>
    <w:p w:rsidR="002A170C" w:rsidRDefault="002A170C" w:rsidP="003974FC">
      <w:pPr>
        <w:spacing w:line="240" w:lineRule="auto"/>
        <w:jc w:val="both"/>
        <w:rPr>
          <w:rFonts w:ascii="Times New Roman" w:hAnsi="Times New Roman" w:cs="Times New Roman"/>
          <w:b/>
          <w:sz w:val="24"/>
          <w:szCs w:val="24"/>
        </w:rPr>
      </w:pPr>
      <w:r w:rsidRPr="002A170C">
        <w:rPr>
          <w:rFonts w:ascii="Times New Roman" w:hAnsi="Times New Roman" w:cs="Times New Roman"/>
          <w:b/>
          <w:sz w:val="24"/>
          <w:szCs w:val="24"/>
        </w:rPr>
        <w:lastRenderedPageBreak/>
        <w:t>El mundo estornuda y la Eurozona queda grogui: los riesgos de ser una economía muy abierta</w:t>
      </w:r>
    </w:p>
    <w:p w:rsidR="002A170C" w:rsidRDefault="002A170C" w:rsidP="003974FC">
      <w:pPr>
        <w:spacing w:line="240" w:lineRule="auto"/>
        <w:jc w:val="both"/>
        <w:rPr>
          <w:rFonts w:ascii="Times New Roman" w:hAnsi="Times New Roman" w:cs="Times New Roman"/>
          <w:b/>
          <w:sz w:val="24"/>
          <w:szCs w:val="24"/>
        </w:rPr>
      </w:pPr>
      <w:r w:rsidRPr="00600079">
        <w:rPr>
          <w:rFonts w:ascii="Times New Roman" w:hAnsi="Times New Roman" w:cs="Times New Roman"/>
          <w:noProof/>
          <w:color w:val="212529"/>
          <w:sz w:val="24"/>
          <w:szCs w:val="24"/>
          <w:lang w:val="en-GB" w:eastAsia="en-GB"/>
        </w:rPr>
        <w:drawing>
          <wp:inline distT="0" distB="0" distL="0" distR="0">
            <wp:extent cx="5746750" cy="3422650"/>
            <wp:effectExtent l="0" t="0" r="6350" b="6350"/>
            <wp:docPr id="34" name="Imagen 34" descr="https://s03.s3c.es/imag/_v0/770x626/a/8/2/exportaciones-p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626/a/8/2/exportaciones-pib.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6750" cy="3422650"/>
                    </a:xfrm>
                    <a:prstGeom prst="rect">
                      <a:avLst/>
                    </a:prstGeom>
                    <a:noFill/>
                    <a:ln>
                      <a:noFill/>
                    </a:ln>
                  </pic:spPr>
                </pic:pic>
              </a:graphicData>
            </a:graphic>
          </wp:inline>
        </w:drawing>
      </w:r>
    </w:p>
    <w:p w:rsidR="002A170C" w:rsidRPr="002A170C" w:rsidRDefault="002A170C" w:rsidP="003974FC">
      <w:pPr>
        <w:spacing w:line="240" w:lineRule="auto"/>
        <w:jc w:val="both"/>
        <w:rPr>
          <w:rFonts w:ascii="Times New Roman" w:hAnsi="Times New Roman" w:cs="Times New Roman"/>
          <w:b/>
          <w:sz w:val="24"/>
          <w:szCs w:val="24"/>
        </w:rPr>
      </w:pPr>
      <w:r w:rsidRPr="00600079">
        <w:rPr>
          <w:rFonts w:ascii="Times New Roman" w:hAnsi="Times New Roman" w:cs="Times New Roman"/>
          <w:noProof/>
          <w:color w:val="212529"/>
          <w:sz w:val="24"/>
          <w:szCs w:val="24"/>
          <w:lang w:val="en-GB" w:eastAsia="en-GB"/>
        </w:rPr>
        <w:drawing>
          <wp:inline distT="0" distB="0" distL="0" distR="0">
            <wp:extent cx="5727699" cy="3930650"/>
            <wp:effectExtent l="0" t="0" r="6985" b="0"/>
            <wp:docPr id="25" name="Imagen 25" descr="https://s03.s3c.es/imag/_v0/770x673/9/b/d/peso-de-los-paises-extra-eurozo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673/9/b/d/peso-de-los-paises-extra-eurozona.pn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933265"/>
                    </a:xfrm>
                    <a:prstGeom prst="rect">
                      <a:avLst/>
                    </a:prstGeom>
                    <a:noFill/>
                    <a:ln>
                      <a:noFill/>
                    </a:ln>
                  </pic:spPr>
                </pic:pic>
              </a:graphicData>
            </a:graphic>
          </wp:inline>
        </w:drawing>
      </w:r>
    </w:p>
    <w:p w:rsidR="002A170C" w:rsidRPr="002A170C" w:rsidRDefault="002A170C" w:rsidP="003974FC">
      <w:pPr>
        <w:spacing w:line="240" w:lineRule="auto"/>
        <w:jc w:val="both"/>
        <w:rPr>
          <w:rFonts w:ascii="Times New Roman" w:hAnsi="Times New Roman" w:cs="Times New Roman"/>
          <w:sz w:val="24"/>
          <w:szCs w:val="24"/>
        </w:rPr>
      </w:pPr>
    </w:p>
    <w:p w:rsidR="00497E25" w:rsidRPr="002A170C" w:rsidRDefault="00497E25" w:rsidP="00497E25">
      <w:pPr>
        <w:spacing w:after="0" w:line="240" w:lineRule="auto"/>
        <w:jc w:val="both"/>
        <w:textAlignment w:val="baseline"/>
        <w:rPr>
          <w:rFonts w:ascii="Times New Roman" w:eastAsia="Times New Roman" w:hAnsi="Times New Roman" w:cs="Times New Roman"/>
          <w:color w:val="000000"/>
          <w:sz w:val="24"/>
          <w:szCs w:val="24"/>
        </w:rPr>
      </w:pPr>
    </w:p>
    <w:p w:rsidR="00954FE9" w:rsidRDefault="00954FE9" w:rsidP="00797E09">
      <w:pPr>
        <w:spacing w:line="240" w:lineRule="auto"/>
        <w:jc w:val="both"/>
        <w:rPr>
          <w:rFonts w:ascii="Times New Roman" w:hAnsi="Times New Roman" w:cs="Times New Roman"/>
          <w:b/>
          <w:sz w:val="24"/>
          <w:szCs w:val="24"/>
        </w:rPr>
      </w:pPr>
    </w:p>
    <w:p w:rsidR="001E18DD" w:rsidRDefault="00053160" w:rsidP="00797E09">
      <w:pPr>
        <w:spacing w:line="240" w:lineRule="auto"/>
        <w:jc w:val="both"/>
        <w:rPr>
          <w:rFonts w:ascii="Times New Roman" w:hAnsi="Times New Roman" w:cs="Times New Roman"/>
          <w:b/>
          <w:sz w:val="24"/>
          <w:szCs w:val="24"/>
        </w:rPr>
      </w:pPr>
      <w:r w:rsidRPr="00053160">
        <w:rPr>
          <w:rFonts w:ascii="Times New Roman" w:hAnsi="Times New Roman" w:cs="Times New Roman"/>
          <w:b/>
          <w:sz w:val="24"/>
          <w:szCs w:val="24"/>
        </w:rPr>
        <w:lastRenderedPageBreak/>
        <w:t xml:space="preserve">- </w:t>
      </w:r>
      <w:r>
        <w:rPr>
          <w:rFonts w:ascii="Times New Roman" w:hAnsi="Times New Roman" w:cs="Times New Roman"/>
          <w:b/>
          <w:sz w:val="24"/>
          <w:szCs w:val="24"/>
        </w:rPr>
        <w:t>(Septiembre 2019) Ú</w:t>
      </w:r>
      <w:r w:rsidR="001E18DD" w:rsidRPr="00053160">
        <w:rPr>
          <w:rFonts w:ascii="Times New Roman" w:hAnsi="Times New Roman" w:cs="Times New Roman"/>
          <w:b/>
          <w:sz w:val="24"/>
          <w:szCs w:val="24"/>
        </w:rPr>
        <w:t>ltimos aconteci</w:t>
      </w:r>
      <w:r w:rsidRPr="00053160">
        <w:rPr>
          <w:rFonts w:ascii="Times New Roman" w:hAnsi="Times New Roman" w:cs="Times New Roman"/>
          <w:b/>
          <w:sz w:val="24"/>
          <w:szCs w:val="24"/>
        </w:rPr>
        <w:t>mie</w:t>
      </w:r>
      <w:r w:rsidR="001E18DD" w:rsidRPr="00053160">
        <w:rPr>
          <w:rFonts w:ascii="Times New Roman" w:hAnsi="Times New Roman" w:cs="Times New Roman"/>
          <w:b/>
          <w:sz w:val="24"/>
          <w:szCs w:val="24"/>
        </w:rPr>
        <w:t>ntos de referencia (</w:t>
      </w:r>
      <w:r w:rsidR="00954FE9">
        <w:rPr>
          <w:rFonts w:ascii="Times New Roman" w:hAnsi="Times New Roman" w:cs="Times New Roman"/>
          <w:b/>
          <w:sz w:val="24"/>
          <w:szCs w:val="24"/>
        </w:rPr>
        <w:t>¿</w:t>
      </w:r>
      <w:r w:rsidR="003974FC">
        <w:rPr>
          <w:rFonts w:ascii="Times New Roman" w:hAnsi="Times New Roman" w:cs="Times New Roman"/>
          <w:b/>
          <w:sz w:val="24"/>
          <w:szCs w:val="24"/>
        </w:rPr>
        <w:t>la UE</w:t>
      </w:r>
      <w:r w:rsidR="00616CD1">
        <w:rPr>
          <w:rFonts w:ascii="Times New Roman" w:hAnsi="Times New Roman" w:cs="Times New Roman"/>
          <w:b/>
          <w:sz w:val="24"/>
          <w:szCs w:val="24"/>
        </w:rPr>
        <w:t>,</w:t>
      </w:r>
      <w:r w:rsidR="003974FC">
        <w:rPr>
          <w:rFonts w:ascii="Times New Roman" w:hAnsi="Times New Roman" w:cs="Times New Roman"/>
          <w:b/>
          <w:sz w:val="24"/>
          <w:szCs w:val="24"/>
        </w:rPr>
        <w:t>en coma inducido</w:t>
      </w:r>
      <w:r w:rsidR="00954FE9">
        <w:rPr>
          <w:rFonts w:ascii="Times New Roman" w:hAnsi="Times New Roman" w:cs="Times New Roman"/>
          <w:b/>
          <w:sz w:val="24"/>
          <w:szCs w:val="24"/>
        </w:rPr>
        <w:t>?</w:t>
      </w:r>
      <w:r w:rsidRPr="00053160">
        <w:rPr>
          <w:rFonts w:ascii="Times New Roman" w:hAnsi="Times New Roman" w:cs="Times New Roman"/>
          <w:b/>
          <w:sz w:val="24"/>
          <w:szCs w:val="24"/>
        </w:rPr>
        <w:t>)</w:t>
      </w:r>
    </w:p>
    <w:p w:rsidR="00554672" w:rsidRDefault="00554672" w:rsidP="00797E09">
      <w:pPr>
        <w:spacing w:line="240" w:lineRule="auto"/>
        <w:jc w:val="both"/>
        <w:rPr>
          <w:rFonts w:ascii="Times New Roman" w:hAnsi="Times New Roman" w:cs="Times New Roman"/>
          <w:b/>
          <w:sz w:val="24"/>
          <w:szCs w:val="24"/>
        </w:rPr>
      </w:pPr>
      <w:r>
        <w:rPr>
          <w:noProof/>
          <w:lang w:val="en-GB" w:eastAsia="en-GB"/>
        </w:rPr>
        <w:drawing>
          <wp:inline distT="0" distB="0" distL="0" distR="0">
            <wp:extent cx="5689600" cy="2597150"/>
            <wp:effectExtent l="0" t="0" r="6350" b="0"/>
            <wp:docPr id="167" name="Imagen 167" descr="Foto de Europa sÃ­ tiene futuro: cÃ³mo evitar diluirnos en la pequeÃ±ezde nuestros nacionalis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de Europa sÃ­ tiene futuro: cÃ³mo evitar diluirnos en la pequeÃ±ezde nuestros nacionalismo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9600" cy="2597150"/>
                    </a:xfrm>
                    <a:prstGeom prst="rect">
                      <a:avLst/>
                    </a:prstGeom>
                    <a:noFill/>
                    <a:ln>
                      <a:noFill/>
                    </a:ln>
                  </pic:spPr>
                </pic:pic>
              </a:graphicData>
            </a:graphic>
          </wp:inline>
        </w:drawing>
      </w:r>
    </w:p>
    <w:p w:rsidR="00C54275" w:rsidRDefault="00B0273B" w:rsidP="00C54275">
      <w:pPr>
        <w:spacing w:line="240" w:lineRule="auto"/>
        <w:jc w:val="both"/>
        <w:textAlignment w:val="top"/>
        <w:rPr>
          <w:rFonts w:ascii="Times New Roman" w:hAnsi="Times New Roman" w:cs="Times New Roman"/>
          <w:sz w:val="24"/>
          <w:szCs w:val="24"/>
        </w:rPr>
      </w:pPr>
      <w:r>
        <w:rPr>
          <w:rFonts w:ascii="Times New Roman" w:hAnsi="Times New Roman" w:cs="Times New Roman"/>
          <w:sz w:val="24"/>
          <w:szCs w:val="24"/>
        </w:rPr>
        <w:t xml:space="preserve">- </w:t>
      </w:r>
      <w:hyperlink r:id="rId15" w:history="1">
        <w:r w:rsidRPr="00A62FB8">
          <w:rPr>
            <w:rStyle w:val="Hipervnculo"/>
            <w:rFonts w:ascii="Times New Roman" w:hAnsi="Times New Roman" w:cs="Times New Roman"/>
            <w:color w:val="auto"/>
            <w:sz w:val="24"/>
            <w:szCs w:val="24"/>
          </w:rPr>
          <w:t>Futuro del trabajo</w:t>
        </w:r>
      </w:hyperlink>
      <w:r>
        <w:rPr>
          <w:rFonts w:ascii="Times New Roman" w:hAnsi="Times New Roman" w:cs="Times New Roman"/>
          <w:sz w:val="24"/>
          <w:szCs w:val="24"/>
        </w:rPr>
        <w:t xml:space="preserve">(Cinco Días - </w:t>
      </w:r>
      <w:r w:rsidRPr="002832DD">
        <w:rPr>
          <w:rFonts w:ascii="Times New Roman" w:hAnsi="Times New Roman" w:cs="Times New Roman"/>
          <w:b/>
          <w:sz w:val="24"/>
          <w:szCs w:val="24"/>
        </w:rPr>
        <w:t>5/9/19</w:t>
      </w:r>
      <w:r>
        <w:rPr>
          <w:rFonts w:ascii="Times New Roman" w:hAnsi="Times New Roman" w:cs="Times New Roman"/>
          <w:sz w:val="24"/>
          <w:szCs w:val="24"/>
        </w:rPr>
        <w:t>)</w:t>
      </w:r>
    </w:p>
    <w:p w:rsidR="00B0273B" w:rsidRPr="00C54275" w:rsidRDefault="00B0273B" w:rsidP="00C54275">
      <w:pPr>
        <w:spacing w:line="240" w:lineRule="auto"/>
        <w:jc w:val="both"/>
        <w:textAlignment w:val="top"/>
        <w:rPr>
          <w:rFonts w:ascii="Times New Roman" w:hAnsi="Times New Roman" w:cs="Times New Roman"/>
          <w:sz w:val="24"/>
          <w:szCs w:val="24"/>
        </w:rPr>
      </w:pPr>
      <w:r w:rsidRPr="00792458">
        <w:rPr>
          <w:rFonts w:ascii="Times New Roman" w:hAnsi="Times New Roman" w:cs="Times New Roman"/>
          <w:color w:val="FF0000"/>
          <w:sz w:val="24"/>
          <w:szCs w:val="24"/>
        </w:rPr>
        <w:t>¿Por qué necesitamos un nuevo contrato social? Seis tendencias y una propuesta</w:t>
      </w:r>
    </w:p>
    <w:p w:rsidR="00B0273B" w:rsidRPr="00792458" w:rsidRDefault="00B0273B" w:rsidP="00B0273B">
      <w:pPr>
        <w:pStyle w:val="Ttulo2"/>
        <w:spacing w:before="0" w:beforeAutospacing="0" w:after="0" w:afterAutospacing="0"/>
        <w:jc w:val="both"/>
        <w:rPr>
          <w:b w:val="0"/>
          <w:bCs w:val="0"/>
          <w:sz w:val="24"/>
          <w:szCs w:val="24"/>
          <w:u w:val="single"/>
        </w:rPr>
      </w:pPr>
      <w:r w:rsidRPr="00792458">
        <w:rPr>
          <w:b w:val="0"/>
          <w:bCs w:val="0"/>
          <w:sz w:val="24"/>
          <w:szCs w:val="24"/>
          <w:u w:val="single"/>
        </w:rPr>
        <w:t>Si producimos también tenemos derecho a coberturas. Esto forma parte del contrato social establecido. La pregunta es si ha llegado el momento de revisar ese acuerdo, y algunas tendencias macro nos indican que sí. Y de forma urgente.</w:t>
      </w:r>
    </w:p>
    <w:p w:rsidR="00B0273B" w:rsidRPr="002832DD" w:rsidRDefault="00B0273B" w:rsidP="00B0273B">
      <w:pPr>
        <w:pStyle w:val="NormalWeb"/>
        <w:jc w:val="both"/>
      </w:pPr>
      <w:r w:rsidRPr="002832DD">
        <w:rPr>
          <w:rStyle w:val="nfasis"/>
          <w:rFonts w:eastAsiaTheme="majorEastAsia"/>
        </w:rPr>
        <w:t>El cambio es la forma que tiene el futuro de invadir nuestras vidas”.  </w:t>
      </w:r>
      <w:r w:rsidRPr="002832DD">
        <w:t>Apenas hace un año que di con la frase de Alvin Troffler, escritor y futurólogo estadounidense. En el primer momento me encantó, porque de repente explicaba el cambio como proceso, transmitiendo esa fluidez que tanto exigen nuestras vidas líquidas. Y de segundas me enojó, por ser una invitación a la pasividad, como si el futuro nos tuviera que coger sentadas. Nos aleja demasiado de la consciencia que el mañana se construye c</w:t>
      </w:r>
      <w:r w:rsidR="007E42C8">
        <w:t>on las decisiones que tomamos -o dejamos de tomar-</w:t>
      </w:r>
      <w:r w:rsidRPr="002832DD">
        <w:t xml:space="preserve"> en este preciso instante. Y quizá es el momento de asumir socialmente esa máxima que el futuro, o lo construyes o te lo construyen.</w:t>
      </w:r>
    </w:p>
    <w:p w:rsidR="00B0273B" w:rsidRPr="002832DD" w:rsidRDefault="00B0273B" w:rsidP="00B0273B">
      <w:pPr>
        <w:pStyle w:val="NormalWeb"/>
        <w:jc w:val="both"/>
      </w:pPr>
      <w:r w:rsidRPr="00136293">
        <w:rPr>
          <w:color w:val="FF0000"/>
          <w:u w:val="single"/>
        </w:rPr>
        <w:t>En relación al futuro del trabajo, nos pasa algo similar. Resulta difícil imaginar cuál será nuestro horizonte laboral, o todavía más, el de nuestras criaturas. Se estima que el 60% de alumnos y alumnas que se sientan hoy en las aulas de primaria, </w:t>
      </w:r>
      <w:hyperlink r:id="rId16" w:tgtFrame="_blank" w:history="1">
        <w:r w:rsidRPr="00136293">
          <w:rPr>
            <w:rStyle w:val="Hipervnculo"/>
            <w:color w:val="FF0000"/>
          </w:rPr>
          <w:t>trabajarán en profesiones que todavía no existen</w:t>
        </w:r>
      </w:hyperlink>
      <w:r w:rsidRPr="002832DD">
        <w:t>. Hay menores que empiezan a decir que de mayores quieren ser </w:t>
      </w:r>
      <w:r w:rsidRPr="002832DD">
        <w:rPr>
          <w:rStyle w:val="nfasis"/>
          <w:rFonts w:eastAsiaTheme="majorEastAsia"/>
        </w:rPr>
        <w:t>influencers</w:t>
      </w:r>
      <w:r w:rsidRPr="002832DD">
        <w:t> o youtubers, aunque hay muchas resistencias a considerarlo una profesión como tal. ¿Qué hace que un trabajo sea un trabajo? ¿Cómo definimos una profesión y qué relación tiene con una trayectoria específica, progresiva y definida a lo largo del tiempo?</w:t>
      </w:r>
    </w:p>
    <w:p w:rsidR="00B0273B" w:rsidRPr="00136293" w:rsidRDefault="00B0273B" w:rsidP="00B0273B">
      <w:pPr>
        <w:pStyle w:val="NormalWeb"/>
        <w:jc w:val="both"/>
        <w:rPr>
          <w:u w:val="single"/>
        </w:rPr>
      </w:pPr>
      <w:r w:rsidRPr="002832DD">
        <w:t>Tampoco es lo mismo el trabajo (esa idea compartida del curro de lunes a viernes de 9 a 5, con tiempo libre el fin de semana para gastar), el empleo (la dedicación de tu tiempo a una actividad remunerada). En definitiva predominan las definiciones al estilo ganapán, aunque el equipo de </w:t>
      </w:r>
      <w:hyperlink r:id="rId17" w:tgtFrame="_blank" w:history="1">
        <w:r w:rsidRPr="00A62FB8">
          <w:rPr>
            <w:rStyle w:val="Hipervnculo"/>
            <w:color w:val="auto"/>
          </w:rPr>
          <w:t>Reshaping Work Barcelona</w:t>
        </w:r>
      </w:hyperlink>
      <w:r w:rsidRPr="00A62FB8">
        <w:t> nos quedamos con la definición del investigador finés </w:t>
      </w:r>
      <w:hyperlink w:tgtFrame="_blank" w:history="1">
        <w:r w:rsidRPr="00A62FB8">
          <w:rPr>
            <w:rStyle w:val="Hipervnculo"/>
            <w:color w:val="auto"/>
          </w:rPr>
          <w:t>Esko Kilpi</w:t>
        </w:r>
      </w:hyperlink>
      <w:r w:rsidRPr="002832DD">
        <w:t> </w:t>
      </w:r>
      <w:r w:rsidRPr="00136293">
        <w:rPr>
          <w:u w:val="single"/>
        </w:rPr>
        <w:t>“El trabajo siempre ha sido lo mismo y siempre lo será: trabajar significa encontrar soluciones a los problemas de los otros. Lo que cambia a lo largo del tiempo es el tipo de problemas a solucionar y la forma de hacerlo”.</w:t>
      </w:r>
    </w:p>
    <w:p w:rsidR="00B0273B" w:rsidRPr="00136293" w:rsidRDefault="00B0273B" w:rsidP="00B0273B">
      <w:pPr>
        <w:pStyle w:val="NormalWeb"/>
        <w:jc w:val="both"/>
        <w:rPr>
          <w:u w:val="single"/>
        </w:rPr>
      </w:pPr>
      <w:r w:rsidRPr="00136293">
        <w:rPr>
          <w:u w:val="single"/>
        </w:rPr>
        <w:lastRenderedPageBreak/>
        <w:t>Los trabajos que desempeñamos, sea por ganarnos la vida, por vocación o ambas a la vez, ocupan una proporción notable de nuestro tiempo, además de vincularnos al sistema productivo. Si producimos, si nos considera parte del engranaje, también tenemos derecho a coberturas por desempleo, bajas y demás. Diríamos que esto forma parte del contrato social establecido. La pregunta es si ha llegado el momento de revisar ese acuerdo, y algunas tendencias macro nos indican que sí. Y de forma urgente.</w:t>
      </w:r>
    </w:p>
    <w:p w:rsidR="00B0273B" w:rsidRPr="002832DD" w:rsidRDefault="00B0273B" w:rsidP="00B0273B">
      <w:pPr>
        <w:pStyle w:val="NormalWeb"/>
        <w:jc w:val="both"/>
      </w:pPr>
      <w:r w:rsidRPr="002832DD">
        <w:rPr>
          <w:rStyle w:val="Textoennegrita"/>
        </w:rPr>
        <w:t>Por qué ha caducado el contrato social</w:t>
      </w:r>
    </w:p>
    <w:p w:rsidR="00B0273B" w:rsidRPr="00136293" w:rsidRDefault="00B0273B" w:rsidP="00B0273B">
      <w:pPr>
        <w:pStyle w:val="NormalWeb"/>
        <w:jc w:val="both"/>
        <w:rPr>
          <w:u w:val="single"/>
        </w:rPr>
      </w:pPr>
      <w:r w:rsidRPr="00136293">
        <w:rPr>
          <w:u w:val="single"/>
        </w:rPr>
        <w:t xml:space="preserve">A continuación vamos a ver algunos de los síntomas que nos indican que el contrato social </w:t>
      </w:r>
      <w:r w:rsidR="007E42C8">
        <w:rPr>
          <w:u w:val="single"/>
        </w:rPr>
        <w:t>que teníamos hasta el momento -</w:t>
      </w:r>
      <w:r w:rsidRPr="00136293">
        <w:rPr>
          <w:u w:val="single"/>
        </w:rPr>
        <w:t>conocido como </w:t>
      </w:r>
      <w:r w:rsidRPr="00136293">
        <w:rPr>
          <w:rStyle w:val="nfasis"/>
          <w:rFonts w:eastAsiaTheme="majorEastAsia"/>
          <w:u w:val="single"/>
        </w:rPr>
        <w:t>wage labor,</w:t>
      </w:r>
      <w:r w:rsidR="007E42C8">
        <w:rPr>
          <w:u w:val="single"/>
        </w:rPr>
        <w:t> trabajo a cambio de sueldo-</w:t>
      </w:r>
      <w:r w:rsidRPr="00136293">
        <w:rPr>
          <w:u w:val="single"/>
        </w:rPr>
        <w:t xml:space="preserve"> está empezando a hacer aguas</w:t>
      </w:r>
      <w:r w:rsidRPr="002832DD">
        <w:t xml:space="preserve">. Y la respuesta es que todo pacto parte de unas premisas, y las que se usaron después de la Segunda Guerra Mundial o están débiles, o no existen o directamente se han invertido las tendencias. El mundo ha cambiado y cada vez lo hace más rápido, sin embargo el papel que ocupa el trabajo en nuestra vida personal y colectiva se había estancado. Pero </w:t>
      </w:r>
      <w:r w:rsidRPr="00136293">
        <w:rPr>
          <w:u w:val="single"/>
        </w:rPr>
        <w:t>lo único es constante es el cambio, así que estas tendencias han llegado para cuestionarlo:</w:t>
      </w:r>
    </w:p>
    <w:p w:rsidR="00B0273B" w:rsidRPr="00136293" w:rsidRDefault="00B0273B" w:rsidP="00B0273B">
      <w:pPr>
        <w:numPr>
          <w:ilvl w:val="0"/>
          <w:numId w:val="1"/>
        </w:numPr>
        <w:spacing w:before="100" w:beforeAutospacing="1" w:after="100" w:afterAutospacing="1" w:line="240" w:lineRule="auto"/>
        <w:jc w:val="both"/>
        <w:rPr>
          <w:rFonts w:ascii="Times New Roman" w:hAnsi="Times New Roman" w:cs="Times New Roman"/>
          <w:color w:val="FF0000"/>
          <w:sz w:val="24"/>
          <w:szCs w:val="24"/>
        </w:rPr>
      </w:pPr>
      <w:bookmarkStart w:id="0" w:name="sumario_7"/>
      <w:bookmarkEnd w:id="0"/>
      <w:r w:rsidRPr="002832DD">
        <w:rPr>
          <w:rStyle w:val="Textoennegrita"/>
          <w:rFonts w:ascii="Times New Roman" w:hAnsi="Times New Roman" w:cs="Times New Roman"/>
          <w:sz w:val="24"/>
          <w:szCs w:val="24"/>
        </w:rPr>
        <w:t xml:space="preserve">1. </w:t>
      </w:r>
      <w:r w:rsidRPr="00136293">
        <w:rPr>
          <w:rStyle w:val="Textoennegrita"/>
          <w:rFonts w:ascii="Times New Roman" w:hAnsi="Times New Roman" w:cs="Times New Roman"/>
          <w:color w:val="FF0000"/>
          <w:sz w:val="24"/>
          <w:szCs w:val="24"/>
        </w:rPr>
        <w:t>La idea de “progreso” se desvanece</w:t>
      </w:r>
    </w:p>
    <w:p w:rsidR="00B0273B" w:rsidRPr="002832DD" w:rsidRDefault="00B0273B" w:rsidP="00B0273B">
      <w:pPr>
        <w:pStyle w:val="NormalWeb"/>
        <w:jc w:val="both"/>
      </w:pPr>
      <w:r w:rsidRPr="002832DD">
        <w:t>Si tomamos la versión simple de </w:t>
      </w:r>
      <w:r w:rsidRPr="002832DD">
        <w:rPr>
          <w:rStyle w:val="nfasis"/>
          <w:rFonts w:eastAsiaTheme="majorEastAsia"/>
        </w:rPr>
        <w:t>progreso</w:t>
      </w:r>
      <w:r w:rsidRPr="002832DD">
        <w:t xml:space="preserve">, que es que las cosas vayan mejorando a cada generación, vemos claramente que se desvanece. </w:t>
      </w:r>
      <w:r w:rsidRPr="00A62FB8">
        <w:t>Los </w:t>
      </w:r>
      <w:hyperlink w:tgtFrame="_blank" w:history="1">
        <w:r w:rsidRPr="000777E3">
          <w:rPr>
            <w:rStyle w:val="Hipervnculo"/>
            <w:color w:val="auto"/>
            <w:u w:val="none"/>
          </w:rPr>
          <w:t>datos de Opportunity Insights</w:t>
        </w:r>
      </w:hyperlink>
      <w:r w:rsidRPr="00A62FB8">
        <w:t> reflejan que el 90% de los nacidos en 1945 se ganaban la vida mejor que sus padres, mientras los que sólo lo han conseguido la mitad de los que al mundo a mitad de los 80. Y de forma más reciente, los estragos de la Crisis de 2008 se dejan notar y los jóvenes que tienen 30 años hoy viven peor </w:t>
      </w:r>
      <w:hyperlink w:tgtFrame="_blank" w:history="1">
        <w:r w:rsidRPr="000777E3">
          <w:rPr>
            <w:rStyle w:val="Hipervnculo"/>
            <w:color w:val="auto"/>
            <w:u w:val="none"/>
          </w:rPr>
          <w:t>que los que tenían 30 hace una década</w:t>
        </w:r>
      </w:hyperlink>
      <w:r w:rsidRPr="000777E3">
        <w:t>.</w:t>
      </w:r>
      <w:r w:rsidRPr="00A62FB8">
        <w:t xml:space="preserve"> Los datos del Banco de España confirman un estancamiento nunca visto, incluso peor que la crisis </w:t>
      </w:r>
      <w:r w:rsidRPr="002832DD">
        <w:t>de los 90.</w:t>
      </w:r>
    </w:p>
    <w:p w:rsidR="00B0273B" w:rsidRPr="00136293" w:rsidRDefault="00B0273B" w:rsidP="00B0273B">
      <w:pPr>
        <w:numPr>
          <w:ilvl w:val="0"/>
          <w:numId w:val="2"/>
        </w:numPr>
        <w:spacing w:before="100" w:beforeAutospacing="1" w:after="100" w:afterAutospacing="1" w:line="240" w:lineRule="auto"/>
        <w:jc w:val="both"/>
        <w:rPr>
          <w:rFonts w:ascii="Times New Roman" w:hAnsi="Times New Roman" w:cs="Times New Roman"/>
          <w:color w:val="FF0000"/>
          <w:sz w:val="24"/>
          <w:szCs w:val="24"/>
        </w:rPr>
      </w:pPr>
      <w:r w:rsidRPr="002832DD">
        <w:rPr>
          <w:rStyle w:val="Textoennegrita"/>
          <w:rFonts w:ascii="Times New Roman" w:hAnsi="Times New Roman" w:cs="Times New Roman"/>
          <w:sz w:val="24"/>
          <w:szCs w:val="24"/>
        </w:rPr>
        <w:t xml:space="preserve">2. </w:t>
      </w:r>
      <w:r w:rsidRPr="00136293">
        <w:rPr>
          <w:rStyle w:val="Textoennegrita"/>
          <w:rFonts w:ascii="Times New Roman" w:hAnsi="Times New Roman" w:cs="Times New Roman"/>
          <w:color w:val="FF0000"/>
          <w:sz w:val="24"/>
          <w:szCs w:val="24"/>
        </w:rPr>
        <w:t>El </w:t>
      </w:r>
      <w:r w:rsidRPr="00136293">
        <w:rPr>
          <w:rStyle w:val="nfasis"/>
          <w:rFonts w:ascii="Times New Roman" w:hAnsi="Times New Roman" w:cs="Times New Roman"/>
          <w:color w:val="FF0000"/>
          <w:sz w:val="24"/>
          <w:szCs w:val="24"/>
        </w:rPr>
        <w:t>male-bread winner</w:t>
      </w:r>
      <w:r w:rsidRPr="00136293">
        <w:rPr>
          <w:rStyle w:val="Textoennegrita"/>
          <w:rFonts w:ascii="Times New Roman" w:hAnsi="Times New Roman" w:cs="Times New Roman"/>
          <w:color w:val="FF0000"/>
          <w:sz w:val="24"/>
          <w:szCs w:val="24"/>
        </w:rPr>
        <w:t> ha quedado atrás… pero la brecha de género persiste</w:t>
      </w:r>
    </w:p>
    <w:p w:rsidR="00E60407" w:rsidRPr="000777E3" w:rsidRDefault="00B0273B" w:rsidP="00B0273B">
      <w:pPr>
        <w:pStyle w:val="NormalWeb"/>
        <w:jc w:val="both"/>
      </w:pPr>
      <w:r w:rsidRPr="002832DD">
        <w:t>El modelo que inspiró el </w:t>
      </w:r>
      <w:r w:rsidRPr="002832DD">
        <w:rPr>
          <w:rStyle w:val="nfasis"/>
          <w:rFonts w:eastAsiaTheme="majorEastAsia"/>
        </w:rPr>
        <w:t>New Deal</w:t>
      </w:r>
      <w:r w:rsidRPr="002832DD">
        <w:t xml:space="preserve"> americano de los años 30 estaba edificado sobre una forma muy concreta de familia, donde los ingresos llegan gracias al marido y la esposa se encarga de las tareas de cuidados (invisibles, no remuneradas e infravaloradas socialmente). Hoy trabajan hombres y mujeres, aunque la estructura de incentivos sigue penalizando a las mujeres que deciden apostar por su carrera profesional. Los techos de cristal y los suelos pegajosos se mantienen cuando vemos que sólo 1 de cada 4 empresas cotizadas en España cuentan al menos con 30% de mujeres en puestos </w:t>
      </w:r>
      <w:r w:rsidR="000777E3">
        <w:t>directivos</w:t>
      </w:r>
      <w:r w:rsidRPr="00A62FB8">
        <w:t xml:space="preserve">. También persisten las brechas salariales de género: para ganar el mismo sueldo anual que un hombre ocupando la misma posición y ejerciendo las mismas responsabilidades, las mujeres necesitan trabajar 50 días más </w:t>
      </w:r>
      <w:r w:rsidRPr="000777E3">
        <w:t>según </w:t>
      </w:r>
      <w:hyperlink r:id="rId18" w:history="1">
        <w:r w:rsidRPr="000777E3">
          <w:rPr>
            <w:rStyle w:val="Hipervnculo"/>
            <w:color w:val="auto"/>
            <w:u w:val="none"/>
          </w:rPr>
          <w:t>Oxfam</w:t>
        </w:r>
      </w:hyperlink>
      <w:r w:rsidRPr="000777E3">
        <w:t>. También hay brechas en el liderazgo: </w:t>
      </w:r>
      <w:hyperlink r:id="rId19" w:history="1">
        <w:r w:rsidRPr="000777E3">
          <w:rPr>
            <w:rStyle w:val="Hipervnculo"/>
            <w:color w:val="auto"/>
            <w:u w:val="none"/>
          </w:rPr>
          <w:t>el 86% de las empresas están lideradas por hombres</w:t>
        </w:r>
      </w:hyperlink>
      <w:r w:rsidRPr="000777E3">
        <w:t>.</w:t>
      </w:r>
    </w:p>
    <w:p w:rsidR="00B0273B" w:rsidRPr="00136293" w:rsidRDefault="00B0273B" w:rsidP="00B0273B">
      <w:pPr>
        <w:numPr>
          <w:ilvl w:val="0"/>
          <w:numId w:val="3"/>
        </w:numPr>
        <w:spacing w:before="100" w:beforeAutospacing="1" w:after="100" w:afterAutospacing="1" w:line="240" w:lineRule="auto"/>
        <w:jc w:val="both"/>
        <w:rPr>
          <w:rFonts w:ascii="Times New Roman" w:hAnsi="Times New Roman" w:cs="Times New Roman"/>
          <w:color w:val="FF0000"/>
          <w:sz w:val="24"/>
          <w:szCs w:val="24"/>
        </w:rPr>
      </w:pPr>
      <w:r w:rsidRPr="002832DD">
        <w:rPr>
          <w:rStyle w:val="Textoennegrita"/>
          <w:rFonts w:ascii="Times New Roman" w:hAnsi="Times New Roman" w:cs="Times New Roman"/>
          <w:sz w:val="24"/>
          <w:szCs w:val="24"/>
        </w:rPr>
        <w:t xml:space="preserve">3. </w:t>
      </w:r>
      <w:r w:rsidRPr="00136293">
        <w:rPr>
          <w:rStyle w:val="Textoennegrita"/>
          <w:rFonts w:ascii="Times New Roman" w:hAnsi="Times New Roman" w:cs="Times New Roman"/>
          <w:color w:val="FF0000"/>
          <w:sz w:val="24"/>
          <w:szCs w:val="24"/>
        </w:rPr>
        <w:t>El </w:t>
      </w:r>
      <w:r w:rsidRPr="00136293">
        <w:rPr>
          <w:rStyle w:val="nfasis"/>
          <w:rFonts w:ascii="Times New Roman" w:hAnsi="Times New Roman" w:cs="Times New Roman"/>
          <w:color w:val="FF0000"/>
          <w:sz w:val="24"/>
          <w:szCs w:val="24"/>
        </w:rPr>
        <w:t>efecto mateo</w:t>
      </w:r>
      <w:r w:rsidRPr="00136293">
        <w:rPr>
          <w:rStyle w:val="Textoennegrita"/>
          <w:rFonts w:ascii="Times New Roman" w:hAnsi="Times New Roman" w:cs="Times New Roman"/>
          <w:color w:val="FF0000"/>
          <w:sz w:val="24"/>
          <w:szCs w:val="24"/>
        </w:rPr>
        <w:t> dicta la redistribución de la riqueza</w:t>
      </w:r>
    </w:p>
    <w:p w:rsidR="00B0273B" w:rsidRPr="002832DD" w:rsidRDefault="00B0273B" w:rsidP="00B0273B">
      <w:pPr>
        <w:pStyle w:val="NormalWeb"/>
        <w:jc w:val="both"/>
      </w:pPr>
      <w:r w:rsidRPr="002832DD">
        <w:t>Con el </w:t>
      </w:r>
      <w:r w:rsidRPr="002832DD">
        <w:rPr>
          <w:rStyle w:val="nfasis"/>
          <w:rFonts w:eastAsiaTheme="majorEastAsia"/>
        </w:rPr>
        <w:t>New Deal</w:t>
      </w:r>
      <w:r w:rsidRPr="002832DD">
        <w:t> post Segunda Guerra Mundial, los cambios en el coste de la vida se iba ajustando con la productividad nacional hasta los 70. Kennedy popularizó el aforismo </w:t>
      </w:r>
      <w:r w:rsidRPr="002832DD">
        <w:rPr>
          <w:rStyle w:val="nfasis"/>
          <w:rFonts w:eastAsiaTheme="majorEastAsia"/>
        </w:rPr>
        <w:t>una marea que sube levanta todos los barcos</w:t>
      </w:r>
      <w:r w:rsidRPr="002832DD">
        <w:t xml:space="preserve">. </w:t>
      </w:r>
      <w:r w:rsidRPr="00136293">
        <w:rPr>
          <w:u w:val="single"/>
        </w:rPr>
        <w:t>La redistribución de la riqueza ha quedado truncada. A pesar que la capacidad productiva ha aumentado significativamente, los salarios se han estancado.</w:t>
      </w:r>
      <w:r w:rsidRPr="002832DD">
        <w:t xml:space="preserve"> De hecho, desde 1973 hasta ahora la distancia no ha hecho más que </w:t>
      </w:r>
      <w:r w:rsidRPr="002832DD">
        <w:lastRenderedPageBreak/>
        <w:t>ampliarse. En el siguiente gráfico vemos como la productividad ha crecido un 246% desde entonces, mientras los salarios habrán llegado sólo al 114% en 2020.</w:t>
      </w:r>
    </w:p>
    <w:p w:rsidR="00B0273B" w:rsidRPr="002832DD" w:rsidRDefault="00B0273B" w:rsidP="00B0273B">
      <w:pPr>
        <w:spacing w:line="240" w:lineRule="auto"/>
        <w:jc w:val="both"/>
        <w:rPr>
          <w:rFonts w:ascii="Times New Roman" w:hAnsi="Times New Roman" w:cs="Times New Roman"/>
          <w:sz w:val="24"/>
          <w:szCs w:val="24"/>
        </w:rPr>
      </w:pPr>
      <w:bookmarkStart w:id="1" w:name="sumario_1"/>
      <w:bookmarkEnd w:id="1"/>
      <w:r w:rsidRPr="002832DD">
        <w:rPr>
          <w:rFonts w:ascii="Times New Roman" w:hAnsi="Times New Roman" w:cs="Times New Roman"/>
          <w:noProof/>
          <w:sz w:val="24"/>
          <w:szCs w:val="24"/>
          <w:lang w:val="en-GB" w:eastAsia="en-GB"/>
        </w:rPr>
        <w:drawing>
          <wp:inline distT="0" distB="0" distL="0" distR="0">
            <wp:extent cx="5695950" cy="2413000"/>
            <wp:effectExtent l="0" t="0" r="0" b="6350"/>
            <wp:docPr id="15" name="Imagen 15" descr="¿Por qué necesitamos un nuevo contrato social? Seis tendencias y una propu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 qué necesitamos un nuevo contrato social? Seis tendencias y una propuesta"/>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2413000"/>
                    </a:xfrm>
                    <a:prstGeom prst="rect">
                      <a:avLst/>
                    </a:prstGeom>
                    <a:noFill/>
                    <a:ln>
                      <a:noFill/>
                    </a:ln>
                  </pic:spPr>
                </pic:pic>
              </a:graphicData>
            </a:graphic>
          </wp:inline>
        </w:drawing>
      </w:r>
    </w:p>
    <w:p w:rsidR="00B0273B" w:rsidRPr="00A62FB8" w:rsidRDefault="00B0273B" w:rsidP="00B0273B">
      <w:pPr>
        <w:pStyle w:val="NormalWeb"/>
        <w:jc w:val="both"/>
        <w:rPr>
          <w:u w:val="single"/>
        </w:rPr>
      </w:pPr>
      <w:r w:rsidRPr="00A62FB8">
        <w:t>Esta disociación en parte se explica porque sólo el 51,4% de los ingresos mundiales se generan a partir de empleo (según </w:t>
      </w:r>
      <w:hyperlink r:id="rId21" w:history="1">
        <w:r w:rsidRPr="000777E3">
          <w:rPr>
            <w:rStyle w:val="Hipervnculo"/>
            <w:color w:val="auto"/>
            <w:u w:val="none"/>
          </w:rPr>
          <w:t>datos de la OIT</w:t>
        </w:r>
      </w:hyperlink>
      <w:r w:rsidRPr="00A62FB8">
        <w:t>). El resto, el 48,6% de la riqueza producida va a los propietarios del capital lo que significa que los rendimientos provienen de inversiones (por ejemplo capital riesgo) y la alta rentabilidad alimenta la economía especulativa. Así que sólo la mitad de la riqueza proviene de sueldos, y además estos </w:t>
      </w:r>
      <w:hyperlink r:id="rId22" w:history="1">
        <w:r w:rsidRPr="00A62FB8">
          <w:rPr>
            <w:rStyle w:val="Hipervnculo"/>
            <w:color w:val="auto"/>
          </w:rPr>
          <w:t>reparten de forma muy desequilibrada</w:t>
        </w:r>
      </w:hyperlink>
      <w:r w:rsidRPr="00A62FB8">
        <w:t xml:space="preserve">. </w:t>
      </w:r>
      <w:r w:rsidRPr="00A62FB8">
        <w:rPr>
          <w:u w:val="single"/>
        </w:rPr>
        <w:t>La OIT estima que por cada 10€, 5€ van al 10% de trabajadores y el resto de reparte entre el 90% restante. Y ese 90% también se reparte de forma exponencial: la mitad que menos cobra apenas percibe el 7%.</w:t>
      </w:r>
    </w:p>
    <w:p w:rsidR="00B0273B" w:rsidRPr="00A62FB8" w:rsidRDefault="00B0273B" w:rsidP="00B0273B">
      <w:pPr>
        <w:pStyle w:val="NormalWeb"/>
        <w:jc w:val="both"/>
        <w:rPr>
          <w:u w:val="single"/>
        </w:rPr>
      </w:pPr>
      <w:r w:rsidRPr="00A62FB8">
        <w:rPr>
          <w:u w:val="single"/>
        </w:rPr>
        <w:t>Otra forma de mirarlo es la brecha salarial entre el salario máximo y mínimo: si en 1978 la ratio era de 30 a 1, en 2017 </w:t>
      </w:r>
      <w:hyperlink r:id="rId23" w:history="1">
        <w:r w:rsidRPr="00A62FB8">
          <w:rPr>
            <w:rStyle w:val="Hipervnculo"/>
            <w:color w:val="auto"/>
          </w:rPr>
          <w:t>en 2017 un CEO puede cobrar hasta 300 veces más</w:t>
        </w:r>
      </w:hyperlink>
      <w:r w:rsidRPr="00A62FB8">
        <w:rPr>
          <w:u w:val="single"/>
        </w:rPr>
        <w:t> que cualquier trabajador de base.</w:t>
      </w:r>
    </w:p>
    <w:p w:rsidR="00B0273B" w:rsidRPr="002832DD" w:rsidRDefault="00B0273B" w:rsidP="00B0273B">
      <w:pPr>
        <w:spacing w:line="240" w:lineRule="auto"/>
        <w:jc w:val="both"/>
        <w:rPr>
          <w:rFonts w:ascii="Times New Roman" w:hAnsi="Times New Roman" w:cs="Times New Roman"/>
          <w:sz w:val="24"/>
          <w:szCs w:val="24"/>
        </w:rPr>
      </w:pPr>
      <w:bookmarkStart w:id="2" w:name="sumario_2"/>
      <w:bookmarkEnd w:id="2"/>
      <w:r w:rsidRPr="002832DD">
        <w:rPr>
          <w:rFonts w:ascii="Times New Roman" w:hAnsi="Times New Roman" w:cs="Times New Roman"/>
          <w:noProof/>
          <w:sz w:val="24"/>
          <w:szCs w:val="24"/>
          <w:lang w:val="en-GB" w:eastAsia="en-GB"/>
        </w:rPr>
        <w:drawing>
          <wp:inline distT="0" distB="0" distL="0" distR="0">
            <wp:extent cx="5765800" cy="2997200"/>
            <wp:effectExtent l="0" t="0" r="6350" b="0"/>
            <wp:docPr id="14" name="Imagen 14" descr="¿Por qué necesitamos un nuevo contrato social? Seis tendencias y una propu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r qué necesitamos un nuevo contrato social? Seis tendencias y una propuesta"/>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5800" cy="2997200"/>
                    </a:xfrm>
                    <a:prstGeom prst="rect">
                      <a:avLst/>
                    </a:prstGeom>
                    <a:noFill/>
                    <a:ln>
                      <a:noFill/>
                    </a:ln>
                  </pic:spPr>
                </pic:pic>
              </a:graphicData>
            </a:graphic>
          </wp:inline>
        </w:drawing>
      </w:r>
    </w:p>
    <w:p w:rsidR="00B0273B" w:rsidRPr="000777E3" w:rsidRDefault="00B0273B" w:rsidP="00B0273B">
      <w:pPr>
        <w:pStyle w:val="NormalWeb"/>
        <w:jc w:val="both"/>
      </w:pPr>
      <w:r w:rsidRPr="00A62FB8">
        <w:lastRenderedPageBreak/>
        <w:t xml:space="preserve">Y un último dato en este sentido: si tomamos toda la riqueza y el patrimonio de los 10 hombres multimillonarios del mundo, suman por encima del PIB anual de muchos países </w:t>
      </w:r>
      <w:r w:rsidRPr="000777E3">
        <w:t>(</w:t>
      </w:r>
      <w:hyperlink r:id="rId25" w:anchor="cddc4716523d" w:history="1">
        <w:r w:rsidRPr="000777E3">
          <w:rPr>
            <w:rStyle w:val="Hipervnculo"/>
            <w:color w:val="auto"/>
            <w:u w:val="none"/>
          </w:rPr>
          <w:t>2018 Forbes ranking</w:t>
        </w:r>
      </w:hyperlink>
      <w:r w:rsidRPr="000777E3">
        <w:t>):</w:t>
      </w:r>
    </w:p>
    <w:p w:rsidR="00B0273B" w:rsidRPr="00A62FB8" w:rsidRDefault="00B0273B" w:rsidP="00B0273B">
      <w:pPr>
        <w:spacing w:line="240" w:lineRule="auto"/>
        <w:jc w:val="both"/>
        <w:rPr>
          <w:rFonts w:ascii="Times New Roman" w:hAnsi="Times New Roman" w:cs="Times New Roman"/>
          <w:sz w:val="24"/>
          <w:szCs w:val="24"/>
        </w:rPr>
      </w:pPr>
      <w:bookmarkStart w:id="3" w:name="sumario_3"/>
      <w:bookmarkEnd w:id="3"/>
      <w:r w:rsidRPr="00A62FB8">
        <w:rPr>
          <w:rFonts w:ascii="Times New Roman" w:hAnsi="Times New Roman" w:cs="Times New Roman"/>
          <w:noProof/>
          <w:sz w:val="24"/>
          <w:szCs w:val="24"/>
          <w:lang w:val="en-GB" w:eastAsia="en-GB"/>
        </w:rPr>
        <w:drawing>
          <wp:inline distT="0" distB="0" distL="0" distR="0">
            <wp:extent cx="5708650" cy="2933700"/>
            <wp:effectExtent l="0" t="0" r="6350" b="0"/>
            <wp:docPr id="13" name="Imagen 13" descr="¿Por qué necesitamos un nuevo contrato social? Seis tendencias y una propu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r qué necesitamos un nuevo contrato social? Seis tendencias y una propuesta"/>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650" cy="2933700"/>
                    </a:xfrm>
                    <a:prstGeom prst="rect">
                      <a:avLst/>
                    </a:prstGeom>
                    <a:noFill/>
                    <a:ln>
                      <a:noFill/>
                    </a:ln>
                  </pic:spPr>
                </pic:pic>
              </a:graphicData>
            </a:graphic>
          </wp:inline>
        </w:drawing>
      </w:r>
    </w:p>
    <w:p w:rsidR="00B0273B" w:rsidRPr="00E60407" w:rsidRDefault="00B0273B" w:rsidP="00B0273B">
      <w:pPr>
        <w:numPr>
          <w:ilvl w:val="0"/>
          <w:numId w:val="4"/>
        </w:numPr>
        <w:spacing w:before="100" w:beforeAutospacing="1" w:after="100" w:afterAutospacing="1" w:line="240" w:lineRule="auto"/>
        <w:jc w:val="both"/>
        <w:rPr>
          <w:rFonts w:ascii="Times New Roman" w:hAnsi="Times New Roman" w:cs="Times New Roman"/>
          <w:color w:val="FF0000"/>
          <w:sz w:val="24"/>
          <w:szCs w:val="24"/>
        </w:rPr>
      </w:pPr>
      <w:r w:rsidRPr="00A62FB8">
        <w:rPr>
          <w:rStyle w:val="Textoennegrita"/>
          <w:rFonts w:ascii="Times New Roman" w:hAnsi="Times New Roman" w:cs="Times New Roman"/>
          <w:sz w:val="24"/>
          <w:szCs w:val="24"/>
        </w:rPr>
        <w:t xml:space="preserve">4. </w:t>
      </w:r>
      <w:r w:rsidRPr="00E60407">
        <w:rPr>
          <w:rStyle w:val="Textoennegrita"/>
          <w:rFonts w:ascii="Times New Roman" w:hAnsi="Times New Roman" w:cs="Times New Roman"/>
          <w:color w:val="FF0000"/>
          <w:sz w:val="24"/>
          <w:szCs w:val="24"/>
        </w:rPr>
        <w:t>Precariado y la clase inútil: la emergencia de nuevas clases sociales</w:t>
      </w:r>
    </w:p>
    <w:p w:rsidR="00B0273B" w:rsidRPr="00A62FB8" w:rsidRDefault="00B0273B" w:rsidP="00B0273B">
      <w:pPr>
        <w:pStyle w:val="NormalWeb"/>
        <w:jc w:val="both"/>
      </w:pPr>
      <w:r w:rsidRPr="00A62FB8">
        <w:rPr>
          <w:u w:val="single"/>
        </w:rPr>
        <w:t>A esto hay que sumarle que la precariedad se ha convertido en la nueva normalidad, especialmente a partir de la crisis de 2008.Así, aparecen nuevos fenómenos como el precariado, entendido como la nueva clase social forjada por pésimas condiciones laborales y la austeridad como mantra existencial.</w:t>
      </w:r>
      <w:r w:rsidRPr="00A62FB8">
        <w:t xml:space="preserve"> Fue icónica la huelga de trabajadores de la cadena de hoteles Marriott, donde su proclama era que un único trabajo debería ser suficiente (One job should be enough). Guy Standing hace una radiografía de esta nueva clase </w:t>
      </w:r>
      <w:r w:rsidRPr="000777E3">
        <w:t>social </w:t>
      </w:r>
      <w:hyperlink r:id="rId27" w:tgtFrame="_blank" w:history="1">
        <w:r w:rsidRPr="000777E3">
          <w:rPr>
            <w:rStyle w:val="Hipervnculo"/>
            <w:color w:val="auto"/>
            <w:u w:val="none"/>
          </w:rPr>
          <w:t>en su libro </w:t>
        </w:r>
        <w:r w:rsidRPr="000777E3">
          <w:rPr>
            <w:rStyle w:val="nfasis"/>
            <w:rFonts w:eastAsiaTheme="majorEastAsia"/>
          </w:rPr>
          <w:t>El precariado</w:t>
        </w:r>
      </w:hyperlink>
      <w:r w:rsidRPr="00A62FB8">
        <w:t>. </w:t>
      </w:r>
    </w:p>
    <w:p w:rsidR="00B0273B" w:rsidRPr="00A62FB8" w:rsidRDefault="00B0273B" w:rsidP="00B0273B">
      <w:pPr>
        <w:pStyle w:val="NormalWeb"/>
        <w:jc w:val="both"/>
      </w:pPr>
      <w:r w:rsidRPr="00A62FB8">
        <w:rPr>
          <w:u w:val="single"/>
        </w:rPr>
        <w:t>Otra clase social que vaticina Yuval Noah Harari es la clase inútil (useless class). El historiador israelí cree que en 2050 ya existirá la categoría de personas desempleadas y no empleables</w:t>
      </w:r>
      <w:r w:rsidRPr="00A62FB8">
        <w:t>. El desplazamiento de las personas con menor cualificación y dedicadas a tareas más rutinarias estaría causado especialmente por la automatización y los avances en inteligencia artificial.</w:t>
      </w:r>
    </w:p>
    <w:p w:rsidR="00B0273B" w:rsidRPr="002832DD" w:rsidRDefault="00B0273B" w:rsidP="00B0273B">
      <w:pPr>
        <w:pStyle w:val="NormalWeb"/>
        <w:jc w:val="both"/>
      </w:pPr>
      <w:r w:rsidRPr="00A62FB8">
        <w:rPr>
          <w:u w:val="single"/>
        </w:rPr>
        <w:t>Existen numerosos estudios que intentan cuantificar cuántos millones de puestos de trabajo se van a perder por la disrupción digital, aunque vale la pena advertir que la adopción de la tecnología depende de muchos factores</w:t>
      </w:r>
      <w:r w:rsidRPr="00A62FB8">
        <w:t xml:space="preserve">. No es tan sencillo que exista la tecnología: hacen falta inversiones significativas para adquirirla, talento capaz de usarla y mantenerla, además de necesitar aceptabilidad social. Tampoco es cierto que se sustituyan puestos de trabajo en bloque, sino que se automatizarán tareas (las más mecánicas, rutinarias y predecibles), con que los trabajos que estén más basados en este tipo de cometidos quedarán más afectados que los más creativos. </w:t>
      </w:r>
      <w:r w:rsidRPr="00A62FB8">
        <w:rPr>
          <w:u w:val="single"/>
        </w:rPr>
        <w:t xml:space="preserve">El Financial Times junto a McKinsey diseñaron una calculadora para que le </w:t>
      </w:r>
      <w:r w:rsidRPr="0068696E">
        <w:rPr>
          <w:u w:val="single"/>
        </w:rPr>
        <w:t>puedas preguntar qué probabilidades hay que un robot te sustituya en el trabajo</w:t>
      </w:r>
      <w:r w:rsidRPr="002832DD">
        <w:t>:</w:t>
      </w:r>
    </w:p>
    <w:p w:rsidR="00B0273B" w:rsidRPr="002832DD" w:rsidRDefault="00B0273B" w:rsidP="00B0273B">
      <w:pPr>
        <w:spacing w:line="240" w:lineRule="auto"/>
        <w:jc w:val="both"/>
        <w:rPr>
          <w:rFonts w:ascii="Times New Roman" w:hAnsi="Times New Roman" w:cs="Times New Roman"/>
          <w:sz w:val="24"/>
          <w:szCs w:val="24"/>
        </w:rPr>
      </w:pPr>
      <w:bookmarkStart w:id="4" w:name="sumario_5"/>
      <w:bookmarkEnd w:id="4"/>
      <w:r w:rsidRPr="002832DD">
        <w:rPr>
          <w:rFonts w:ascii="Times New Roman" w:hAnsi="Times New Roman" w:cs="Times New Roman"/>
          <w:noProof/>
          <w:sz w:val="24"/>
          <w:szCs w:val="24"/>
          <w:lang w:val="en-GB" w:eastAsia="en-GB"/>
        </w:rPr>
        <w:lastRenderedPageBreak/>
        <w:drawing>
          <wp:inline distT="0" distB="0" distL="0" distR="0">
            <wp:extent cx="5816600" cy="4356100"/>
            <wp:effectExtent l="0" t="0" r="0" b="6350"/>
            <wp:docPr id="12" name="Imagen 12" descr="¿Por qué necesitamos un nuevo contrato social? Seis tendencias y una propu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r qué necesitamos un nuevo contrato social? Seis tendencias y una propuesta"/>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6600" cy="4356100"/>
                    </a:xfrm>
                    <a:prstGeom prst="rect">
                      <a:avLst/>
                    </a:prstGeom>
                    <a:noFill/>
                    <a:ln>
                      <a:noFill/>
                    </a:ln>
                  </pic:spPr>
                </pic:pic>
              </a:graphicData>
            </a:graphic>
          </wp:inline>
        </w:drawing>
      </w:r>
    </w:p>
    <w:p w:rsidR="00B0273B" w:rsidRPr="0068696E" w:rsidRDefault="00B0273B" w:rsidP="00B0273B">
      <w:pPr>
        <w:numPr>
          <w:ilvl w:val="0"/>
          <w:numId w:val="5"/>
        </w:numPr>
        <w:spacing w:before="100" w:beforeAutospacing="1" w:after="100" w:afterAutospacing="1" w:line="240" w:lineRule="auto"/>
        <w:jc w:val="both"/>
        <w:rPr>
          <w:rFonts w:ascii="Times New Roman" w:hAnsi="Times New Roman" w:cs="Times New Roman"/>
          <w:color w:val="FF0000"/>
          <w:sz w:val="24"/>
          <w:szCs w:val="24"/>
        </w:rPr>
      </w:pPr>
      <w:r w:rsidRPr="002832DD">
        <w:rPr>
          <w:rStyle w:val="Textoennegrita"/>
          <w:rFonts w:ascii="Times New Roman" w:hAnsi="Times New Roman" w:cs="Times New Roman"/>
          <w:sz w:val="24"/>
          <w:szCs w:val="24"/>
        </w:rPr>
        <w:t xml:space="preserve">5. </w:t>
      </w:r>
      <w:r w:rsidRPr="0068696E">
        <w:rPr>
          <w:rStyle w:val="Textoennegrita"/>
          <w:rFonts w:ascii="Times New Roman" w:hAnsi="Times New Roman" w:cs="Times New Roman"/>
          <w:color w:val="FF0000"/>
          <w:sz w:val="24"/>
          <w:szCs w:val="24"/>
        </w:rPr>
        <w:t>Nuevos significados de la “carrera profesional”</w:t>
      </w:r>
    </w:p>
    <w:p w:rsidR="00B0273B" w:rsidRPr="0068696E" w:rsidRDefault="00B0273B" w:rsidP="00B0273B">
      <w:pPr>
        <w:pStyle w:val="NormalWeb"/>
        <w:jc w:val="both"/>
        <w:rPr>
          <w:u w:val="single"/>
        </w:rPr>
      </w:pPr>
      <w:r w:rsidRPr="0068696E">
        <w:rPr>
          <w:u w:val="single"/>
        </w:rPr>
        <w:t>La actividad profesional cada vez se alejará de la idea estanca y continua de carrera</w:t>
      </w:r>
      <w:r w:rsidRPr="002832DD">
        <w:t xml:space="preserve">. Hasta la generación X (nacidos en los 60), la visión dominante es una carrera profesional concreta, basada en un único trabajo para la compañía de la vida. Los </w:t>
      </w:r>
      <w:r w:rsidR="00F1176B" w:rsidRPr="002832DD">
        <w:t>Dillen</w:t>
      </w:r>
      <w:r w:rsidR="00F1176B">
        <w:t>i</w:t>
      </w:r>
      <w:r w:rsidR="00F1176B" w:rsidRPr="002832DD">
        <w:t>ales</w:t>
      </w:r>
      <w:r w:rsidRPr="002832DD">
        <w:t xml:space="preserve"> (nacidos en los 80) seguimos vislumbrando una carrera profesional determinada, concatenando trabajos diversos en distintas empresas u organizaciones empleadoras. </w:t>
      </w:r>
      <w:r w:rsidRPr="0068696E">
        <w:rPr>
          <w:u w:val="single"/>
        </w:rPr>
        <w:t>La generación Z (nacidos en el siglo XXI) la carrera profesional consiste en una suma de trabajos distintos en organizaciones diferentes, con vinculaciones contractuales distintas:</w:t>
      </w:r>
    </w:p>
    <w:p w:rsidR="00B0273B" w:rsidRPr="002832DD" w:rsidRDefault="00B0273B" w:rsidP="00B0273B">
      <w:pPr>
        <w:pStyle w:val="NormalWeb"/>
        <w:jc w:val="both"/>
      </w:pPr>
      <w:r w:rsidRPr="0068696E">
        <w:rPr>
          <w:u w:val="single"/>
        </w:rPr>
        <w:t>Este cambio hacia una concepción pixelada del trabajo, se apoya en las plataformas que conectan freelancers con tareas a desempeñar</w:t>
      </w:r>
      <w:r w:rsidRPr="002832DD">
        <w:t>. En la conferencia dedicaremos una sesión a explorar las distintas fórmulas legales de vinculación contractual y colaboración, desde contar con autónomos a microcontratos por minutos.</w:t>
      </w:r>
    </w:p>
    <w:p w:rsidR="00B0273B" w:rsidRPr="002832DD" w:rsidRDefault="00B0273B" w:rsidP="00B0273B">
      <w:pPr>
        <w:pStyle w:val="NormalWeb"/>
        <w:jc w:val="both"/>
      </w:pPr>
      <w:r w:rsidRPr="0068696E">
        <w:rPr>
          <w:u w:val="single"/>
        </w:rPr>
        <w:t>Vivimos también el auge de las capacidades y habilidades, donde ya no importan tanto el título o la categoría laboral a la que perteneces sino aquello que puedas hacer</w:t>
      </w:r>
      <w:r w:rsidRPr="002832DD">
        <w:t>. LinkedIn en China está testando el Skills Genome, para desarrollar métricas más dinámicas y precisas, basadas en habilidades en lugar de posiciones. Algunos expertos incluso vaticinan que en 2050 habrán muerto los jefes, en la concepción que tenemos hoy.</w:t>
      </w:r>
    </w:p>
    <w:p w:rsidR="00B0273B" w:rsidRPr="002832DD" w:rsidRDefault="00B0273B" w:rsidP="00B0273B">
      <w:pPr>
        <w:spacing w:line="240" w:lineRule="auto"/>
        <w:jc w:val="both"/>
        <w:rPr>
          <w:rFonts w:ascii="Times New Roman" w:hAnsi="Times New Roman" w:cs="Times New Roman"/>
          <w:sz w:val="24"/>
          <w:szCs w:val="24"/>
        </w:rPr>
      </w:pPr>
      <w:bookmarkStart w:id="5" w:name="sumario_6"/>
      <w:bookmarkEnd w:id="5"/>
      <w:r w:rsidRPr="002832DD">
        <w:rPr>
          <w:rFonts w:ascii="Times New Roman" w:hAnsi="Times New Roman" w:cs="Times New Roman"/>
          <w:noProof/>
          <w:sz w:val="24"/>
          <w:szCs w:val="24"/>
          <w:lang w:val="en-GB" w:eastAsia="en-GB"/>
        </w:rPr>
        <w:lastRenderedPageBreak/>
        <w:drawing>
          <wp:inline distT="0" distB="0" distL="0" distR="0">
            <wp:extent cx="5607050" cy="3536950"/>
            <wp:effectExtent l="0" t="0" r="0" b="6350"/>
            <wp:docPr id="11" name="Imagen 11" descr="¿Por qué necesitamos un nuevo contrato social? Seis tendencias y una propu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r qué necesitamos un nuevo contrato social? Seis tendencias y una propuesta"/>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7050" cy="3536950"/>
                    </a:xfrm>
                    <a:prstGeom prst="rect">
                      <a:avLst/>
                    </a:prstGeom>
                    <a:noFill/>
                    <a:ln>
                      <a:noFill/>
                    </a:ln>
                  </pic:spPr>
                </pic:pic>
              </a:graphicData>
            </a:graphic>
          </wp:inline>
        </w:drawing>
      </w:r>
    </w:p>
    <w:p w:rsidR="00B0273B" w:rsidRPr="0068696E" w:rsidRDefault="00B0273B" w:rsidP="00B0273B">
      <w:pPr>
        <w:numPr>
          <w:ilvl w:val="0"/>
          <w:numId w:val="6"/>
        </w:numPr>
        <w:spacing w:before="100" w:beforeAutospacing="1" w:after="100" w:afterAutospacing="1" w:line="240" w:lineRule="auto"/>
        <w:jc w:val="both"/>
        <w:rPr>
          <w:rFonts w:ascii="Times New Roman" w:hAnsi="Times New Roman" w:cs="Times New Roman"/>
          <w:color w:val="FF0000"/>
          <w:sz w:val="24"/>
          <w:szCs w:val="24"/>
        </w:rPr>
      </w:pPr>
      <w:r w:rsidRPr="002832DD">
        <w:rPr>
          <w:rStyle w:val="Textoennegrita"/>
          <w:rFonts w:ascii="Times New Roman" w:hAnsi="Times New Roman" w:cs="Times New Roman"/>
          <w:sz w:val="24"/>
          <w:szCs w:val="24"/>
        </w:rPr>
        <w:t xml:space="preserve">6. </w:t>
      </w:r>
      <w:r w:rsidRPr="0068696E">
        <w:rPr>
          <w:rStyle w:val="Textoennegrita"/>
          <w:rFonts w:ascii="Times New Roman" w:hAnsi="Times New Roman" w:cs="Times New Roman"/>
          <w:color w:val="FF0000"/>
          <w:sz w:val="24"/>
          <w:szCs w:val="24"/>
        </w:rPr>
        <w:t>El triple filo de las plataformas digitales</w:t>
      </w:r>
    </w:p>
    <w:p w:rsidR="00B0273B" w:rsidRPr="0068696E" w:rsidRDefault="00B0273B" w:rsidP="00B0273B">
      <w:pPr>
        <w:pStyle w:val="NormalWeb"/>
        <w:jc w:val="both"/>
        <w:rPr>
          <w:u w:val="single"/>
        </w:rPr>
      </w:pPr>
      <w:r w:rsidRPr="0068696E">
        <w:rPr>
          <w:u w:val="single"/>
        </w:rPr>
        <w:t>Han venido para quedarse y de momento se usan para sacar un extra, esa fuente secundaria de ingresos para completar el sueldo precario</w:t>
      </w:r>
      <w:r w:rsidRPr="002832DD">
        <w:t xml:space="preserve">. En España el 12,5% han colaborado alguna vez con ellas. </w:t>
      </w:r>
      <w:r w:rsidRPr="0068696E">
        <w:rPr>
          <w:u w:val="single"/>
        </w:rPr>
        <w:t>Predomina la retórica de la autonomía y la flexibilidad, pero son un arma de triple filo. Los costes de entrada son relativamente bajos, así que está al acceso de cualquiera. Incluso son un espacio de generación de “oportunidades” para personas que están situación irregular.</w:t>
      </w:r>
    </w:p>
    <w:p w:rsidR="00B0273B" w:rsidRPr="0068696E" w:rsidRDefault="00B0273B" w:rsidP="00B0273B">
      <w:pPr>
        <w:pStyle w:val="NormalWeb"/>
        <w:jc w:val="both"/>
        <w:rPr>
          <w:u w:val="single"/>
        </w:rPr>
      </w:pPr>
      <w:r w:rsidRPr="0068696E">
        <w:rPr>
          <w:u w:val="single"/>
        </w:rPr>
        <w:t>En segundo lugar y no obstante estas plataformas no están exentas de polémicas vinculadas a la desregulación o a las malas praxis en términos de fiscalidad</w:t>
      </w:r>
      <w:r w:rsidRPr="002832DD">
        <w:t xml:space="preserve">. </w:t>
      </w:r>
      <w:r w:rsidRPr="0068696E">
        <w:rPr>
          <w:u w:val="single"/>
        </w:rPr>
        <w:t>La tensión sobre su responsabilidad para con los colaboradores en las plataformas, independientemente de si colaboran activamente de forma regular u ocasional, es que se desdibuja todo el sistema de protecciones sociales, basado en la lógica productiva de la contribución al sistema vía contrato laboral</w:t>
      </w:r>
      <w:r w:rsidRPr="002832DD">
        <w:t xml:space="preserve">. Así, se pone en duda hasta qué punto tiene sentido que el conjunto de beneficios asociados a “producir” deberían asociarse al “existir”, </w:t>
      </w:r>
      <w:r w:rsidRPr="0068696E">
        <w:rPr>
          <w:u w:val="single"/>
        </w:rPr>
        <w:t>lo que obliga a replantear los fundamentos del estado de bienestar que conocemos hoy en día. ¿Qué va a ocurrir con el sistema de pensiones con una población cada vez más envejecida? ¿Qué papel puede jugar la Renta Básica Universal y cuáles deberían ser las condiciones?</w:t>
      </w:r>
    </w:p>
    <w:p w:rsidR="00B0273B" w:rsidRPr="002832DD" w:rsidRDefault="00B0273B" w:rsidP="00B0273B">
      <w:pPr>
        <w:pStyle w:val="NormalWeb"/>
        <w:jc w:val="both"/>
      </w:pPr>
      <w:r w:rsidRPr="0068696E">
        <w:rPr>
          <w:u w:val="single"/>
        </w:rPr>
        <w:t>Y el tercer filo, pero no por ello menos importante es la atomización, la re-individualización de la “negociación laboral”.</w:t>
      </w:r>
      <w:r w:rsidRPr="002832DD">
        <w:t xml:space="preserve"> En las plataformas colaboran personas aisladas, que trabajan en remoto y que sólo tienen como punto de contacto la plataforma (y a veces a través de mecanismos automáticos únicamente). El trabajo para plataformas pierde la noción colectiva, tanto por lo que se refiere a la capacidad de negociación como al sentimiento de pertenencia a </w:t>
      </w:r>
      <w:r w:rsidRPr="00A62FB8">
        <w:t>una comunidad. Es un momento interesante, lleno de retos y oportunidades tanto para los sindicatos tradicionales (cómo pueden adaptarse a las nuevas necesidades) como para el neo-sindicatos surgidos de la necesidad de organizarse. En </w:t>
      </w:r>
      <w:hyperlink r:id="rId30" w:history="1">
        <w:r w:rsidRPr="000777E3">
          <w:rPr>
            <w:rStyle w:val="Hipervnculo"/>
            <w:color w:val="auto"/>
            <w:u w:val="none"/>
          </w:rPr>
          <w:t>Reshaping Work</w:t>
        </w:r>
      </w:hyperlink>
      <w:r w:rsidRPr="00A62FB8">
        <w:t xml:space="preserve"> nos preguntamos si </w:t>
      </w:r>
      <w:r w:rsidRPr="002832DD">
        <w:lastRenderedPageBreak/>
        <w:t>estamos ante una vuelta a los (neo)gremios, en el sentido de creación de tribus laborales para ayudar, compartir y mutualizar.</w:t>
      </w:r>
    </w:p>
    <w:p w:rsidR="00B0273B" w:rsidRPr="002832DD" w:rsidRDefault="00B0273B" w:rsidP="00B0273B">
      <w:pPr>
        <w:pStyle w:val="Ttulo4"/>
        <w:spacing w:line="240" w:lineRule="auto"/>
        <w:jc w:val="both"/>
        <w:rPr>
          <w:rFonts w:ascii="Times New Roman" w:hAnsi="Times New Roman" w:cs="Times New Roman"/>
          <w:b w:val="0"/>
          <w:bCs w:val="0"/>
          <w:color w:val="auto"/>
          <w:sz w:val="24"/>
          <w:szCs w:val="24"/>
        </w:rPr>
      </w:pPr>
      <w:r w:rsidRPr="002832DD">
        <w:rPr>
          <w:rFonts w:ascii="Times New Roman" w:hAnsi="Times New Roman" w:cs="Times New Roman"/>
          <w:b w:val="0"/>
          <w:bCs w:val="0"/>
          <w:color w:val="auto"/>
          <w:sz w:val="24"/>
          <w:szCs w:val="24"/>
        </w:rPr>
        <w:t>De ahí que necesitemos un nuevo contrato social</w:t>
      </w:r>
    </w:p>
    <w:p w:rsidR="00B0273B" w:rsidRPr="0068696E" w:rsidRDefault="00B0273B" w:rsidP="00B0273B">
      <w:pPr>
        <w:pStyle w:val="NormalWeb"/>
        <w:jc w:val="both"/>
        <w:rPr>
          <w:color w:val="FF0000"/>
          <w:u w:val="single"/>
        </w:rPr>
      </w:pPr>
      <w:r w:rsidRPr="0068696E">
        <w:rPr>
          <w:color w:val="FF0000"/>
          <w:u w:val="single"/>
        </w:rPr>
        <w:t>Es evidente que por lo que viene y lo que vendrá necesitamos actualizar la versión caduca del contrato social. Hay numerosos cambios que afectan no sólo las formas de producción y la redistribución del capital, sino que la revolución digital plantea también muchos retos en el tejido social.</w:t>
      </w:r>
    </w:p>
    <w:p w:rsidR="00B0273B" w:rsidRPr="00A62FB8" w:rsidRDefault="00170DCC" w:rsidP="00B0273B">
      <w:pPr>
        <w:pStyle w:val="NormalWeb"/>
        <w:jc w:val="both"/>
      </w:pPr>
      <w:hyperlink r:id="rId31" w:history="1">
        <w:r w:rsidR="00B0273B" w:rsidRPr="000777E3">
          <w:rPr>
            <w:rStyle w:val="Hipervnculo"/>
            <w:color w:val="auto"/>
            <w:u w:val="none"/>
          </w:rPr>
          <w:t>Thomas Kochan</w:t>
        </w:r>
      </w:hyperlink>
      <w:r w:rsidR="00B0273B" w:rsidRPr="00A62FB8">
        <w:t>, co-director del Sloan Institute for Work and Employment Research del MIT, advierte que debemos pasar de las predicciones apoteósicas sobre los empleos que van a destruir los robots a configurar una hoja de ruta equitativa e inclusiva. No solo es ése camino al </w:t>
      </w:r>
      <w:r w:rsidR="00B0273B" w:rsidRPr="00A62FB8">
        <w:rPr>
          <w:rStyle w:val="nfasis"/>
          <w:rFonts w:eastAsiaTheme="majorEastAsia"/>
        </w:rPr>
        <w:t>trabajo decente</w:t>
      </w:r>
      <w:r w:rsidR="00B0273B" w:rsidRPr="00A62FB8">
        <w:t> que proponen los ODS; sino que es también el momento de plantear cómo debe ser un buen trabajo en el futuro. Qué lo hace bueno, para quién y en qué condiciones. La mejor forma de llegar a ese nuevo contrato social para cambiar reglas de la economía global es generar espacios de debate que alberguen muchas voces distintas (y a veces con intereses opuestos). Está demostrado que los consensos son </w:t>
      </w:r>
      <w:hyperlink r:id="rId32" w:history="1">
        <w:r w:rsidR="00B0273B" w:rsidRPr="00A62FB8">
          <w:rPr>
            <w:rStyle w:val="Hipervnculo"/>
            <w:color w:val="auto"/>
          </w:rPr>
          <w:t>más amplios y más estables</w:t>
        </w:r>
      </w:hyperlink>
      <w:r w:rsidR="00B0273B" w:rsidRPr="00A62FB8">
        <w:t> en la medida que aumenta la diversidad en el proceso.</w:t>
      </w:r>
    </w:p>
    <w:p w:rsidR="00B0273B" w:rsidRDefault="00B0273B" w:rsidP="00B0273B">
      <w:pPr>
        <w:pStyle w:val="NormalWeb"/>
        <w:jc w:val="both"/>
      </w:pPr>
      <w:r>
        <w:t>(</w:t>
      </w:r>
      <w:r w:rsidRPr="002832DD">
        <w:t>Liliana Arroyo Moliner es investigadora del Instituto de Innovación Social de ESADE y responsable del Comité Científico de Reshaping Work</w:t>
      </w:r>
      <w:r>
        <w:t>)</w:t>
      </w:r>
    </w:p>
    <w:p w:rsidR="00E60407" w:rsidRDefault="00E60407" w:rsidP="00E60407">
      <w:pPr>
        <w:pStyle w:val="NormalWeb"/>
        <w:jc w:val="both"/>
      </w:pPr>
      <w:r>
        <w:t xml:space="preserve">- </w:t>
      </w:r>
      <w:r w:rsidRPr="001A2F50">
        <w:rPr>
          <w:u w:val="single"/>
        </w:rPr>
        <w:t>La confusión mercantilista de Trump</w:t>
      </w:r>
      <w:r>
        <w:t xml:space="preserve"> (Project Syndicate - </w:t>
      </w:r>
      <w:r w:rsidRPr="001A2F50">
        <w:rPr>
          <w:b/>
        </w:rPr>
        <w:t>5/9/19</w:t>
      </w:r>
      <w:r>
        <w:t>)</w:t>
      </w:r>
    </w:p>
    <w:p w:rsidR="00E60407" w:rsidRPr="009A6384" w:rsidRDefault="000777E3" w:rsidP="00E60407">
      <w:pPr>
        <w:pStyle w:val="NormalWeb"/>
        <w:jc w:val="both"/>
        <w:rPr>
          <w:u w:val="single"/>
        </w:rPr>
      </w:pPr>
      <w:r>
        <w:t>Cambridge.-</w:t>
      </w:r>
      <w:r w:rsidR="00E60407" w:rsidRPr="008F5184">
        <w:rPr>
          <w:u w:val="single"/>
        </w:rPr>
        <w:t xml:space="preserve">Cuando en marzo de 2018 el presidente estadounidense Donald Trump dijo que “las guerras comerciales son buenas y fáciles de ganar”, muchos desestimaron el comentario como un mero devaneo retórico sin grandes consecuencias. </w:t>
      </w:r>
      <w:r w:rsidR="00E60407" w:rsidRPr="009A6384">
        <w:rPr>
          <w:u w:val="single"/>
        </w:rPr>
        <w:t>¿Lo era?</w:t>
      </w:r>
    </w:p>
    <w:p w:rsidR="00E60407" w:rsidRPr="008F5184" w:rsidRDefault="00E60407" w:rsidP="00E60407">
      <w:pPr>
        <w:pStyle w:val="NormalWeb"/>
        <w:jc w:val="both"/>
        <w:rPr>
          <w:u w:val="single"/>
        </w:rPr>
      </w:pPr>
      <w:r w:rsidRPr="008F5184">
        <w:rPr>
          <w:u w:val="single"/>
        </w:rPr>
        <w:t>Los países comercian entre sí para conseguir importaciones (bienes de consumo, bienes intermedios para la producción y equipamiento) a cambio de exportaciones. Visto de este modo, las exportaciones no son sino los bienes que un país está dispuesto a entregar para conseguir algo que quiere o necesita.</w:t>
      </w:r>
    </w:p>
    <w:p w:rsidR="00E60407" w:rsidRPr="008F5184" w:rsidRDefault="00E60407" w:rsidP="00E60407">
      <w:pPr>
        <w:pStyle w:val="NormalWeb"/>
        <w:jc w:val="both"/>
        <w:rPr>
          <w:u w:val="single"/>
        </w:rPr>
      </w:pPr>
      <w:r w:rsidRPr="008F5184">
        <w:rPr>
          <w:u w:val="single"/>
        </w:rPr>
        <w:t>Pero el comercio internacional también aumenta (en términos netos) el volumen total de la economía, porque permite a los países concentrarse en lo que hacen mejor, para producir bienes en las áreas en las que son relativamente más productivos. Según la teoría de las ventajas comparativas de David Ricardo, las fortalezas relativas de los países derivan de diferencias en las dotaciones de factores. Y como mostraron en los ochenta los economistas Paul Krugman y Elhanan Helpman, también se relacionan con sus inversiones en diversas áreas de especialización.</w:t>
      </w:r>
    </w:p>
    <w:p w:rsidR="00E60407" w:rsidRPr="008F5184" w:rsidRDefault="00E60407" w:rsidP="00E60407">
      <w:pPr>
        <w:pStyle w:val="NormalWeb"/>
        <w:jc w:val="both"/>
        <w:rPr>
          <w:color w:val="FF0000"/>
          <w:u w:val="single"/>
        </w:rPr>
      </w:pPr>
      <w:r w:rsidRPr="008F5184">
        <w:rPr>
          <w:color w:val="FF0000"/>
          <w:u w:val="single"/>
        </w:rPr>
        <w:t>Con su adopción de un modelo mercantilista primitivo en el que las exportaciones son “buenas” y las importaciones son “malas”, Trump dio vuelta esta lógica económica impecable. En un modelo mercantilista, el superávit comercial contribuye a la riqueza nacional mediante la acumulación de activos financieros (antes era el oro). Es lo que parece estar pensando Trump cuando se queja de que China se lleva 500 000 millones de dólares al año de la economía estadounidense, básicamente intercambiando bienes chinos por bonos del Tesoro de los Estados Unidos. No hace falta decir que cuesta ver por qué recibir un montón de bienes de alta calidad a bajo costo equivale a “perder”.</w:t>
      </w:r>
    </w:p>
    <w:p w:rsidR="00E60407" w:rsidRDefault="00E60407" w:rsidP="00E60407">
      <w:pPr>
        <w:pStyle w:val="NormalWeb"/>
        <w:jc w:val="both"/>
      </w:pPr>
      <w:r w:rsidRPr="008F5184">
        <w:rPr>
          <w:u w:val="single"/>
        </w:rPr>
        <w:lastRenderedPageBreak/>
        <w:t>Trump parece estar basándose en una teoría propuesta por su asesor en temas de comercio internacional, Peter Navarro, que observó que las importaciones aparecen con signo negativo en la ecuación del PIB (que dice que el PIB es igual al consumo más la inversión interna más las exportaciones menos las importaciones). Así que concluyó que inducir con aranceles una reducción de las importaciones llevaría mágicamente a un aumento de la producción interna (PIB) para satisfacer la demanda antes cubierta por los bienes importados; no prestó la menor atención al hecho de que la certeza de represalias llevará a una contracción del comercio internacional total y del PIB estadounidense</w:t>
      </w:r>
      <w:r>
        <w:t>. (Dicho sea de paso, espero que Navarro no haya aprendido su macroeconomía internacional mientras estudiaba para un doctorado en Harvard a principios de los ochenta con Richard Caves, cuyas ideas eran muy diferentes.)</w:t>
      </w:r>
    </w:p>
    <w:p w:rsidR="00E60407" w:rsidRPr="008F5184" w:rsidRDefault="00E60407" w:rsidP="00E60407">
      <w:pPr>
        <w:pStyle w:val="NormalWeb"/>
        <w:jc w:val="both"/>
        <w:rPr>
          <w:u w:val="single"/>
        </w:rPr>
      </w:pPr>
      <w:r w:rsidRPr="008F5184">
        <w:rPr>
          <w:u w:val="single"/>
        </w:rPr>
        <w:t>Ahora bien, nadie duda de que China aplica una política comercial restrictiva e impone altos costos a la inversión extranjera, a menudo mediante la obligación a empresas extranjeras de transferir tecnología a sus socias chinas. Otra cuestión importante es el robo liso y llano de tecnología por parte de entidades chinas. Sería mejor para el mundo (y casi seguramente para China también) que se les pusiera freno a estas prácticas restrictivas. Pero si el objetivo de los Estados Unidos era reducir las barreras al comercio, arancelar las importaciones desde China es un modo raro de hacerlo.</w:t>
      </w:r>
    </w:p>
    <w:p w:rsidR="00E60407" w:rsidRPr="00657CAE" w:rsidRDefault="00E60407" w:rsidP="00E60407">
      <w:pPr>
        <w:pStyle w:val="NormalWeb"/>
        <w:jc w:val="both"/>
        <w:rPr>
          <w:color w:val="FF0000"/>
          <w:u w:val="single"/>
        </w:rPr>
      </w:pPr>
      <w:r w:rsidRPr="00657CAE">
        <w:rPr>
          <w:color w:val="FF0000"/>
          <w:u w:val="single"/>
        </w:rPr>
        <w:t>Es verdad que hubo un momento hace unos meses en que China pareció dispuesta a implementar reformas significativas como parte de un acuerdo que evitara una guerra de aranceles. Pero incluso entonces, había algo raro en el esquema propuesto: la administración Trump quería una lista cuantitativa y concreta de bienes estadounidenses que China importaría en mayor volumen.</w:t>
      </w:r>
    </w:p>
    <w:p w:rsidR="00E60407" w:rsidRPr="00657CAE" w:rsidRDefault="00E60407" w:rsidP="00E60407">
      <w:pPr>
        <w:pStyle w:val="NormalWeb"/>
        <w:jc w:val="both"/>
        <w:rPr>
          <w:color w:val="FF0000"/>
          <w:u w:val="single"/>
        </w:rPr>
      </w:pPr>
      <w:r w:rsidRPr="00657CAE">
        <w:rPr>
          <w:color w:val="FF0000"/>
          <w:u w:val="single"/>
        </w:rPr>
        <w:t>Los chinos estaban muy dispuestos a cumplir esta demanda, porque está en sintonía con un estilo dirigista de gobernanza económica. Pero se supone que en Estados Unidos hacemos las cosas de otro modo. Como somos conscientes de que no sabemos si las ventas adicionales a China deberían ser en la forma de bienes agrícolas, camionetas Ford o aviones Boeing (esos que antes parecían confiables), tendríamos que estar defendiendo una reducción general de aranceles y otras restricciones comerciales, para que el mercado pueda decidir qué bienes hay que producir y comerciar.</w:t>
      </w:r>
    </w:p>
    <w:p w:rsidR="00E60407" w:rsidRPr="00657CAE" w:rsidRDefault="00E60407" w:rsidP="00E60407">
      <w:pPr>
        <w:pStyle w:val="NormalWeb"/>
        <w:jc w:val="both"/>
        <w:rPr>
          <w:u w:val="single"/>
        </w:rPr>
      </w:pPr>
      <w:r w:rsidRPr="00657CAE">
        <w:rPr>
          <w:color w:val="FF0000"/>
          <w:u w:val="single"/>
        </w:rPr>
        <w:t>En cualquier caso, ahora parece probable que Estados Unidos conseguirá una guerra comercial permanente, con costos duraderos para los consumidores y las empresas estadounidenses</w:t>
      </w:r>
      <w:r>
        <w:t xml:space="preserve">. Pese a los efectos todavía favorables de la reforma impositiva de 2017 y del hecho de que el gobierno eliminó regulaciones perjudiciales, el crecimiento se debilita y Trump intentó (vanamente) echarles la culpa a la Reserva Federal de los Estados Unidos y a las empresas estadounidenses improductivas. </w:t>
      </w:r>
      <w:r w:rsidRPr="00657CAE">
        <w:rPr>
          <w:u w:val="single"/>
        </w:rPr>
        <w:t>Pero el problema real es la estrategia comercial de Trump, que es mucho peor que la de su predecesor y puede hundir a la economía estadounidense en la recesión.</w:t>
      </w:r>
    </w:p>
    <w:p w:rsidR="00E60407" w:rsidRPr="00657CAE" w:rsidRDefault="00E60407" w:rsidP="00E60407">
      <w:pPr>
        <w:pStyle w:val="NormalWeb"/>
        <w:jc w:val="both"/>
        <w:rPr>
          <w:color w:val="FF0000"/>
          <w:u w:val="single"/>
        </w:rPr>
      </w:pPr>
      <w:r w:rsidRPr="00657CAE">
        <w:rPr>
          <w:color w:val="FF0000"/>
          <w:u w:val="single"/>
        </w:rPr>
        <w:t>Más en general, el problema es que el establishment de la política estadounidense llegó a un consenso en torno de que hay que hacer algo para frenar las prácticas comerciales restrictivas de China. Pero a veces es mejor convivir con una situación imperfecta.</w:t>
      </w:r>
    </w:p>
    <w:p w:rsidR="00E60407" w:rsidRPr="00657CAE" w:rsidRDefault="00E60407" w:rsidP="00E60407">
      <w:pPr>
        <w:pStyle w:val="NormalWeb"/>
        <w:jc w:val="both"/>
        <w:rPr>
          <w:u w:val="single"/>
        </w:rPr>
      </w:pPr>
      <w:r w:rsidRPr="00657CAE">
        <w:rPr>
          <w:u w:val="single"/>
        </w:rPr>
        <w:t>En cuanto a Trump, parece que realmente le encantan los aranceles, porque ponen freno a las importaciones “malas” y generan ingresos para el fisco</w:t>
      </w:r>
      <w:r>
        <w:t xml:space="preserve">. A diferencia de muchos de sus argumentos económicos, su defensa de los aranceles parece sincera, y por tanto irrevocable su compromiso con esta política. </w:t>
      </w:r>
      <w:r w:rsidRPr="00657CAE">
        <w:rPr>
          <w:u w:val="single"/>
        </w:rPr>
        <w:t xml:space="preserve">Pero entonces cuesta ver cómo podrá Estados Unidos llegar </w:t>
      </w:r>
      <w:r w:rsidRPr="00657CAE">
        <w:rPr>
          <w:u w:val="single"/>
        </w:rPr>
        <w:lastRenderedPageBreak/>
        <w:t>a un acuerdo comercial satisfactorio con China. Para peor, puede que Trump extienda a muchos otros países el uso de aranceles como herramientas de negociación.</w:t>
      </w:r>
    </w:p>
    <w:p w:rsidR="00E60407" w:rsidRPr="00657CAE" w:rsidRDefault="00E60407" w:rsidP="00E60407">
      <w:pPr>
        <w:pStyle w:val="NormalWeb"/>
        <w:jc w:val="both"/>
        <w:rPr>
          <w:u w:val="single"/>
        </w:rPr>
      </w:pPr>
      <w:r w:rsidRPr="00657CAE">
        <w:rPr>
          <w:u w:val="single"/>
        </w:rPr>
        <w:t>En síntesis, yo no diría que Trump tenga el “cociente intelectual económico” más bajo de los últimos presidentes, pero hay una diferencia evidente entre lo que sabe y lo que cree que sabe. Y como la política comercial estadounidense depende de lo segundo, Estados Unidos tiene ante sí un problema serio.</w:t>
      </w:r>
    </w:p>
    <w:p w:rsidR="00E60407" w:rsidRPr="009C0D45" w:rsidRDefault="00E60407" w:rsidP="00E60407">
      <w:pPr>
        <w:pStyle w:val="NormalWeb"/>
        <w:jc w:val="both"/>
        <w:rPr>
          <w:lang w:val="en-GB"/>
        </w:rPr>
      </w:pPr>
      <w:r>
        <w:rPr>
          <w:lang w:val="en-GB"/>
        </w:rPr>
        <w:t>(</w:t>
      </w:r>
      <w:r w:rsidRPr="001A2F50">
        <w:rPr>
          <w:lang w:val="en-GB"/>
        </w:rPr>
        <w:t>Robert J. Barro is Professor of Economics at Harvard University and a visiting scholar at the American Enterprise Institute. He is co-author (with Rachel M. McCleary) of The Wealth of Religions: The Political Eco</w:t>
      </w:r>
      <w:r>
        <w:rPr>
          <w:lang w:val="en-GB"/>
        </w:rPr>
        <w:t>nomy of Believing and Belonging)</w:t>
      </w:r>
    </w:p>
    <w:p w:rsidR="00B0273B" w:rsidRDefault="00B0273B" w:rsidP="00B0273B">
      <w:pPr>
        <w:pStyle w:val="NormalWeb"/>
        <w:jc w:val="both"/>
      </w:pPr>
      <w:r>
        <w:t xml:space="preserve">- </w:t>
      </w:r>
      <w:r w:rsidRPr="00884731">
        <w:rPr>
          <w:u w:val="single"/>
        </w:rPr>
        <w:t>El orden comercial se desmorona</w:t>
      </w:r>
      <w:r>
        <w:t xml:space="preserve"> (El Economista - </w:t>
      </w:r>
      <w:r w:rsidRPr="00884731">
        <w:rPr>
          <w:b/>
        </w:rPr>
        <w:t>6/9/19</w:t>
      </w:r>
      <w:r>
        <w:t>)</w:t>
      </w:r>
    </w:p>
    <w:p w:rsidR="00B0273B" w:rsidRDefault="00B0273B" w:rsidP="00B0273B">
      <w:pPr>
        <w:pStyle w:val="NormalWeb"/>
        <w:jc w:val="both"/>
      </w:pPr>
      <w:r>
        <w:t>(Por Raghuram G. Rajan)</w:t>
      </w:r>
    </w:p>
    <w:p w:rsidR="00B0273B" w:rsidRPr="005F37F8" w:rsidRDefault="00B0273B" w:rsidP="00B0273B">
      <w:pPr>
        <w:pStyle w:val="NormalWeb"/>
        <w:jc w:val="both"/>
        <w:rPr>
          <w:color w:val="FF0000"/>
          <w:u w:val="single"/>
        </w:rPr>
      </w:pPr>
      <w:r w:rsidRPr="005F37F8">
        <w:rPr>
          <w:color w:val="FF0000"/>
          <w:u w:val="single"/>
        </w:rPr>
        <w:t>Otro día, otro ataque al comercio. ¿Por qué cada disputa -ya sea sobre propiedad intelectual (PI), inmigración, daños ambientales o reparaciones de guerra- ahora produce nuevas amenazas para el comercio?</w:t>
      </w:r>
    </w:p>
    <w:p w:rsidR="00B0273B" w:rsidRDefault="00B0273B" w:rsidP="00B0273B">
      <w:pPr>
        <w:pStyle w:val="NormalWeb"/>
        <w:jc w:val="both"/>
      </w:pPr>
      <w:r>
        <w:t>Durante gran parte del siglo pasado, EEUU gestionó y protegió el sistema de comercio basado en normas que creó al final de la Segunda Guerra Mundial. Ese sistema requiere una ruptura fundamental con el entorno de preguerra caracterizado por la sospecha mutua entre potencias competidoras. EEUU instó a todos a ver que el crecimiento y el desarrollo de un país podría beneficiar a todos a través del aumento del comercio y la inversión.</w:t>
      </w:r>
    </w:p>
    <w:p w:rsidR="00B0273B" w:rsidRDefault="00B0273B" w:rsidP="00B0273B">
      <w:pPr>
        <w:pStyle w:val="NormalWeb"/>
        <w:jc w:val="both"/>
      </w:pPr>
      <w:r>
        <w:t>Bajo este nuevo paradigma, se promulgaron reglas para restringir el comportamiento egoísta y las amenazas coercitivas de los económicamente poderosos. EEUU servía como un líder benévolo, administrando de vez en cuando un golpe en los nudillos a aquellos que actuaban de mala fe. Mientras tanto, las instituciones, especialmente el Fondo Monetario Internacional, ayudaron a los países que más lo necesitaban, siempre y cuando siguieran las reglas.</w:t>
      </w:r>
    </w:p>
    <w:p w:rsidR="00B0273B" w:rsidRDefault="00B0273B" w:rsidP="00B0273B">
      <w:pPr>
        <w:pStyle w:val="NormalWeb"/>
        <w:jc w:val="both"/>
      </w:pPr>
      <w:r>
        <w:t>El poder de EEUU provenía de su control sobre los votos en las instituciones multilaterales, tanto directamente como a través de su influencia sobre los países del G7. También tenía una enorme fuerza económica. Sin embargo, es importante destacar que la mayoría de los países confiaba en que EEUU no abusarían de su poder para promover sus intereses nacionales, al menos no excesivamente. Y Washington tenía pocas razones para traicionar esa confianza. Ningún país se acercó a su productividad económica, mientras que su único rival militar, la URSS, estaba en gran medida fuera del sistema comercial mundial.</w:t>
      </w:r>
    </w:p>
    <w:p w:rsidR="00B0273B" w:rsidRDefault="00B0273B" w:rsidP="00B0273B">
      <w:pPr>
        <w:pStyle w:val="NormalWeb"/>
        <w:jc w:val="both"/>
      </w:pPr>
      <w:r>
        <w:t>La expansión del comercio y la inversión basados en normas abrió nuevos mercados lucrativos para las empresas estadounidenses. Y cómo podía permitirse el lujo de ser magnánimo, EEUU concedió a algunos países acceso a sus mercados sin exigir el mismo nivel de acceso a los suyos.</w:t>
      </w:r>
    </w:p>
    <w:p w:rsidR="00B0273B" w:rsidRDefault="00B0273B" w:rsidP="00B0273B">
      <w:pPr>
        <w:pStyle w:val="NormalWeb"/>
        <w:jc w:val="both"/>
      </w:pPr>
      <w:r>
        <w:t xml:space="preserve">Si los responsables de la formulación de políticas de una economía de mercado emergente expresaron su preocupación por los posibles efectos de un comercio más abierto en algunos de sus trabajadores, los economistas se apresuraron a asegurarles que cualquier problema local se vería compensado por los beneficios a largo plazo. Todo lo que tenían que hacer era redistribuir las ganancias del comercio a los grupos que quedaban atrás. Esto resultaría ser </w:t>
      </w:r>
      <w:r>
        <w:lastRenderedPageBreak/>
        <w:t>más fácil decirlo que hacerlo. Sin embargo, en estas democracias nacientes, las protestas de los que se quedaron atrás se consideraron un coste aceptable, dados los beneficios generales, y fueron fácilmente contenidas. De hecho, las economías de mercado emergentes se volvieron tan buenas en capitalizar las nuevas tecnologías y el transporte y las comunicaciones de menor costo que lograron hacerse cargo de grandes sectores de la industria manufacturera de los países industrializados.</w:t>
      </w:r>
    </w:p>
    <w:p w:rsidR="00B0273B" w:rsidRDefault="00B0273B" w:rsidP="00B0273B">
      <w:pPr>
        <w:pStyle w:val="NormalWeb"/>
        <w:jc w:val="both"/>
      </w:pPr>
      <w:r>
        <w:t>Una vez más, el comercio afectaba de manera desigual a los trabajadores, pero ahora los de baja cualificación en los países desarrollados -especialmente en las ciudades pequeñas- eran los más afectados por la disrupción mientras que los más cualificados del sector de los servicios urbanos eran los que prosperaban.</w:t>
      </w:r>
    </w:p>
    <w:p w:rsidR="00B0273B" w:rsidRDefault="00B0273B" w:rsidP="00B0273B">
      <w:pPr>
        <w:pStyle w:val="NormalWeb"/>
        <w:jc w:val="both"/>
      </w:pPr>
      <w:r>
        <w:t>A diferencia de los mercados emergentes, donde la democracia aún no había echado raíces profundas, el descontento entre una cohorte creciente de trabajadores de estos países no podía ser ignorado. Los responsables de la formulación de políticas de las economías avanzadas reaccionaron de dos maneras ante la hostilidad contra el comercio global. En primer lugar, trataron de imponer sus normas laborales y ambientales a otros países a través de acuerdos comerciales y financieros. En segundo lugar, presionaron a favor de una aplicación mucho más estricta de la propiedad intelectual (PI), gran parte de la cual es patrimonio de empresas occidentales.</w:t>
      </w:r>
    </w:p>
    <w:p w:rsidR="00B0273B" w:rsidRDefault="00B0273B" w:rsidP="00B0273B">
      <w:pPr>
        <w:pStyle w:val="NormalWeb"/>
        <w:jc w:val="both"/>
      </w:pPr>
      <w:r>
        <w:t>Ninguno de los dos enfoques fue particularmente eficaz para frenar la pérdida de puestos de trabajo, pero se necesitaría algo mucho más grande para alterar el viejo orden: el ascenso de China. Al igual que Japón y los tigres de Asia oriental, China creció gracias a las exportaciones de manufacturas. Pero, a diferencia de esos países, ahora amenaza con competir directamente con Occidente, tanto en servicios como en tecnologías de vanguardia.</w:t>
      </w:r>
    </w:p>
    <w:p w:rsidR="00B0273B" w:rsidRDefault="00B0273B" w:rsidP="00B0273B">
      <w:pPr>
        <w:pStyle w:val="NormalWeb"/>
        <w:jc w:val="both"/>
      </w:pPr>
      <w:r>
        <w:t>Resistiendo la presión exterior, China ha adoptado normas laborales y ambientales y ha expropiado la PI de acuerdo con sus propias necesidades. Ahora está lo suficientemente cerca de la frontera tecnológica en áreas como la robótica y la inteligencia artificial como para que sus propios científicos puedan cerrar la brecha en caso de que se le niegue el acceso a los insumos que ahora importa. Lo más alarmante para el mundo desarrollado es que el floreciente sector tecnológico de China está mejorando su capacidad militar. Y, a diferencia de la URSS, China está integrada en el comercio mundial.</w:t>
      </w:r>
    </w:p>
    <w:p w:rsidR="00B0273B" w:rsidRDefault="00B0273B" w:rsidP="00B0273B">
      <w:pPr>
        <w:pStyle w:val="NormalWeb"/>
        <w:jc w:val="both"/>
      </w:pPr>
      <w:r>
        <w:t>La premisa central del orden comercial basado en normas -que el crecimiento de cada país beneficia a los demás- se está desmoronando ahora. Las economías avanzadas descubren que las estructuras y leyes reguladoras más estrictas que adoptaron durante su propio desarrollo las colocan ahora en desventaja competitiva frente a los países con mercados emergentes que están regulados de manera diferente, son relativamente pobres, pero eficientes. Y estos países resisten los intentos externos de imponer normas que no eligieron democráticamente, como un salario mínimo alto o el fin del uso del carbón, especialmente porque los países ricos de hoy en día no tenían estas normas cuando estaban en desarrollo.</w:t>
      </w:r>
    </w:p>
    <w:p w:rsidR="00B0273B" w:rsidRDefault="00B0273B" w:rsidP="00B0273B">
      <w:pPr>
        <w:pStyle w:val="NormalWeb"/>
        <w:jc w:val="both"/>
      </w:pPr>
      <w:r>
        <w:t>Igualmente problemático, las economías emergentes, incluida China, han retrasado la apertura de sus mercados nacionales al mundo industrializado. Las empresas de los países desarrollados están especialmente deseosas de acceder sin trabas al atractivo mercado chino, y han estado presionando a sus gobiernos para que se lo garanticen.</w:t>
      </w:r>
    </w:p>
    <w:p w:rsidR="00B0273B" w:rsidRDefault="00B0273B" w:rsidP="00B0273B">
      <w:pPr>
        <w:pStyle w:val="NormalWeb"/>
        <w:jc w:val="both"/>
      </w:pPr>
      <w:r>
        <w:lastRenderedPageBreak/>
        <w:t>Lo más problemático, sin embargo, con China desafiando a EEUU tanto económica como militarmente, es que el viejo líder estadounidense ya no ve el crecimiento de China como tolerable. Tiene pocos incentivos para guiar benévolamente el sistema que permite el surgimiento de un rival estratégico. No es de extrañar que el sistema se esté colapsando.</w:t>
      </w:r>
    </w:p>
    <w:p w:rsidR="00B0273B" w:rsidRDefault="00B0273B" w:rsidP="00B0273B">
      <w:pPr>
        <w:pStyle w:val="NormalWeb"/>
        <w:jc w:val="both"/>
      </w:pPr>
      <w:r>
        <w:t>¿Adónde vamos a partir de aquí? China puede ser ralentizada pero no puede ser detenida. En cambio, una China poderosa debe ser el valedor de las nuevas reglas, e incluso convertirse en guardiana de las mismas. Para que eso suceda, debe tener un papel en su establecimiento. De lo contrario, el mundo podría dividirse en bloques desconectados y mutuamente sospechosos, que detendrían los flujos de personas, la producción y las finanzas que hoy los vinculan. Eso no sólo sería económicamente desastroso, sino que aumentaría los malentendidos y la posibilidad de conflictos militares.</w:t>
      </w:r>
    </w:p>
    <w:p w:rsidR="00B0273B" w:rsidRDefault="00B0273B" w:rsidP="00B0273B">
      <w:pPr>
        <w:pStyle w:val="NormalWeb"/>
        <w:jc w:val="both"/>
      </w:pPr>
      <w:r>
        <w:t>Desafortunadamente, no puede haber vuelta atrás en el tiempo. Una vez que se rompe, la confianza no puede ser restaurada por arte de magia. Es de esperar que China y EEUU eviten abrir nuevos frentes en la guerra comercial y tecnológica, reconociendo al mismo tiempo la necesidad de negociaciones. Lo ideal sería que concluyeran un pacto bilateral temporal. Entonces, todos los países importantes se unirían para negociar un nuevo orden mundial, que acomode a múltiples potencias o bloques en lugar de una sola hegemonía, con normas que garanticen que todos -independientemente de su sistema político o económico y de su estado de desarrollo- se comporten de manera responsable.</w:t>
      </w:r>
    </w:p>
    <w:p w:rsidR="00B0273B" w:rsidRDefault="00B0273B" w:rsidP="00B0273B">
      <w:pPr>
        <w:pStyle w:val="NormalWeb"/>
        <w:jc w:val="both"/>
      </w:pPr>
      <w:r>
        <w:t>Se necesitó una Depresión, una Guerra Mundial y una superpotencia para que el mundo tomara decisiones con sentido la última vez. ¿Puede esta vez ser diferente?</w:t>
      </w:r>
    </w:p>
    <w:p w:rsidR="00B0273B" w:rsidRDefault="00B0273B" w:rsidP="00B0273B">
      <w:pPr>
        <w:pStyle w:val="NormalWeb"/>
        <w:jc w:val="both"/>
      </w:pPr>
      <w:r>
        <w:t>(Raghuram G. Rajan - Exgobernador del Banco Central de India)</w:t>
      </w:r>
    </w:p>
    <w:p w:rsidR="009703A5" w:rsidRPr="00B82369" w:rsidRDefault="009703A5" w:rsidP="009703A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2369">
        <w:rPr>
          <w:rFonts w:ascii="Times New Roman" w:hAnsi="Times New Roman" w:cs="Times New Roman"/>
          <w:sz w:val="24"/>
          <w:szCs w:val="24"/>
          <w:u w:val="single"/>
        </w:rPr>
        <w:t>No es momento para la flexibilización cuantitativa en Europa</w:t>
      </w:r>
      <w:r>
        <w:rPr>
          <w:rFonts w:ascii="Times New Roman" w:hAnsi="Times New Roman" w:cs="Times New Roman"/>
          <w:sz w:val="24"/>
          <w:szCs w:val="24"/>
        </w:rPr>
        <w:t xml:space="preserve"> (Project Syndicate - </w:t>
      </w:r>
      <w:r w:rsidRPr="00B82369">
        <w:rPr>
          <w:rFonts w:ascii="Times New Roman" w:hAnsi="Times New Roman" w:cs="Times New Roman"/>
          <w:b/>
          <w:sz w:val="24"/>
          <w:szCs w:val="24"/>
        </w:rPr>
        <w:t>9/9/19</w:t>
      </w:r>
      <w:r>
        <w:rPr>
          <w:rFonts w:ascii="Times New Roman" w:hAnsi="Times New Roman" w:cs="Times New Roman"/>
          <w:sz w:val="24"/>
          <w:szCs w:val="24"/>
        </w:rPr>
        <w:t>)</w:t>
      </w:r>
    </w:p>
    <w:p w:rsidR="009703A5" w:rsidRPr="000F0BB3" w:rsidRDefault="000777E3" w:rsidP="009703A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Zúrich.-</w:t>
      </w:r>
      <w:r w:rsidR="009703A5" w:rsidRPr="000F0BB3">
        <w:rPr>
          <w:rFonts w:ascii="Times New Roman" w:hAnsi="Times New Roman" w:cs="Times New Roman"/>
          <w:sz w:val="24"/>
          <w:szCs w:val="24"/>
          <w:u w:val="single"/>
        </w:rPr>
        <w:t>En momentos de veloz deterioro de las expectativas económicas en la eurozona, muchos esperan que en su próxima reunión del 12 de septiembre, el Banco Central Europeo anuncie un sólido paquete de medidas de estímulo adicionales. Pero aunque la política monetaria del BCE no ha sido en general suficientemente expansiva (lo que se refleja en una inflación sistemáticamente inferior a la meta en la eurozona), ahora no es buen momento para la adopción plena de una política laxa, incluido un regreso a la flexibilización cuantitativa (FC).</w:t>
      </w:r>
    </w:p>
    <w:p w:rsidR="009703A5" w:rsidRPr="000F0BB3" w:rsidRDefault="009703A5" w:rsidP="009703A5">
      <w:pPr>
        <w:spacing w:line="240" w:lineRule="auto"/>
        <w:jc w:val="both"/>
        <w:rPr>
          <w:rFonts w:ascii="Times New Roman" w:hAnsi="Times New Roman" w:cs="Times New Roman"/>
          <w:sz w:val="24"/>
          <w:szCs w:val="24"/>
          <w:u w:val="single"/>
        </w:rPr>
      </w:pPr>
      <w:r w:rsidRPr="000F0BB3">
        <w:rPr>
          <w:rFonts w:ascii="Times New Roman" w:hAnsi="Times New Roman" w:cs="Times New Roman"/>
          <w:sz w:val="24"/>
          <w:szCs w:val="24"/>
          <w:u w:val="single"/>
        </w:rPr>
        <w:t>En primer lugar, la economía de la eurozona está mucho mejor que en marzo de 2015, cuando el BCE introdujo la FC</w:t>
      </w:r>
      <w:r w:rsidRPr="00B82369">
        <w:rPr>
          <w:rFonts w:ascii="Times New Roman" w:hAnsi="Times New Roman" w:cs="Times New Roman"/>
          <w:sz w:val="24"/>
          <w:szCs w:val="24"/>
        </w:rPr>
        <w:t xml:space="preserve">. En comparación con aquel momento, el índice compuesto de los gerentes de compras de la eurozona (un importante indicador de la actividad empresarial) está un poco más alto. </w:t>
      </w:r>
      <w:r w:rsidRPr="000F0BB3">
        <w:rPr>
          <w:rFonts w:ascii="Times New Roman" w:hAnsi="Times New Roman" w:cs="Times New Roman"/>
          <w:sz w:val="24"/>
          <w:szCs w:val="24"/>
          <w:u w:val="single"/>
        </w:rPr>
        <w:t>También han aumentado la inflación general y la inflación núcleo</w:t>
      </w:r>
      <w:r w:rsidRPr="00B82369">
        <w:rPr>
          <w:rFonts w:ascii="Times New Roman" w:hAnsi="Times New Roman" w:cs="Times New Roman"/>
          <w:sz w:val="24"/>
          <w:szCs w:val="24"/>
        </w:rPr>
        <w:t xml:space="preserve">, lo mismo que las expectativas de inflación de los hogares y el indicador de sentimiento económico de la Comisión Europea. </w:t>
      </w:r>
      <w:r w:rsidRPr="000F0BB3">
        <w:rPr>
          <w:rFonts w:ascii="Times New Roman" w:hAnsi="Times New Roman" w:cs="Times New Roman"/>
          <w:sz w:val="24"/>
          <w:szCs w:val="24"/>
          <w:u w:val="single"/>
        </w:rPr>
        <w:t>Además, los tipos de interés a corto y largo plazo y los intereses bancarios están en niveles mucho más bajos</w:t>
      </w:r>
      <w:r w:rsidRPr="00B82369">
        <w:rPr>
          <w:rFonts w:ascii="Times New Roman" w:hAnsi="Times New Roman" w:cs="Times New Roman"/>
          <w:sz w:val="24"/>
          <w:szCs w:val="24"/>
        </w:rPr>
        <w:t xml:space="preserve">, y hay un crecimiento del crédito más sólido. </w:t>
      </w:r>
      <w:r w:rsidRPr="000F0BB3">
        <w:rPr>
          <w:rFonts w:ascii="Times New Roman" w:hAnsi="Times New Roman" w:cs="Times New Roman"/>
          <w:sz w:val="24"/>
          <w:szCs w:val="24"/>
          <w:u w:val="single"/>
        </w:rPr>
        <w:t>Con estos datos, es difícil dar argumentos convincentes para la FC.</w:t>
      </w:r>
    </w:p>
    <w:p w:rsidR="009703A5" w:rsidRPr="000F0BB3" w:rsidRDefault="009703A5" w:rsidP="009703A5">
      <w:pPr>
        <w:spacing w:line="240" w:lineRule="auto"/>
        <w:jc w:val="both"/>
        <w:rPr>
          <w:rFonts w:ascii="Times New Roman" w:hAnsi="Times New Roman" w:cs="Times New Roman"/>
          <w:sz w:val="24"/>
          <w:szCs w:val="24"/>
          <w:u w:val="single"/>
        </w:rPr>
      </w:pPr>
      <w:r w:rsidRPr="00B82369">
        <w:rPr>
          <w:rFonts w:ascii="Times New Roman" w:hAnsi="Times New Roman" w:cs="Times New Roman"/>
          <w:sz w:val="24"/>
          <w:szCs w:val="24"/>
        </w:rPr>
        <w:t xml:space="preserve">Es verdad que las mediciones de expectativas de inflación basadas en el mercado han colapsado; pero eso es parte de un fenómeno global, que seguramente no dice mucho sobre las condiciones en la eurozona. Además, hay una variedad de problemas relacionados con las primas de riesgo que dificultan la interpretación de esos indicadores. De modo que no sorprende que las encuestas sobre expectativas de inflación de los hogares y de las empresas </w:t>
      </w:r>
      <w:r w:rsidRPr="00B82369">
        <w:rPr>
          <w:rFonts w:ascii="Times New Roman" w:hAnsi="Times New Roman" w:cs="Times New Roman"/>
          <w:sz w:val="24"/>
          <w:szCs w:val="24"/>
        </w:rPr>
        <w:lastRenderedPageBreak/>
        <w:t xml:space="preserve">sean predictores más exactos de los niveles reales de inflación. </w:t>
      </w:r>
      <w:r w:rsidRPr="000F0BB3">
        <w:rPr>
          <w:rFonts w:ascii="Times New Roman" w:hAnsi="Times New Roman" w:cs="Times New Roman"/>
          <w:sz w:val="24"/>
          <w:szCs w:val="24"/>
          <w:u w:val="single"/>
        </w:rPr>
        <w:t>Puesto que las mediciones basadas en el mercado hoy se contradicen con la mayoría de los otros datos económicos clave, no habría que darles demasiada importancia.</w:t>
      </w:r>
    </w:p>
    <w:p w:rsidR="009703A5" w:rsidRPr="00B82369" w:rsidRDefault="009703A5" w:rsidP="009703A5">
      <w:pPr>
        <w:spacing w:line="240" w:lineRule="auto"/>
        <w:jc w:val="both"/>
        <w:rPr>
          <w:rFonts w:ascii="Times New Roman" w:hAnsi="Times New Roman" w:cs="Times New Roman"/>
          <w:sz w:val="24"/>
          <w:szCs w:val="24"/>
        </w:rPr>
      </w:pPr>
      <w:r w:rsidRPr="000F0BB3">
        <w:rPr>
          <w:rFonts w:ascii="Times New Roman" w:hAnsi="Times New Roman" w:cs="Times New Roman"/>
          <w:sz w:val="24"/>
          <w:szCs w:val="24"/>
          <w:u w:val="single"/>
        </w:rPr>
        <w:t>También es verdad que las actuales tensiones comerciales globales afectaron gravemente a los fabricantes de la eurozona, sobre todo en Alemania. Pero para las autoridades monetarias es difícil responder a la introducción de barreras comerciales</w:t>
      </w:r>
      <w:r w:rsidRPr="00B82369">
        <w:rPr>
          <w:rFonts w:ascii="Times New Roman" w:hAnsi="Times New Roman" w:cs="Times New Roman"/>
          <w:sz w:val="24"/>
          <w:szCs w:val="24"/>
        </w:rPr>
        <w:t>. En una economía pequeña y muy abierta, una expansión monetaria provocará una caída del tipo de cambio que estimulará las exportaciones (a la manera de las políticas de “empobrecer al vecino”). Pero el BCE no puede justificar así un estímulo monetario, porque no tiene al tipo de cambio del euro entre sus mecanismos de transm</w:t>
      </w:r>
      <w:r>
        <w:rPr>
          <w:rFonts w:ascii="Times New Roman" w:hAnsi="Times New Roman" w:cs="Times New Roman"/>
          <w:sz w:val="24"/>
          <w:szCs w:val="24"/>
        </w:rPr>
        <w:t>isión de la política monetaria.</w:t>
      </w:r>
    </w:p>
    <w:p w:rsidR="009703A5" w:rsidRPr="000F0BB3" w:rsidRDefault="009703A5" w:rsidP="009703A5">
      <w:pPr>
        <w:spacing w:line="240" w:lineRule="auto"/>
        <w:jc w:val="both"/>
        <w:rPr>
          <w:rFonts w:ascii="Times New Roman" w:hAnsi="Times New Roman" w:cs="Times New Roman"/>
          <w:color w:val="FF0000"/>
          <w:sz w:val="24"/>
          <w:szCs w:val="24"/>
          <w:u w:val="single"/>
        </w:rPr>
      </w:pPr>
      <w:r w:rsidRPr="000F0BB3">
        <w:rPr>
          <w:rFonts w:ascii="Times New Roman" w:hAnsi="Times New Roman" w:cs="Times New Roman"/>
          <w:sz w:val="24"/>
          <w:szCs w:val="24"/>
          <w:u w:val="single"/>
        </w:rPr>
        <w:t>Claro que si la debilidad del sector de bienes transables de la eurozona se extendiera al mucho más grande sector interno, la política monetaria podría resultar eficaz para estimular la demanda. Pero todavía no está claro que la caída de la producción industrial vaya a extenderse al resto de la economía</w:t>
      </w:r>
      <w:r w:rsidRPr="00B82369">
        <w:rPr>
          <w:rFonts w:ascii="Times New Roman" w:hAnsi="Times New Roman" w:cs="Times New Roman"/>
          <w:sz w:val="24"/>
          <w:szCs w:val="24"/>
        </w:rPr>
        <w:t xml:space="preserve">. </w:t>
      </w:r>
      <w:r w:rsidRPr="000F0BB3">
        <w:rPr>
          <w:rFonts w:ascii="Times New Roman" w:hAnsi="Times New Roman" w:cs="Times New Roman"/>
          <w:color w:val="FF0000"/>
          <w:sz w:val="24"/>
          <w:szCs w:val="24"/>
          <w:u w:val="single"/>
        </w:rPr>
        <w:t>En cualquier caso, la desaceleración económica global y la cercanía de la elección presidencial estadounidense de 2020 harán más probable una solución del conflicto comercial sinoestadounidense.</w:t>
      </w:r>
    </w:p>
    <w:p w:rsidR="009703A5" w:rsidRPr="000F0BB3" w:rsidRDefault="009703A5" w:rsidP="009703A5">
      <w:pPr>
        <w:spacing w:line="240" w:lineRule="auto"/>
        <w:jc w:val="both"/>
        <w:rPr>
          <w:rFonts w:ascii="Times New Roman" w:hAnsi="Times New Roman" w:cs="Times New Roman"/>
          <w:sz w:val="24"/>
          <w:szCs w:val="24"/>
          <w:u w:val="single"/>
        </w:rPr>
      </w:pPr>
      <w:r w:rsidRPr="00B82369">
        <w:rPr>
          <w:rFonts w:ascii="Times New Roman" w:hAnsi="Times New Roman" w:cs="Times New Roman"/>
          <w:sz w:val="24"/>
          <w:szCs w:val="24"/>
        </w:rPr>
        <w:t xml:space="preserve">De modo que el interés del BCE en proveer un estímulo adicional puede deberse a otras consideraciones, por ejemplo </w:t>
      </w:r>
      <w:r w:rsidRPr="000F0BB3">
        <w:rPr>
          <w:rFonts w:ascii="Times New Roman" w:hAnsi="Times New Roman" w:cs="Times New Roman"/>
          <w:sz w:val="24"/>
          <w:szCs w:val="24"/>
          <w:u w:val="single"/>
        </w:rPr>
        <w:t>la acumulación de cifras de inflación por debajo de la meta (definida como una tasa “inferior pero cercana al 2%”). Sin embargo, este proceso viene desarrollándose hace tiempo, y cuesta ver por qué después de años de no alcanzar la meta, se justificaría una respuesta firme justo ahora.</w:t>
      </w:r>
    </w:p>
    <w:p w:rsidR="009703A5" w:rsidRPr="00B82369" w:rsidRDefault="009703A5" w:rsidP="009703A5">
      <w:pPr>
        <w:spacing w:line="240" w:lineRule="auto"/>
        <w:jc w:val="both"/>
        <w:rPr>
          <w:rFonts w:ascii="Times New Roman" w:hAnsi="Times New Roman" w:cs="Times New Roman"/>
          <w:sz w:val="24"/>
          <w:szCs w:val="24"/>
        </w:rPr>
      </w:pPr>
      <w:r w:rsidRPr="000F0BB3">
        <w:rPr>
          <w:rFonts w:ascii="Times New Roman" w:hAnsi="Times New Roman" w:cs="Times New Roman"/>
          <w:sz w:val="24"/>
          <w:szCs w:val="24"/>
          <w:u w:val="single"/>
        </w:rPr>
        <w:t>También puede ser que el BCE quiera adoptar una política más expansiva antes de que Christine Lagarde reemplace a Mario Draghi en la presidencia de la institución el 1 de noviembre</w:t>
      </w:r>
      <w:r w:rsidRPr="00B82369">
        <w:rPr>
          <w:rFonts w:ascii="Times New Roman" w:hAnsi="Times New Roman" w:cs="Times New Roman"/>
          <w:sz w:val="24"/>
          <w:szCs w:val="24"/>
        </w:rPr>
        <w:t>. Pese a sus virtudes, a Lagarde le será difícil comenzar su mandato impulsando un estímulo adicional contra la oposición del presidente del Bundesbank, Jens Weidmann, y de la facción del Consejo de Gobierno del BCE partidar</w:t>
      </w:r>
      <w:r>
        <w:rPr>
          <w:rFonts w:ascii="Times New Roman" w:hAnsi="Times New Roman" w:cs="Times New Roman"/>
          <w:sz w:val="24"/>
          <w:szCs w:val="24"/>
        </w:rPr>
        <w:t>ia de una política restrictiva.</w:t>
      </w:r>
    </w:p>
    <w:p w:rsidR="009703A5" w:rsidRPr="000F0BB3" w:rsidRDefault="009703A5" w:rsidP="009703A5">
      <w:pPr>
        <w:spacing w:line="240" w:lineRule="auto"/>
        <w:jc w:val="both"/>
        <w:rPr>
          <w:rFonts w:ascii="Times New Roman" w:hAnsi="Times New Roman" w:cs="Times New Roman"/>
          <w:color w:val="FF0000"/>
          <w:sz w:val="24"/>
          <w:szCs w:val="24"/>
          <w:u w:val="single"/>
        </w:rPr>
      </w:pPr>
      <w:r w:rsidRPr="000F0BB3">
        <w:rPr>
          <w:rFonts w:ascii="Times New Roman" w:hAnsi="Times New Roman" w:cs="Times New Roman"/>
          <w:color w:val="FF0000"/>
          <w:sz w:val="24"/>
          <w:szCs w:val="24"/>
          <w:u w:val="single"/>
        </w:rPr>
        <w:t>Pero cualquiera sea la motivación del BCE, la eficacia de un paquete de estímulo adicional es cuestionable. Ya no hay margen para seguir bajando los tipos de interés, y cuesta ver de qué manera la FC podría inducir una reducción de los rendimientos a largo plazo muy por debajo de los niveles actuales.</w:t>
      </w:r>
    </w:p>
    <w:p w:rsidR="009703A5" w:rsidRPr="00B82369" w:rsidRDefault="009703A5" w:rsidP="009703A5">
      <w:pPr>
        <w:spacing w:line="240" w:lineRule="auto"/>
        <w:jc w:val="both"/>
        <w:rPr>
          <w:rFonts w:ascii="Times New Roman" w:hAnsi="Times New Roman" w:cs="Times New Roman"/>
          <w:sz w:val="24"/>
          <w:szCs w:val="24"/>
        </w:rPr>
      </w:pPr>
      <w:r w:rsidRPr="000F0BB3">
        <w:rPr>
          <w:rFonts w:ascii="Times New Roman" w:hAnsi="Times New Roman" w:cs="Times New Roman"/>
          <w:sz w:val="24"/>
          <w:szCs w:val="24"/>
          <w:u w:val="single"/>
        </w:rPr>
        <w:t>Es evidente que los programas de compra de activos de los bancos centrales son eficaces cuando el sistema financiero está bajo presión y las primas de riesgo son altas. En esas circunstancias, un comprador de grandes volúmenes no interesado en el rendimiento puede ayudar, al absorber activos y ponerles un piso a sus precios</w:t>
      </w:r>
      <w:r w:rsidRPr="00B82369">
        <w:rPr>
          <w:rFonts w:ascii="Times New Roman" w:hAnsi="Times New Roman" w:cs="Times New Roman"/>
          <w:sz w:val="24"/>
          <w:szCs w:val="24"/>
        </w:rPr>
        <w:t>. Pero la situación actual es otra; el diferencial de rendimiento entre los bonos italianos y los Bunds alemanes (que siempre es una buena medida de tensiones dent</w:t>
      </w:r>
      <w:r>
        <w:rPr>
          <w:rFonts w:ascii="Times New Roman" w:hAnsi="Times New Roman" w:cs="Times New Roman"/>
          <w:sz w:val="24"/>
          <w:szCs w:val="24"/>
        </w:rPr>
        <w:t>ro de la eurozona) se derrumbó.</w:t>
      </w:r>
    </w:p>
    <w:p w:rsidR="009703A5" w:rsidRPr="000F0BB3" w:rsidRDefault="009703A5" w:rsidP="009703A5">
      <w:pPr>
        <w:spacing w:line="240" w:lineRule="auto"/>
        <w:jc w:val="both"/>
        <w:rPr>
          <w:rFonts w:ascii="Times New Roman" w:hAnsi="Times New Roman" w:cs="Times New Roman"/>
          <w:sz w:val="24"/>
          <w:szCs w:val="24"/>
          <w:u w:val="single"/>
        </w:rPr>
      </w:pPr>
      <w:r w:rsidRPr="000F0BB3">
        <w:rPr>
          <w:rFonts w:ascii="Times New Roman" w:hAnsi="Times New Roman" w:cs="Times New Roman"/>
          <w:sz w:val="24"/>
          <w:szCs w:val="24"/>
          <w:u w:val="single"/>
        </w:rPr>
        <w:t>Además, ahora que los rendimientos de algunos títulos públicos a largo plazo son negativos, las autoridades nacionales comprenden que tiene sentido gastar más en la mejora de infraestructuras públicas y en la lucha contra el calentamiento global. Si esta comprensión se afianza de modo de sostener una expansión fiscal en aquellos países que puedan permitírsela, el resultado será un mejor equilibrio general entre la política fiscal y la monetaria en la eurozona.</w:t>
      </w:r>
    </w:p>
    <w:p w:rsidR="009703A5" w:rsidRPr="000F0BB3" w:rsidRDefault="009703A5" w:rsidP="009703A5">
      <w:pPr>
        <w:spacing w:line="240" w:lineRule="auto"/>
        <w:jc w:val="both"/>
        <w:rPr>
          <w:rFonts w:ascii="Times New Roman" w:hAnsi="Times New Roman" w:cs="Times New Roman"/>
          <w:color w:val="FF0000"/>
          <w:sz w:val="24"/>
          <w:szCs w:val="24"/>
          <w:u w:val="single"/>
        </w:rPr>
      </w:pPr>
      <w:r w:rsidRPr="00B82369">
        <w:rPr>
          <w:rFonts w:ascii="Times New Roman" w:hAnsi="Times New Roman" w:cs="Times New Roman"/>
          <w:sz w:val="24"/>
          <w:szCs w:val="24"/>
        </w:rPr>
        <w:t xml:space="preserve">Por desgracia, el BCE está en un brete. Alentó expectativas de una mayor flexibilización a un punto tal que los rendimientos de los bonos a largo plazo volverán a subir si el 12 de </w:t>
      </w:r>
      <w:r w:rsidRPr="00B82369">
        <w:rPr>
          <w:rFonts w:ascii="Times New Roman" w:hAnsi="Times New Roman" w:cs="Times New Roman"/>
          <w:sz w:val="24"/>
          <w:szCs w:val="24"/>
        </w:rPr>
        <w:lastRenderedPageBreak/>
        <w:t xml:space="preserve">septiembre no provee alguna flexibilización de la política. Pero lo mejor sería que el BCE espere antes de adoptar una política de FC a gran escala. </w:t>
      </w:r>
      <w:r w:rsidRPr="000F0BB3">
        <w:rPr>
          <w:rFonts w:ascii="Times New Roman" w:hAnsi="Times New Roman" w:cs="Times New Roman"/>
          <w:color w:val="FF0000"/>
          <w:sz w:val="24"/>
          <w:szCs w:val="24"/>
          <w:u w:val="single"/>
        </w:rPr>
        <w:t>Por el momento, cualquier paquete de flexibilización significativo parece prematuro.</w:t>
      </w:r>
    </w:p>
    <w:p w:rsidR="009703A5" w:rsidRDefault="009703A5" w:rsidP="009703A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B82369">
        <w:rPr>
          <w:rFonts w:ascii="Times New Roman" w:hAnsi="Times New Roman" w:cs="Times New Roman"/>
          <w:sz w:val="24"/>
          <w:szCs w:val="24"/>
          <w:lang w:val="en-US"/>
        </w:rPr>
        <w:t>Stefan Gerlach is Chief Economist at EFG Bank in Zurich and a former deputy governor of the Central Bank of Ireland. He is also a former Executive Director and Chief Economist of the Hong Kong Monetary Authority and Secretary to the Committee on the Glo</w:t>
      </w:r>
      <w:r>
        <w:rPr>
          <w:rFonts w:ascii="Times New Roman" w:hAnsi="Times New Roman" w:cs="Times New Roman"/>
          <w:sz w:val="24"/>
          <w:szCs w:val="24"/>
          <w:lang w:val="en-US"/>
        </w:rPr>
        <w:t>bal Financial System at the BIS)</w:t>
      </w:r>
    </w:p>
    <w:p w:rsidR="009703A5" w:rsidRPr="00B82369" w:rsidRDefault="009703A5" w:rsidP="009703A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2369">
        <w:rPr>
          <w:rFonts w:ascii="Times New Roman" w:hAnsi="Times New Roman" w:cs="Times New Roman"/>
          <w:sz w:val="24"/>
          <w:szCs w:val="24"/>
          <w:u w:val="single"/>
        </w:rPr>
        <w:t>Tareas para Ursula von der Leyen</w:t>
      </w:r>
      <w:r>
        <w:rPr>
          <w:rFonts w:ascii="Times New Roman" w:hAnsi="Times New Roman" w:cs="Times New Roman"/>
          <w:sz w:val="24"/>
          <w:szCs w:val="24"/>
        </w:rPr>
        <w:t xml:space="preserve"> (Project Syndicate - </w:t>
      </w:r>
      <w:r w:rsidRPr="00B82369">
        <w:rPr>
          <w:rFonts w:ascii="Times New Roman" w:hAnsi="Times New Roman" w:cs="Times New Roman"/>
          <w:b/>
          <w:sz w:val="24"/>
          <w:szCs w:val="24"/>
        </w:rPr>
        <w:t>9/9/19</w:t>
      </w:r>
      <w:r>
        <w:rPr>
          <w:rFonts w:ascii="Times New Roman" w:hAnsi="Times New Roman" w:cs="Times New Roman"/>
          <w:sz w:val="24"/>
          <w:szCs w:val="24"/>
        </w:rPr>
        <w:t>)</w:t>
      </w:r>
    </w:p>
    <w:p w:rsidR="009703A5" w:rsidRPr="00F53EA0" w:rsidRDefault="000777E3" w:rsidP="009703A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Berlín.-</w:t>
      </w:r>
      <w:r w:rsidR="009703A5" w:rsidRPr="00F53EA0">
        <w:rPr>
          <w:rFonts w:ascii="Times New Roman" w:hAnsi="Times New Roman" w:cs="Times New Roman"/>
          <w:sz w:val="24"/>
          <w:szCs w:val="24"/>
          <w:u w:val="single"/>
        </w:rPr>
        <w:t>Cuando hace cinco años Jean-Claude Juncker asumió la presidencia de la Comisión Europea, se encontró con desafíos formidables. Pero su sucesora, Ursula von der Leyen, enfrenta una prueba todavía más compleja.</w:t>
      </w:r>
    </w:p>
    <w:p w:rsidR="009703A5" w:rsidRPr="00B82369" w:rsidRDefault="009703A5" w:rsidP="009703A5">
      <w:pPr>
        <w:spacing w:line="240" w:lineRule="auto"/>
        <w:jc w:val="both"/>
        <w:rPr>
          <w:rFonts w:ascii="Times New Roman" w:hAnsi="Times New Roman" w:cs="Times New Roman"/>
          <w:sz w:val="24"/>
          <w:szCs w:val="24"/>
        </w:rPr>
      </w:pPr>
      <w:r w:rsidRPr="00F53EA0">
        <w:rPr>
          <w:rFonts w:ascii="Times New Roman" w:hAnsi="Times New Roman" w:cs="Times New Roman"/>
          <w:sz w:val="24"/>
          <w:szCs w:val="24"/>
          <w:u w:val="single"/>
        </w:rPr>
        <w:t>Como ella misma resaltó en su “agenda para Europa”, una de sus prioridades principales será darle “un nuevo impulso a la democracia europea</w:t>
      </w:r>
      <w:r w:rsidRPr="00B82369">
        <w:rPr>
          <w:rFonts w:ascii="Times New Roman" w:hAnsi="Times New Roman" w:cs="Times New Roman"/>
          <w:sz w:val="24"/>
          <w:szCs w:val="24"/>
        </w:rPr>
        <w:t>”. La nueva presidenta puede fortalecer la legitimidad democrática de la Unión Europea por dos vías: por el lado productivo, asegurando que la UE cumpla las expectativas de la ciudadanía, en tiempos de cambio acelerado y desafíos externos cada vez más grandes; por el lado receptivo, fomentando una cooperación construc</w:t>
      </w:r>
      <w:r>
        <w:rPr>
          <w:rFonts w:ascii="Times New Roman" w:hAnsi="Times New Roman" w:cs="Times New Roman"/>
          <w:sz w:val="24"/>
          <w:szCs w:val="24"/>
        </w:rPr>
        <w:t>tiva con el Parlamento Europeo.</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Pero hoy, la gran fragmentación y polarización del Parlamento Europeo dificulta la creación de una coalición proeuropea estable. Para obtener la aprobación de leyes, von der Leyen necesitará el apoyo de los conservadores y de los socialdemócratas, a la par de una relación de trabajo sólida y productiva con los verdes y los liberales. Es probable que en determinadas áreas tenga que formar coaliciones flexibles, algo que llevará tiempo y acrecentará el riesgo de fracasos p</w:t>
      </w:r>
      <w:r>
        <w:rPr>
          <w:rFonts w:ascii="Times New Roman" w:hAnsi="Times New Roman" w:cs="Times New Roman"/>
          <w:sz w:val="24"/>
          <w:szCs w:val="24"/>
        </w:rPr>
        <w:t>olíticos en temas contenciosos.</w:t>
      </w:r>
    </w:p>
    <w:p w:rsidR="009703A5" w:rsidRPr="00F53EA0" w:rsidRDefault="009703A5" w:rsidP="009703A5">
      <w:pPr>
        <w:spacing w:line="240" w:lineRule="auto"/>
        <w:jc w:val="both"/>
        <w:rPr>
          <w:rFonts w:ascii="Times New Roman" w:hAnsi="Times New Roman" w:cs="Times New Roman"/>
          <w:sz w:val="24"/>
          <w:szCs w:val="24"/>
          <w:u w:val="single"/>
        </w:rPr>
      </w:pPr>
      <w:r w:rsidRPr="00F53EA0">
        <w:rPr>
          <w:rFonts w:ascii="Times New Roman" w:hAnsi="Times New Roman" w:cs="Times New Roman"/>
          <w:sz w:val="24"/>
          <w:szCs w:val="24"/>
          <w:u w:val="single"/>
        </w:rPr>
        <w:t>Después de las últimas elecciones, las facciones proeuropeas (el conservador Partido Popular Europeo, los socialdemócratas, los verdes y los liberales) se unieron por primera vez en la historia del Parlamento Europeo para crear un programa político multipartidario. Pero luego el proceso se estancó, ya que el Parlamento no pudo acordar un candidato propio para la presidencia de la Comisión, y ya no hay un “acuerdo de coalición” tetrapartidario sobre la mesa.</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Aun así, von der Leyen debe esforzarse en lograr el máximo diálogo político con el Parlamento, comenzando por las prioridades que se incluyan en las cartas de misión para los comisarios. Dichas prioridades deberían definirse a través de deliberaciones con las nuevas presidencias de los bloques parlamentarios.</w:t>
      </w:r>
    </w:p>
    <w:p w:rsidR="009703A5" w:rsidRPr="00F53EA0" w:rsidRDefault="009703A5" w:rsidP="009703A5">
      <w:pPr>
        <w:spacing w:line="240" w:lineRule="auto"/>
        <w:jc w:val="both"/>
        <w:rPr>
          <w:rFonts w:ascii="Times New Roman" w:hAnsi="Times New Roman" w:cs="Times New Roman"/>
          <w:sz w:val="24"/>
          <w:szCs w:val="24"/>
          <w:u w:val="single"/>
        </w:rPr>
      </w:pPr>
      <w:r w:rsidRPr="00B82369">
        <w:rPr>
          <w:rFonts w:ascii="Times New Roman" w:hAnsi="Times New Roman" w:cs="Times New Roman"/>
          <w:sz w:val="24"/>
          <w:szCs w:val="24"/>
        </w:rPr>
        <w:t xml:space="preserve">Tres elementos necesarios para alentar una cooperación constructiva con el Parlamento Europeo serán la implementación creíble de un derecho de iniciativa parlamentaria de facto, un diálogo periódico con la presidenta y el compromiso duradero de todos los comisarios. </w:t>
      </w:r>
      <w:r w:rsidRPr="00F53EA0">
        <w:rPr>
          <w:rFonts w:ascii="Times New Roman" w:hAnsi="Times New Roman" w:cs="Times New Roman"/>
          <w:sz w:val="24"/>
          <w:szCs w:val="24"/>
          <w:u w:val="single"/>
        </w:rPr>
        <w:t>Von der Leyen necesitará que sus colaboradores la ayuden a navegar el complejo entorno político que se le plantea no sólo en el Parlamento, sino también en el Consejo Europeo, y la guíen en sus esfuerzos por incluir a la opinión pública europea en un debate sobre el futuro de la UE.</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 xml:space="preserve">Por eso es necesario que al momento de definir las carteras de los comisarios, se le dé peso suficiente al manejo de las relaciones interinstitucionales. En la Comisión anterior, eso formaba parte de la vasta cartera del vicepresidente Frans Timmermans; pero en la Comisión </w:t>
      </w:r>
      <w:r w:rsidRPr="00B82369">
        <w:rPr>
          <w:rFonts w:ascii="Times New Roman" w:hAnsi="Times New Roman" w:cs="Times New Roman"/>
          <w:sz w:val="24"/>
          <w:szCs w:val="24"/>
        </w:rPr>
        <w:lastRenderedPageBreak/>
        <w:t>nueva, las relaciones interinstitucionales (y la cuestión de la democratización) deberían f</w:t>
      </w:r>
      <w:r>
        <w:rPr>
          <w:rFonts w:ascii="Times New Roman" w:hAnsi="Times New Roman" w:cs="Times New Roman"/>
          <w:sz w:val="24"/>
          <w:szCs w:val="24"/>
        </w:rPr>
        <w:t>ormar por sí solas una cartera.</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En vista de la enorme importancia de dicha cartera, su ocupante debería ser una persona con experiencia en la formulación de políticas, idealmente alguien que haya trabajado en los niveles nacional y europeo, en el Parlamento Europeo y con el Consejo. Dada la afiliación partidaria de von der Leyen, sería buena idea elegir a una figura socialdemócrata, aunque más allá de la identidad de la persona elegida, es necesario que sea capaz de trabajar sin disti</w:t>
      </w:r>
      <w:r>
        <w:rPr>
          <w:rFonts w:ascii="Times New Roman" w:hAnsi="Times New Roman" w:cs="Times New Roman"/>
          <w:sz w:val="24"/>
          <w:szCs w:val="24"/>
        </w:rPr>
        <w:t>nción de fronteras partidarias.</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Esta cartera debería colaborar en forma directa con von der Leyen y con los vicepresidentes de la Comisión para manejar la relación general con el Parlamento Europeo y con el Consejo de Asuntos Generales y al mismo tiempo ayudar a coordinar las interacciones de los diversos comisarios con el Parlamento. También debería hacerse cargo de la preparación de los programas anuales y plurianuales de la Comisión y, en particular, de su declaración conjunta con el Parlamento en relación con las pr</w:t>
      </w:r>
      <w:r>
        <w:rPr>
          <w:rFonts w:ascii="Times New Roman" w:hAnsi="Times New Roman" w:cs="Times New Roman"/>
          <w:sz w:val="24"/>
          <w:szCs w:val="24"/>
        </w:rPr>
        <w:t>ioridades legislativas anuales.</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Además, al no ser una cartera especializada en un área de políticas determinada, podría ayudar a von der Leyen a manejar temas particularmente urgentes, controvertidos o de algún modo delicados (por ejemplo las migraciones o la reforma de la eurozona) cuyo avance demande un esfuerzo político adicional. También podría encargarse de asegurar la coherencia de las acciones en las áreas de política interna y externa (desde la política común exterior y de seguridad hasta la relación con el ve</w:t>
      </w:r>
      <w:r>
        <w:rPr>
          <w:rFonts w:ascii="Times New Roman" w:hAnsi="Times New Roman" w:cs="Times New Roman"/>
          <w:sz w:val="24"/>
          <w:szCs w:val="24"/>
        </w:rPr>
        <w:t>cindario más amplio de Europa).</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Finalmente, una función importante de la cartera debería ser colaborar con la implementación de una de las prioridades que von der Leyen delineó en su agenda: la Conferencia sobre el Futuro de Europa (que debería entregar sus primeros resultados a mediados del año entrante). Esta ambiciosa iniciativa (en la que la población, la sociedad civil y las instituciones europeas participarán en pie de igualdad) demandará una cuidadosa labor de preparación y gestión responsable, en particular porque von der Leyen quiere que el Parlamento Europeo, el Consejo Europeo y la Comisión Europea definan conjuntamente sus objetiv</w:t>
      </w:r>
      <w:r>
        <w:rPr>
          <w:rFonts w:ascii="Times New Roman" w:hAnsi="Times New Roman" w:cs="Times New Roman"/>
          <w:sz w:val="24"/>
          <w:szCs w:val="24"/>
        </w:rPr>
        <w:t>os y su alcance por adelantado.</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En esta y en otras áreas, la Comisión y el Parlamento tienen mucho más en juego que durante el mandato anterior. Para ofrecer los resultados tangibles que la ciudadanía demanda, la dirigencia tendrá que sobreponerse a condiciones de formulación de políticas muy fluidas, caracterizadas por un aumento del escepticismo interno en la UE y por la intensificación de presiones externas, entre ellas la interferencia de actores externos como China. Desafíos agravados por la transformación tecnológica y por amenazas monumentales como el cambio climático.</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En este contexto, la Comisión Europea y el Parlamento tendrán que estar más motivados que nunca para cooperar. Esto debe incluir una revisión anual de las prioridades por parte de la Comisión, en colaboración con el Parlamento, para evaluar los avances e ident</w:t>
      </w:r>
      <w:r>
        <w:rPr>
          <w:rFonts w:ascii="Times New Roman" w:hAnsi="Times New Roman" w:cs="Times New Roman"/>
          <w:sz w:val="24"/>
          <w:szCs w:val="24"/>
        </w:rPr>
        <w:t>ificar las acciones necesarias.</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t>Un proceso de estas características adquiere más importancia en momentos en que la toma supranacional de decisiones genera impaciencia en el nivel de los gobiernos nacionales de la UE. A menos que las instituciones de la UE demuestren su eficacia, puede ocurrir que esos gobiernos prefieran eludirlas, para cooperar dentro de grupos más pequ</w:t>
      </w:r>
      <w:r>
        <w:rPr>
          <w:rFonts w:ascii="Times New Roman" w:hAnsi="Times New Roman" w:cs="Times New Roman"/>
          <w:sz w:val="24"/>
          <w:szCs w:val="24"/>
        </w:rPr>
        <w:t>eños, en aras de la eficiencia.</w:t>
      </w:r>
    </w:p>
    <w:p w:rsidR="009703A5" w:rsidRPr="00B82369" w:rsidRDefault="009703A5" w:rsidP="009703A5">
      <w:pPr>
        <w:spacing w:line="240" w:lineRule="auto"/>
        <w:jc w:val="both"/>
        <w:rPr>
          <w:rFonts w:ascii="Times New Roman" w:hAnsi="Times New Roman" w:cs="Times New Roman"/>
          <w:sz w:val="24"/>
          <w:szCs w:val="24"/>
        </w:rPr>
      </w:pPr>
      <w:r w:rsidRPr="00B82369">
        <w:rPr>
          <w:rFonts w:ascii="Times New Roman" w:hAnsi="Times New Roman" w:cs="Times New Roman"/>
          <w:sz w:val="24"/>
          <w:szCs w:val="24"/>
        </w:rPr>
        <w:lastRenderedPageBreak/>
        <w:t>Garantizar una cooperación efectiva con un Parlamento Europeo fragmentado no será fácil. Pero es posible, especialmente para una Comisión que priorice al máximo esa tarea y al mismo tiempo realce su propia legitimidad conduciendo un amplio debate público sobre el futuro de Europa. Esa es la Comisión que von der Leyen debe formar.</w:t>
      </w:r>
    </w:p>
    <w:p w:rsidR="009703A5" w:rsidRDefault="009703A5" w:rsidP="009703A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B82369">
        <w:rPr>
          <w:rFonts w:ascii="Times New Roman" w:hAnsi="Times New Roman" w:cs="Times New Roman"/>
          <w:sz w:val="24"/>
          <w:szCs w:val="24"/>
          <w:lang w:val="en-US"/>
        </w:rPr>
        <w:t>Daniela Schwarzer is Director of the German Coun</w:t>
      </w:r>
      <w:r>
        <w:rPr>
          <w:rFonts w:ascii="Times New Roman" w:hAnsi="Times New Roman" w:cs="Times New Roman"/>
          <w:sz w:val="24"/>
          <w:szCs w:val="24"/>
          <w:lang w:val="en-US"/>
        </w:rPr>
        <w:t>cil on Foreign Relations (DGAP))</w:t>
      </w:r>
    </w:p>
    <w:p w:rsidR="009703A5" w:rsidRPr="00840C8D" w:rsidRDefault="009703A5" w:rsidP="009703A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40C8D">
        <w:rPr>
          <w:rFonts w:ascii="Times New Roman" w:hAnsi="Times New Roman" w:cs="Times New Roman"/>
          <w:sz w:val="24"/>
          <w:szCs w:val="24"/>
          <w:u w:val="single"/>
        </w:rPr>
        <w:t>La despedida peligrosa de Draghi</w:t>
      </w:r>
      <w:r>
        <w:rPr>
          <w:rFonts w:ascii="Times New Roman" w:hAnsi="Times New Roman" w:cs="Times New Roman"/>
          <w:sz w:val="24"/>
          <w:szCs w:val="24"/>
        </w:rPr>
        <w:t xml:space="preserve"> (Project Syndicate - </w:t>
      </w:r>
      <w:r w:rsidRPr="00840C8D">
        <w:rPr>
          <w:rFonts w:ascii="Times New Roman" w:hAnsi="Times New Roman" w:cs="Times New Roman"/>
          <w:b/>
          <w:sz w:val="24"/>
          <w:szCs w:val="24"/>
        </w:rPr>
        <w:t>9/9/19</w:t>
      </w:r>
      <w:r>
        <w:rPr>
          <w:rFonts w:ascii="Times New Roman" w:hAnsi="Times New Roman" w:cs="Times New Roman"/>
          <w:sz w:val="24"/>
          <w:szCs w:val="24"/>
        </w:rPr>
        <w:t>)</w:t>
      </w:r>
    </w:p>
    <w:p w:rsidR="009703A5" w:rsidRPr="00840C8D" w:rsidRDefault="000777E3" w:rsidP="009703A5">
      <w:pPr>
        <w:spacing w:line="240" w:lineRule="auto"/>
        <w:jc w:val="both"/>
        <w:rPr>
          <w:rFonts w:ascii="Times New Roman" w:hAnsi="Times New Roman" w:cs="Times New Roman"/>
          <w:sz w:val="24"/>
          <w:szCs w:val="24"/>
        </w:rPr>
      </w:pPr>
      <w:r>
        <w:rPr>
          <w:rFonts w:ascii="Times New Roman" w:hAnsi="Times New Roman" w:cs="Times New Roman"/>
          <w:sz w:val="24"/>
          <w:szCs w:val="24"/>
        </w:rPr>
        <w:t>Princeton.-</w:t>
      </w:r>
      <w:r w:rsidR="009703A5" w:rsidRPr="00840C8D">
        <w:rPr>
          <w:rFonts w:ascii="Times New Roman" w:hAnsi="Times New Roman" w:cs="Times New Roman"/>
          <w:sz w:val="24"/>
          <w:szCs w:val="24"/>
        </w:rPr>
        <w:t xml:space="preserve"> Mario Draghi corre el riesgo de agravar los problemas de la eurozona en las últimas semanas de su mandato de ocho años como presidente del Banco Central Europeo. Ha prometido que el BCE reducirá aún más las tasas de interés para fomentar la economía de la eurozona. Pero los responsables de las políticas tienen margen de maniobra sólo para recortes de tasas moderados, lo que poco ayudará </w:t>
      </w:r>
      <w:r>
        <w:rPr>
          <w:rFonts w:ascii="Times New Roman" w:hAnsi="Times New Roman" w:cs="Times New Roman"/>
          <w:sz w:val="24"/>
          <w:szCs w:val="24"/>
        </w:rPr>
        <w:t>a impulsar el crecimiento -</w:t>
      </w:r>
      <w:r w:rsidR="009703A5" w:rsidRPr="00840C8D">
        <w:rPr>
          <w:rFonts w:ascii="Times New Roman" w:hAnsi="Times New Roman" w:cs="Times New Roman"/>
          <w:sz w:val="24"/>
          <w:szCs w:val="24"/>
        </w:rPr>
        <w:t>y sí ejercerá una presión potencialmente intolerable sobre los bancos frágiles de la eurozona.</w:t>
      </w:r>
    </w:p>
    <w:p w:rsidR="009703A5" w:rsidRPr="00840C8D" w:rsidRDefault="009703A5" w:rsidP="009703A5">
      <w:pPr>
        <w:spacing w:line="240" w:lineRule="auto"/>
        <w:jc w:val="both"/>
        <w:rPr>
          <w:rFonts w:ascii="Times New Roman" w:hAnsi="Times New Roman" w:cs="Times New Roman"/>
          <w:sz w:val="24"/>
          <w:szCs w:val="24"/>
        </w:rPr>
      </w:pPr>
      <w:r w:rsidRPr="00840C8D">
        <w:rPr>
          <w:rFonts w:ascii="Times New Roman" w:hAnsi="Times New Roman" w:cs="Times New Roman"/>
          <w:sz w:val="24"/>
          <w:szCs w:val="24"/>
        </w:rPr>
        <w:t xml:space="preserve">En junio, Draghi dijo que el BCE estaba preparando </w:t>
      </w:r>
      <w:r w:rsidR="00244993" w:rsidRPr="00840C8D">
        <w:rPr>
          <w:rFonts w:ascii="Times New Roman" w:hAnsi="Times New Roman" w:cs="Times New Roman"/>
          <w:sz w:val="24"/>
          <w:szCs w:val="24"/>
        </w:rPr>
        <w:t>una nueva dosis de estímulo</w:t>
      </w:r>
      <w:r w:rsidR="00244993">
        <w:rPr>
          <w:rFonts w:ascii="Times New Roman" w:hAnsi="Times New Roman" w:cs="Times New Roman"/>
          <w:sz w:val="24"/>
          <w:szCs w:val="24"/>
        </w:rPr>
        <w:t>s</w:t>
      </w:r>
      <w:r w:rsidR="00244993" w:rsidRPr="00840C8D">
        <w:rPr>
          <w:rFonts w:ascii="Times New Roman" w:hAnsi="Times New Roman" w:cs="Times New Roman"/>
          <w:sz w:val="24"/>
          <w:szCs w:val="24"/>
        </w:rPr>
        <w:t>, incluida</w:t>
      </w:r>
      <w:r w:rsidRPr="00840C8D">
        <w:rPr>
          <w:rFonts w:ascii="Times New Roman" w:hAnsi="Times New Roman" w:cs="Times New Roman"/>
          <w:sz w:val="24"/>
          <w:szCs w:val="24"/>
        </w:rPr>
        <w:t xml:space="preserve"> mayores reducciones de su tasa de interés oficial</w:t>
      </w:r>
      <w:r w:rsidR="00616CD1">
        <w:rPr>
          <w:rFonts w:ascii="Times New Roman" w:hAnsi="Times New Roman" w:cs="Times New Roman"/>
          <w:sz w:val="24"/>
          <w:szCs w:val="24"/>
        </w:rPr>
        <w:t>,</w:t>
      </w:r>
      <w:r w:rsidRPr="00840C8D">
        <w:rPr>
          <w:rFonts w:ascii="Times New Roman" w:hAnsi="Times New Roman" w:cs="Times New Roman"/>
          <w:sz w:val="24"/>
          <w:szCs w:val="24"/>
        </w:rPr>
        <w:t xml:space="preserve"> y una renovación del alivio cuantitativo (QE por su sigla en inglés) a través de compras de bonos gubernamentales. Posteriormente, exigió “un grado significativo de estímulo monetario” luego de la reunión más reciente del Consejo de G</w:t>
      </w:r>
      <w:r>
        <w:rPr>
          <w:rFonts w:ascii="Times New Roman" w:hAnsi="Times New Roman" w:cs="Times New Roman"/>
          <w:sz w:val="24"/>
          <w:szCs w:val="24"/>
        </w:rPr>
        <w:t>obierno del BCE el 25 de julio.</w:t>
      </w:r>
    </w:p>
    <w:p w:rsidR="009703A5" w:rsidRPr="00840C8D" w:rsidRDefault="009703A5" w:rsidP="009703A5">
      <w:pPr>
        <w:spacing w:line="240" w:lineRule="auto"/>
        <w:jc w:val="both"/>
        <w:rPr>
          <w:rFonts w:ascii="Times New Roman" w:hAnsi="Times New Roman" w:cs="Times New Roman"/>
          <w:sz w:val="24"/>
          <w:szCs w:val="24"/>
        </w:rPr>
      </w:pPr>
      <w:r w:rsidRPr="00840C8D">
        <w:rPr>
          <w:rFonts w:ascii="Times New Roman" w:hAnsi="Times New Roman" w:cs="Times New Roman"/>
          <w:sz w:val="24"/>
          <w:szCs w:val="24"/>
        </w:rPr>
        <w:t>Más recientemente, Christine Lagarde, que sucederá a Draghi como presidente del BCE el 1 de noviembre, dijo que el banco central “tiene un amplio conjunto de herramientas a su disposición y debe estar pronto para actuar”. De la misma manera, Olli Rehn, gobernador del banco central de Finlandia y miembro del Consejo de Gobierno del BCE, reclamó una acción “sustancial y suficiente”. Los mercados financieros, por ende, esperan medidas agresivas y explosivas tipo “big bang” por parte del BCE en la próxima reunión d</w:t>
      </w:r>
      <w:r>
        <w:rPr>
          <w:rFonts w:ascii="Times New Roman" w:hAnsi="Times New Roman" w:cs="Times New Roman"/>
          <w:sz w:val="24"/>
          <w:szCs w:val="24"/>
        </w:rPr>
        <w:t>el consejo el 12 de septiembre.</w:t>
      </w:r>
    </w:p>
    <w:p w:rsidR="009703A5" w:rsidRPr="00840C8D" w:rsidRDefault="009703A5" w:rsidP="009703A5">
      <w:pPr>
        <w:spacing w:line="240" w:lineRule="auto"/>
        <w:jc w:val="both"/>
        <w:rPr>
          <w:rFonts w:ascii="Times New Roman" w:hAnsi="Times New Roman" w:cs="Times New Roman"/>
          <w:sz w:val="24"/>
          <w:szCs w:val="24"/>
        </w:rPr>
      </w:pPr>
      <w:r w:rsidRPr="00840C8D">
        <w:rPr>
          <w:rFonts w:ascii="Times New Roman" w:hAnsi="Times New Roman" w:cs="Times New Roman"/>
          <w:sz w:val="24"/>
          <w:szCs w:val="24"/>
        </w:rPr>
        <w:t xml:space="preserve">El riesgo hoy es que las medidas del BCE no cumplan con las expectativas. El miembro del Consejo de Gobierno Jens Weidmann, presidente del Bundesbank de Alemania, dice que la eurozona no necesita estímulo monetario. Otro miembro alemán del consejo, Sabine Lautenschläger, recientemente dijo que “es demasiado pronto para un paquete importante”. No hay riesgo de deflación, agregó, y por lo tanto ninguna necesidad de más QE. Klaas Knot, presidente del banco central </w:t>
      </w:r>
      <w:r>
        <w:rPr>
          <w:rFonts w:ascii="Times New Roman" w:hAnsi="Times New Roman" w:cs="Times New Roman"/>
          <w:sz w:val="24"/>
          <w:szCs w:val="24"/>
        </w:rPr>
        <w:t>holandés, comparte esta visión.</w:t>
      </w:r>
    </w:p>
    <w:p w:rsidR="009703A5" w:rsidRPr="007F1F1E" w:rsidRDefault="009703A5" w:rsidP="009703A5">
      <w:pPr>
        <w:spacing w:line="240" w:lineRule="auto"/>
        <w:jc w:val="both"/>
        <w:rPr>
          <w:rFonts w:ascii="Times New Roman" w:hAnsi="Times New Roman" w:cs="Times New Roman"/>
          <w:sz w:val="24"/>
          <w:szCs w:val="24"/>
          <w:u w:val="single"/>
        </w:rPr>
      </w:pPr>
      <w:r w:rsidRPr="007F1F1E">
        <w:rPr>
          <w:rFonts w:ascii="Times New Roman" w:hAnsi="Times New Roman" w:cs="Times New Roman"/>
          <w:sz w:val="24"/>
          <w:szCs w:val="24"/>
          <w:u w:val="single"/>
        </w:rPr>
        <w:t>El BCE no es un banco central normal. Funciona co</w:t>
      </w:r>
      <w:r w:rsidR="000777E3">
        <w:rPr>
          <w:rFonts w:ascii="Times New Roman" w:hAnsi="Times New Roman" w:cs="Times New Roman"/>
          <w:sz w:val="24"/>
          <w:szCs w:val="24"/>
          <w:u w:val="single"/>
        </w:rPr>
        <w:t>mo una confederación de países -</w:t>
      </w:r>
      <w:r w:rsidRPr="007F1F1E">
        <w:rPr>
          <w:rFonts w:ascii="Times New Roman" w:hAnsi="Times New Roman" w:cs="Times New Roman"/>
          <w:sz w:val="24"/>
          <w:szCs w:val="24"/>
          <w:u w:val="single"/>
        </w:rPr>
        <w:t>una Europa de estados naciones- y los intereses en conflicto están embebidos en su proceso de toma de decisiones. Esto resulta en demoras y medidas a medias.</w:t>
      </w:r>
    </w:p>
    <w:p w:rsidR="009703A5" w:rsidRPr="00A70A60" w:rsidRDefault="009703A5" w:rsidP="009703A5">
      <w:pPr>
        <w:spacing w:line="240" w:lineRule="auto"/>
        <w:jc w:val="both"/>
        <w:rPr>
          <w:rFonts w:ascii="Times New Roman" w:hAnsi="Times New Roman" w:cs="Times New Roman"/>
          <w:sz w:val="24"/>
          <w:szCs w:val="24"/>
          <w:u w:val="single"/>
        </w:rPr>
      </w:pPr>
      <w:r w:rsidRPr="007F1F1E">
        <w:rPr>
          <w:rFonts w:ascii="Times New Roman" w:hAnsi="Times New Roman" w:cs="Times New Roman"/>
          <w:sz w:val="24"/>
          <w:szCs w:val="24"/>
          <w:u w:val="single"/>
        </w:rPr>
        <w:t>Por ejemplo, el BCE pospuso la introducción del QE, tan necesario, durante dos años y medio antes de finalmente hacerlo en enero de 2015. Para entonces, la inflación de la eurozona había caído a aproximadamente el 1% y, a pesar del programa masivo de QE de cuatro años del BCE, que estuvo en vigencia hasta diciembre de 2018, la inflación</w:t>
      </w:r>
      <w:r>
        <w:rPr>
          <w:rFonts w:ascii="Times New Roman" w:hAnsi="Times New Roman" w:cs="Times New Roman"/>
          <w:sz w:val="24"/>
          <w:szCs w:val="24"/>
          <w:u w:val="single"/>
        </w:rPr>
        <w:t xml:space="preserve"> se mantiene en ese nivel bajo.</w:t>
      </w:r>
    </w:p>
    <w:p w:rsidR="009703A5" w:rsidRPr="00840C8D" w:rsidRDefault="009703A5" w:rsidP="009703A5">
      <w:pPr>
        <w:spacing w:line="240" w:lineRule="auto"/>
        <w:jc w:val="both"/>
        <w:rPr>
          <w:rFonts w:ascii="Times New Roman" w:hAnsi="Times New Roman" w:cs="Times New Roman"/>
          <w:sz w:val="24"/>
          <w:szCs w:val="24"/>
        </w:rPr>
      </w:pPr>
      <w:r w:rsidRPr="00840C8D">
        <w:rPr>
          <w:rFonts w:ascii="Times New Roman" w:hAnsi="Times New Roman" w:cs="Times New Roman"/>
          <w:sz w:val="24"/>
          <w:szCs w:val="24"/>
        </w:rPr>
        <w:t xml:space="preserve">Mientras intentaba implementar el QE, el BCE solía proyectar que la inflación volvería a subir a su objetivo de “por debajo, pero cercano a 2%”. Pero, como los responsables de las políticas constantemente amenazaban con poner fin al QE, los mercados infirieron que el BCE no estaba comprometido con un estímulo sostenido. El tipo de cambio euro-dólar, por ende, apenas se movió; de hecho, el euro se apreció frente a una canasta de monedas importantes. La inflación de la eurozona volvió a estar “desanclada” de las decisiones de </w:t>
      </w:r>
      <w:r w:rsidRPr="00840C8D">
        <w:rPr>
          <w:rFonts w:ascii="Times New Roman" w:hAnsi="Times New Roman" w:cs="Times New Roman"/>
          <w:sz w:val="24"/>
          <w:szCs w:val="24"/>
        </w:rPr>
        <w:lastRenderedPageBreak/>
        <w:t>política monetaria. El BCE luego declaró victoria y retiró prematuramente el QE justo cuando la economía de la eu</w:t>
      </w:r>
      <w:r>
        <w:rPr>
          <w:rFonts w:ascii="Times New Roman" w:hAnsi="Times New Roman" w:cs="Times New Roman"/>
          <w:sz w:val="24"/>
          <w:szCs w:val="24"/>
        </w:rPr>
        <w:t>rozona se estaba desacelerando.</w:t>
      </w:r>
    </w:p>
    <w:p w:rsidR="009703A5" w:rsidRPr="007F1F1E" w:rsidRDefault="009703A5" w:rsidP="009703A5">
      <w:pPr>
        <w:spacing w:line="240" w:lineRule="auto"/>
        <w:jc w:val="both"/>
        <w:rPr>
          <w:rFonts w:ascii="Times New Roman" w:hAnsi="Times New Roman" w:cs="Times New Roman"/>
          <w:sz w:val="24"/>
          <w:szCs w:val="24"/>
          <w:u w:val="single"/>
        </w:rPr>
      </w:pPr>
      <w:r w:rsidRPr="007F1F1E">
        <w:rPr>
          <w:rFonts w:ascii="Times New Roman" w:hAnsi="Times New Roman" w:cs="Times New Roman"/>
          <w:sz w:val="24"/>
          <w:szCs w:val="24"/>
          <w:u w:val="single"/>
        </w:rPr>
        <w:t>El choque de intereses entre los estados miembro de la eurozona es evidente. Hasta hace poco, la inflación en Alemania había rondado el 1,5% anual; en Francia e Italia, ha estado más cerca del 0,6% (ver Cuadro 1). Lautenschläger tiene razón cuando dice que Alemania no está cerca de una deflación, pero otro shock hacia la baja podría llevar a las economías francesa e italiana a esa situación.</w:t>
      </w:r>
    </w:p>
    <w:p w:rsidR="009703A5" w:rsidRPr="00840C8D" w:rsidRDefault="009703A5" w:rsidP="009703A5">
      <w:pPr>
        <w:spacing w:line="240" w:lineRule="auto"/>
        <w:jc w:val="both"/>
        <w:rPr>
          <w:rFonts w:ascii="Times New Roman" w:hAnsi="Times New Roman" w:cs="Times New Roman"/>
          <w:sz w:val="24"/>
          <w:szCs w:val="24"/>
        </w:rPr>
      </w:pPr>
      <w:r>
        <w:rPr>
          <w:noProof/>
          <w:lang w:val="en-GB" w:eastAsia="en-GB"/>
        </w:rPr>
        <w:drawing>
          <wp:inline distT="0" distB="0" distL="0" distR="0">
            <wp:extent cx="5731510" cy="3677746"/>
            <wp:effectExtent l="0" t="0" r="2540" b="0"/>
            <wp:docPr id="9" name="Imagen 9" descr="https://webapi.project-syndicate.org/library/9af7851bba23531a0a559b8bb007ee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9af7851bba23531a0a559b8bb007ee9f.jp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677746"/>
                    </a:xfrm>
                    <a:prstGeom prst="rect">
                      <a:avLst/>
                    </a:prstGeom>
                    <a:noFill/>
                    <a:ln>
                      <a:noFill/>
                    </a:ln>
                  </pic:spPr>
                </pic:pic>
              </a:graphicData>
            </a:graphic>
          </wp:inline>
        </w:drawing>
      </w:r>
    </w:p>
    <w:p w:rsidR="009703A5" w:rsidRPr="00840C8D" w:rsidRDefault="009703A5" w:rsidP="009703A5">
      <w:pPr>
        <w:spacing w:line="240" w:lineRule="auto"/>
        <w:jc w:val="both"/>
        <w:rPr>
          <w:rFonts w:ascii="Times New Roman" w:hAnsi="Times New Roman" w:cs="Times New Roman"/>
          <w:sz w:val="24"/>
          <w:szCs w:val="24"/>
        </w:rPr>
      </w:pPr>
      <w:r w:rsidRPr="00840C8D">
        <w:rPr>
          <w:rFonts w:ascii="Times New Roman" w:hAnsi="Times New Roman" w:cs="Times New Roman"/>
          <w:sz w:val="24"/>
          <w:szCs w:val="24"/>
        </w:rPr>
        <w:t>La tasa de interés real (ajustada por inflación) en Alemania es de aproximadamente -1,5%; en Italia, ha sido del 1-2%. El estímulo “significativo y efectivo” que defiende Rehn exigirá adentrar aún más las tasas de interés en terreno negativo en Italia y otros miembros del sur de la eurozona con un crecimiento</w:t>
      </w:r>
      <w:r>
        <w:rPr>
          <w:rFonts w:ascii="Times New Roman" w:hAnsi="Times New Roman" w:cs="Times New Roman"/>
          <w:sz w:val="24"/>
          <w:szCs w:val="24"/>
        </w:rPr>
        <w:t xml:space="preserve"> de la productividad muy lento.</w:t>
      </w:r>
    </w:p>
    <w:p w:rsidR="009703A5" w:rsidRPr="007F1F1E" w:rsidRDefault="009703A5" w:rsidP="009703A5">
      <w:pPr>
        <w:spacing w:line="240" w:lineRule="auto"/>
        <w:jc w:val="both"/>
        <w:rPr>
          <w:rFonts w:ascii="Times New Roman" w:hAnsi="Times New Roman" w:cs="Times New Roman"/>
          <w:sz w:val="24"/>
          <w:szCs w:val="24"/>
          <w:u w:val="single"/>
        </w:rPr>
      </w:pPr>
      <w:r w:rsidRPr="007F1F1E">
        <w:rPr>
          <w:rFonts w:ascii="Times New Roman" w:hAnsi="Times New Roman" w:cs="Times New Roman"/>
          <w:sz w:val="24"/>
          <w:szCs w:val="24"/>
          <w:u w:val="single"/>
        </w:rPr>
        <w:t>Aún si adentrar aún más las tasas de interés en territorio negativo fuera técnicamente posible, hay límites políticos para el alcance de un mayor QE. Por empezar, el BCE ya tiene alrededor del 25% de los bonos emitidos por gobiernos de la eurozona</w:t>
      </w:r>
      <w:r w:rsidRPr="00840C8D">
        <w:rPr>
          <w:rFonts w:ascii="Times New Roman" w:hAnsi="Times New Roman" w:cs="Times New Roman"/>
          <w:sz w:val="24"/>
          <w:szCs w:val="24"/>
        </w:rPr>
        <w:t xml:space="preserve">. Los miembros del norte de la eurozona se mostrarán reacios a comprar más bonos del gobierno italiano, por miedo a compartir las pérdidas si Italia cayera en un incumplimiento de pago. </w:t>
      </w:r>
      <w:r w:rsidRPr="007F1F1E">
        <w:rPr>
          <w:rFonts w:ascii="Times New Roman" w:hAnsi="Times New Roman" w:cs="Times New Roman"/>
          <w:sz w:val="24"/>
          <w:szCs w:val="24"/>
          <w:u w:val="single"/>
        </w:rPr>
        <w:t>La alternativa de canalizar más créditos baratos del BCE a los bancos apuntalará, como antes, a los deudores italianos y españoles “zombis” que se esfuerzan por pagar sus deudas.</w:t>
      </w:r>
    </w:p>
    <w:p w:rsidR="009703A5" w:rsidRPr="007F1F1E" w:rsidRDefault="009703A5" w:rsidP="009703A5">
      <w:pPr>
        <w:spacing w:line="240" w:lineRule="auto"/>
        <w:jc w:val="both"/>
        <w:rPr>
          <w:rFonts w:ascii="Times New Roman" w:hAnsi="Times New Roman" w:cs="Times New Roman"/>
          <w:sz w:val="24"/>
          <w:szCs w:val="24"/>
          <w:u w:val="single"/>
        </w:rPr>
      </w:pPr>
      <w:r w:rsidRPr="007F1F1E">
        <w:rPr>
          <w:rFonts w:ascii="Times New Roman" w:hAnsi="Times New Roman" w:cs="Times New Roman"/>
          <w:sz w:val="24"/>
          <w:szCs w:val="24"/>
          <w:u w:val="single"/>
        </w:rPr>
        <w:t>Y, en tanto la población de Alemania envejece, los retornos sobre los ahorros se han vuelto una cuestión e</w:t>
      </w:r>
      <w:r w:rsidR="000777E3">
        <w:rPr>
          <w:rFonts w:ascii="Times New Roman" w:hAnsi="Times New Roman" w:cs="Times New Roman"/>
          <w:sz w:val="24"/>
          <w:szCs w:val="24"/>
          <w:u w:val="single"/>
        </w:rPr>
        <w:t>conómica y política importante -</w:t>
      </w:r>
      <w:r w:rsidRPr="007F1F1E">
        <w:rPr>
          <w:rFonts w:ascii="Times New Roman" w:hAnsi="Times New Roman" w:cs="Times New Roman"/>
          <w:sz w:val="24"/>
          <w:szCs w:val="24"/>
          <w:u w:val="single"/>
        </w:rPr>
        <w:t>que les da a los responsables de las políticas alemanes otra razón para oponerse a una mayor reducción de las tasas de interés.</w:t>
      </w:r>
    </w:p>
    <w:p w:rsidR="009703A5" w:rsidRPr="007F1F1E" w:rsidRDefault="009703A5" w:rsidP="009703A5">
      <w:pPr>
        <w:spacing w:line="240" w:lineRule="auto"/>
        <w:jc w:val="both"/>
        <w:rPr>
          <w:rFonts w:ascii="Times New Roman" w:hAnsi="Times New Roman" w:cs="Times New Roman"/>
          <w:color w:val="FF0000"/>
          <w:sz w:val="24"/>
          <w:szCs w:val="24"/>
          <w:u w:val="single"/>
        </w:rPr>
      </w:pPr>
      <w:r w:rsidRPr="007F1F1E">
        <w:rPr>
          <w:rFonts w:ascii="Times New Roman" w:hAnsi="Times New Roman" w:cs="Times New Roman"/>
          <w:color w:val="FF0000"/>
          <w:sz w:val="24"/>
          <w:szCs w:val="24"/>
          <w:u w:val="single"/>
        </w:rPr>
        <w:t xml:space="preserve">Sin embargo, tal vez el argumento más sólido contra un mayor alivio sea su probable efecto en los bancos de la eurozona. Cuando el BCE reduce sus tasas de interés oficiales, los bancos comerciales necesitan reducir las tasas que cobran por sus préstamos, pero recortar sus tasas de depósitos es mucho más difícil. Por ende, las ganancias de los bancos se reducen. Y la </w:t>
      </w:r>
      <w:r w:rsidRPr="007F1F1E">
        <w:rPr>
          <w:rFonts w:ascii="Times New Roman" w:hAnsi="Times New Roman" w:cs="Times New Roman"/>
          <w:color w:val="FF0000"/>
          <w:sz w:val="24"/>
          <w:szCs w:val="24"/>
          <w:u w:val="single"/>
        </w:rPr>
        <w:lastRenderedPageBreak/>
        <w:t>rentabilidad de los bancos en la eurozona ya es abismalmente baja porque toda la zona está superpoblada de bancos.</w:t>
      </w:r>
    </w:p>
    <w:p w:rsidR="009703A5" w:rsidRPr="007F1F1E" w:rsidRDefault="009703A5" w:rsidP="009703A5">
      <w:pPr>
        <w:spacing w:line="240" w:lineRule="auto"/>
        <w:jc w:val="both"/>
        <w:rPr>
          <w:rFonts w:ascii="Times New Roman" w:hAnsi="Times New Roman" w:cs="Times New Roman"/>
          <w:sz w:val="24"/>
          <w:szCs w:val="24"/>
          <w:u w:val="single"/>
        </w:rPr>
      </w:pPr>
      <w:r w:rsidRPr="00840C8D">
        <w:rPr>
          <w:rFonts w:ascii="Times New Roman" w:hAnsi="Times New Roman" w:cs="Times New Roman"/>
          <w:sz w:val="24"/>
          <w:szCs w:val="24"/>
        </w:rPr>
        <w:t>La reducción de las ganancias se ha intensificado en tanto el crecimiento de la eurozona se ha desacelerado a paso de hombre. Algunos países hoy están cerca de una recesión. Los ratios valor de marcado-valor contable de los bancos de la eurozona han caído marcadamente desde comienzos de 2018 y</w:t>
      </w:r>
      <w:r w:rsidR="00616CD1">
        <w:rPr>
          <w:rFonts w:ascii="Times New Roman" w:hAnsi="Times New Roman" w:cs="Times New Roman"/>
          <w:sz w:val="24"/>
          <w:szCs w:val="24"/>
        </w:rPr>
        <w:t xml:space="preserve"> ahora oscilan entre 0,4 y 0,6 -</w:t>
      </w:r>
      <w:r w:rsidRPr="00840C8D">
        <w:rPr>
          <w:rFonts w:ascii="Times New Roman" w:hAnsi="Times New Roman" w:cs="Times New Roman"/>
          <w:sz w:val="24"/>
          <w:szCs w:val="24"/>
        </w:rPr>
        <w:t xml:space="preserve">muy por debajo de los de sus pares estadounidenses (ver Cuadro 2)-. </w:t>
      </w:r>
      <w:r w:rsidRPr="007F1F1E">
        <w:rPr>
          <w:rFonts w:ascii="Times New Roman" w:hAnsi="Times New Roman" w:cs="Times New Roman"/>
          <w:sz w:val="24"/>
          <w:szCs w:val="24"/>
          <w:u w:val="single"/>
        </w:rPr>
        <w:t>Los mercados están diciendo que las perspectivas de rentabilidad de los bancos de la eurozona son muy débiles, y que sus activos tal vez valgan mucho menos de lo que creen los bancos. En consecuencia, hasta una caída modesta de las tasas de interés inducida por el BCE causará un daño significativo a sus balances. Y cualquier percepción de que algunos gobiernos tal vez necesiten rescatar a los bancos de su país podría hacerlos caer en el tan temido “círculo maldito de los bancos soberanos”.</w:t>
      </w:r>
    </w:p>
    <w:p w:rsidR="009703A5" w:rsidRPr="00840C8D" w:rsidRDefault="009703A5" w:rsidP="009703A5">
      <w:pPr>
        <w:spacing w:line="240" w:lineRule="auto"/>
        <w:jc w:val="both"/>
        <w:rPr>
          <w:rFonts w:ascii="Times New Roman" w:hAnsi="Times New Roman" w:cs="Times New Roman"/>
          <w:sz w:val="24"/>
          <w:szCs w:val="24"/>
        </w:rPr>
      </w:pPr>
      <w:r>
        <w:rPr>
          <w:noProof/>
          <w:lang w:val="en-GB" w:eastAsia="en-GB"/>
        </w:rPr>
        <w:drawing>
          <wp:inline distT="0" distB="0" distL="0" distR="0">
            <wp:extent cx="5731510" cy="4164826"/>
            <wp:effectExtent l="0" t="0" r="2540" b="7620"/>
            <wp:docPr id="18" name="Imagen 18" descr="https://webapi.project-syndicate.org/library/379ffe3c6de8cfcf6d6bcfa3f70be6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ebapi.project-syndicate.org/library/379ffe3c6de8cfcf6d6bcfa3f70be6d9.jp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164826"/>
                    </a:xfrm>
                    <a:prstGeom prst="rect">
                      <a:avLst/>
                    </a:prstGeom>
                    <a:noFill/>
                    <a:ln>
                      <a:noFill/>
                    </a:ln>
                  </pic:spPr>
                </pic:pic>
              </a:graphicData>
            </a:graphic>
          </wp:inline>
        </w:drawing>
      </w:r>
    </w:p>
    <w:p w:rsidR="009703A5" w:rsidRPr="007F1F1E" w:rsidRDefault="009703A5" w:rsidP="009703A5">
      <w:pPr>
        <w:spacing w:line="240" w:lineRule="auto"/>
        <w:jc w:val="both"/>
        <w:rPr>
          <w:rFonts w:ascii="Times New Roman" w:hAnsi="Times New Roman" w:cs="Times New Roman"/>
          <w:color w:val="FF0000"/>
          <w:sz w:val="24"/>
          <w:szCs w:val="24"/>
          <w:u w:val="single"/>
        </w:rPr>
      </w:pPr>
      <w:r w:rsidRPr="007F1F1E">
        <w:rPr>
          <w:rFonts w:ascii="Times New Roman" w:hAnsi="Times New Roman" w:cs="Times New Roman"/>
          <w:color w:val="FF0000"/>
          <w:sz w:val="24"/>
          <w:szCs w:val="24"/>
          <w:u w:val="single"/>
        </w:rPr>
        <w:t>El bien que puede hacer el BCE en este momento es poco, pero sí podría causar un enorme daño. Un mayor estímulo monetario será menor a lo esperado o no será sostenido. Sin embargo, los efectos dominó de un esfuerzo de estímulo superficial y mal concebido podrían minar el sistema financiero y las finanzas públicas de la eurozona con consecuencias de muy amplio alcance.</w:t>
      </w:r>
    </w:p>
    <w:p w:rsidR="009703A5" w:rsidRPr="00840C8D" w:rsidRDefault="009703A5" w:rsidP="009703A5">
      <w:pPr>
        <w:spacing w:line="240" w:lineRule="auto"/>
        <w:jc w:val="both"/>
        <w:rPr>
          <w:rFonts w:ascii="Times New Roman" w:hAnsi="Times New Roman" w:cs="Times New Roman"/>
          <w:sz w:val="24"/>
          <w:szCs w:val="24"/>
        </w:rPr>
      </w:pPr>
      <w:r w:rsidRPr="00840C8D">
        <w:rPr>
          <w:rFonts w:ascii="Times New Roman" w:hAnsi="Times New Roman" w:cs="Times New Roman"/>
          <w:sz w:val="24"/>
          <w:szCs w:val="24"/>
        </w:rPr>
        <w:t>Draghi, en su partida, quiere irse con un último triunfo. Pero en su afán por actuar cuando al BCE no le quedan opciones de políticas buenas, corre el riesgo de mancillar su legado.</w:t>
      </w:r>
    </w:p>
    <w:p w:rsidR="009703A5" w:rsidRDefault="009703A5" w:rsidP="009703A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40C8D">
        <w:rPr>
          <w:rFonts w:ascii="Times New Roman" w:hAnsi="Times New Roman" w:cs="Times New Roman"/>
          <w:sz w:val="24"/>
          <w:szCs w:val="24"/>
          <w:lang w:val="en-US"/>
        </w:rPr>
        <w:t>Ashoka Mody is Visiting Professor of International Economic Policy at the Woodrow Wilson School of Public and International Affairs at Princeton University. He is a former mission chief for Germany and Ireland at the International Monetary Fund. He is the author of EuroTragedy: A Drama in Nine A</w:t>
      </w:r>
      <w:r>
        <w:rPr>
          <w:rFonts w:ascii="Times New Roman" w:hAnsi="Times New Roman" w:cs="Times New Roman"/>
          <w:sz w:val="24"/>
          <w:szCs w:val="24"/>
          <w:lang w:val="en-US"/>
        </w:rPr>
        <w:t>cts)</w:t>
      </w:r>
    </w:p>
    <w:p w:rsidR="00B0273B" w:rsidRPr="009A6384" w:rsidRDefault="00B0273B" w:rsidP="00B0273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A6384">
        <w:rPr>
          <w:rFonts w:ascii="Times New Roman" w:hAnsi="Times New Roman" w:cs="Times New Roman"/>
          <w:sz w:val="24"/>
          <w:szCs w:val="24"/>
          <w:u w:val="single"/>
        </w:rPr>
        <w:t>La clase media sucumbe ante el avance de las rentas altas y bajas</w:t>
      </w:r>
      <w:r>
        <w:rPr>
          <w:rFonts w:ascii="Times New Roman" w:hAnsi="Times New Roman" w:cs="Times New Roman"/>
          <w:sz w:val="24"/>
          <w:szCs w:val="24"/>
        </w:rPr>
        <w:t xml:space="preserve"> (El Confidencial - </w:t>
      </w:r>
      <w:r w:rsidRPr="009A6384">
        <w:rPr>
          <w:rFonts w:ascii="Times New Roman" w:hAnsi="Times New Roman" w:cs="Times New Roman"/>
          <w:b/>
          <w:sz w:val="24"/>
          <w:szCs w:val="24"/>
        </w:rPr>
        <w:t>10/9/19</w:t>
      </w:r>
      <w:r>
        <w:rPr>
          <w:rFonts w:ascii="Times New Roman" w:hAnsi="Times New Roman" w:cs="Times New Roman"/>
          <w:sz w:val="24"/>
          <w:szCs w:val="24"/>
        </w:rPr>
        <w:t>)</w:t>
      </w:r>
    </w:p>
    <w:p w:rsidR="00B0273B" w:rsidRPr="00E24D45" w:rsidRDefault="00B0273B" w:rsidP="00B0273B">
      <w:pPr>
        <w:spacing w:line="240" w:lineRule="auto"/>
        <w:jc w:val="both"/>
        <w:rPr>
          <w:rFonts w:ascii="Times New Roman" w:hAnsi="Times New Roman" w:cs="Times New Roman"/>
          <w:color w:val="FF0000"/>
          <w:sz w:val="24"/>
          <w:szCs w:val="24"/>
        </w:rPr>
      </w:pPr>
      <w:r w:rsidRPr="00E24D45">
        <w:rPr>
          <w:rFonts w:ascii="Times New Roman" w:hAnsi="Times New Roman" w:cs="Times New Roman"/>
          <w:color w:val="FF0000"/>
          <w:sz w:val="24"/>
          <w:szCs w:val="24"/>
        </w:rPr>
        <w:t>La transformación es lenta, pero segura. La clase media pierde peso en la estructura social en favor de las altas y las bajas. Lo acredita un informe del servicio de estudios de La Caixa</w:t>
      </w:r>
    </w:p>
    <w:p w:rsidR="00B0273B" w:rsidRPr="00E24D45" w:rsidRDefault="00B0273B" w:rsidP="00B0273B">
      <w:pPr>
        <w:spacing w:line="240" w:lineRule="auto"/>
        <w:jc w:val="both"/>
        <w:rPr>
          <w:rFonts w:ascii="Times New Roman" w:hAnsi="Times New Roman" w:cs="Times New Roman"/>
          <w:sz w:val="24"/>
          <w:szCs w:val="24"/>
          <w:u w:val="single"/>
        </w:rPr>
      </w:pPr>
      <w:r w:rsidRPr="00E24D45">
        <w:rPr>
          <w:rFonts w:ascii="Times New Roman" w:hAnsi="Times New Roman" w:cs="Times New Roman"/>
          <w:sz w:val="24"/>
          <w:szCs w:val="24"/>
          <w:u w:val="single"/>
        </w:rPr>
        <w:t>No es noticia que la clase media ha sufrido con la crisis económica (en todo caso, menos que la baja). Lo que es significativo es que una década después de que explotara la burbuja de crédito, aún no haya recuperado sus niveles de prosperidad.En 2017, en concreto, un adulto de clase media en España ingresaba en promedio 18.100 euros anuales, y aunque ha recuperado más de 1.000 euros con respecto del mínimo percibido durante la crisis, sus ingresos todavía se sitúan por debajo del máximo alcanzado antes de la crisis (18.400 euros en 2008).</w:t>
      </w:r>
    </w:p>
    <w:p w:rsidR="00B0273B" w:rsidRPr="00E24D45" w:rsidRDefault="00B0273B" w:rsidP="00B0273B">
      <w:pPr>
        <w:spacing w:line="240" w:lineRule="auto"/>
        <w:jc w:val="both"/>
        <w:rPr>
          <w:rFonts w:ascii="Times New Roman" w:hAnsi="Times New Roman" w:cs="Times New Roman"/>
          <w:color w:val="FF0000"/>
          <w:sz w:val="24"/>
          <w:szCs w:val="24"/>
          <w:u w:val="single"/>
        </w:rPr>
      </w:pPr>
      <w:r w:rsidRPr="009A6384">
        <w:rPr>
          <w:rFonts w:ascii="Times New Roman" w:hAnsi="Times New Roman" w:cs="Times New Roman"/>
          <w:sz w:val="24"/>
          <w:szCs w:val="24"/>
        </w:rPr>
        <w:t xml:space="preserve">Esto es lo que asegura un reciente informe del servicio de estudios de La Caixa, que pone negro sobre blanco </w:t>
      </w:r>
      <w:r w:rsidRPr="00E24D45">
        <w:rPr>
          <w:rFonts w:ascii="Times New Roman" w:hAnsi="Times New Roman" w:cs="Times New Roman"/>
          <w:sz w:val="24"/>
          <w:szCs w:val="24"/>
          <w:u w:val="single"/>
        </w:rPr>
        <w:t>una verdad incómoda</w:t>
      </w:r>
      <w:r w:rsidRPr="009A6384">
        <w:rPr>
          <w:rFonts w:ascii="Times New Roman" w:hAnsi="Times New Roman" w:cs="Times New Roman"/>
          <w:sz w:val="24"/>
          <w:szCs w:val="24"/>
        </w:rPr>
        <w:t xml:space="preserve">. </w:t>
      </w:r>
      <w:r w:rsidRPr="00E24D45">
        <w:rPr>
          <w:rFonts w:ascii="Times New Roman" w:hAnsi="Times New Roman" w:cs="Times New Roman"/>
          <w:color w:val="FF0000"/>
          <w:sz w:val="24"/>
          <w:szCs w:val="24"/>
          <w:u w:val="single"/>
        </w:rPr>
        <w:t>Cada vez es más evidente el ensanchamiento de la desigualdad, que se manifiesta en el hecho de que en los países desarrollados (también en España) aumenta, por un lado, el peso de lo q</w:t>
      </w:r>
      <w:r w:rsidR="00197FCC">
        <w:rPr>
          <w:rFonts w:ascii="Times New Roman" w:hAnsi="Times New Roman" w:cs="Times New Roman"/>
          <w:color w:val="FF0000"/>
          <w:sz w:val="24"/>
          <w:szCs w:val="24"/>
          <w:u w:val="single"/>
        </w:rPr>
        <w:t>ue los especialistas denominan “clase alta”</w:t>
      </w:r>
      <w:r w:rsidRPr="00E24D45">
        <w:rPr>
          <w:rFonts w:ascii="Times New Roman" w:hAnsi="Times New Roman" w:cs="Times New Roman"/>
          <w:color w:val="FF0000"/>
          <w:sz w:val="24"/>
          <w:szCs w:val="24"/>
          <w:u w:val="single"/>
        </w:rPr>
        <w:t>, mientras que, e</w:t>
      </w:r>
      <w:r w:rsidR="00197FCC">
        <w:rPr>
          <w:rFonts w:ascii="Times New Roman" w:hAnsi="Times New Roman" w:cs="Times New Roman"/>
          <w:color w:val="FF0000"/>
          <w:sz w:val="24"/>
          <w:szCs w:val="24"/>
          <w:u w:val="single"/>
        </w:rPr>
        <w:t>n paralelo, también lo hace la “clase baja”</w:t>
      </w:r>
      <w:r w:rsidRPr="00E24D45">
        <w:rPr>
          <w:rFonts w:ascii="Times New Roman" w:hAnsi="Times New Roman" w:cs="Times New Roman"/>
          <w:color w:val="FF0000"/>
          <w:sz w:val="24"/>
          <w:szCs w:val="24"/>
          <w:u w:val="single"/>
        </w:rPr>
        <w:t>. La clase media, por lo tanto, pierde protagonismo en la estructura de clases.</w:t>
      </w:r>
    </w:p>
    <w:p w:rsidR="00B0273B" w:rsidRPr="00E24D45" w:rsidRDefault="00B0273B" w:rsidP="00B0273B">
      <w:pPr>
        <w:spacing w:line="240" w:lineRule="auto"/>
        <w:jc w:val="both"/>
        <w:rPr>
          <w:rFonts w:ascii="Times New Roman" w:hAnsi="Times New Roman" w:cs="Times New Roman"/>
          <w:sz w:val="24"/>
          <w:szCs w:val="24"/>
          <w:u w:val="single"/>
        </w:rPr>
      </w:pPr>
      <w:r w:rsidRPr="00E24D45">
        <w:rPr>
          <w:rFonts w:ascii="Times New Roman" w:hAnsi="Times New Roman" w:cs="Times New Roman"/>
          <w:sz w:val="24"/>
          <w:szCs w:val="24"/>
          <w:u w:val="single"/>
        </w:rPr>
        <w:t>En concreto, en el caso español, el peso de la clase media se ha reducido en 3,7 puntos porcentuales en las últimas tres décadas, mientras que el de las clases bajas crecía en la misma proporción. Aun así, sostiene el informe, realizado por el economista Josep Mestres, la clase media todavía representa el 59,3% de la población en 2017, una proporción que se sitúa por debajo de Alemania, Suecia e incluso Portugal, pero en línea con la media de los países de la OCDE, que reúne a las naciones más ricas del planeta.</w:t>
      </w:r>
    </w:p>
    <w:p w:rsidR="00B0273B" w:rsidRPr="009A6384" w:rsidRDefault="00B0273B" w:rsidP="00B0273B">
      <w:pPr>
        <w:spacing w:line="240" w:lineRule="auto"/>
        <w:jc w:val="both"/>
        <w:rPr>
          <w:rFonts w:ascii="Times New Roman" w:hAnsi="Times New Roman" w:cs="Times New Roman"/>
          <w:sz w:val="24"/>
          <w:szCs w:val="24"/>
        </w:rPr>
      </w:pPr>
      <w:r w:rsidRPr="009A6384">
        <w:rPr>
          <w:rFonts w:ascii="Times New Roman" w:hAnsi="Times New Roman" w:cs="Times New Roman"/>
          <w:sz w:val="24"/>
          <w:szCs w:val="24"/>
        </w:rPr>
        <w:t>Lo que ha sucedido en los últimos años, según el informe, es que con la crisis los hogares de clase media vieron mermados sus ingresos en menor grado que el resto de la población. Concretamente, sus ingresos se redujeron un 8,5% entre 2008 y 2013, mientras que en los hogares de clase baja se redujeron un 13% y en los de clase alta, un 13,2%. En este último c</w:t>
      </w:r>
      <w:r w:rsidR="000777E3">
        <w:rPr>
          <w:rFonts w:ascii="Times New Roman" w:hAnsi="Times New Roman" w:cs="Times New Roman"/>
          <w:sz w:val="24"/>
          <w:szCs w:val="24"/>
        </w:rPr>
        <w:t>aso, lógicamente, con un mayor “colchón”</w:t>
      </w:r>
      <w:r w:rsidRPr="009A6384">
        <w:rPr>
          <w:rFonts w:ascii="Times New Roman" w:hAnsi="Times New Roman" w:cs="Times New Roman"/>
          <w:sz w:val="24"/>
          <w:szCs w:val="24"/>
        </w:rPr>
        <w:t xml:space="preserve"> para hacer frente a la adversidad económica. Mucho más ancho que en el caso de la clase media y, por supuesto, sensiblemente más voluminoso q</w:t>
      </w:r>
      <w:r>
        <w:rPr>
          <w:rFonts w:ascii="Times New Roman" w:hAnsi="Times New Roman" w:cs="Times New Roman"/>
          <w:sz w:val="24"/>
          <w:szCs w:val="24"/>
        </w:rPr>
        <w:t>ue en el caso de la clase baja.</w:t>
      </w:r>
    </w:p>
    <w:p w:rsidR="00B0273B" w:rsidRPr="009A6384" w:rsidRDefault="00B0273B" w:rsidP="00B0273B">
      <w:pPr>
        <w:spacing w:line="240" w:lineRule="auto"/>
        <w:jc w:val="both"/>
        <w:rPr>
          <w:rFonts w:ascii="Times New Roman" w:hAnsi="Times New Roman" w:cs="Times New Roman"/>
          <w:sz w:val="24"/>
          <w:szCs w:val="24"/>
        </w:rPr>
      </w:pPr>
      <w:r w:rsidRPr="009A6384">
        <w:rPr>
          <w:rFonts w:ascii="Times New Roman" w:hAnsi="Times New Roman" w:cs="Times New Roman"/>
          <w:sz w:val="24"/>
          <w:szCs w:val="24"/>
        </w:rPr>
        <w:t>Percepción individual</w:t>
      </w:r>
    </w:p>
    <w:p w:rsidR="00B0273B" w:rsidRPr="00E24D45" w:rsidRDefault="00B0273B" w:rsidP="00B0273B">
      <w:pPr>
        <w:spacing w:line="240" w:lineRule="auto"/>
        <w:jc w:val="both"/>
        <w:rPr>
          <w:rFonts w:ascii="Times New Roman" w:hAnsi="Times New Roman" w:cs="Times New Roman"/>
          <w:sz w:val="24"/>
          <w:szCs w:val="24"/>
          <w:u w:val="single"/>
        </w:rPr>
      </w:pPr>
      <w:r w:rsidRPr="00E24D45">
        <w:rPr>
          <w:rFonts w:ascii="Times New Roman" w:hAnsi="Times New Roman" w:cs="Times New Roman"/>
          <w:sz w:val="24"/>
          <w:szCs w:val="24"/>
          <w:u w:val="single"/>
        </w:rPr>
        <w:t>¿Qué se entiende por clase media? El informe hace suyo una definición de la propia OCDE, que clasifica como clase media a aquellos hogares con una renta situada entre el 75% y el 200% de la renta media de su región y año</w:t>
      </w:r>
      <w:r w:rsidRPr="009A6384">
        <w:rPr>
          <w:rFonts w:ascii="Times New Roman" w:hAnsi="Times New Roman" w:cs="Times New Roman"/>
          <w:sz w:val="24"/>
          <w:szCs w:val="24"/>
        </w:rPr>
        <w:t xml:space="preserve">. Es decir, se trata de una medida relativa, </w:t>
      </w:r>
      <w:r w:rsidRPr="00E24D45">
        <w:rPr>
          <w:rFonts w:ascii="Times New Roman" w:hAnsi="Times New Roman" w:cs="Times New Roman"/>
          <w:sz w:val="24"/>
          <w:szCs w:val="24"/>
          <w:u w:val="single"/>
        </w:rPr>
        <w:t>lo que explica la confusión que existe a menudo alrededor de este concepto. Entre otras cosas, porque la percepción individual sobre dónde se sitúa cada uno es subjetiva. En la mayoría de los países, se consideran clase media más personas de las que realmente lo son (no es el caso de España)</w:t>
      </w:r>
      <w:r w:rsidR="00616CD1" w:rsidRPr="00616CD1">
        <w:rPr>
          <w:rFonts w:ascii="Times New Roman" w:hAnsi="Times New Roman" w:cs="Times New Roman"/>
          <w:sz w:val="24"/>
          <w:szCs w:val="24"/>
        </w:rPr>
        <w:t>…</w:t>
      </w:r>
    </w:p>
    <w:p w:rsidR="00B0273B" w:rsidRPr="00E24D45" w:rsidRDefault="00B0273B" w:rsidP="00B0273B">
      <w:pPr>
        <w:spacing w:line="240" w:lineRule="auto"/>
        <w:jc w:val="both"/>
        <w:rPr>
          <w:rFonts w:ascii="Times New Roman" w:hAnsi="Times New Roman" w:cs="Times New Roman"/>
          <w:color w:val="FF0000"/>
          <w:sz w:val="24"/>
          <w:szCs w:val="24"/>
          <w:u w:val="single"/>
        </w:rPr>
      </w:pPr>
      <w:r w:rsidRPr="00E24D45">
        <w:rPr>
          <w:rFonts w:ascii="Times New Roman" w:hAnsi="Times New Roman" w:cs="Times New Roman"/>
          <w:color w:val="FF0000"/>
          <w:sz w:val="24"/>
          <w:szCs w:val="24"/>
          <w:u w:val="single"/>
        </w:rPr>
        <w:t>Entre las causas de esta disparidad se encuentra, fundamentalmente, la educación, que es lo que acrecienta la desigualdad entre regiones, ya que los salarios dependen en buena medida del nivel de formación. Esto se manifiesta en un dato incuestionable.</w:t>
      </w:r>
    </w:p>
    <w:p w:rsidR="00B0273B" w:rsidRPr="009A6384" w:rsidRDefault="0024093E" w:rsidP="00B0273B">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En el caso de España e</w:t>
      </w:r>
      <w:r w:rsidR="00B0273B" w:rsidRPr="00E24D45">
        <w:rPr>
          <w:rFonts w:ascii="Times New Roman" w:hAnsi="Times New Roman" w:cs="Times New Roman"/>
          <w:sz w:val="24"/>
          <w:szCs w:val="24"/>
          <w:u w:val="single"/>
        </w:rPr>
        <w:t>l porcentaje de hogares de clase media en los que el cabeza del hogar tiene un título de educación superior (32%) duplica al de la clase baja, aunque es claramente superado por el de la clase alta (68%), como dice el estudio de CaixaBank Research.</w:t>
      </w:r>
      <w:r w:rsidR="00B0273B" w:rsidRPr="009A6384">
        <w:rPr>
          <w:rFonts w:ascii="Times New Roman" w:hAnsi="Times New Roman" w:cs="Times New Roman"/>
          <w:sz w:val="24"/>
          <w:szCs w:val="24"/>
        </w:rPr>
        <w:t xml:space="preserve"> Este </w:t>
      </w:r>
      <w:r w:rsidR="00B0273B" w:rsidRPr="009A6384">
        <w:rPr>
          <w:rFonts w:ascii="Times New Roman" w:hAnsi="Times New Roman" w:cs="Times New Roman"/>
          <w:sz w:val="24"/>
          <w:szCs w:val="24"/>
        </w:rPr>
        <w:lastRenderedPageBreak/>
        <w:t xml:space="preserve">hecho está en consonancia con la literatura económica, que asegura que “la clase media acostumbra a invertir bastante en educación, lo que suele ser un motor para el crecimiento económico a través de la </w:t>
      </w:r>
      <w:r w:rsidR="00B0273B">
        <w:rPr>
          <w:rFonts w:ascii="Times New Roman" w:hAnsi="Times New Roman" w:cs="Times New Roman"/>
          <w:sz w:val="24"/>
          <w:szCs w:val="24"/>
        </w:rPr>
        <w:t>acumulación de capital humano”.</w:t>
      </w:r>
    </w:p>
    <w:p w:rsidR="00B0273B" w:rsidRPr="009A6384" w:rsidRDefault="00B0273B" w:rsidP="00B0273B">
      <w:pPr>
        <w:spacing w:line="240" w:lineRule="auto"/>
        <w:jc w:val="both"/>
        <w:rPr>
          <w:rFonts w:ascii="Times New Roman" w:hAnsi="Times New Roman" w:cs="Times New Roman"/>
          <w:sz w:val="24"/>
          <w:szCs w:val="24"/>
        </w:rPr>
      </w:pPr>
      <w:r w:rsidRPr="009A6384">
        <w:rPr>
          <w:rFonts w:ascii="Times New Roman" w:hAnsi="Times New Roman" w:cs="Times New Roman"/>
          <w:sz w:val="24"/>
          <w:szCs w:val="24"/>
        </w:rPr>
        <w:t>La crisis, en todo caso, ha pasado factura, como lo demuestra que en el peor momento de la recesión alrededor de un tercio de los hogares de la clase media española llegó a tener dificultades para afrontar gastos imprevistos o para llegar a fin de mes</w:t>
      </w:r>
      <w:r w:rsidR="0024093E">
        <w:rPr>
          <w:rFonts w:ascii="Times New Roman" w:hAnsi="Times New Roman" w:cs="Times New Roman"/>
          <w:sz w:val="24"/>
          <w:szCs w:val="24"/>
        </w:rPr>
        <w:t>…</w:t>
      </w:r>
    </w:p>
    <w:p w:rsidR="00B0273B" w:rsidRPr="009A6384" w:rsidRDefault="00B0273B" w:rsidP="00B0273B">
      <w:pPr>
        <w:spacing w:line="240" w:lineRule="auto"/>
        <w:jc w:val="both"/>
        <w:rPr>
          <w:rFonts w:ascii="Times New Roman" w:hAnsi="Times New Roman" w:cs="Times New Roman"/>
          <w:sz w:val="24"/>
          <w:szCs w:val="24"/>
        </w:rPr>
      </w:pPr>
      <w:r w:rsidRPr="009A6384">
        <w:rPr>
          <w:rFonts w:ascii="Times New Roman" w:hAnsi="Times New Roman" w:cs="Times New Roman"/>
          <w:sz w:val="24"/>
          <w:szCs w:val="24"/>
        </w:rPr>
        <w:t xml:space="preserve">En el momento más duro de la crisis, como recuerda el informe, un 7,8% de los hogares de clase media se retrasaba en el pago de la hipoteca, prácticamente un tercio que el 21,5% de los hogares pobres </w:t>
      </w:r>
      <w:r>
        <w:rPr>
          <w:rFonts w:ascii="Times New Roman" w:hAnsi="Times New Roman" w:cs="Times New Roman"/>
          <w:sz w:val="24"/>
          <w:szCs w:val="24"/>
        </w:rPr>
        <w:t>con el mismo problema.</w:t>
      </w:r>
    </w:p>
    <w:p w:rsidR="00B0273B" w:rsidRPr="0024093E" w:rsidRDefault="00B0273B" w:rsidP="00B0273B">
      <w:pPr>
        <w:spacing w:line="240" w:lineRule="auto"/>
        <w:jc w:val="both"/>
        <w:rPr>
          <w:rFonts w:ascii="Times New Roman" w:hAnsi="Times New Roman" w:cs="Times New Roman"/>
          <w:sz w:val="24"/>
          <w:szCs w:val="24"/>
        </w:rPr>
      </w:pPr>
      <w:r w:rsidRPr="0024093E">
        <w:rPr>
          <w:rFonts w:ascii="Times New Roman" w:hAnsi="Times New Roman" w:cs="Times New Roman"/>
          <w:sz w:val="24"/>
          <w:szCs w:val="24"/>
        </w:rPr>
        <w:t>No hay que olvidar que la propiedad de la vivienda continúa siendo una de las señas de identidad del individuo para ser considerado cla</w:t>
      </w:r>
      <w:r w:rsidR="0024093E" w:rsidRPr="0024093E">
        <w:rPr>
          <w:rFonts w:ascii="Times New Roman" w:hAnsi="Times New Roman" w:cs="Times New Roman"/>
          <w:sz w:val="24"/>
          <w:szCs w:val="24"/>
        </w:rPr>
        <w:t>se media. En el caso de España,</w:t>
      </w:r>
      <w:r w:rsidRPr="0024093E">
        <w:rPr>
          <w:rFonts w:ascii="Times New Roman" w:hAnsi="Times New Roman" w:cs="Times New Roman"/>
          <w:sz w:val="24"/>
          <w:szCs w:val="24"/>
        </w:rPr>
        <w:t xml:space="preserve"> esto se manifiesta en el hecho de que la mayor parte de los incluidos en este segmento continúa teniendo una vivienda en propiedad (79,2% en 2018), una proporción mucho mayor que la que se da entre la clase baja (64%)</w:t>
      </w:r>
      <w:r w:rsidR="0024093E" w:rsidRPr="0024093E">
        <w:rPr>
          <w:rFonts w:ascii="Times New Roman" w:hAnsi="Times New Roman" w:cs="Times New Roman"/>
          <w:sz w:val="24"/>
          <w:szCs w:val="24"/>
        </w:rPr>
        <w:t>…</w:t>
      </w:r>
    </w:p>
    <w:p w:rsidR="00B0273B" w:rsidRPr="0024093E" w:rsidRDefault="00B0273B" w:rsidP="00B0273B">
      <w:pPr>
        <w:spacing w:line="240" w:lineRule="auto"/>
        <w:jc w:val="both"/>
        <w:rPr>
          <w:rFonts w:ascii="Times New Roman" w:hAnsi="Times New Roman" w:cs="Times New Roman"/>
          <w:sz w:val="24"/>
          <w:szCs w:val="24"/>
        </w:rPr>
      </w:pPr>
      <w:r w:rsidRPr="0024093E">
        <w:rPr>
          <w:rFonts w:ascii="Times New Roman" w:hAnsi="Times New Roman" w:cs="Times New Roman"/>
          <w:sz w:val="24"/>
          <w:szCs w:val="24"/>
        </w:rPr>
        <w:t>El otro factor que explica la pertenencia a uno u otro grupo social es el empleo y, en general, las condiciones laborales. Según el estudio,</w:t>
      </w:r>
      <w:r w:rsidR="0024093E" w:rsidRPr="0024093E">
        <w:rPr>
          <w:rFonts w:ascii="Times New Roman" w:hAnsi="Times New Roman" w:cs="Times New Roman"/>
          <w:sz w:val="24"/>
          <w:szCs w:val="24"/>
        </w:rPr>
        <w:t xml:space="preserve"> en España,</w:t>
      </w:r>
      <w:r w:rsidRPr="0024093E">
        <w:rPr>
          <w:rFonts w:ascii="Times New Roman" w:hAnsi="Times New Roman" w:cs="Times New Roman"/>
          <w:sz w:val="24"/>
          <w:szCs w:val="24"/>
        </w:rPr>
        <w:t xml:space="preserve"> cerca del 80% de la población activa de la clase media trabaja por cuenta ajena, lo que supone un porcentaje casi idéntico al de la clase alta, pero muy por encima del 49% de la clase baja, que sufre un nivel de desempleo muy elevado</w:t>
      </w:r>
      <w:r w:rsidR="0024093E">
        <w:rPr>
          <w:rFonts w:ascii="Times New Roman" w:hAnsi="Times New Roman" w:cs="Times New Roman"/>
          <w:sz w:val="24"/>
          <w:szCs w:val="24"/>
        </w:rPr>
        <w:t>…</w:t>
      </w:r>
    </w:p>
    <w:p w:rsidR="00B0273B" w:rsidRDefault="00B0273B" w:rsidP="00B0273B">
      <w:pPr>
        <w:spacing w:line="240" w:lineRule="auto"/>
        <w:jc w:val="both"/>
        <w:rPr>
          <w:rFonts w:ascii="Times New Roman" w:hAnsi="Times New Roman" w:cs="Times New Roman"/>
          <w:sz w:val="24"/>
          <w:szCs w:val="24"/>
        </w:rPr>
      </w:pPr>
      <w:r w:rsidRPr="009A6384">
        <w:rPr>
          <w:rFonts w:ascii="Times New Roman" w:hAnsi="Times New Roman" w:cs="Times New Roman"/>
          <w:noProof/>
          <w:sz w:val="24"/>
          <w:szCs w:val="24"/>
          <w:lang w:val="en-GB" w:eastAsia="en-GB"/>
        </w:rPr>
        <w:drawing>
          <wp:inline distT="0" distB="0" distL="0" distR="0">
            <wp:extent cx="5543550" cy="426085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544324" cy="4261445"/>
                    </a:xfrm>
                    <a:prstGeom prst="rect">
                      <a:avLst/>
                    </a:prstGeom>
                  </pic:spPr>
                </pic:pic>
              </a:graphicData>
            </a:graphic>
          </wp:inline>
        </w:drawing>
      </w:r>
    </w:p>
    <w:p w:rsidR="00B0273B" w:rsidRDefault="00B0273B" w:rsidP="00B0273B">
      <w:pPr>
        <w:spacing w:line="240" w:lineRule="auto"/>
        <w:jc w:val="both"/>
        <w:rPr>
          <w:rFonts w:ascii="Times New Roman" w:hAnsi="Times New Roman" w:cs="Times New Roman"/>
          <w:sz w:val="24"/>
          <w:szCs w:val="24"/>
        </w:rPr>
      </w:pPr>
    </w:p>
    <w:p w:rsidR="00B0273B" w:rsidRDefault="00B0273B" w:rsidP="00B0273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0777E3">
        <w:rPr>
          <w:rFonts w:ascii="Times New Roman" w:hAnsi="Times New Roman" w:cs="Times New Roman"/>
          <w:sz w:val="24"/>
          <w:szCs w:val="24"/>
          <w:u w:val="single"/>
        </w:rPr>
        <w:t>El Banco de Inglaterra “saca los colores”</w:t>
      </w:r>
      <w:r w:rsidRPr="00493FA0">
        <w:rPr>
          <w:rFonts w:ascii="Times New Roman" w:hAnsi="Times New Roman" w:cs="Times New Roman"/>
          <w:sz w:val="24"/>
          <w:szCs w:val="24"/>
          <w:u w:val="single"/>
        </w:rPr>
        <w:t xml:space="preserve"> al euro exhibiendo los peligros de la integración económica</w:t>
      </w:r>
      <w:r>
        <w:rPr>
          <w:rFonts w:ascii="Times New Roman" w:hAnsi="Times New Roman" w:cs="Times New Roman"/>
          <w:sz w:val="24"/>
          <w:szCs w:val="24"/>
        </w:rPr>
        <w:t xml:space="preserve"> (El Economista - </w:t>
      </w:r>
      <w:r w:rsidRPr="00493FA0">
        <w:rPr>
          <w:rFonts w:ascii="Times New Roman" w:hAnsi="Times New Roman" w:cs="Times New Roman"/>
          <w:b/>
          <w:sz w:val="24"/>
          <w:szCs w:val="24"/>
        </w:rPr>
        <w:t>10/9/19</w:t>
      </w:r>
      <w:r>
        <w:rPr>
          <w:rFonts w:ascii="Times New Roman" w:hAnsi="Times New Roman" w:cs="Times New Roman"/>
          <w:sz w:val="24"/>
          <w:szCs w:val="24"/>
        </w:rPr>
        <w:t>)</w:t>
      </w:r>
    </w:p>
    <w:p w:rsidR="00B0273B" w:rsidRPr="00493FA0" w:rsidRDefault="00B0273B" w:rsidP="00B027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93FA0">
        <w:rPr>
          <w:rFonts w:ascii="Times New Roman" w:hAnsi="Times New Roman" w:cs="Times New Roman"/>
          <w:sz w:val="24"/>
          <w:szCs w:val="24"/>
        </w:rPr>
        <w:t>Vicente Nieves</w:t>
      </w:r>
      <w:r>
        <w:rPr>
          <w:rFonts w:ascii="Times New Roman" w:hAnsi="Times New Roman" w:cs="Times New Roman"/>
          <w:sz w:val="24"/>
          <w:szCs w:val="24"/>
        </w:rPr>
        <w:t>)</w:t>
      </w:r>
    </w:p>
    <w:p w:rsidR="00B0273B" w:rsidRPr="00E22571" w:rsidRDefault="00B0273B" w:rsidP="00B0273B">
      <w:pPr>
        <w:spacing w:line="240" w:lineRule="auto"/>
        <w:jc w:val="both"/>
        <w:rPr>
          <w:rFonts w:ascii="Times New Roman" w:hAnsi="Times New Roman" w:cs="Times New Roman"/>
          <w:sz w:val="24"/>
          <w:szCs w:val="24"/>
          <w:u w:val="single"/>
        </w:rPr>
      </w:pPr>
      <w:r w:rsidRPr="00E22571">
        <w:rPr>
          <w:rFonts w:ascii="Times New Roman" w:hAnsi="Times New Roman" w:cs="Times New Roman"/>
          <w:sz w:val="24"/>
          <w:szCs w:val="24"/>
          <w:u w:val="single"/>
        </w:rPr>
        <w:t>La salida del Reino Unido de la Unión Europea (Brexit) está más presente que nunca y el Banco de Inglaterra (BoE) casualmente o no ha publicado un trabajo en el que enumera los riesgos inherentes a una mayor integración económica</w:t>
      </w:r>
      <w:r w:rsidRPr="00493FA0">
        <w:rPr>
          <w:rFonts w:ascii="Times New Roman" w:hAnsi="Times New Roman" w:cs="Times New Roman"/>
          <w:sz w:val="24"/>
          <w:szCs w:val="24"/>
        </w:rPr>
        <w:t xml:space="preserve">. El BoE ha utilizado el euro para poner nombre a </w:t>
      </w:r>
      <w:r w:rsidRPr="00E22571">
        <w:rPr>
          <w:rFonts w:ascii="Times New Roman" w:hAnsi="Times New Roman" w:cs="Times New Roman"/>
          <w:sz w:val="24"/>
          <w:szCs w:val="24"/>
          <w:u w:val="single"/>
        </w:rPr>
        <w:t>los países que han sufrido estos desequilibrios fruto de la búsqueda de una interconexión mayor entre economías diferentes.</w:t>
      </w:r>
    </w:p>
    <w:p w:rsidR="00B0273B" w:rsidRPr="00E22571" w:rsidRDefault="00B0273B" w:rsidP="00B0273B">
      <w:pPr>
        <w:spacing w:line="240" w:lineRule="auto"/>
        <w:jc w:val="both"/>
        <w:rPr>
          <w:rFonts w:ascii="Times New Roman" w:hAnsi="Times New Roman" w:cs="Times New Roman"/>
          <w:color w:val="FF0000"/>
          <w:sz w:val="24"/>
          <w:szCs w:val="24"/>
          <w:u w:val="single"/>
        </w:rPr>
      </w:pPr>
      <w:r w:rsidRPr="00493FA0">
        <w:rPr>
          <w:rFonts w:ascii="Times New Roman" w:hAnsi="Times New Roman" w:cs="Times New Roman"/>
          <w:sz w:val="24"/>
          <w:szCs w:val="24"/>
        </w:rPr>
        <w:t xml:space="preserve">Sophie Piton, economista del BoE, ha analizado en un trabajo el comportamiento de las economías de la zona euro ante el gran paso hacia la integración que supuso el nacimiento del euro hace ya dos décadas. </w:t>
      </w:r>
      <w:r w:rsidRPr="00E22571">
        <w:rPr>
          <w:rFonts w:ascii="Times New Roman" w:hAnsi="Times New Roman" w:cs="Times New Roman"/>
          <w:color w:val="FF0000"/>
          <w:sz w:val="24"/>
          <w:szCs w:val="24"/>
          <w:u w:val="single"/>
        </w:rPr>
        <w:t>El documento destaca tres factores que se desarrollaron en la periferia ante la mayor integración: un crecimiento más rápido de la productividad en el sector de bienes exportables, una mayor competencia en ese sector y la fuerte caída de los tipos de interés.</w:t>
      </w:r>
    </w:p>
    <w:p w:rsidR="00B0273B" w:rsidRPr="00493FA0" w:rsidRDefault="00B0273B" w:rsidP="00B0273B">
      <w:pPr>
        <w:spacing w:line="240" w:lineRule="auto"/>
        <w:jc w:val="both"/>
        <w:rPr>
          <w:rFonts w:ascii="Times New Roman" w:hAnsi="Times New Roman" w:cs="Times New Roman"/>
          <w:sz w:val="24"/>
          <w:szCs w:val="24"/>
        </w:rPr>
      </w:pPr>
      <w:r w:rsidRPr="00493FA0">
        <w:rPr>
          <w:rFonts w:ascii="Times New Roman" w:hAnsi="Times New Roman" w:cs="Times New Roman"/>
          <w:sz w:val="24"/>
          <w:szCs w:val="24"/>
        </w:rPr>
        <w:t>Por ejemplo, en el caso de España la fuerte caída de los tipos de interés alimentó una burbuja de crédito y generó un boom de demanda que en caso de los bienes comerciables se saldó con un gran déficit comercial (más importaciones de esos bienes) y en el caso del resto de bienes y servicios con un aumento del peso del empleo en ese sector. Más trabajadores se fueron a la construcción, a la hostelería y a otras ramas princ</w:t>
      </w:r>
      <w:r>
        <w:rPr>
          <w:rFonts w:ascii="Times New Roman" w:hAnsi="Times New Roman" w:cs="Times New Roman"/>
          <w:sz w:val="24"/>
          <w:szCs w:val="24"/>
        </w:rPr>
        <w:t>ipalmente del sector servicios.</w:t>
      </w:r>
    </w:p>
    <w:p w:rsidR="00B0273B" w:rsidRPr="00E22571" w:rsidRDefault="00B0273B" w:rsidP="00B0273B">
      <w:pPr>
        <w:spacing w:line="240" w:lineRule="auto"/>
        <w:jc w:val="both"/>
        <w:rPr>
          <w:rFonts w:ascii="Times New Roman" w:hAnsi="Times New Roman" w:cs="Times New Roman"/>
          <w:color w:val="FF0000"/>
          <w:sz w:val="24"/>
          <w:szCs w:val="24"/>
          <w:u w:val="single"/>
        </w:rPr>
      </w:pPr>
      <w:r w:rsidRPr="00E22571">
        <w:rPr>
          <w:rFonts w:ascii="Times New Roman" w:hAnsi="Times New Roman" w:cs="Times New Roman"/>
          <w:color w:val="FF0000"/>
          <w:sz w:val="24"/>
          <w:szCs w:val="24"/>
          <w:u w:val="single"/>
        </w:rPr>
        <w:t>Piton relata que como consecuencia de estos cambios se produce un trasvase importante de trabajadores desde el sector orientado a las exportaciones hacia las ramas que producen bienes o servicios que no se pueden exportar o importar (construcción, hostelería, ventas al por menor, peluquerías...) ante un auge del consumo que no puede satisfacer con importaciones. Además se produce un fuerte crecimiento de los costes laborales unitarios en este último sector, producto de un aumento de los salarios sin crecimiento de la productividad. Este aumento de los costes laborales puede desembocar en un boom de demanda que genera fuertes déficits por cuenta corriente y endeudamiento neto con el exterior que ante un shock adverso se convierte un grave problema.</w:t>
      </w:r>
    </w:p>
    <w:p w:rsidR="00B0273B" w:rsidRPr="00E22571" w:rsidRDefault="00DB3051" w:rsidP="00B0273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B0273B" w:rsidRPr="00E22571">
        <w:rPr>
          <w:rFonts w:ascii="Times New Roman" w:hAnsi="Times New Roman" w:cs="Times New Roman"/>
          <w:color w:val="FF0000"/>
          <w:sz w:val="24"/>
          <w:szCs w:val="24"/>
          <w:u w:val="single"/>
        </w:rPr>
        <w:t>A medida que la integración económica estimulaba la productividad del sector de bienes comerciables (que se pueden exportar) en la periferia, el precio relativo de los bienes no comerciables se incrementaba. Este efecto sobre la productividad se refuerza con el incremento de la competencia en el sector. La integración financiera, reduciendo el coste del capital, también beneficia a los sectores más intensivos en capital (maquinaria, edificios, tecnología...), lo que vuelve a suponer un incremento en los precios relativos del sector de bienes n</w:t>
      </w:r>
      <w:r>
        <w:rPr>
          <w:rFonts w:ascii="Times New Roman" w:hAnsi="Times New Roman" w:cs="Times New Roman"/>
          <w:color w:val="FF0000"/>
          <w:sz w:val="24"/>
          <w:szCs w:val="24"/>
          <w:u w:val="single"/>
        </w:rPr>
        <w:t>o comerciables”</w:t>
      </w:r>
      <w:r w:rsidR="00B0273B" w:rsidRPr="00E22571">
        <w:rPr>
          <w:rFonts w:ascii="Times New Roman" w:hAnsi="Times New Roman" w:cs="Times New Roman"/>
          <w:color w:val="FF0000"/>
          <w:sz w:val="24"/>
          <w:szCs w:val="24"/>
          <w:u w:val="single"/>
        </w:rPr>
        <w:t>, señala el trabajo de Piton.</w:t>
      </w:r>
    </w:p>
    <w:p w:rsidR="00B0273B" w:rsidRPr="00493FA0" w:rsidRDefault="00B0273B" w:rsidP="00B0273B">
      <w:pPr>
        <w:spacing w:line="240" w:lineRule="auto"/>
        <w:jc w:val="both"/>
        <w:rPr>
          <w:rFonts w:ascii="Times New Roman" w:hAnsi="Times New Roman" w:cs="Times New Roman"/>
          <w:sz w:val="24"/>
          <w:szCs w:val="24"/>
        </w:rPr>
      </w:pPr>
      <w:r w:rsidRPr="00493FA0">
        <w:rPr>
          <w:rFonts w:ascii="Times New Roman" w:hAnsi="Times New Roman" w:cs="Times New Roman"/>
          <w:sz w:val="24"/>
          <w:szCs w:val="24"/>
        </w:rPr>
        <w:t xml:space="preserve">Un área sin aranceles y con una misma divisa reduce los obstáculos del comercio, únicamente, al coste que supone la distancia entre países (hoy muy poco). De modo que </w:t>
      </w:r>
      <w:r w:rsidRPr="00E22571">
        <w:rPr>
          <w:rFonts w:ascii="Times New Roman" w:hAnsi="Times New Roman" w:cs="Times New Roman"/>
          <w:sz w:val="24"/>
          <w:szCs w:val="24"/>
          <w:u w:val="single"/>
        </w:rPr>
        <w:t>los exportadores de los países periféricos tuvieron que mejorar para competir con los alemanes, holandeses o finlandeses.</w:t>
      </w:r>
      <w:r w:rsidRPr="00493FA0">
        <w:rPr>
          <w:rFonts w:ascii="Times New Roman" w:hAnsi="Times New Roman" w:cs="Times New Roman"/>
          <w:sz w:val="24"/>
          <w:szCs w:val="24"/>
        </w:rPr>
        <w:t xml:space="preserve"> Con esta mayor competencia, las empresas exportadoras españolas invirtieron para ganar productividad automatizando procesos e invirtiendo en tecnología, mientras que la otra parte de la economía (con escaso margen para que la productividad aumentase) aumentaba sus costes salariales sin</w:t>
      </w:r>
      <w:r>
        <w:rPr>
          <w:rFonts w:ascii="Times New Roman" w:hAnsi="Times New Roman" w:cs="Times New Roman"/>
          <w:sz w:val="24"/>
          <w:szCs w:val="24"/>
        </w:rPr>
        <w:t xml:space="preserve"> progresos en la productividad.</w:t>
      </w:r>
    </w:p>
    <w:p w:rsidR="00B0273B" w:rsidRPr="00E22571" w:rsidRDefault="00B0273B" w:rsidP="00B0273B">
      <w:pPr>
        <w:spacing w:line="240" w:lineRule="auto"/>
        <w:jc w:val="both"/>
        <w:rPr>
          <w:rFonts w:ascii="Times New Roman" w:hAnsi="Times New Roman" w:cs="Times New Roman"/>
          <w:sz w:val="24"/>
          <w:szCs w:val="24"/>
          <w:u w:val="single"/>
        </w:rPr>
      </w:pPr>
      <w:r w:rsidRPr="00493FA0">
        <w:rPr>
          <w:rFonts w:ascii="Times New Roman" w:hAnsi="Times New Roman" w:cs="Times New Roman"/>
          <w:sz w:val="24"/>
          <w:szCs w:val="24"/>
        </w:rPr>
        <w:t xml:space="preserve">Así lo explicaba William Baumol, un prestigioso economista estadounidense que murió en 2017, en su teoría llamada The Cost Disease: esta enfermedad, además de un incremento de </w:t>
      </w:r>
      <w:r w:rsidRPr="00493FA0">
        <w:rPr>
          <w:rFonts w:ascii="Times New Roman" w:hAnsi="Times New Roman" w:cs="Times New Roman"/>
          <w:sz w:val="24"/>
          <w:szCs w:val="24"/>
        </w:rPr>
        <w:lastRenderedPageBreak/>
        <w:t>los costes para estos sectores más intensivos en factor trabajo (empleo humano), se traduce en un incremento de los salarios en es</w:t>
      </w:r>
      <w:r>
        <w:rPr>
          <w:rFonts w:ascii="Times New Roman" w:hAnsi="Times New Roman" w:cs="Times New Roman"/>
          <w:sz w:val="24"/>
          <w:szCs w:val="24"/>
        </w:rPr>
        <w:t>as ramas que no han experimenta</w:t>
      </w:r>
      <w:r w:rsidRPr="00493FA0">
        <w:rPr>
          <w:rFonts w:ascii="Times New Roman" w:hAnsi="Times New Roman" w:cs="Times New Roman"/>
          <w:sz w:val="24"/>
          <w:szCs w:val="24"/>
        </w:rPr>
        <w:t xml:space="preserve">do incrementos de productividad durante las últimas décadas. </w:t>
      </w:r>
      <w:r w:rsidRPr="00E22571">
        <w:rPr>
          <w:rFonts w:ascii="Times New Roman" w:hAnsi="Times New Roman" w:cs="Times New Roman"/>
          <w:sz w:val="24"/>
          <w:szCs w:val="24"/>
          <w:u w:val="single"/>
        </w:rPr>
        <w:t>Las fábricas de automóviles o de ordenadores han disfrutado de grandes incrementos de la productividad que permiten producir más y mejores bienes con menos, lo que permite a las firmas que compiten en ese sector incrementar salarios a la par que reducen costes.</w:t>
      </w:r>
    </w:p>
    <w:p w:rsidR="00B0273B" w:rsidRPr="00E22571" w:rsidRDefault="00B0273B" w:rsidP="00B0273B">
      <w:pPr>
        <w:spacing w:line="240" w:lineRule="auto"/>
        <w:jc w:val="both"/>
        <w:rPr>
          <w:rFonts w:ascii="Times New Roman" w:hAnsi="Times New Roman" w:cs="Times New Roman"/>
          <w:sz w:val="24"/>
          <w:szCs w:val="24"/>
          <w:u w:val="single"/>
        </w:rPr>
      </w:pPr>
      <w:r w:rsidRPr="00E22571">
        <w:rPr>
          <w:rFonts w:ascii="Times New Roman" w:hAnsi="Times New Roman" w:cs="Times New Roman"/>
          <w:sz w:val="24"/>
          <w:szCs w:val="24"/>
          <w:u w:val="single"/>
        </w:rPr>
        <w:t>Esto no ocurre, por ejemplo, en la educación, la hostelería o la pintura, donde los componentes que conforman el proceso que da el servicio siguen siendo casi los mismos que hace 200 años. Sin embargo, el capital humano que desarrolla estos servicios ha 'reclamado' unos salarios mayores a medida que la inflación general aumentaba, lo que ha desembocado en un incremento del coste de este tipo de servicios ante la imposibilidad de incrementar la productividad.</w:t>
      </w:r>
    </w:p>
    <w:p w:rsidR="00B0273B" w:rsidRPr="00493FA0" w:rsidRDefault="00B0273B" w:rsidP="00B0273B">
      <w:pPr>
        <w:spacing w:line="240" w:lineRule="auto"/>
        <w:jc w:val="both"/>
        <w:rPr>
          <w:rFonts w:ascii="Times New Roman" w:hAnsi="Times New Roman" w:cs="Times New Roman"/>
          <w:sz w:val="24"/>
          <w:szCs w:val="24"/>
        </w:rPr>
      </w:pPr>
      <w:r w:rsidRPr="00493FA0">
        <w:rPr>
          <w:rFonts w:ascii="Times New Roman" w:hAnsi="Times New Roman" w:cs="Times New Roman"/>
          <w:sz w:val="24"/>
          <w:szCs w:val="24"/>
        </w:rPr>
        <w:t>Ante estos efecto</w:t>
      </w:r>
      <w:r w:rsidR="00DB3051">
        <w:rPr>
          <w:rFonts w:ascii="Times New Roman" w:hAnsi="Times New Roman" w:cs="Times New Roman"/>
          <w:sz w:val="24"/>
          <w:szCs w:val="24"/>
        </w:rPr>
        <w:t>s, “</w:t>
      </w:r>
      <w:r w:rsidRPr="00493FA0">
        <w:rPr>
          <w:rFonts w:ascii="Times New Roman" w:hAnsi="Times New Roman" w:cs="Times New Roman"/>
          <w:sz w:val="24"/>
          <w:szCs w:val="24"/>
        </w:rPr>
        <w:t>la integración financiera también puede alimentar un auge temporal de la demanda. La creciente demanda de bienes comerciables puede satisfacerse a través de las importaciones (déficit comercial y por cuenta corriente), pero el incremento del consumo de bienes no comerciables requiere un cambio de los recursos productivos hacia este sector a expensas de la rama exportadora. Con todo, el precio relativo (los costes laborales unitarios o lo que cuesta producir cada unidad) aumentan de forma agregad</w:t>
      </w:r>
      <w:r w:rsidR="00DB3051">
        <w:rPr>
          <w:rFonts w:ascii="Times New Roman" w:hAnsi="Times New Roman" w:cs="Times New Roman"/>
          <w:sz w:val="24"/>
          <w:szCs w:val="24"/>
        </w:rPr>
        <w:t>a”</w:t>
      </w:r>
      <w:r>
        <w:rPr>
          <w:rFonts w:ascii="Times New Roman" w:hAnsi="Times New Roman" w:cs="Times New Roman"/>
          <w:sz w:val="24"/>
          <w:szCs w:val="24"/>
        </w:rPr>
        <w:t>, explica la experta del BoE.</w:t>
      </w:r>
    </w:p>
    <w:p w:rsidR="00B0273B" w:rsidRPr="00E22571" w:rsidRDefault="00B0273B" w:rsidP="00B0273B">
      <w:pPr>
        <w:spacing w:line="240" w:lineRule="auto"/>
        <w:jc w:val="both"/>
        <w:rPr>
          <w:rFonts w:ascii="Times New Roman" w:hAnsi="Times New Roman" w:cs="Times New Roman"/>
          <w:color w:val="FF0000"/>
          <w:sz w:val="24"/>
          <w:szCs w:val="24"/>
          <w:u w:val="single"/>
        </w:rPr>
      </w:pPr>
      <w:r w:rsidRPr="00E22571">
        <w:rPr>
          <w:rFonts w:ascii="Times New Roman" w:hAnsi="Times New Roman" w:cs="Times New Roman"/>
          <w:color w:val="FF0000"/>
          <w:sz w:val="24"/>
          <w:szCs w:val="24"/>
          <w:u w:val="single"/>
        </w:rPr>
        <w:t>Con todo esto, la eco</w:t>
      </w:r>
      <w:r w:rsidR="00DB3051">
        <w:rPr>
          <w:rFonts w:ascii="Times New Roman" w:hAnsi="Times New Roman" w:cs="Times New Roman"/>
          <w:color w:val="FF0000"/>
          <w:sz w:val="24"/>
          <w:szCs w:val="24"/>
          <w:u w:val="single"/>
        </w:rPr>
        <w:t>nomista británica concluye que “</w:t>
      </w:r>
      <w:r w:rsidRPr="00E22571">
        <w:rPr>
          <w:rFonts w:ascii="Times New Roman" w:hAnsi="Times New Roman" w:cs="Times New Roman"/>
          <w:color w:val="FF0000"/>
          <w:sz w:val="24"/>
          <w:szCs w:val="24"/>
          <w:u w:val="single"/>
        </w:rPr>
        <w:t>el peso del empleo en el sector de bienes no comerciables en los países de la zona euro (España, Irlanda, Grecia y Portugal) aumento 4,7 puntos porcentuales entre 1995 y 2007, mientras que en los países del núcleo se mantuvo estable. El incremento sigue siendo importante incluso sin contar el sector de la construcción. Esta expansión se produjo a la vez que la productividad en el sector exportador crecía respecto al sector de bienes no comerciable y los tipos de i</w:t>
      </w:r>
      <w:r w:rsidR="00DB3051">
        <w:rPr>
          <w:rFonts w:ascii="Times New Roman" w:hAnsi="Times New Roman" w:cs="Times New Roman"/>
          <w:color w:val="FF0000"/>
          <w:sz w:val="24"/>
          <w:szCs w:val="24"/>
          <w:u w:val="single"/>
        </w:rPr>
        <w:t>nterés a largo plazo colapsaban”</w:t>
      </w:r>
      <w:r w:rsidRPr="00E22571">
        <w:rPr>
          <w:rFonts w:ascii="Times New Roman" w:hAnsi="Times New Roman" w:cs="Times New Roman"/>
          <w:color w:val="FF0000"/>
          <w:sz w:val="24"/>
          <w:szCs w:val="24"/>
          <w:u w:val="single"/>
        </w:rPr>
        <w:t>.</w:t>
      </w:r>
    </w:p>
    <w:p w:rsidR="00B0273B" w:rsidRPr="000179A5" w:rsidRDefault="00B0273B" w:rsidP="00B0273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179A5">
        <w:rPr>
          <w:rFonts w:ascii="Times New Roman" w:hAnsi="Times New Roman" w:cs="Times New Roman"/>
          <w:sz w:val="24"/>
          <w:szCs w:val="24"/>
          <w:u w:val="single"/>
        </w:rPr>
        <w:t>El BCE cobrará más a la banca por la liquidez y comprará deuda por 20.000 millones al mes</w:t>
      </w:r>
      <w:r>
        <w:rPr>
          <w:rFonts w:ascii="Times New Roman" w:hAnsi="Times New Roman" w:cs="Times New Roman"/>
          <w:sz w:val="24"/>
          <w:szCs w:val="24"/>
        </w:rPr>
        <w:t xml:space="preserve"> (Cinco Días - </w:t>
      </w:r>
      <w:r>
        <w:rPr>
          <w:rFonts w:ascii="Times New Roman" w:hAnsi="Times New Roman" w:cs="Times New Roman"/>
          <w:b/>
          <w:sz w:val="24"/>
          <w:szCs w:val="24"/>
        </w:rPr>
        <w:t>12</w:t>
      </w:r>
      <w:r w:rsidRPr="000179A5">
        <w:rPr>
          <w:rFonts w:ascii="Times New Roman" w:hAnsi="Times New Roman" w:cs="Times New Roman"/>
          <w:b/>
          <w:sz w:val="24"/>
          <w:szCs w:val="24"/>
        </w:rPr>
        <w:t>/9/19</w:t>
      </w:r>
      <w:r>
        <w:rPr>
          <w:rFonts w:ascii="Times New Roman" w:hAnsi="Times New Roman" w:cs="Times New Roman"/>
          <w:sz w:val="24"/>
          <w:szCs w:val="24"/>
        </w:rPr>
        <w:t>)</w:t>
      </w:r>
    </w:p>
    <w:p w:rsidR="00B0273B" w:rsidRPr="000179A5" w:rsidRDefault="00B0273B" w:rsidP="00B0273B">
      <w:pPr>
        <w:spacing w:line="240" w:lineRule="auto"/>
        <w:jc w:val="both"/>
        <w:rPr>
          <w:rFonts w:ascii="Times New Roman" w:hAnsi="Times New Roman" w:cs="Times New Roman"/>
          <w:sz w:val="24"/>
          <w:szCs w:val="24"/>
        </w:rPr>
      </w:pPr>
      <w:r w:rsidRPr="000179A5">
        <w:rPr>
          <w:rFonts w:ascii="Times New Roman" w:hAnsi="Times New Roman" w:cs="Times New Roman"/>
          <w:sz w:val="24"/>
          <w:szCs w:val="24"/>
        </w:rPr>
        <w:t>Draghi recorta al -0,5% el tipo de los depósitos aunque fija un sistema escalonado para mitigar el impacto en los bancos</w:t>
      </w:r>
    </w:p>
    <w:p w:rsidR="00B0273B" w:rsidRDefault="00B0273B" w:rsidP="00B0273B">
      <w:pPr>
        <w:spacing w:line="240" w:lineRule="auto"/>
        <w:jc w:val="both"/>
        <w:rPr>
          <w:rFonts w:ascii="Times New Roman" w:hAnsi="Times New Roman" w:cs="Times New Roman"/>
          <w:sz w:val="24"/>
          <w:szCs w:val="24"/>
        </w:rPr>
      </w:pPr>
      <w:r w:rsidRPr="000179A5">
        <w:rPr>
          <w:rFonts w:ascii="Times New Roman" w:hAnsi="Times New Roman" w:cs="Times New Roman"/>
          <w:sz w:val="24"/>
          <w:szCs w:val="24"/>
        </w:rPr>
        <w:t>Advierte a los gobiernos de la zona euro de que es el momento de impulsar políticas fiscales</w:t>
      </w:r>
    </w:p>
    <w:p w:rsidR="00DB3051" w:rsidRPr="000179A5" w:rsidRDefault="00DB3051" w:rsidP="00B0273B">
      <w:pPr>
        <w:spacing w:line="240" w:lineRule="auto"/>
        <w:jc w:val="both"/>
        <w:rPr>
          <w:rFonts w:ascii="Times New Roman" w:hAnsi="Times New Roman" w:cs="Times New Roman"/>
          <w:sz w:val="24"/>
          <w:szCs w:val="24"/>
        </w:rPr>
      </w:pPr>
      <w:r w:rsidRPr="00DB3051">
        <w:rPr>
          <w:rFonts w:ascii="Times New Roman" w:hAnsi="Times New Roman" w:cs="Times New Roman"/>
          <w:sz w:val="24"/>
          <w:szCs w:val="24"/>
          <w:u w:val="single"/>
        </w:rPr>
        <w:t>El BCE ha vuelto a apretar el botón rojo de los estímulos monetarios y ha decidido elevar el tipo de la facilidad de depósito en 10 puntos básicos, hasta el -0,5%, retomar las compras mensuales de deuda y establecer un sistema con el que eximir en parte a los bancos de la penalización que soportan por su exceso de liquidez y que ahora sube del 0,4% al 0,5%.</w:t>
      </w:r>
      <w:r w:rsidRPr="00DB3051">
        <w:rPr>
          <w:rFonts w:ascii="Times New Roman" w:hAnsi="Times New Roman" w:cs="Times New Roman"/>
          <w:color w:val="FF0000"/>
          <w:sz w:val="24"/>
          <w:szCs w:val="24"/>
          <w:u w:val="single"/>
        </w:rPr>
        <w:t>Pero después de volver a sacar la artillería, el BCE ha sido más contundente que nunca al insistir a los gobiernos de la zona euro de que son ellos, a través de sus políticas fiscales y de un mayor gasto público en la medida de los posible, los que deben tomar el relevo a la hora de impulsar la economía.</w:t>
      </w:r>
      <w:r w:rsidRPr="00DB3051">
        <w:rPr>
          <w:rFonts w:ascii="Times New Roman" w:hAnsi="Times New Roman" w:cs="Times New Roman"/>
          <w:sz w:val="24"/>
          <w:szCs w:val="24"/>
        </w:rPr>
        <w:t xml:space="preserve"> Tras años de medidas extraordinarias, el BCE ha perdido capacidad de fuego y margen de maniobra para encarar una futura crisis, hasta el punto de haberse acentuado las divisiones en el seno de la institución. Según ha reconocido Draghi, ninguna de las medidas se ha tomado por unanimidad.</w:t>
      </w:r>
    </w:p>
    <w:p w:rsidR="00DB3051" w:rsidRDefault="00170DCC" w:rsidP="00B0273B">
      <w:pPr>
        <w:spacing w:after="0" w:line="240" w:lineRule="auto"/>
        <w:jc w:val="both"/>
        <w:rPr>
          <w:rFonts w:ascii="Times New Roman" w:eastAsia="Times New Roman" w:hAnsi="Times New Roman" w:cs="Times New Roman"/>
          <w:color w:val="666666"/>
          <w:sz w:val="24"/>
          <w:szCs w:val="24"/>
        </w:rPr>
      </w:pPr>
      <w:hyperlink r:id="rId36" w:tooltip="Pulsar para ampliar el gráfico" w:history="1">
        <w:r w:rsidR="00B0273B" w:rsidRPr="000179A5">
          <w:rPr>
            <w:rFonts w:ascii="Times New Roman" w:eastAsia="Times New Roman" w:hAnsi="Times New Roman" w:cs="Times New Roman"/>
            <w:noProof/>
            <w:color w:val="215085"/>
            <w:sz w:val="24"/>
            <w:szCs w:val="24"/>
            <w:lang w:val="en-GB" w:eastAsia="en-GB"/>
          </w:rPr>
          <w:drawing>
            <wp:inline distT="0" distB="0" distL="0" distR="0">
              <wp:extent cx="5549900" cy="3181350"/>
              <wp:effectExtent l="0" t="0" r="0" b="0"/>
              <wp:docPr id="30" name="Imagen 30" descr="Facilidad de depósito BCE">
                <a:hlinkClick xmlns:a="http://schemas.openxmlformats.org/drawingml/2006/main" r:id="rId36" tooltip="&quot;Pulsar para ampliar el gráfic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ilidad de depósito BCE">
                        <a:hlinkClick r:id="rId36" tooltip="&quot;Pulsar para ampliar el gráfico&quot;"/>
                      </pic:cNvPr>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9900" cy="3181350"/>
                      </a:xfrm>
                      <a:prstGeom prst="rect">
                        <a:avLst/>
                      </a:prstGeom>
                      <a:noFill/>
                      <a:ln>
                        <a:noFill/>
                      </a:ln>
                    </pic:spPr>
                  </pic:pic>
                </a:graphicData>
              </a:graphic>
            </wp:inline>
          </w:drawing>
        </w:r>
      </w:hyperlink>
    </w:p>
    <w:p w:rsidR="00B0273B" w:rsidRPr="00DB3051" w:rsidRDefault="00B0273B" w:rsidP="00B0273B">
      <w:pPr>
        <w:spacing w:after="0" w:line="240" w:lineRule="auto"/>
        <w:jc w:val="both"/>
        <w:rPr>
          <w:rFonts w:ascii="Times New Roman" w:eastAsia="Times New Roman" w:hAnsi="Times New Roman" w:cs="Times New Roman"/>
          <w:sz w:val="24"/>
          <w:szCs w:val="24"/>
        </w:rPr>
      </w:pPr>
      <w:r w:rsidRPr="00DB3051">
        <w:rPr>
          <w:rFonts w:ascii="Times New Roman" w:eastAsia="Times New Roman" w:hAnsi="Times New Roman" w:cs="Times New Roman"/>
          <w:sz w:val="24"/>
          <w:szCs w:val="24"/>
        </w:rPr>
        <w:t>Belén Trincado / Cinco Días</w:t>
      </w:r>
    </w:p>
    <w:p w:rsidR="00DB3051" w:rsidRPr="00DB3051" w:rsidRDefault="00DB3051" w:rsidP="00DB3051">
      <w:pPr>
        <w:spacing w:after="0" w:line="240" w:lineRule="auto"/>
        <w:jc w:val="both"/>
        <w:rPr>
          <w:rFonts w:ascii="Times New Roman" w:eastAsia="Times New Roman" w:hAnsi="Times New Roman" w:cs="Times New Roman"/>
          <w:sz w:val="24"/>
          <w:szCs w:val="24"/>
        </w:rPr>
      </w:pPr>
    </w:p>
    <w:p w:rsidR="00DB3051" w:rsidRDefault="00DB3051" w:rsidP="00DB3051">
      <w:pPr>
        <w:spacing w:after="0" w:line="240" w:lineRule="auto"/>
        <w:jc w:val="both"/>
        <w:rPr>
          <w:rFonts w:ascii="Times New Roman" w:eastAsia="Times New Roman" w:hAnsi="Times New Roman" w:cs="Times New Roman"/>
          <w:sz w:val="24"/>
          <w:szCs w:val="24"/>
          <w:u w:val="single"/>
        </w:rPr>
      </w:pPr>
      <w:r w:rsidRPr="00DB3051">
        <w:rPr>
          <w:rFonts w:ascii="Times New Roman" w:eastAsia="Times New Roman" w:hAnsi="Times New Roman" w:cs="Times New Roman"/>
          <w:sz w:val="24"/>
          <w:szCs w:val="24"/>
          <w:u w:val="single"/>
        </w:rPr>
        <w:t>En la que ha sido la penúltima reunión de Mario Draghi en la presidencia de la institución, el BCE ha decidido actuar ante las continuas señales de ralentización económica en la zona euro, en especial en economías con fuerte actividad industrial como Alemania o Italia, y a la vista de que las grandes amenazas para el crecimiento, como la guerra comercial o el Brexit, se están agravando con el paso de los meses.</w:t>
      </w:r>
    </w:p>
    <w:p w:rsidR="0024093E" w:rsidRPr="00DB3051" w:rsidRDefault="0024093E" w:rsidP="00DB3051">
      <w:pPr>
        <w:spacing w:after="0" w:line="240" w:lineRule="auto"/>
        <w:jc w:val="both"/>
        <w:rPr>
          <w:rFonts w:ascii="Times New Roman" w:eastAsia="Times New Roman" w:hAnsi="Times New Roman" w:cs="Times New Roman"/>
          <w:sz w:val="24"/>
          <w:szCs w:val="24"/>
          <w:u w:val="single"/>
        </w:rPr>
      </w:pPr>
    </w:p>
    <w:p w:rsidR="00DB3051" w:rsidRPr="00DB3051" w:rsidRDefault="00DB3051" w:rsidP="00DB3051">
      <w:pPr>
        <w:spacing w:after="0" w:line="240" w:lineRule="auto"/>
        <w:jc w:val="both"/>
        <w:rPr>
          <w:rFonts w:ascii="Times New Roman" w:eastAsia="Times New Roman" w:hAnsi="Times New Roman" w:cs="Times New Roman"/>
          <w:color w:val="FF0000"/>
          <w:sz w:val="24"/>
          <w:szCs w:val="24"/>
          <w:u w:val="single"/>
        </w:rPr>
      </w:pPr>
      <w:r w:rsidRPr="00DB3051">
        <w:rPr>
          <w:rFonts w:ascii="Times New Roman" w:eastAsia="Times New Roman" w:hAnsi="Times New Roman" w:cs="Times New Roman"/>
          <w:color w:val="FF0000"/>
          <w:sz w:val="24"/>
          <w:szCs w:val="24"/>
          <w:u w:val="single"/>
        </w:rPr>
        <w:t>Draghi ha apuntado a la persistencia de riesgos a la baja para el crecimiento y a la dificultad de alcanzar los objetivos de inflación a los que dirige su política monetaria y ha puesto de hecho el foco en la necesidad de impulsar políticas fiscales como alternativa y complemento a los estímulos monetarios, con una insistencia sin precedentes. “Los gobiernos con margen fiscal deben actuar de manera efectiva y a tiempo” en una directa alusión a Alemania y “todos los países de la zona euro deben desarrollar unas cuentas públicas más favorables al crecimiento”, ha señalado el presidente del BCE, que está apurando al máximo sus herramientas de política monetaria.</w:t>
      </w:r>
    </w:p>
    <w:p w:rsidR="00DB3051" w:rsidRPr="00DB3051" w:rsidRDefault="00DB3051" w:rsidP="00DB3051">
      <w:pPr>
        <w:spacing w:after="0" w:line="240" w:lineRule="auto"/>
        <w:jc w:val="both"/>
        <w:rPr>
          <w:rFonts w:ascii="Times New Roman" w:eastAsia="Times New Roman" w:hAnsi="Times New Roman" w:cs="Times New Roman"/>
          <w:color w:val="FF0000"/>
          <w:sz w:val="24"/>
          <w:szCs w:val="24"/>
          <w:u w:val="single"/>
        </w:rPr>
      </w:pPr>
    </w:p>
    <w:p w:rsidR="00DB3051" w:rsidRDefault="00DB3051" w:rsidP="00DB3051">
      <w:pPr>
        <w:spacing w:after="0" w:line="240" w:lineRule="auto"/>
        <w:jc w:val="both"/>
        <w:rPr>
          <w:rFonts w:ascii="Times New Roman" w:eastAsia="Times New Roman" w:hAnsi="Times New Roman" w:cs="Times New Roman"/>
          <w:color w:val="FF0000"/>
          <w:sz w:val="24"/>
          <w:szCs w:val="24"/>
          <w:u w:val="single"/>
        </w:rPr>
      </w:pPr>
      <w:r w:rsidRPr="00DB3051">
        <w:rPr>
          <w:rFonts w:ascii="Times New Roman" w:eastAsia="Times New Roman" w:hAnsi="Times New Roman" w:cs="Times New Roman"/>
          <w:color w:val="FF0000"/>
          <w:sz w:val="24"/>
          <w:szCs w:val="24"/>
          <w:u w:val="single"/>
        </w:rPr>
        <w:t>“El estímulo fiscal es el principal instrumento”, ha llegado a afirmar Mario Draghi, una declaración sobre la que ha asegurado hay unanimidad en el seno del BCE. Ya en la recta final de su mandato, el banquero italiano ha reiterado que con el adecuado estímulo fiscal por parte de los gobiernos de la zona euro, “la efectividad de nuestras decisiones será más rápida y su implementación en el tiempo será inferior”. Incluso ha aludido, sin citarlo, al ejemplo de Estados Unidos, donde la expansión fiscal ha servido para apuntalar y reforzar las medidas de la Fed.</w:t>
      </w:r>
    </w:p>
    <w:p w:rsidR="00DB3051" w:rsidRDefault="00DB3051" w:rsidP="00DB3051">
      <w:pPr>
        <w:spacing w:after="0" w:line="240" w:lineRule="auto"/>
        <w:jc w:val="both"/>
        <w:rPr>
          <w:rFonts w:ascii="Times New Roman" w:eastAsia="Times New Roman" w:hAnsi="Times New Roman" w:cs="Times New Roman"/>
          <w:color w:val="FF0000"/>
          <w:sz w:val="24"/>
          <w:szCs w:val="24"/>
          <w:u w:val="single"/>
        </w:rPr>
      </w:pPr>
    </w:p>
    <w:p w:rsidR="00DB3051" w:rsidRPr="00DB3051" w:rsidRDefault="00DB3051" w:rsidP="00DB3051">
      <w:pPr>
        <w:spacing w:after="0" w:line="240" w:lineRule="auto"/>
        <w:jc w:val="both"/>
        <w:rPr>
          <w:rFonts w:ascii="Times New Roman" w:eastAsia="Times New Roman" w:hAnsi="Times New Roman" w:cs="Times New Roman"/>
          <w:sz w:val="24"/>
          <w:szCs w:val="24"/>
          <w:u w:val="single"/>
        </w:rPr>
      </w:pPr>
      <w:r w:rsidRPr="00DB3051">
        <w:rPr>
          <w:rFonts w:ascii="Times New Roman" w:eastAsia="Times New Roman" w:hAnsi="Times New Roman" w:cs="Times New Roman"/>
          <w:sz w:val="24"/>
          <w:szCs w:val="24"/>
        </w:rPr>
        <w:t xml:space="preserve">El BCE ha rebajado de hecho las previsiones de alza del PIB para este año y el próximo, que pasan del 1,2% estimado en junio al 1,1% en 2019 y al 1,2% para 2020, desde el 1,4% de la estimación anterior. La previsión de alza del PIB se mantiene en el 1,4% para 2021. Draghi ha anunciado además una rebaja generalizada de las previsiones de inflación, con una estimación de IPC del 1,2% para este año desde el 1,3%; del 1% para 2020, desde el 1,4% pronosticado en junio, y del 1,5% en 2021, frente al 1,6%. Aun así, </w:t>
      </w:r>
      <w:r w:rsidRPr="00DB3051">
        <w:rPr>
          <w:rFonts w:ascii="Times New Roman" w:eastAsia="Times New Roman" w:hAnsi="Times New Roman" w:cs="Times New Roman"/>
          <w:sz w:val="24"/>
          <w:szCs w:val="24"/>
          <w:u w:val="single"/>
        </w:rPr>
        <w:t xml:space="preserve">Draghi ha apuntado que </w:t>
      </w:r>
      <w:r w:rsidR="0024093E">
        <w:rPr>
          <w:rFonts w:ascii="Times New Roman" w:eastAsia="Times New Roman" w:hAnsi="Times New Roman" w:cs="Times New Roman"/>
          <w:sz w:val="24"/>
          <w:szCs w:val="24"/>
          <w:u w:val="single"/>
        </w:rPr>
        <w:lastRenderedPageBreak/>
        <w:t>el escenario base del BCE es “relativamente favorable”</w:t>
      </w:r>
      <w:r w:rsidRPr="00DB3051">
        <w:rPr>
          <w:rFonts w:ascii="Times New Roman" w:eastAsia="Times New Roman" w:hAnsi="Times New Roman" w:cs="Times New Roman"/>
          <w:sz w:val="24"/>
          <w:szCs w:val="24"/>
          <w:u w:val="single"/>
        </w:rPr>
        <w:t xml:space="preserve"> puesto que no contempla un Brexit duro ni la escalada arancelaria del pasado agosto.</w:t>
      </w:r>
    </w:p>
    <w:p w:rsidR="00DB3051" w:rsidRPr="00DB3051" w:rsidRDefault="00DB3051" w:rsidP="00DB3051">
      <w:pPr>
        <w:spacing w:after="0" w:line="240" w:lineRule="auto"/>
        <w:jc w:val="both"/>
        <w:rPr>
          <w:rFonts w:ascii="Times New Roman" w:eastAsia="Times New Roman" w:hAnsi="Times New Roman" w:cs="Times New Roman"/>
          <w:sz w:val="24"/>
          <w:szCs w:val="24"/>
        </w:rPr>
      </w:pPr>
    </w:p>
    <w:p w:rsidR="00DB3051" w:rsidRDefault="00DB3051" w:rsidP="00DB3051">
      <w:pPr>
        <w:spacing w:after="0" w:line="240" w:lineRule="auto"/>
        <w:jc w:val="both"/>
        <w:rPr>
          <w:rFonts w:ascii="Times New Roman" w:eastAsia="Times New Roman" w:hAnsi="Times New Roman" w:cs="Times New Roman"/>
          <w:sz w:val="24"/>
          <w:szCs w:val="24"/>
        </w:rPr>
      </w:pPr>
      <w:r w:rsidRPr="00DB3051">
        <w:rPr>
          <w:rFonts w:ascii="Times New Roman" w:eastAsia="Times New Roman" w:hAnsi="Times New Roman" w:cs="Times New Roman"/>
          <w:sz w:val="24"/>
          <w:szCs w:val="24"/>
        </w:rPr>
        <w:t>El BCE ha dado hoy también un importante cambio a su política de comunicación. Asegura en el comunicado emitido tras la reunión  que espera que los tipos de interés se mantengan en los niveles actuales o en niveles inferiores hasta que las perspectivas de inflación se sitúen de forma robusta en niveles inferiores pero cercanos al 2% y hasta que esa situación se refleje de forma consistente en la inflación subyacente.</w:t>
      </w:r>
    </w:p>
    <w:p w:rsidR="00DB3051" w:rsidRPr="00DB3051" w:rsidRDefault="00DB3051" w:rsidP="00DB3051">
      <w:pPr>
        <w:spacing w:after="0" w:line="240" w:lineRule="auto"/>
        <w:jc w:val="both"/>
        <w:rPr>
          <w:rFonts w:ascii="Times New Roman" w:eastAsia="Times New Roman" w:hAnsi="Times New Roman" w:cs="Times New Roman"/>
          <w:sz w:val="24"/>
          <w:szCs w:val="24"/>
        </w:rPr>
      </w:pPr>
    </w:p>
    <w:p w:rsidR="00DB3051" w:rsidRDefault="00DB3051" w:rsidP="00DB3051">
      <w:pPr>
        <w:spacing w:after="0" w:line="240" w:lineRule="auto"/>
        <w:jc w:val="both"/>
        <w:rPr>
          <w:rFonts w:ascii="Times New Roman" w:eastAsia="Times New Roman" w:hAnsi="Times New Roman" w:cs="Times New Roman"/>
          <w:color w:val="FF0000"/>
          <w:sz w:val="24"/>
          <w:szCs w:val="24"/>
          <w:u w:val="single"/>
        </w:rPr>
      </w:pPr>
      <w:r w:rsidRPr="00DB3051">
        <w:rPr>
          <w:rFonts w:ascii="Times New Roman" w:eastAsia="Times New Roman" w:hAnsi="Times New Roman" w:cs="Times New Roman"/>
          <w:sz w:val="24"/>
          <w:szCs w:val="24"/>
        </w:rPr>
        <w:t xml:space="preserve">La institución modifica así su guía para la política monetaria y renuncia a dar una indicación temporal de cuándo podría modificar los tipos de interés, sin que se haya debatido hoy una posible rebaja. En la reunión de junio ya avanzó que los tipos estarían sin cambios en los niveles actuales o por debajo durante el primer semestre de 2020, una previsión que ahora desaparece. </w:t>
      </w:r>
      <w:r w:rsidRPr="00DB3051">
        <w:rPr>
          <w:rFonts w:ascii="Times New Roman" w:eastAsia="Times New Roman" w:hAnsi="Times New Roman" w:cs="Times New Roman"/>
          <w:color w:val="FF0000"/>
          <w:sz w:val="24"/>
          <w:szCs w:val="24"/>
          <w:u w:val="single"/>
        </w:rPr>
        <w:t>La institución se limita a partir de este momento a indicar que su política monetaria responderá a la evolución de la inflación, sin más. Y deja en el tejado de los gobiernos y sus políticas fiscales el siguiente paso de apoyo a la economía de la zona euro.</w:t>
      </w:r>
    </w:p>
    <w:p w:rsidR="00DB3051" w:rsidRDefault="00DB3051" w:rsidP="00DB3051">
      <w:pPr>
        <w:spacing w:after="0" w:line="240" w:lineRule="auto"/>
        <w:jc w:val="both"/>
        <w:rPr>
          <w:rFonts w:ascii="Times New Roman" w:eastAsia="Times New Roman" w:hAnsi="Times New Roman" w:cs="Times New Roman"/>
          <w:color w:val="FF0000"/>
          <w:sz w:val="24"/>
          <w:szCs w:val="24"/>
          <w:u w:val="single"/>
        </w:rPr>
      </w:pPr>
    </w:p>
    <w:p w:rsidR="00DB3051" w:rsidRDefault="00DB3051" w:rsidP="00DB3051">
      <w:pPr>
        <w:spacing w:after="0" w:line="240" w:lineRule="auto"/>
        <w:jc w:val="both"/>
        <w:rPr>
          <w:rFonts w:ascii="Times New Roman" w:eastAsia="Times New Roman" w:hAnsi="Times New Roman" w:cs="Times New Roman"/>
          <w:sz w:val="24"/>
          <w:szCs w:val="24"/>
        </w:rPr>
      </w:pPr>
      <w:r w:rsidRPr="00DB3051">
        <w:rPr>
          <w:rFonts w:ascii="Times New Roman" w:eastAsia="Times New Roman" w:hAnsi="Times New Roman" w:cs="Times New Roman"/>
          <w:sz w:val="24"/>
          <w:szCs w:val="24"/>
        </w:rPr>
        <w:t>Los tipos de referencia se mantienen en el 0% pero la rebaja en la facilidad de depósito, que había permanecido sin cambios en el -0,4% desde marzo de 2016, es un primer paso para la activación de un nuevo paquete de estímulos con los que evitar el riesgo de recesión en la zona euro.</w:t>
      </w:r>
    </w:p>
    <w:p w:rsidR="00DB3051" w:rsidRPr="00DB3051" w:rsidRDefault="00DB3051" w:rsidP="00DB3051">
      <w:pPr>
        <w:spacing w:after="0" w:line="240" w:lineRule="auto"/>
        <w:jc w:val="both"/>
        <w:rPr>
          <w:rFonts w:ascii="Times New Roman" w:eastAsia="Times New Roman" w:hAnsi="Times New Roman" w:cs="Times New Roman"/>
          <w:sz w:val="24"/>
          <w:szCs w:val="24"/>
        </w:rPr>
      </w:pPr>
    </w:p>
    <w:p w:rsidR="00DB3051" w:rsidRPr="00DB3051" w:rsidRDefault="00DB3051" w:rsidP="00DB3051">
      <w:pPr>
        <w:spacing w:after="0" w:line="240" w:lineRule="auto"/>
        <w:jc w:val="both"/>
        <w:rPr>
          <w:rFonts w:ascii="Times New Roman" w:eastAsia="Times New Roman" w:hAnsi="Times New Roman" w:cs="Times New Roman"/>
          <w:sz w:val="24"/>
          <w:szCs w:val="24"/>
          <w:u w:val="single"/>
        </w:rPr>
      </w:pPr>
      <w:r w:rsidRPr="00DB3051">
        <w:rPr>
          <w:rFonts w:ascii="Times New Roman" w:eastAsia="Times New Roman" w:hAnsi="Times New Roman" w:cs="Times New Roman"/>
          <w:sz w:val="24"/>
          <w:szCs w:val="24"/>
          <w:u w:val="single"/>
        </w:rPr>
        <w:t>El BCE ha decidido además retomar las compras mensuales de deuda por una cuantía de 20.000 millones de euros al mes a partir del 1 de noviembre</w:t>
      </w:r>
      <w:r w:rsidRPr="00DB3051">
        <w:rPr>
          <w:rFonts w:ascii="Times New Roman" w:eastAsia="Times New Roman" w:hAnsi="Times New Roman" w:cs="Times New Roman"/>
          <w:sz w:val="24"/>
          <w:szCs w:val="24"/>
        </w:rPr>
        <w:t>. Afirma que lo hará duran</w:t>
      </w:r>
      <w:r>
        <w:rPr>
          <w:rFonts w:ascii="Times New Roman" w:eastAsia="Times New Roman" w:hAnsi="Times New Roman" w:cs="Times New Roman"/>
          <w:sz w:val="24"/>
          <w:szCs w:val="24"/>
        </w:rPr>
        <w:t>te el tiempo que sea necesario “</w:t>
      </w:r>
      <w:r w:rsidRPr="00DB3051">
        <w:rPr>
          <w:rFonts w:ascii="Times New Roman" w:eastAsia="Times New Roman" w:hAnsi="Times New Roman" w:cs="Times New Roman"/>
          <w:sz w:val="24"/>
          <w:szCs w:val="24"/>
        </w:rPr>
        <w:t>para reforzar el impacto ex</w:t>
      </w:r>
      <w:r>
        <w:rPr>
          <w:rFonts w:ascii="Times New Roman" w:eastAsia="Times New Roman" w:hAnsi="Times New Roman" w:cs="Times New Roman"/>
          <w:sz w:val="24"/>
          <w:szCs w:val="24"/>
        </w:rPr>
        <w:t>pansivo de sus tasas de interés”</w:t>
      </w:r>
      <w:r w:rsidRPr="00DB3051">
        <w:rPr>
          <w:rFonts w:ascii="Times New Roman" w:eastAsia="Times New Roman" w:hAnsi="Times New Roman" w:cs="Times New Roman"/>
          <w:sz w:val="24"/>
          <w:szCs w:val="24"/>
        </w:rPr>
        <w:t xml:space="preserve"> y hasta poco antes de que comiencen las subidas de tipos. </w:t>
      </w:r>
      <w:r w:rsidRPr="00DB3051">
        <w:rPr>
          <w:rFonts w:ascii="Times New Roman" w:eastAsia="Times New Roman" w:hAnsi="Times New Roman" w:cs="Times New Roman"/>
          <w:sz w:val="24"/>
          <w:szCs w:val="24"/>
          <w:u w:val="single"/>
        </w:rPr>
        <w:t xml:space="preserve">La cuantía es inferior a la esperada por los inversores y muestra el fuerte debate interno en el seno del BCE sobre esta medida extraordinaria, cuya conveniencia ha sido cuestionada en las últimas semanas por los gobernadores de los bancos centrales de Alemania, Holanda y también Francia. </w:t>
      </w:r>
    </w:p>
    <w:p w:rsidR="00DB3051" w:rsidRPr="00DB3051" w:rsidRDefault="00DB3051" w:rsidP="00DB3051">
      <w:pPr>
        <w:spacing w:after="0" w:line="240" w:lineRule="auto"/>
        <w:jc w:val="both"/>
        <w:rPr>
          <w:rFonts w:ascii="Times New Roman" w:eastAsia="Times New Roman" w:hAnsi="Times New Roman" w:cs="Times New Roman"/>
          <w:sz w:val="24"/>
          <w:szCs w:val="24"/>
        </w:rPr>
      </w:pPr>
    </w:p>
    <w:p w:rsidR="00DB3051" w:rsidRDefault="00DB3051" w:rsidP="00DB3051">
      <w:pPr>
        <w:spacing w:after="0" w:line="240" w:lineRule="auto"/>
        <w:jc w:val="both"/>
        <w:rPr>
          <w:rFonts w:ascii="Times New Roman" w:eastAsia="Times New Roman" w:hAnsi="Times New Roman" w:cs="Times New Roman"/>
          <w:sz w:val="24"/>
          <w:szCs w:val="24"/>
        </w:rPr>
      </w:pPr>
      <w:r w:rsidRPr="00DB3051">
        <w:rPr>
          <w:rFonts w:ascii="Times New Roman" w:eastAsia="Times New Roman" w:hAnsi="Times New Roman" w:cs="Times New Roman"/>
          <w:sz w:val="24"/>
          <w:szCs w:val="24"/>
        </w:rPr>
        <w:t>Draghi ha reconocido que la decisión de reactivar las compras de deuda no ha sido unánime aunque sí mayoritaria y ha asegurado que el ritmo mensual establecido permite compras por mucho tiempo sin necesidad de discutir sobre su composición, que se mantendrá en los términos establecidos hasta ahora.</w:t>
      </w:r>
    </w:p>
    <w:p w:rsidR="00DB3051" w:rsidRDefault="00DB3051" w:rsidP="00DB3051">
      <w:pPr>
        <w:spacing w:after="0" w:line="240" w:lineRule="auto"/>
        <w:jc w:val="both"/>
        <w:rPr>
          <w:rFonts w:ascii="Times New Roman" w:eastAsia="Times New Roman" w:hAnsi="Times New Roman" w:cs="Times New Roman"/>
          <w:sz w:val="24"/>
          <w:szCs w:val="24"/>
        </w:rPr>
      </w:pPr>
    </w:p>
    <w:p w:rsidR="00DB3051" w:rsidRDefault="00DB3051" w:rsidP="00DB3051">
      <w:pPr>
        <w:spacing w:after="0" w:line="240" w:lineRule="auto"/>
        <w:jc w:val="both"/>
        <w:rPr>
          <w:rFonts w:ascii="Times New Roman" w:eastAsia="Times New Roman" w:hAnsi="Times New Roman" w:cs="Times New Roman"/>
          <w:sz w:val="24"/>
          <w:szCs w:val="24"/>
        </w:rPr>
      </w:pPr>
      <w:r w:rsidRPr="00DB3051">
        <w:rPr>
          <w:rFonts w:ascii="Times New Roman" w:eastAsia="Times New Roman" w:hAnsi="Times New Roman" w:cs="Times New Roman"/>
          <w:sz w:val="24"/>
          <w:szCs w:val="24"/>
          <w:u w:val="single"/>
        </w:rPr>
        <w:t>Como contrapeso a la rebaja de la facilidad de depósito, el BCE ha tomado una medida de alivio para los bancos de la zona euro, muy debilitados en sus márgenes de negocio por el largo período de tipos cero. Adoptará un sistema de tiering, como ya han hecho el Banco de Japón y el de Suiza, con el que eximirán de penalización a parte del exceso de liquidez de los bancos. Otra de las medidas de apoyo a la banca será extender el plazo de amortización de las nuevas líneas de liquidez TLTRO de dos a tres años</w:t>
      </w:r>
      <w:r w:rsidRPr="00DB3051">
        <w:rPr>
          <w:rFonts w:ascii="Times New Roman" w:eastAsia="Times New Roman" w:hAnsi="Times New Roman" w:cs="Times New Roman"/>
          <w:sz w:val="24"/>
          <w:szCs w:val="24"/>
        </w:rPr>
        <w:t xml:space="preserve">. El tipo de interés que se aplicará será el tipo medio de las operaciones de refinanciación principales, las subastas semanales, ahora en el 0%, durante todo el período de vida de la operación. </w:t>
      </w:r>
    </w:p>
    <w:p w:rsidR="00DB3051" w:rsidRPr="00DB3051" w:rsidRDefault="00DB3051" w:rsidP="00DB3051">
      <w:pPr>
        <w:spacing w:after="0" w:line="240" w:lineRule="auto"/>
        <w:jc w:val="both"/>
        <w:rPr>
          <w:rFonts w:ascii="Times New Roman" w:eastAsia="Times New Roman" w:hAnsi="Times New Roman" w:cs="Times New Roman"/>
          <w:sz w:val="24"/>
          <w:szCs w:val="24"/>
        </w:rPr>
      </w:pPr>
    </w:p>
    <w:p w:rsidR="00DB3051" w:rsidRDefault="00DB3051" w:rsidP="00DB3051">
      <w:pPr>
        <w:spacing w:after="0" w:line="240" w:lineRule="auto"/>
        <w:jc w:val="both"/>
        <w:rPr>
          <w:rFonts w:ascii="Times New Roman" w:eastAsia="Times New Roman" w:hAnsi="Times New Roman" w:cs="Times New Roman"/>
          <w:sz w:val="24"/>
          <w:szCs w:val="24"/>
        </w:rPr>
      </w:pPr>
      <w:r w:rsidRPr="00DB3051">
        <w:rPr>
          <w:rFonts w:ascii="Times New Roman" w:eastAsia="Times New Roman" w:hAnsi="Times New Roman" w:cs="Times New Roman"/>
          <w:sz w:val="24"/>
          <w:szCs w:val="24"/>
        </w:rPr>
        <w:t>En respuesta al comunicado del BCE, el interés de la deuda soberana europea desciende con fuerza, en espera de las nuevas compras de deuda, al tiempo que sube la cotización de los bancos, animados por la exención parcial de la penalización a su exceso de liquidez.</w:t>
      </w:r>
    </w:p>
    <w:p w:rsidR="0024093E" w:rsidRPr="00DB3051" w:rsidRDefault="0024093E" w:rsidP="00DB3051">
      <w:pPr>
        <w:spacing w:after="0" w:line="240" w:lineRule="auto"/>
        <w:jc w:val="both"/>
        <w:rPr>
          <w:rFonts w:ascii="Times New Roman" w:eastAsia="Times New Roman" w:hAnsi="Times New Roman" w:cs="Times New Roman"/>
          <w:sz w:val="24"/>
          <w:szCs w:val="24"/>
        </w:rPr>
      </w:pPr>
    </w:p>
    <w:p w:rsidR="00DB3051" w:rsidRDefault="00DB3051" w:rsidP="00B0273B">
      <w:pPr>
        <w:spacing w:after="0" w:line="240" w:lineRule="auto"/>
        <w:jc w:val="both"/>
        <w:textAlignment w:val="baseline"/>
        <w:rPr>
          <w:rFonts w:ascii="Times New Roman" w:hAnsi="Times New Roman" w:cs="Times New Roman"/>
          <w:sz w:val="24"/>
          <w:szCs w:val="24"/>
        </w:rPr>
      </w:pPr>
    </w:p>
    <w:p w:rsidR="00B0273B" w:rsidRDefault="00B0273B" w:rsidP="00B0273B">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D107B">
        <w:rPr>
          <w:rFonts w:ascii="Times New Roman" w:hAnsi="Times New Roman" w:cs="Times New Roman"/>
          <w:sz w:val="24"/>
          <w:szCs w:val="24"/>
          <w:u w:val="single"/>
        </w:rPr>
        <w:t>Por qué las distopías (y los nacionalismos) triunfan en tiempos de incertidumbre</w:t>
      </w:r>
      <w:r>
        <w:rPr>
          <w:rFonts w:ascii="Times New Roman" w:hAnsi="Times New Roman" w:cs="Times New Roman"/>
          <w:sz w:val="24"/>
          <w:szCs w:val="24"/>
        </w:rPr>
        <w:t xml:space="preserve"> (El Confidencial - </w:t>
      </w:r>
      <w:r w:rsidRPr="00ED107B">
        <w:rPr>
          <w:rFonts w:ascii="Times New Roman" w:hAnsi="Times New Roman" w:cs="Times New Roman"/>
          <w:b/>
          <w:sz w:val="24"/>
          <w:szCs w:val="24"/>
        </w:rPr>
        <w:t>17/9/19</w:t>
      </w:r>
      <w:r>
        <w:rPr>
          <w:rFonts w:ascii="Times New Roman" w:hAnsi="Times New Roman" w:cs="Times New Roman"/>
          <w:sz w:val="24"/>
          <w:szCs w:val="24"/>
        </w:rPr>
        <w:t>)</w:t>
      </w:r>
    </w:p>
    <w:p w:rsidR="00A62FB8" w:rsidRPr="00ED107B" w:rsidRDefault="00A62FB8" w:rsidP="00B0273B">
      <w:pPr>
        <w:spacing w:after="0" w:line="240" w:lineRule="auto"/>
        <w:jc w:val="both"/>
        <w:textAlignment w:val="baseline"/>
        <w:rPr>
          <w:rFonts w:ascii="Times New Roman" w:hAnsi="Times New Roman" w:cs="Times New Roman"/>
          <w:sz w:val="24"/>
          <w:szCs w:val="24"/>
        </w:rPr>
      </w:pPr>
    </w:p>
    <w:p w:rsidR="00B0273B" w:rsidRDefault="00B0273B" w:rsidP="00B0273B">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(Por Marta García Aller)</w:t>
      </w:r>
    </w:p>
    <w:p w:rsidR="00DB3051" w:rsidRDefault="00DB3051" w:rsidP="00B0273B">
      <w:pPr>
        <w:spacing w:after="0" w:line="240" w:lineRule="auto"/>
        <w:jc w:val="both"/>
        <w:textAlignment w:val="baseline"/>
        <w:rPr>
          <w:rFonts w:ascii="Times New Roman" w:hAnsi="Times New Roman" w:cs="Times New Roman"/>
          <w:sz w:val="24"/>
          <w:szCs w:val="24"/>
          <w:u w:val="single"/>
        </w:rPr>
      </w:pPr>
    </w:p>
    <w:p w:rsidR="00B0273B" w:rsidRDefault="00B0273B" w:rsidP="00B0273B">
      <w:pPr>
        <w:spacing w:after="0" w:line="240" w:lineRule="auto"/>
        <w:jc w:val="both"/>
        <w:textAlignment w:val="baseline"/>
        <w:rPr>
          <w:rFonts w:ascii="Times New Roman" w:hAnsi="Times New Roman" w:cs="Times New Roman"/>
          <w:sz w:val="24"/>
          <w:szCs w:val="24"/>
        </w:rPr>
      </w:pPr>
      <w:r w:rsidRPr="003318EC">
        <w:rPr>
          <w:rFonts w:ascii="Times New Roman" w:hAnsi="Times New Roman" w:cs="Times New Roman"/>
          <w:sz w:val="24"/>
          <w:szCs w:val="24"/>
          <w:u w:val="single"/>
        </w:rPr>
        <w:t>Vivimos en tiempos de mucha incertidumbre. Tanto en la política como en la economía</w:t>
      </w:r>
      <w:r w:rsidRPr="00ED107B">
        <w:rPr>
          <w:rFonts w:ascii="Times New Roman" w:hAnsi="Times New Roman" w:cs="Times New Roman"/>
          <w:sz w:val="24"/>
          <w:szCs w:val="24"/>
        </w:rPr>
        <w:t>. Del riesgo de Brexit caótico a la guerra comercial entre China y EEUU y las crecientes tensiones con Irán y Arabia Saudí. Mientras los mercados paralizan inversiones y las empresas se replantean si contratar por miedo a lo que vendrá, la ansiedad de los tiempos revueltos afecta a muchas otras cosas. Desde la televisión que vemos a los políticos que votamos.</w:t>
      </w:r>
    </w:p>
    <w:p w:rsidR="00DB3051" w:rsidRDefault="00DB3051" w:rsidP="00B0273B">
      <w:pPr>
        <w:spacing w:after="0" w:line="240" w:lineRule="auto"/>
        <w:jc w:val="both"/>
        <w:textAlignment w:val="baseline"/>
        <w:rPr>
          <w:rFonts w:ascii="Times New Roman" w:hAnsi="Times New Roman" w:cs="Times New Roman"/>
          <w:sz w:val="24"/>
          <w:szCs w:val="24"/>
        </w:rPr>
      </w:pPr>
    </w:p>
    <w:p w:rsidR="00DB3051" w:rsidRDefault="00DB3051" w:rsidP="00B0273B">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noProof/>
          <w:sz w:val="24"/>
          <w:szCs w:val="24"/>
          <w:lang w:val="en-GB" w:eastAsia="en-GB"/>
        </w:rPr>
        <w:drawing>
          <wp:inline distT="0" distB="0" distL="0" distR="0">
            <wp:extent cx="5734049" cy="2882900"/>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881623"/>
                    </a:xfrm>
                    <a:prstGeom prst="rect">
                      <a:avLst/>
                    </a:prstGeom>
                  </pic:spPr>
                </pic:pic>
              </a:graphicData>
            </a:graphic>
          </wp:inline>
        </w:drawing>
      </w:r>
    </w:p>
    <w:p w:rsidR="00DB3051" w:rsidRPr="00ED107B" w:rsidRDefault="00DB3051" w:rsidP="00DB3051">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sz w:val="24"/>
          <w:szCs w:val="24"/>
        </w:rPr>
        <w:t>Fuente: Economic Poli</w:t>
      </w:r>
      <w:r w:rsidR="00AA1361">
        <w:rPr>
          <w:rFonts w:ascii="Times New Roman" w:hAnsi="Times New Roman" w:cs="Times New Roman"/>
          <w:sz w:val="24"/>
          <w:szCs w:val="24"/>
        </w:rPr>
        <w:t xml:space="preserve">cy Uncertainty </w:t>
      </w:r>
    </w:p>
    <w:p w:rsidR="00DB3051" w:rsidRDefault="00DB3051" w:rsidP="00B0273B">
      <w:pPr>
        <w:spacing w:after="0" w:line="240" w:lineRule="auto"/>
        <w:jc w:val="both"/>
        <w:textAlignment w:val="baseline"/>
        <w:rPr>
          <w:rFonts w:ascii="Times New Roman" w:hAnsi="Times New Roman" w:cs="Times New Roman"/>
          <w:sz w:val="24"/>
          <w:szCs w:val="24"/>
        </w:rPr>
      </w:pPr>
    </w:p>
    <w:p w:rsidR="00B0273B" w:rsidRDefault="00B0273B" w:rsidP="00B0273B">
      <w:pPr>
        <w:spacing w:after="0" w:line="240" w:lineRule="auto"/>
        <w:jc w:val="both"/>
        <w:textAlignment w:val="baseline"/>
        <w:rPr>
          <w:rFonts w:ascii="Times New Roman" w:hAnsi="Times New Roman" w:cs="Times New Roman"/>
          <w:sz w:val="24"/>
          <w:szCs w:val="24"/>
        </w:rPr>
      </w:pPr>
      <w:r w:rsidRPr="003318EC">
        <w:rPr>
          <w:rFonts w:ascii="Times New Roman" w:hAnsi="Times New Roman" w:cs="Times New Roman"/>
          <w:sz w:val="24"/>
          <w:szCs w:val="24"/>
          <w:u w:val="single"/>
        </w:rPr>
        <w:t>¿Realmente vivimos tiempos más inciertos? Es difícil medir de forma objetiva un sentimiento, pero hay algunas pistas al respecto</w:t>
      </w:r>
      <w:r w:rsidRPr="00ED107B">
        <w:rPr>
          <w:rFonts w:ascii="Times New Roman" w:hAnsi="Times New Roman" w:cs="Times New Roman"/>
          <w:sz w:val="24"/>
          <w:szCs w:val="24"/>
        </w:rPr>
        <w:t xml:space="preserve">. La incertidumbre en el comercio mundial, por ejemplo, está en máximos históricos, </w:t>
      </w:r>
      <w:r w:rsidRPr="003318EC">
        <w:rPr>
          <w:rFonts w:ascii="Times New Roman" w:hAnsi="Times New Roman" w:cs="Times New Roman"/>
          <w:sz w:val="24"/>
          <w:szCs w:val="24"/>
          <w:u w:val="single"/>
        </w:rPr>
        <w:t>según los cálculos de los economistas Hites Ahir y Davide Furceri, del Fondo Monetario Internacional, y Nick Bloom, de la Universidad de Stanford. Han creado un índice que mide cómo dé a menudo se citan palabras c</w:t>
      </w:r>
      <w:r w:rsidR="00DB3051">
        <w:rPr>
          <w:rFonts w:ascii="Times New Roman" w:hAnsi="Times New Roman" w:cs="Times New Roman"/>
          <w:sz w:val="24"/>
          <w:szCs w:val="24"/>
          <w:u w:val="single"/>
        </w:rPr>
        <w:t>omo “incierto” e “incertidumbre”</w:t>
      </w:r>
      <w:r w:rsidRPr="003318EC">
        <w:rPr>
          <w:rFonts w:ascii="Times New Roman" w:hAnsi="Times New Roman" w:cs="Times New Roman"/>
          <w:sz w:val="24"/>
          <w:szCs w:val="24"/>
          <w:u w:val="single"/>
        </w:rPr>
        <w:t xml:space="preserve"> en relación al comercio en los informes por países de The Economist Intelligence Unit.</w:t>
      </w:r>
      <w:r w:rsidRPr="00ED107B">
        <w:rPr>
          <w:rFonts w:ascii="Times New Roman" w:hAnsi="Times New Roman" w:cs="Times New Roman"/>
          <w:sz w:val="24"/>
          <w:szCs w:val="24"/>
        </w:rPr>
        <w:t xml:space="preserve"> Y el indicador se ha disparado este año, sobre todo en las economías avanzadas.</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Default="00B0273B" w:rsidP="00B0273B">
      <w:pPr>
        <w:spacing w:after="0" w:line="240" w:lineRule="auto"/>
        <w:jc w:val="both"/>
        <w:textAlignment w:val="baseline"/>
        <w:rPr>
          <w:rFonts w:ascii="Times New Roman" w:hAnsi="Times New Roman" w:cs="Times New Roman"/>
          <w:sz w:val="24"/>
          <w:szCs w:val="24"/>
          <w:u w:val="single"/>
        </w:rPr>
      </w:pPr>
      <w:r w:rsidRPr="003318EC">
        <w:rPr>
          <w:rFonts w:ascii="Times New Roman" w:hAnsi="Times New Roman" w:cs="Times New Roman"/>
          <w:sz w:val="24"/>
          <w:szCs w:val="24"/>
          <w:u w:val="single"/>
        </w:rPr>
        <w:t xml:space="preserve">Aunque es muy difícil hacer comparaciones de nivel de incertidumbre entre diferentes épocas, para medir el grado de confianza en el futuro los sociólogos utilizan mecanismos como preguntarnos cómo creemos que va a ser la vida de las nuevas generaciones. </w:t>
      </w:r>
      <w:r w:rsidR="00AA1361">
        <w:rPr>
          <w:rFonts w:ascii="Times New Roman" w:hAnsi="Times New Roman" w:cs="Times New Roman"/>
          <w:color w:val="FF0000"/>
          <w:sz w:val="24"/>
          <w:szCs w:val="24"/>
          <w:u w:val="single"/>
        </w:rPr>
        <w:t>Una de las preguntas clave es “</w:t>
      </w:r>
      <w:r w:rsidRPr="003318EC">
        <w:rPr>
          <w:rFonts w:ascii="Times New Roman" w:hAnsi="Times New Roman" w:cs="Times New Roman"/>
          <w:color w:val="FF0000"/>
          <w:sz w:val="24"/>
          <w:szCs w:val="24"/>
          <w:u w:val="single"/>
        </w:rPr>
        <w:t xml:space="preserve">¿crees que tus </w:t>
      </w:r>
      <w:r w:rsidR="00AA1361">
        <w:rPr>
          <w:rFonts w:ascii="Times New Roman" w:hAnsi="Times New Roman" w:cs="Times New Roman"/>
          <w:color w:val="FF0000"/>
          <w:sz w:val="24"/>
          <w:szCs w:val="24"/>
          <w:u w:val="single"/>
        </w:rPr>
        <w:t>hijos van a vivir mejor que tú?”</w:t>
      </w:r>
      <w:r w:rsidRPr="003318EC">
        <w:rPr>
          <w:rFonts w:ascii="Times New Roman" w:hAnsi="Times New Roman" w:cs="Times New Roman"/>
          <w:color w:val="FF0000"/>
          <w:sz w:val="24"/>
          <w:szCs w:val="24"/>
          <w:u w:val="single"/>
        </w:rPr>
        <w:t>. “En la respuesta negativa, se percibe que en Europa y EEUU cada vez hay mayor pesimismo con respecto al futuro”, afirma Pepe Fernández Albertos, investigador del CSIC</w:t>
      </w:r>
      <w:r w:rsidRPr="003318EC">
        <w:rPr>
          <w:rFonts w:ascii="Times New Roman" w:hAnsi="Times New Roman" w:cs="Times New Roman"/>
          <w:color w:val="FF0000"/>
          <w:sz w:val="24"/>
          <w:szCs w:val="24"/>
        </w:rPr>
        <w:t>.</w:t>
      </w:r>
      <w:r w:rsidRPr="003318EC">
        <w:rPr>
          <w:rFonts w:ascii="Times New Roman" w:hAnsi="Times New Roman" w:cs="Times New Roman"/>
          <w:sz w:val="24"/>
          <w:szCs w:val="24"/>
          <w:u w:val="single"/>
        </w:rPr>
        <w:t>“Hay mucha incertidumbre, seguramente vinculada a la volatilidad que percibimos en la época actual, sobre todo si nos comparamos con la segunda mitad del siglo XX, que fue una época especialmente próspera, pero a lo mejor única en la historia”.</w:t>
      </w:r>
    </w:p>
    <w:p w:rsidR="00AA1361" w:rsidRPr="003318EC" w:rsidRDefault="00AA1361" w:rsidP="00B0273B">
      <w:pPr>
        <w:spacing w:after="0" w:line="240" w:lineRule="auto"/>
        <w:jc w:val="both"/>
        <w:textAlignment w:val="baseline"/>
        <w:rPr>
          <w:rFonts w:ascii="Times New Roman" w:hAnsi="Times New Roman" w:cs="Times New Roman"/>
          <w:sz w:val="24"/>
          <w:szCs w:val="24"/>
          <w:u w:val="single"/>
        </w:rPr>
      </w:pPr>
    </w:p>
    <w:p w:rsidR="00B0273B" w:rsidRDefault="00B0273B" w:rsidP="00B0273B">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noProof/>
          <w:sz w:val="24"/>
          <w:szCs w:val="24"/>
          <w:lang w:val="en-GB" w:eastAsia="en-GB"/>
        </w:rPr>
        <w:lastRenderedPageBreak/>
        <w:drawing>
          <wp:inline distT="0" distB="0" distL="0" distR="0">
            <wp:extent cx="5731568" cy="3136900"/>
            <wp:effectExtent l="0" t="0" r="254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136868"/>
                    </a:xfrm>
                    <a:prstGeom prst="rect">
                      <a:avLst/>
                    </a:prstGeom>
                  </pic:spPr>
                </pic:pic>
              </a:graphicData>
            </a:graphic>
          </wp:inline>
        </w:drawing>
      </w:r>
    </w:p>
    <w:p w:rsidR="00B0273B" w:rsidRPr="00C06514" w:rsidRDefault="00B0273B" w:rsidP="00B0273B">
      <w:pPr>
        <w:spacing w:after="0" w:line="240" w:lineRule="auto"/>
        <w:jc w:val="both"/>
        <w:textAlignment w:val="baseline"/>
        <w:rPr>
          <w:rFonts w:ascii="Times New Roman" w:hAnsi="Times New Roman" w:cs="Times New Roman"/>
          <w:sz w:val="24"/>
          <w:szCs w:val="24"/>
        </w:rPr>
      </w:pPr>
      <w:r w:rsidRPr="00C06514">
        <w:rPr>
          <w:rFonts w:ascii="Times New Roman" w:hAnsi="Times New Roman" w:cs="Times New Roman"/>
          <w:sz w:val="24"/>
          <w:szCs w:val="24"/>
        </w:rPr>
        <w:t>Source: Eco</w:t>
      </w:r>
      <w:r w:rsidR="00AA1361" w:rsidRPr="00C06514">
        <w:rPr>
          <w:rFonts w:ascii="Times New Roman" w:hAnsi="Times New Roman" w:cs="Times New Roman"/>
          <w:sz w:val="24"/>
          <w:szCs w:val="24"/>
        </w:rPr>
        <w:t xml:space="preserve">nomic Policy Uncertainty  </w:t>
      </w:r>
    </w:p>
    <w:p w:rsidR="00B0273B" w:rsidRPr="00C06514" w:rsidRDefault="00B0273B" w:rsidP="00B0273B">
      <w:pPr>
        <w:spacing w:after="0" w:line="240" w:lineRule="auto"/>
        <w:jc w:val="both"/>
        <w:textAlignment w:val="baseline"/>
        <w:rPr>
          <w:rFonts w:ascii="Times New Roman" w:hAnsi="Times New Roman" w:cs="Times New Roman"/>
          <w:sz w:val="24"/>
          <w:szCs w:val="24"/>
        </w:rPr>
      </w:pPr>
    </w:p>
    <w:p w:rsidR="00B0273B" w:rsidRDefault="00B0273B" w:rsidP="00B0273B">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sz w:val="24"/>
          <w:szCs w:val="24"/>
        </w:rPr>
        <w:t>El espejo de las distopías</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ED107B" w:rsidRDefault="00B0273B" w:rsidP="00B0273B">
      <w:pPr>
        <w:spacing w:after="0" w:line="240" w:lineRule="auto"/>
        <w:jc w:val="both"/>
        <w:textAlignment w:val="baseline"/>
        <w:rPr>
          <w:rFonts w:ascii="Times New Roman" w:hAnsi="Times New Roman" w:cs="Times New Roman"/>
          <w:sz w:val="24"/>
          <w:szCs w:val="24"/>
        </w:rPr>
      </w:pPr>
      <w:r w:rsidRPr="003318EC">
        <w:rPr>
          <w:rFonts w:ascii="Times New Roman" w:hAnsi="Times New Roman" w:cs="Times New Roman"/>
          <w:sz w:val="24"/>
          <w:szCs w:val="24"/>
          <w:u w:val="single"/>
        </w:rPr>
        <w:t>Si crees que tienes problemas, es que todavía no has visto nada para la que se nos viene encima. Podría ser el resumen del enésimo informe que alerta de las consecuencias de un Brexit duro, o del peligro por medidas proteccionistas por la guerra comercial,</w:t>
      </w:r>
      <w:r w:rsidRPr="00ED107B">
        <w:rPr>
          <w:rFonts w:ascii="Times New Roman" w:hAnsi="Times New Roman" w:cs="Times New Roman"/>
          <w:sz w:val="24"/>
          <w:szCs w:val="24"/>
        </w:rPr>
        <w:t xml:space="preserve"> pero es también la sinopsis de cualquiera de las distopías que tanto triunfan últimamente en las pantallas. No es casualidad que las platafo</w:t>
      </w:r>
      <w:r w:rsidR="00AA1361">
        <w:rPr>
          <w:rFonts w:ascii="Times New Roman" w:hAnsi="Times New Roman" w:cs="Times New Roman"/>
          <w:sz w:val="24"/>
          <w:szCs w:val="24"/>
        </w:rPr>
        <w:t>rmas de “streaming”</w:t>
      </w:r>
      <w:r w:rsidRPr="00ED107B">
        <w:rPr>
          <w:rFonts w:ascii="Times New Roman" w:hAnsi="Times New Roman" w:cs="Times New Roman"/>
          <w:sz w:val="24"/>
          <w:szCs w:val="24"/>
        </w:rPr>
        <w:t xml:space="preserve"> estén produciendo en estos tiempos confusos tantas ficciones sobre futuros alarmantes. ¿Por qué es cuando estas tienen más éxito?</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3318EC" w:rsidRDefault="00AA1361" w:rsidP="00B0273B">
      <w:pPr>
        <w:spacing w:after="0"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B0273B" w:rsidRPr="003318EC">
        <w:rPr>
          <w:rFonts w:ascii="Times New Roman" w:hAnsi="Times New Roman" w:cs="Times New Roman"/>
          <w:color w:val="FF0000"/>
          <w:sz w:val="24"/>
          <w:szCs w:val="24"/>
          <w:u w:val="single"/>
        </w:rPr>
        <w:t>La incerti</w:t>
      </w:r>
      <w:r>
        <w:rPr>
          <w:rFonts w:ascii="Times New Roman" w:hAnsi="Times New Roman" w:cs="Times New Roman"/>
          <w:color w:val="FF0000"/>
          <w:sz w:val="24"/>
          <w:szCs w:val="24"/>
          <w:u w:val="single"/>
        </w:rPr>
        <w:t>dumbre es el peor de los miedos”</w:t>
      </w:r>
      <w:r w:rsidR="00B0273B" w:rsidRPr="003318EC">
        <w:rPr>
          <w:rFonts w:ascii="Times New Roman" w:hAnsi="Times New Roman" w:cs="Times New Roman"/>
          <w:color w:val="FF0000"/>
          <w:sz w:val="24"/>
          <w:szCs w:val="24"/>
          <w:u w:val="single"/>
        </w:rPr>
        <w:t>, afirma Guillermo Fouce, d</w:t>
      </w:r>
      <w:r>
        <w:rPr>
          <w:rFonts w:ascii="Times New Roman" w:hAnsi="Times New Roman" w:cs="Times New Roman"/>
          <w:color w:val="FF0000"/>
          <w:sz w:val="24"/>
          <w:szCs w:val="24"/>
          <w:u w:val="single"/>
        </w:rPr>
        <w:t>octor en Psicología y autor de “</w:t>
      </w:r>
      <w:r w:rsidR="00B0273B" w:rsidRPr="003318EC">
        <w:rPr>
          <w:rFonts w:ascii="Times New Roman" w:hAnsi="Times New Roman" w:cs="Times New Roman"/>
          <w:color w:val="FF0000"/>
          <w:sz w:val="24"/>
          <w:szCs w:val="24"/>
          <w:u w:val="single"/>
        </w:rPr>
        <w:t>Psi</w:t>
      </w:r>
      <w:r>
        <w:rPr>
          <w:rFonts w:ascii="Times New Roman" w:hAnsi="Times New Roman" w:cs="Times New Roman"/>
          <w:color w:val="FF0000"/>
          <w:sz w:val="24"/>
          <w:szCs w:val="24"/>
          <w:u w:val="single"/>
        </w:rPr>
        <w:t>cología del miedo”</w:t>
      </w:r>
      <w:r w:rsidR="00B0273B" w:rsidRPr="003318EC">
        <w:rPr>
          <w:rFonts w:ascii="Times New Roman" w:hAnsi="Times New Roman" w:cs="Times New Roman"/>
          <w:color w:val="FF0000"/>
          <w:sz w:val="24"/>
          <w:szCs w:val="24"/>
          <w:u w:val="single"/>
        </w:rPr>
        <w:t>. “Cuando peor lo pasa un sujeto es cuando no percibe un patrón de respuestas. Si sé que tengo delante una amenaza, me puedo preparar para lo peor, pero para lo desconocido no me sé preparar. Las distopías nos hacen imaginar un futuro, canalizan ese miedo y nos ponen en guardia. Por eso se consumen más ante una sensación de percepción de crisis permanente como la actual”.</w:t>
      </w:r>
    </w:p>
    <w:p w:rsidR="00B0273B" w:rsidRPr="003318EC" w:rsidRDefault="00B0273B" w:rsidP="00B0273B">
      <w:pPr>
        <w:spacing w:after="0" w:line="240" w:lineRule="auto"/>
        <w:jc w:val="both"/>
        <w:textAlignment w:val="baseline"/>
        <w:rPr>
          <w:rFonts w:ascii="Times New Roman" w:hAnsi="Times New Roman" w:cs="Times New Roman"/>
          <w:color w:val="FF0000"/>
          <w:sz w:val="24"/>
          <w:szCs w:val="24"/>
          <w:u w:val="single"/>
        </w:rPr>
      </w:pPr>
    </w:p>
    <w:p w:rsidR="00B0273B" w:rsidRPr="00ED107B" w:rsidRDefault="00AA1361" w:rsidP="00B0273B">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Desde el éxito de “Black Mirror”</w:t>
      </w:r>
      <w:r w:rsidR="00B0273B" w:rsidRPr="00ED107B">
        <w:rPr>
          <w:rFonts w:ascii="Times New Roman" w:hAnsi="Times New Roman" w:cs="Times New Roman"/>
          <w:sz w:val="24"/>
          <w:szCs w:val="24"/>
        </w:rPr>
        <w:t xml:space="preserve"> (2011), la serie futurista llena de dilemas sobre los cambios tecnológicos, en Netflix </w:t>
      </w:r>
      <w:r>
        <w:rPr>
          <w:rFonts w:ascii="Times New Roman" w:hAnsi="Times New Roman" w:cs="Times New Roman"/>
          <w:sz w:val="24"/>
          <w:szCs w:val="24"/>
        </w:rPr>
        <w:t>abundan los dramas distópicos: “Bird Box”, “Altered Carbon” y “3%”</w:t>
      </w:r>
      <w:r w:rsidR="00B0273B" w:rsidRPr="00ED107B">
        <w:rPr>
          <w:rFonts w:ascii="Times New Roman" w:hAnsi="Times New Roman" w:cs="Times New Roman"/>
          <w:sz w:val="24"/>
          <w:szCs w:val="24"/>
        </w:rPr>
        <w:t>, por nom</w:t>
      </w:r>
      <w:r>
        <w:rPr>
          <w:rFonts w:ascii="Times New Roman" w:hAnsi="Times New Roman" w:cs="Times New Roman"/>
          <w:sz w:val="24"/>
          <w:szCs w:val="24"/>
        </w:rPr>
        <w:t>brar algunos. En HBO, triunfan “El cuento de la criada”</w:t>
      </w:r>
      <w:r w:rsidR="00B0273B" w:rsidRPr="00ED107B">
        <w:rPr>
          <w:rFonts w:ascii="Times New Roman" w:hAnsi="Times New Roman" w:cs="Times New Roman"/>
          <w:sz w:val="24"/>
          <w:szCs w:val="24"/>
        </w:rPr>
        <w:t xml:space="preserve"> y, m</w:t>
      </w:r>
      <w:r>
        <w:rPr>
          <w:rFonts w:ascii="Times New Roman" w:hAnsi="Times New Roman" w:cs="Times New Roman"/>
          <w:sz w:val="24"/>
          <w:szCs w:val="24"/>
        </w:rPr>
        <w:t>ás recientemente, la británica “Years and Years”</w:t>
      </w:r>
      <w:r w:rsidR="00B0273B" w:rsidRPr="00ED107B">
        <w:rPr>
          <w:rFonts w:ascii="Times New Roman" w:hAnsi="Times New Roman" w:cs="Times New Roman"/>
          <w:sz w:val="24"/>
          <w:szCs w:val="24"/>
        </w:rPr>
        <w:t>. Esta comienza en 2020 con la reelección de Trump y plantea un Reino Unido cada vez más polarizado en la próxima década. Mientras llegan a las costas británicas cifras récord de refugiados en pateras y la crisis climática se agrava, el Gobierno de la isla se va volviendo cada vez más autoritario. El colapso de las democracias europeas que va relatando es tan gradual que a ratos se antoja hasta realista. Sobre todo cuando tres meses después de su estreno, en el mundo real vimos al nuevo primer ministro, Boris Johnson, decretar en Reino Unido el cierre del Parlamento británico por primera vez en su historia, ante acusaciones de “ultraje constitucional” y estupefacción general. En la serie, estas cosas pasaban con Emma Thompson.</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ED107B" w:rsidRDefault="00B0273B" w:rsidP="00B0273B">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sz w:val="24"/>
          <w:szCs w:val="24"/>
        </w:rPr>
        <w:lastRenderedPageBreak/>
        <w:t xml:space="preserve">Ya sea la crisis migratoria, la climática o la revolución tecnológica, es obvio que todas estas distopías no hablan del futuro sino del presente. Aunque lo planteen desde la ficción, todas reflejan miedos muy actuales, como pasa en la </w:t>
      </w:r>
      <w:r w:rsidR="00AA1361">
        <w:rPr>
          <w:rFonts w:ascii="Times New Roman" w:hAnsi="Times New Roman" w:cs="Times New Roman"/>
          <w:sz w:val="24"/>
          <w:szCs w:val="24"/>
        </w:rPr>
        <w:t>serie noruega recién estrenada “Beforeigners”</w:t>
      </w:r>
      <w:r w:rsidRPr="00ED107B">
        <w:rPr>
          <w:rFonts w:ascii="Times New Roman" w:hAnsi="Times New Roman" w:cs="Times New Roman"/>
          <w:sz w:val="24"/>
          <w:szCs w:val="24"/>
        </w:rPr>
        <w:t xml:space="preserve"> con la inmigración. </w:t>
      </w:r>
      <w:r w:rsidR="007D67F3" w:rsidRPr="00ED107B">
        <w:rPr>
          <w:rFonts w:ascii="Times New Roman" w:hAnsi="Times New Roman" w:cs="Times New Roman"/>
          <w:sz w:val="24"/>
          <w:szCs w:val="24"/>
        </w:rPr>
        <w:t>También</w:t>
      </w:r>
      <w:r w:rsidRPr="00ED107B">
        <w:rPr>
          <w:rFonts w:ascii="Times New Roman" w:hAnsi="Times New Roman" w:cs="Times New Roman"/>
          <w:sz w:val="24"/>
          <w:szCs w:val="24"/>
        </w:rPr>
        <w:t xml:space="preserve"> en HBO, esta serie policiaca plantea una crisis de refugiados temporales. De pronto, empiezan a llegar al Oslo del siglo XXI vikingos y prehistóricos que habitaron esas mismas tierras nórdicas en otros milenios. Todos tienen que aprender a convivir en este mundo paralelo, en el que también hay movimientos antiinmigración de quienes no llevan bien la mezcla de costumbres. Los</w:t>
      </w:r>
      <w:r w:rsidR="00AA1361">
        <w:rPr>
          <w:rFonts w:ascii="Times New Roman" w:hAnsi="Times New Roman" w:cs="Times New Roman"/>
          <w:sz w:val="24"/>
          <w:szCs w:val="24"/>
        </w:rPr>
        <w:t xml:space="preserve"> gritos xenófobos pasan a ser: “</w:t>
      </w:r>
      <w:r w:rsidRPr="00ED107B">
        <w:rPr>
          <w:rFonts w:ascii="Times New Roman" w:hAnsi="Times New Roman" w:cs="Times New Roman"/>
          <w:sz w:val="24"/>
          <w:szCs w:val="24"/>
        </w:rPr>
        <w:t>¡Vuelve a tu época! E</w:t>
      </w:r>
      <w:r w:rsidR="00AA1361">
        <w:rPr>
          <w:rFonts w:ascii="Times New Roman" w:hAnsi="Times New Roman" w:cs="Times New Roman"/>
          <w:sz w:val="24"/>
          <w:szCs w:val="24"/>
        </w:rPr>
        <w:t>l presente es para los de ahora”</w:t>
      </w:r>
      <w:r w:rsidRPr="00ED107B">
        <w:rPr>
          <w:rFonts w:ascii="Times New Roman" w:hAnsi="Times New Roman" w:cs="Times New Roman"/>
          <w:sz w:val="24"/>
          <w:szCs w:val="24"/>
        </w:rPr>
        <w:t>. Para ser ciencia ficción, suena bastante familiar.</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Default="00B0273B" w:rsidP="00B0273B">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sz w:val="24"/>
          <w:szCs w:val="24"/>
        </w:rPr>
        <w:t>La incertidumbre alimenta el nacionalismo</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633346" w:rsidRDefault="00B0273B" w:rsidP="00B0273B">
      <w:pPr>
        <w:spacing w:after="0" w:line="240" w:lineRule="auto"/>
        <w:jc w:val="both"/>
        <w:textAlignment w:val="baseline"/>
        <w:rPr>
          <w:rFonts w:ascii="Times New Roman" w:hAnsi="Times New Roman" w:cs="Times New Roman"/>
          <w:color w:val="FF0000"/>
          <w:sz w:val="24"/>
          <w:szCs w:val="24"/>
          <w:u w:val="single"/>
        </w:rPr>
      </w:pPr>
      <w:r w:rsidRPr="00633346">
        <w:rPr>
          <w:rFonts w:ascii="Times New Roman" w:hAnsi="Times New Roman" w:cs="Times New Roman"/>
          <w:color w:val="FF0000"/>
          <w:sz w:val="24"/>
          <w:szCs w:val="24"/>
          <w:u w:val="single"/>
        </w:rPr>
        <w:t>Mucho más inquietante que las consecuencias que puede tener en nuestro consumo televisivo, es la manera en que una prolongada sensación de incertidumbre puede afectar a la democracia. Y entre los efectos que provoca vivir en un contexto de incertidumbre, según los expertos en psicología social, está el riesgo de que calen las ideas populistas y nacionalistas. También es buen caldo de cultivo de los autoritarismos.</w:t>
      </w:r>
    </w:p>
    <w:p w:rsidR="00B0273B" w:rsidRPr="00633346" w:rsidRDefault="00B0273B" w:rsidP="00B0273B">
      <w:pPr>
        <w:spacing w:after="0" w:line="240" w:lineRule="auto"/>
        <w:jc w:val="both"/>
        <w:textAlignment w:val="baseline"/>
        <w:rPr>
          <w:rFonts w:ascii="Times New Roman" w:hAnsi="Times New Roman" w:cs="Times New Roman"/>
          <w:color w:val="FF0000"/>
          <w:sz w:val="24"/>
          <w:szCs w:val="24"/>
          <w:u w:val="single"/>
        </w:rPr>
      </w:pPr>
    </w:p>
    <w:p w:rsidR="00B0273B" w:rsidRPr="00ED107B" w:rsidRDefault="00B0273B" w:rsidP="00B0273B">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sz w:val="24"/>
          <w:szCs w:val="24"/>
        </w:rPr>
        <w:t xml:space="preserve">“Cuando la incertidumbre nos inquieta, nos ponemos nerviosos y nuestro cerebro busca certezas para recuperar el control”, afirma Pedro Rey, profesor de Economía del Comportamiento en Esade y editor de Nadaesgratis. “Valoramos que nos den las claves para anticipar las variables más inciertas del futuro, aunque sepamos que este no se puede predecir. </w:t>
      </w:r>
      <w:r w:rsidRPr="00633346">
        <w:rPr>
          <w:rFonts w:ascii="Times New Roman" w:hAnsi="Times New Roman" w:cs="Times New Roman"/>
          <w:color w:val="FF0000"/>
          <w:sz w:val="24"/>
          <w:szCs w:val="24"/>
          <w:u w:val="single"/>
        </w:rPr>
        <w:t>Ante una situación que se percibe como caótica, al cerebro le atrae más un líder que transmite seguridad que alguien que honestamente te dice que no podemos saber lo que va a pasar, pero que si sigues su consejo a lo mejor las cosas van mejor. La reacción a la incertidumbre se puede medir en un laboratorio y está probado que en contextos de crisis calan más los populismos porque los votantes se vuelven menos racionales”,</w:t>
      </w:r>
      <w:r w:rsidRPr="00ED107B">
        <w:rPr>
          <w:rFonts w:ascii="Times New Roman" w:hAnsi="Times New Roman" w:cs="Times New Roman"/>
          <w:sz w:val="24"/>
          <w:szCs w:val="24"/>
        </w:rPr>
        <w:t xml:space="preserve"> concluye.</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ED107B" w:rsidRDefault="00B0273B" w:rsidP="00B0273B">
      <w:pPr>
        <w:spacing w:after="0" w:line="240" w:lineRule="auto"/>
        <w:jc w:val="both"/>
        <w:textAlignment w:val="baseline"/>
        <w:rPr>
          <w:rFonts w:ascii="Times New Roman" w:hAnsi="Times New Roman" w:cs="Times New Roman"/>
          <w:sz w:val="24"/>
          <w:szCs w:val="24"/>
        </w:rPr>
      </w:pPr>
      <w:r w:rsidRPr="00ED107B">
        <w:rPr>
          <w:rFonts w:ascii="Times New Roman" w:hAnsi="Times New Roman" w:cs="Times New Roman"/>
          <w:sz w:val="24"/>
          <w:szCs w:val="24"/>
        </w:rPr>
        <w:t>En algunos experi</w:t>
      </w:r>
      <w:r>
        <w:rPr>
          <w:rFonts w:ascii="Times New Roman" w:hAnsi="Times New Roman" w:cs="Times New Roman"/>
          <w:sz w:val="24"/>
          <w:szCs w:val="24"/>
        </w:rPr>
        <w:t>m</w:t>
      </w:r>
      <w:r w:rsidRPr="00ED107B">
        <w:rPr>
          <w:rFonts w:ascii="Times New Roman" w:hAnsi="Times New Roman" w:cs="Times New Roman"/>
          <w:sz w:val="24"/>
          <w:szCs w:val="24"/>
        </w:rPr>
        <w:t>entos ya clásicos sobre la incertidumbre, los psicólogos Travis Proulx y Daniel Randles sometían a personas a situaciones inciertas para hacerlas sentir más inseguras inconscientemente y observar sus reacciones. A unos les ponían a leer a Kafka, a otros les daban una baraja de cartas manipulada en la que los diamantes eran rojos y los corazones negros. Y para comparar su reacción con aquellos que no recibían ninguno de estos estímulos, les pedían que buscaran patrones en una sucesión de letras aleatorias: tipo JKKHG o AEIOLY. Quienes habían leído la historia surrealista, igual que los que recibían cartas manipuladas, tenían más necesidad de orden y encontraban más patrones incluso donde no los había, como quien está convencido de ver la cara de la Virgen en una mancha de humedad de la pared.</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633346" w:rsidRDefault="00B0273B" w:rsidP="00B0273B">
      <w:pPr>
        <w:spacing w:after="0" w:line="240" w:lineRule="auto"/>
        <w:jc w:val="both"/>
        <w:textAlignment w:val="baseline"/>
        <w:rPr>
          <w:rFonts w:ascii="Times New Roman" w:hAnsi="Times New Roman" w:cs="Times New Roman"/>
          <w:sz w:val="24"/>
          <w:szCs w:val="24"/>
          <w:u w:val="single"/>
        </w:rPr>
      </w:pPr>
      <w:r w:rsidRPr="00ED107B">
        <w:rPr>
          <w:rFonts w:ascii="Times New Roman" w:hAnsi="Times New Roman" w:cs="Times New Roman"/>
          <w:sz w:val="24"/>
          <w:szCs w:val="24"/>
        </w:rPr>
        <w:t xml:space="preserve">En otro de los experimentos, preguntaban a la gente por sus ideas políticas. Y quienes habían sido expuestos a una mayor ambigüedad, expresaban más fervientemente ideas nacionalistas. Daba igual la ideología de cada uno de los sujetos, es decir, no importaba si eran de izquierdas o de derechas. </w:t>
      </w:r>
      <w:r w:rsidRPr="00633346">
        <w:rPr>
          <w:rFonts w:ascii="Times New Roman" w:hAnsi="Times New Roman" w:cs="Times New Roman"/>
          <w:sz w:val="24"/>
          <w:szCs w:val="24"/>
          <w:u w:val="single"/>
        </w:rPr>
        <w:t>Estos experimentos concluían que ante situaciones de estrés e incertidumbre, es más probable que polaricemos nuestras ideas.</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633346" w:rsidRDefault="00AA1361" w:rsidP="00B0273B">
      <w:pPr>
        <w:spacing w:after="0" w:line="240" w:lineRule="auto"/>
        <w:jc w:val="both"/>
        <w:textAlignment w:val="baseline"/>
        <w:rPr>
          <w:rFonts w:ascii="Times New Roman" w:hAnsi="Times New Roman" w:cs="Times New Roman"/>
          <w:sz w:val="24"/>
          <w:szCs w:val="24"/>
          <w:u w:val="single"/>
        </w:rPr>
      </w:pPr>
      <w:r>
        <w:rPr>
          <w:rFonts w:ascii="Times New Roman" w:hAnsi="Times New Roman" w:cs="Times New Roman"/>
          <w:sz w:val="24"/>
          <w:szCs w:val="24"/>
          <w:u w:val="single"/>
        </w:rPr>
        <w:t>En su libro “</w:t>
      </w:r>
      <w:r w:rsidR="00B0273B" w:rsidRPr="00633346">
        <w:rPr>
          <w:rFonts w:ascii="Times New Roman" w:hAnsi="Times New Roman" w:cs="Times New Roman"/>
          <w:sz w:val="24"/>
          <w:szCs w:val="24"/>
          <w:u w:val="single"/>
        </w:rPr>
        <w:t>Non</w:t>
      </w:r>
      <w:r>
        <w:rPr>
          <w:rFonts w:ascii="Times New Roman" w:hAnsi="Times New Roman" w:cs="Times New Roman"/>
          <w:sz w:val="24"/>
          <w:szCs w:val="24"/>
          <w:u w:val="single"/>
        </w:rPr>
        <w:t>sense: The Power of Not Knowing”</w:t>
      </w:r>
      <w:r w:rsidR="00B0273B" w:rsidRPr="00633346">
        <w:rPr>
          <w:rFonts w:ascii="Times New Roman" w:hAnsi="Times New Roman" w:cs="Times New Roman"/>
          <w:sz w:val="24"/>
          <w:szCs w:val="24"/>
          <w:u w:val="single"/>
        </w:rPr>
        <w:t xml:space="preserve">, el experto en economía del comportamiento Jamie Holmes detalla muchos otros casos en los que las altas dosis de incertidumbre o estrés nos llevan a poner fin cuanto antes a ese malestar. Esa urgencia, explica Holmes, puede llevarnos a sacar conclusiones precipitadas en vez de racionales. Por eso, en situaciones de crisis, a veces ignoramos cualquier información percibida como </w:t>
      </w:r>
      <w:r w:rsidR="00B0273B" w:rsidRPr="00633346">
        <w:rPr>
          <w:rFonts w:ascii="Times New Roman" w:hAnsi="Times New Roman" w:cs="Times New Roman"/>
          <w:sz w:val="24"/>
          <w:szCs w:val="24"/>
          <w:u w:val="single"/>
        </w:rPr>
        <w:lastRenderedPageBreak/>
        <w:t>ambigua para aferrarnos a las respuestas más contundentes. Las cosas pasan a ser blancas o negras porque eso nos permite llegar antes a una conclusión que sacie inmediatamente nuestro deseo de certezas.</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633346" w:rsidRDefault="00B0273B" w:rsidP="00B0273B">
      <w:pPr>
        <w:spacing w:after="0" w:line="240" w:lineRule="auto"/>
        <w:jc w:val="both"/>
        <w:textAlignment w:val="baseline"/>
        <w:rPr>
          <w:rFonts w:ascii="Times New Roman" w:hAnsi="Times New Roman" w:cs="Times New Roman"/>
          <w:color w:val="FF0000"/>
          <w:sz w:val="24"/>
          <w:szCs w:val="24"/>
          <w:u w:val="single"/>
        </w:rPr>
      </w:pPr>
      <w:r w:rsidRPr="00633346">
        <w:rPr>
          <w:rFonts w:ascii="Times New Roman" w:hAnsi="Times New Roman" w:cs="Times New Roman"/>
          <w:color w:val="FF0000"/>
          <w:sz w:val="24"/>
          <w:szCs w:val="24"/>
          <w:u w:val="single"/>
        </w:rPr>
        <w:t xml:space="preserve">En otras palabras, se trata de lograr lo que la psicóloga </w:t>
      </w:r>
      <w:r w:rsidR="00AA1361">
        <w:rPr>
          <w:rFonts w:ascii="Times New Roman" w:hAnsi="Times New Roman" w:cs="Times New Roman"/>
          <w:color w:val="FF0000"/>
          <w:sz w:val="24"/>
          <w:szCs w:val="24"/>
          <w:u w:val="single"/>
        </w:rPr>
        <w:t>social Arie Kruglanskiel llama “cierre cognitivo”</w:t>
      </w:r>
      <w:r w:rsidRPr="00633346">
        <w:rPr>
          <w:rFonts w:ascii="Times New Roman" w:hAnsi="Times New Roman" w:cs="Times New Roman"/>
          <w:color w:val="FF0000"/>
          <w:sz w:val="24"/>
          <w:szCs w:val="24"/>
          <w:u w:val="single"/>
        </w:rPr>
        <w:t>. El impulso a buscar respuestas no nos lleva necesariamente a informarnos más y mejor, sino a dar con una historia convincente que nos dé l</w:t>
      </w:r>
      <w:r w:rsidR="00AA1361">
        <w:rPr>
          <w:rFonts w:ascii="Times New Roman" w:hAnsi="Times New Roman" w:cs="Times New Roman"/>
          <w:color w:val="FF0000"/>
          <w:sz w:val="24"/>
          <w:szCs w:val="24"/>
          <w:u w:val="single"/>
        </w:rPr>
        <w:t>a razón. Lo llama “cierre”</w:t>
      </w:r>
      <w:r w:rsidRPr="00633346">
        <w:rPr>
          <w:rFonts w:ascii="Times New Roman" w:hAnsi="Times New Roman" w:cs="Times New Roman"/>
          <w:color w:val="FF0000"/>
          <w:sz w:val="24"/>
          <w:szCs w:val="24"/>
          <w:u w:val="single"/>
        </w:rPr>
        <w:t xml:space="preserve"> porque en el momento en que tomamos una decisión o nos formamos un juicio, cerramos nuestra mente a la nueva información, aunque encontremos datos que contradigan lo anterior.</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633346" w:rsidRDefault="00B0273B" w:rsidP="00B0273B">
      <w:pPr>
        <w:spacing w:after="0" w:line="240" w:lineRule="auto"/>
        <w:jc w:val="both"/>
        <w:textAlignment w:val="baseline"/>
        <w:rPr>
          <w:rFonts w:ascii="Times New Roman" w:hAnsi="Times New Roman" w:cs="Times New Roman"/>
          <w:color w:val="FF0000"/>
          <w:sz w:val="24"/>
          <w:szCs w:val="24"/>
          <w:u w:val="single"/>
        </w:rPr>
      </w:pPr>
      <w:r w:rsidRPr="00633346">
        <w:rPr>
          <w:rFonts w:ascii="Times New Roman" w:hAnsi="Times New Roman" w:cs="Times New Roman"/>
          <w:color w:val="FF0000"/>
          <w:sz w:val="24"/>
          <w:szCs w:val="24"/>
          <w:u w:val="single"/>
        </w:rPr>
        <w:t>De ahí que los bulos en la red que alimentan prejuicios corran más rápido que los desmentidos, porque en situaciones de estrés el cerebro se fía más de la información que da la razón a sus prejuicios. Y cuanto más incierto percibimos que es el mundo, más capaces somos de bajar el listón al evaluar si una información es falsa o verdadera. Lo importante es que nos dé la razón. “Cuando nuestra necesidad de cierre es mayor”, dice Holmes, “tendemos a quedarnos con estereotipos y negar contradicciones”. Otro de</w:t>
      </w:r>
      <w:r w:rsidR="00AA1361">
        <w:rPr>
          <w:rFonts w:ascii="Times New Roman" w:hAnsi="Times New Roman" w:cs="Times New Roman"/>
          <w:color w:val="FF0000"/>
          <w:sz w:val="24"/>
          <w:szCs w:val="24"/>
          <w:u w:val="single"/>
        </w:rPr>
        <w:t xml:space="preserve"> los experimentos que menciona “Nonsense”</w:t>
      </w:r>
      <w:r w:rsidRPr="00633346">
        <w:rPr>
          <w:rFonts w:ascii="Times New Roman" w:hAnsi="Times New Roman" w:cs="Times New Roman"/>
          <w:color w:val="FF0000"/>
          <w:sz w:val="24"/>
          <w:szCs w:val="24"/>
          <w:u w:val="single"/>
        </w:rPr>
        <w:t xml:space="preserve"> demuestra que, en situaciones de urgencia, el cerebro confía más en la gente de su entorno y menos en los de fuera.</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ED107B" w:rsidRDefault="00B0273B" w:rsidP="00B0273B">
      <w:pPr>
        <w:spacing w:after="0" w:line="240" w:lineRule="auto"/>
        <w:jc w:val="both"/>
        <w:textAlignment w:val="baseline"/>
        <w:rPr>
          <w:rFonts w:ascii="Times New Roman" w:hAnsi="Times New Roman" w:cs="Times New Roman"/>
          <w:sz w:val="24"/>
          <w:szCs w:val="24"/>
        </w:rPr>
      </w:pPr>
      <w:r w:rsidRPr="00CD4853">
        <w:rPr>
          <w:rFonts w:ascii="Times New Roman" w:hAnsi="Times New Roman" w:cs="Times New Roman"/>
          <w:color w:val="FF0000"/>
          <w:sz w:val="24"/>
          <w:szCs w:val="24"/>
          <w:u w:val="single"/>
        </w:rPr>
        <w:t xml:space="preserve"> “En momentos de incertidumbre y temor al futuro, aparece una mayor necesidad de certezas, y ese sentimiento suele estar vinculado a liderazgos más autoritarios”,</w:t>
      </w:r>
      <w:r w:rsidRPr="00ED107B">
        <w:rPr>
          <w:rFonts w:ascii="Times New Roman" w:hAnsi="Times New Roman" w:cs="Times New Roman"/>
          <w:sz w:val="24"/>
          <w:szCs w:val="24"/>
        </w:rPr>
        <w:t xml:space="preserve"> afirma Federico Steinberg, investigador principal del Real Instituto Elcano y profesor del Departamento de Análisis Económico de la Universidad Autónoma de Madrid. </w:t>
      </w:r>
      <w:r w:rsidRPr="00CD4853">
        <w:rPr>
          <w:rFonts w:ascii="Times New Roman" w:hAnsi="Times New Roman" w:cs="Times New Roman"/>
          <w:color w:val="FF0000"/>
          <w:sz w:val="24"/>
          <w:szCs w:val="24"/>
          <w:u w:val="single"/>
        </w:rPr>
        <w:t>“En Europa Occidental, vivimos una época de elevadísima incertidumbre, porque el orden económico internacional y el contrato social de sostenibilidad del Estado de bienestar están en transformación, por no decir en crisis; además, estamos en medio de unas dinámicas demográficas y un cambio tecnológico que hacen que ni siquiera el concepto de empleo esté claro”.</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CD4853" w:rsidRDefault="00B0273B" w:rsidP="00B0273B">
      <w:pPr>
        <w:spacing w:after="0" w:line="240" w:lineRule="auto"/>
        <w:jc w:val="both"/>
        <w:textAlignment w:val="baseline"/>
        <w:rPr>
          <w:rFonts w:ascii="Times New Roman" w:hAnsi="Times New Roman" w:cs="Times New Roman"/>
          <w:color w:val="FF0000"/>
          <w:sz w:val="24"/>
          <w:szCs w:val="24"/>
          <w:u w:val="single"/>
        </w:rPr>
      </w:pPr>
      <w:r w:rsidRPr="00CD4853">
        <w:rPr>
          <w:rFonts w:ascii="Times New Roman" w:hAnsi="Times New Roman" w:cs="Times New Roman"/>
          <w:sz w:val="24"/>
          <w:szCs w:val="24"/>
          <w:u w:val="single"/>
        </w:rPr>
        <w:t>Según este experto en economía política internacional, si a la coyuntura general le sumamos que tenemos el mundo pendiente de las tensiones con China y Rusia, y que los EEUU de Trump están cada vez más aislados y son más imprevisibles... “Todo esto, lógicamente, suma factores que nos aumentan la incertidumbre sobre el futuro”,</w:t>
      </w:r>
      <w:r w:rsidRPr="00ED107B">
        <w:rPr>
          <w:rFonts w:ascii="Times New Roman" w:hAnsi="Times New Roman" w:cs="Times New Roman"/>
          <w:sz w:val="24"/>
          <w:szCs w:val="24"/>
        </w:rPr>
        <w:t xml:space="preserve"> apunta Steinberg. </w:t>
      </w:r>
      <w:r w:rsidRPr="00CD4853">
        <w:rPr>
          <w:rFonts w:ascii="Times New Roman" w:hAnsi="Times New Roman" w:cs="Times New Roman"/>
          <w:color w:val="FF0000"/>
          <w:sz w:val="24"/>
          <w:szCs w:val="24"/>
          <w:u w:val="single"/>
        </w:rPr>
        <w:t>“Y una de las respuestas posibles que ya estamos viviendo en Europa es la búsqueda de líderes protectores con ideas simplificadoras”, advierte Steinberg. Y añade: “Simplificar es creer que la culpa de lo que me pasa la tiene el diferente, sea un robot o un inmigrante. Se plasma en los partidos de extrema derecha y, en general, en la promesa de volver a la tribu como solución. De ahí que más gente pueda creerse que la solución a todos los males esté en los populismos o los nacionalismos”.</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CD4853" w:rsidRDefault="00B0273B" w:rsidP="00B0273B">
      <w:pPr>
        <w:spacing w:after="0" w:line="240" w:lineRule="auto"/>
        <w:jc w:val="both"/>
        <w:textAlignment w:val="baseline"/>
        <w:rPr>
          <w:rFonts w:ascii="Times New Roman" w:hAnsi="Times New Roman" w:cs="Times New Roman"/>
          <w:color w:val="FF0000"/>
          <w:sz w:val="24"/>
          <w:szCs w:val="24"/>
          <w:u w:val="single"/>
        </w:rPr>
      </w:pPr>
      <w:r w:rsidRPr="00CD4853">
        <w:rPr>
          <w:rFonts w:ascii="Times New Roman" w:hAnsi="Times New Roman" w:cs="Times New Roman"/>
          <w:color w:val="FF0000"/>
          <w:sz w:val="24"/>
          <w:szCs w:val="24"/>
          <w:u w:val="single"/>
        </w:rPr>
        <w:t>La incertidumbre no es necesariamente mala en sí misma. Holmes explica que, bien llevada, puede ayudarnos a ser más creativos. En su justa medida, la aversión a la ambigüedad también es necesaria, porque es lo que nos hace tomar decisiones. Si nuestro cerebro no se sintiera incómodo cuando no sabe qué hacer, nos quedaríamos constantemente petrificados. Pero necesitamos certezas y, por tanto, buscamos patrones que nos permitan hacernos una idea de control sobre lo que viene. Lo peligroso, por tanto, no es la incertidumbre, sino el exceso de ella. Así como la falta de costumbre y de preparación para gestionarla.</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CD4853" w:rsidRDefault="00B0273B" w:rsidP="00B0273B">
      <w:pPr>
        <w:spacing w:after="0" w:line="240" w:lineRule="auto"/>
        <w:jc w:val="both"/>
        <w:textAlignment w:val="baseline"/>
        <w:rPr>
          <w:rFonts w:ascii="Times New Roman" w:hAnsi="Times New Roman" w:cs="Times New Roman"/>
          <w:sz w:val="24"/>
          <w:szCs w:val="24"/>
          <w:u w:val="single"/>
        </w:rPr>
      </w:pPr>
      <w:r w:rsidRPr="00CD4853">
        <w:rPr>
          <w:rFonts w:ascii="Times New Roman" w:hAnsi="Times New Roman" w:cs="Times New Roman"/>
          <w:sz w:val="24"/>
          <w:szCs w:val="24"/>
          <w:u w:val="single"/>
        </w:rPr>
        <w:t>“Parte del aumento de las predisposiciones de la población a las actitudes autoritarias</w:t>
      </w:r>
      <w:r w:rsidR="00AA1361">
        <w:rPr>
          <w:rFonts w:ascii="Times New Roman" w:hAnsi="Times New Roman" w:cs="Times New Roman"/>
          <w:sz w:val="24"/>
          <w:szCs w:val="24"/>
          <w:u w:val="single"/>
        </w:rPr>
        <w:t xml:space="preserve"> tiene también que ver con los “shocks”</w:t>
      </w:r>
      <w:r w:rsidRPr="00CD4853">
        <w:rPr>
          <w:rFonts w:ascii="Times New Roman" w:hAnsi="Times New Roman" w:cs="Times New Roman"/>
          <w:sz w:val="24"/>
          <w:szCs w:val="24"/>
          <w:u w:val="single"/>
        </w:rPr>
        <w:t xml:space="preserve"> económicos que dañan las expectativas de futuro de la gente”, advierte Ferná</w:t>
      </w:r>
      <w:r w:rsidR="00AA1361">
        <w:rPr>
          <w:rFonts w:ascii="Times New Roman" w:hAnsi="Times New Roman" w:cs="Times New Roman"/>
          <w:sz w:val="24"/>
          <w:szCs w:val="24"/>
          <w:u w:val="single"/>
        </w:rPr>
        <w:t>ndez Albertos, autor del libro “Antisistemas”</w:t>
      </w:r>
      <w:r w:rsidRPr="00CD4853">
        <w:rPr>
          <w:rFonts w:ascii="Times New Roman" w:hAnsi="Times New Roman" w:cs="Times New Roman"/>
          <w:sz w:val="24"/>
          <w:szCs w:val="24"/>
          <w:u w:val="single"/>
        </w:rPr>
        <w:t xml:space="preserve">. “El deterioro de las </w:t>
      </w:r>
      <w:r w:rsidRPr="00CD4853">
        <w:rPr>
          <w:rFonts w:ascii="Times New Roman" w:hAnsi="Times New Roman" w:cs="Times New Roman"/>
          <w:sz w:val="24"/>
          <w:szCs w:val="24"/>
          <w:u w:val="single"/>
        </w:rPr>
        <w:lastRenderedPageBreak/>
        <w:t>instituciones, como los grandes partidos tradicionales o los sindicatos, también deja a la gente con la sensación de vulnerabilidad”. Estos organismos, a su manera, ayudaban en las crisis anteriores a saciar en parte esa “necesidad de cierre” porque aportaban a sus seguidores una visión del mundo estable.</w:t>
      </w:r>
    </w:p>
    <w:p w:rsidR="00B0273B" w:rsidRPr="00ED107B" w:rsidRDefault="00B0273B" w:rsidP="00B0273B">
      <w:pPr>
        <w:spacing w:after="0" w:line="240" w:lineRule="auto"/>
        <w:jc w:val="both"/>
        <w:textAlignment w:val="baseline"/>
        <w:rPr>
          <w:rFonts w:ascii="Times New Roman" w:hAnsi="Times New Roman" w:cs="Times New Roman"/>
          <w:sz w:val="24"/>
          <w:szCs w:val="24"/>
        </w:rPr>
      </w:pPr>
    </w:p>
    <w:p w:rsidR="00B0273B" w:rsidRPr="00CD4853" w:rsidRDefault="00B0273B" w:rsidP="00B0273B">
      <w:pPr>
        <w:spacing w:after="0" w:line="240" w:lineRule="auto"/>
        <w:jc w:val="both"/>
        <w:textAlignment w:val="baseline"/>
        <w:rPr>
          <w:rFonts w:ascii="Times New Roman" w:hAnsi="Times New Roman" w:cs="Times New Roman"/>
          <w:color w:val="FF0000"/>
          <w:sz w:val="24"/>
          <w:szCs w:val="24"/>
          <w:u w:val="single"/>
        </w:rPr>
      </w:pPr>
      <w:r w:rsidRPr="00CD4853">
        <w:rPr>
          <w:rFonts w:ascii="Times New Roman" w:hAnsi="Times New Roman" w:cs="Times New Roman"/>
          <w:color w:val="FF0000"/>
          <w:sz w:val="24"/>
          <w:szCs w:val="24"/>
          <w:u w:val="single"/>
        </w:rPr>
        <w:t>Sin embargo, a medida que los pilares del siglo XX se van debilitando, mucha gente se siente perdida a falta de una explicación sencilla de cómo funciona el mundo. “Se acrecienta la sensación de ir a la deriva ante los vaivenes de la sociedad, porque la gente se va quedando sin anclajes que simplifiquen el mundo y les ayuden a sentirse protegidos independientemente de cómo vaya todo”, afirma este politólogo doctorado en Harvard. Y añade: “Ese desconcierto da fuelle tanto a los partidos antisistema tanto de izquierdas como de derechas. Y si en Europa no logran, salvo excepciones, convertirse en partidos mayoritarios es porque Europa tiene más colchones que dan garantías de seguridad. En parte, por eso es más difícil que un Bolsonaro triunfe en Europa”.</w:t>
      </w:r>
    </w:p>
    <w:p w:rsidR="00B0273B" w:rsidRPr="00CD4853" w:rsidRDefault="00B0273B" w:rsidP="00B0273B">
      <w:pPr>
        <w:spacing w:after="0" w:line="240" w:lineRule="auto"/>
        <w:jc w:val="both"/>
        <w:textAlignment w:val="baseline"/>
        <w:rPr>
          <w:rFonts w:ascii="Times New Roman" w:hAnsi="Times New Roman" w:cs="Times New Roman"/>
          <w:color w:val="FF0000"/>
          <w:sz w:val="24"/>
          <w:szCs w:val="24"/>
          <w:u w:val="single"/>
        </w:rPr>
      </w:pPr>
    </w:p>
    <w:p w:rsidR="00B0273B" w:rsidRPr="004D4C56" w:rsidRDefault="00B0273B" w:rsidP="00B0273B">
      <w:pPr>
        <w:spacing w:after="0" w:line="240" w:lineRule="auto"/>
        <w:jc w:val="both"/>
        <w:textAlignment w:val="baseline"/>
        <w:rPr>
          <w:rFonts w:ascii="Times New Roman" w:hAnsi="Times New Roman" w:cs="Times New Roman"/>
          <w:color w:val="FF0000"/>
          <w:sz w:val="24"/>
          <w:szCs w:val="24"/>
          <w:u w:val="single"/>
        </w:rPr>
      </w:pPr>
      <w:r w:rsidRPr="004D4C56">
        <w:rPr>
          <w:rFonts w:ascii="Times New Roman" w:hAnsi="Times New Roman" w:cs="Times New Roman"/>
          <w:color w:val="FF0000"/>
          <w:sz w:val="24"/>
          <w:szCs w:val="24"/>
          <w:u w:val="single"/>
        </w:rPr>
        <w:t>Más realista que esperar a que la incertidumbre se calme, estos expertos aconsejan que nos vayamos acostumbrando a vivir en tiempos imprevisibles. “En Occidente, tenemos que hacernos a la idea de que se nos ha acabado el chollo de liderar el mundo y de ser los más ricos, que es algo que había pasado desde la Revolución industrial”, reflexiona Steinberg. “En EEUU y Europa, llevamos 200 años siendo más ricos y tecnológicamente superiores, pero el ciclo se nos va acabando y es difícil de digerir”. La incertidumbre es, por tanto, un problema muy occidental. “En China y en general en los emergentes, la gente es más optimista sobre el futuro”, advierte Steinberg. “Allí comparan su situación con respeto a sus padres y consideran que vivirán mejor, aquí no”.</w:t>
      </w:r>
    </w:p>
    <w:p w:rsidR="00B0273B" w:rsidRPr="004D4C56" w:rsidRDefault="00B0273B" w:rsidP="00B0273B">
      <w:pPr>
        <w:spacing w:after="0" w:line="240" w:lineRule="auto"/>
        <w:jc w:val="both"/>
        <w:textAlignment w:val="baseline"/>
        <w:rPr>
          <w:rFonts w:ascii="Times New Roman" w:hAnsi="Times New Roman" w:cs="Times New Roman"/>
          <w:color w:val="FF0000"/>
          <w:sz w:val="24"/>
          <w:szCs w:val="24"/>
          <w:u w:val="single"/>
        </w:rPr>
      </w:pPr>
    </w:p>
    <w:p w:rsidR="009703A5" w:rsidRDefault="00AA1361" w:rsidP="009703A5">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En “Nonsense”</w:t>
      </w:r>
      <w:r w:rsidR="00B0273B" w:rsidRPr="00ED107B">
        <w:rPr>
          <w:rFonts w:ascii="Times New Roman" w:hAnsi="Times New Roman" w:cs="Times New Roman"/>
          <w:sz w:val="24"/>
          <w:szCs w:val="24"/>
        </w:rPr>
        <w:t>, por si aporta algo de esperanza, Holmes afirma que consumir ficción puede ayudar a sobrellevar la incertidumbre. Si el mundo real nos inquieta, siempre nos quedará en la pantalla el consuelo de cuántas cosas podrían ir peor de lo que van. De cómo procesemos todos estos miedos que alimentan las distopías, dependerá</w:t>
      </w:r>
      <w:r>
        <w:rPr>
          <w:rFonts w:ascii="Times New Roman" w:hAnsi="Times New Roman" w:cs="Times New Roman"/>
          <w:sz w:val="24"/>
          <w:szCs w:val="24"/>
        </w:rPr>
        <w:t xml:space="preserve"> que futuros como la Europa de “Years and Years”</w:t>
      </w:r>
      <w:r w:rsidR="00B0273B" w:rsidRPr="00ED107B">
        <w:rPr>
          <w:rFonts w:ascii="Times New Roman" w:hAnsi="Times New Roman" w:cs="Times New Roman"/>
          <w:sz w:val="24"/>
          <w:szCs w:val="24"/>
        </w:rPr>
        <w:t xml:space="preserve"> sigan siendo imaginarios. Aunque Boris Johnson se haya hecho realidad.</w:t>
      </w:r>
    </w:p>
    <w:p w:rsidR="009703A5" w:rsidRDefault="009703A5" w:rsidP="009703A5">
      <w:pPr>
        <w:spacing w:after="0" w:line="240" w:lineRule="auto"/>
        <w:jc w:val="both"/>
        <w:textAlignment w:val="baseline"/>
        <w:rPr>
          <w:rFonts w:ascii="Times New Roman" w:hAnsi="Times New Roman" w:cs="Times New Roman"/>
          <w:sz w:val="24"/>
          <w:szCs w:val="24"/>
        </w:rPr>
      </w:pPr>
    </w:p>
    <w:p w:rsidR="00E60407" w:rsidRPr="000417B8" w:rsidRDefault="00E60407" w:rsidP="00E604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417B8">
        <w:rPr>
          <w:rFonts w:ascii="Times New Roman" w:hAnsi="Times New Roman" w:cs="Times New Roman"/>
          <w:sz w:val="24"/>
          <w:szCs w:val="24"/>
          <w:u w:val="single"/>
        </w:rPr>
        <w:t>Las consecuencias económicas de la automatización</w:t>
      </w:r>
      <w:r>
        <w:rPr>
          <w:rFonts w:ascii="Times New Roman" w:hAnsi="Times New Roman" w:cs="Times New Roman"/>
          <w:sz w:val="24"/>
          <w:szCs w:val="24"/>
        </w:rPr>
        <w:t xml:space="preserve"> (Project Syndicate - </w:t>
      </w:r>
      <w:r w:rsidRPr="000417B8">
        <w:rPr>
          <w:rFonts w:ascii="Times New Roman" w:hAnsi="Times New Roman" w:cs="Times New Roman"/>
          <w:b/>
          <w:sz w:val="24"/>
          <w:szCs w:val="24"/>
        </w:rPr>
        <w:t>18/9/19</w:t>
      </w:r>
      <w:r>
        <w:rPr>
          <w:rFonts w:ascii="Times New Roman" w:hAnsi="Times New Roman" w:cs="Times New Roman"/>
          <w:sz w:val="24"/>
          <w:szCs w:val="24"/>
        </w:rPr>
        <w:t>)</w:t>
      </w:r>
    </w:p>
    <w:p w:rsidR="00E60407" w:rsidRPr="00E54B7F" w:rsidRDefault="00AA1361" w:rsidP="00E6040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00E60407" w:rsidRPr="00E54B7F">
        <w:rPr>
          <w:rFonts w:ascii="Times New Roman" w:hAnsi="Times New Roman" w:cs="Times New Roman"/>
          <w:sz w:val="24"/>
          <w:szCs w:val="24"/>
          <w:u w:val="single"/>
        </w:rPr>
        <w:t>Mientras el Brexit se apodera de los titulares del Reino Unido y el extranjero, prosigue la marcha silenciosa de la automatización. La mayoría de los economistas ven esta tendencia como algo positivo: puede que la tecnología destruya empleos en el corto plazo, pero crea trabajos nuevos y mejores en el largo plazo.</w:t>
      </w:r>
    </w:p>
    <w:p w:rsidR="00E60407" w:rsidRPr="00E54B7F" w:rsidRDefault="00E60407" w:rsidP="00E60407">
      <w:pPr>
        <w:spacing w:line="240" w:lineRule="auto"/>
        <w:jc w:val="both"/>
        <w:rPr>
          <w:rFonts w:ascii="Times New Roman" w:hAnsi="Times New Roman" w:cs="Times New Roman"/>
          <w:sz w:val="24"/>
          <w:szCs w:val="24"/>
          <w:u w:val="single"/>
        </w:rPr>
      </w:pPr>
      <w:r w:rsidRPr="00E54B7F">
        <w:rPr>
          <w:rFonts w:ascii="Times New Roman" w:hAnsi="Times New Roman" w:cs="Times New Roman"/>
          <w:sz w:val="24"/>
          <w:szCs w:val="24"/>
          <w:u w:val="single"/>
        </w:rPr>
        <w:t>La destrucción de empleos es clara y directa: una empresa automatiza una cinta transportadora, la salida de pago de un supermercado o un sistema de entregas, mantiene un décimo de la fuerza de trabajo como supervisores y despide al resto. Es mucho menos obvio lo que sucede después de eso.</w:t>
      </w:r>
    </w:p>
    <w:p w:rsidR="00E60407" w:rsidRPr="00E54B7F" w:rsidRDefault="00E60407" w:rsidP="00E60407">
      <w:pPr>
        <w:spacing w:line="240" w:lineRule="auto"/>
        <w:jc w:val="both"/>
        <w:rPr>
          <w:rFonts w:ascii="Times New Roman" w:hAnsi="Times New Roman" w:cs="Times New Roman"/>
          <w:sz w:val="24"/>
          <w:szCs w:val="24"/>
          <w:u w:val="single"/>
        </w:rPr>
      </w:pPr>
      <w:r w:rsidRPr="00E54B7F">
        <w:rPr>
          <w:rFonts w:ascii="Times New Roman" w:hAnsi="Times New Roman" w:cs="Times New Roman"/>
          <w:sz w:val="24"/>
          <w:szCs w:val="24"/>
          <w:u w:val="single"/>
        </w:rPr>
        <w:t>El argumento económico estándar es que los trabajadores afectados por la automatización perderán inicialmente sus puestos, pero que la población como un todo se beneficiará después. Por ejemplo, el Nobel de economía Christopher Pissarides y Jacques Bughin del Instituto Global McKinsey plantean que la mayor productividad resultante de la automatización “implica un crecimiento económico más veloz, más consumo, mayor demanda laboral y, en consecuencia, una mayor creación de empleo”.</w:t>
      </w:r>
    </w:p>
    <w:p w:rsidR="00E60407" w:rsidRPr="000417B8" w:rsidRDefault="00E60407" w:rsidP="00E60407">
      <w:pPr>
        <w:spacing w:line="240" w:lineRule="auto"/>
        <w:jc w:val="both"/>
        <w:rPr>
          <w:rFonts w:ascii="Times New Roman" w:hAnsi="Times New Roman" w:cs="Times New Roman"/>
          <w:sz w:val="24"/>
          <w:szCs w:val="24"/>
        </w:rPr>
      </w:pPr>
      <w:r w:rsidRPr="00E54B7F">
        <w:rPr>
          <w:rFonts w:ascii="Times New Roman" w:hAnsi="Times New Roman" w:cs="Times New Roman"/>
          <w:sz w:val="24"/>
          <w:szCs w:val="24"/>
          <w:u w:val="single"/>
        </w:rPr>
        <w:lastRenderedPageBreak/>
        <w:t>Pero esta teoría de la compensación es demasiado abstracta</w:t>
      </w:r>
      <w:r w:rsidRPr="000417B8">
        <w:rPr>
          <w:rFonts w:ascii="Times New Roman" w:hAnsi="Times New Roman" w:cs="Times New Roman"/>
          <w:sz w:val="24"/>
          <w:szCs w:val="24"/>
        </w:rPr>
        <w:t>. Para comenzar, debemos distinguir entre innovaciones que “ahorran empleos” y las que “aumentan los empleos”. La innovación de productos, como la introducción de los coches o los teléfonos móviles, aumenta el nivel de empleo. En contraste, la innovación en los procesos o la introducción de mejores métodos de producción, ahorran empleos, ya que permiten que las firmas produzcan la misma cantidad de un bien o servicio actual con menos trabajadore</w:t>
      </w:r>
      <w:r>
        <w:rPr>
          <w:rFonts w:ascii="Times New Roman" w:hAnsi="Times New Roman" w:cs="Times New Roman"/>
          <w:sz w:val="24"/>
          <w:szCs w:val="24"/>
        </w:rPr>
        <w:t>s.</w:t>
      </w:r>
    </w:p>
    <w:p w:rsidR="00E60407" w:rsidRPr="00E54B7F" w:rsidRDefault="00E60407" w:rsidP="00E60407">
      <w:pPr>
        <w:spacing w:line="240" w:lineRule="auto"/>
        <w:jc w:val="both"/>
        <w:rPr>
          <w:rFonts w:ascii="Times New Roman" w:hAnsi="Times New Roman" w:cs="Times New Roman"/>
          <w:color w:val="FF0000"/>
          <w:sz w:val="24"/>
          <w:szCs w:val="24"/>
          <w:u w:val="single"/>
        </w:rPr>
      </w:pPr>
      <w:r w:rsidRPr="00E54B7F">
        <w:rPr>
          <w:rFonts w:ascii="Times New Roman" w:hAnsi="Times New Roman" w:cs="Times New Roman"/>
          <w:sz w:val="24"/>
          <w:szCs w:val="24"/>
          <w:u w:val="single"/>
        </w:rPr>
        <w:t>Es verdad que los nuevos empleos que se crean mediante la innovación de productos puede verse afectada por un “efecto de sustitución”, a medida que el éxito del nuevo producto haga que la fuerza laboral empleada en producir el antiguo se vuelva superflua</w:t>
      </w:r>
      <w:r w:rsidRPr="000417B8">
        <w:rPr>
          <w:rFonts w:ascii="Times New Roman" w:hAnsi="Times New Roman" w:cs="Times New Roman"/>
          <w:sz w:val="24"/>
          <w:szCs w:val="24"/>
        </w:rPr>
        <w:t xml:space="preserve">. </w:t>
      </w:r>
      <w:r w:rsidRPr="00E54B7F">
        <w:rPr>
          <w:rFonts w:ascii="Times New Roman" w:hAnsi="Times New Roman" w:cs="Times New Roman"/>
          <w:color w:val="FF0000"/>
          <w:sz w:val="24"/>
          <w:szCs w:val="24"/>
          <w:u w:val="single"/>
        </w:rPr>
        <w:t>Pero el mayor reto de todos lo representa la innovación de procesos, ya que su único efecto es desplazar trabajos, no crear otros nuevos. Donde la innovación de procesos predomina, solamente cabe recurrir a mecanismos compensatorios para ayudar a prevenir el alza del desempleo, o lo que el economista británico David Ricardo llama la “redundancia” de la población.</w:t>
      </w:r>
    </w:p>
    <w:p w:rsidR="00E60407" w:rsidRPr="000417B8" w:rsidRDefault="00E60407" w:rsidP="00E60407">
      <w:pPr>
        <w:spacing w:line="240" w:lineRule="auto"/>
        <w:jc w:val="both"/>
        <w:rPr>
          <w:rFonts w:ascii="Times New Roman" w:hAnsi="Times New Roman" w:cs="Times New Roman"/>
          <w:sz w:val="24"/>
          <w:szCs w:val="24"/>
        </w:rPr>
      </w:pPr>
      <w:r w:rsidRPr="000417B8">
        <w:rPr>
          <w:rFonts w:ascii="Times New Roman" w:hAnsi="Times New Roman" w:cs="Times New Roman"/>
          <w:sz w:val="24"/>
          <w:szCs w:val="24"/>
        </w:rPr>
        <w:t>Existen varios mecanismos de este tipo. Primero, el aumento de las utilidades lleva a invertir más en nuevas tecnologías, y por eso salen nuevos productos al mercado. Además, la competencia entre firmas producirá una reducción general de los precios, elevando la demanda de productos y, en consecuencia, el empleo. Finalmente, la reducción de los salarios causada por el desempleo tecnológico inicial aumentará la demanda de empleo e inducirá a adoptar métodos de producción que utilicen más trabajo, con lo que se absorberán los trabajadores en el paro.</w:t>
      </w:r>
    </w:p>
    <w:p w:rsidR="00E60407" w:rsidRPr="00E54B7F" w:rsidRDefault="00E60407" w:rsidP="00E60407">
      <w:pPr>
        <w:spacing w:line="240" w:lineRule="auto"/>
        <w:jc w:val="both"/>
        <w:rPr>
          <w:rFonts w:ascii="Times New Roman" w:hAnsi="Times New Roman" w:cs="Times New Roman"/>
          <w:color w:val="FF0000"/>
          <w:sz w:val="24"/>
          <w:szCs w:val="24"/>
          <w:u w:val="single"/>
        </w:rPr>
      </w:pPr>
      <w:r w:rsidRPr="00E54B7F">
        <w:rPr>
          <w:rFonts w:ascii="Times New Roman" w:hAnsi="Times New Roman" w:cs="Times New Roman"/>
          <w:color w:val="FF0000"/>
          <w:sz w:val="24"/>
          <w:szCs w:val="24"/>
          <w:u w:val="single"/>
        </w:rPr>
        <w:t>La rapidez con que funcionen estos mecanismos de compensación dependerá de la fluidez con que el capital y el trabajo se muevan entre ocupaciones y regiones. La introducción de tecnologías que ahorran trabajo causará una caída en los precios, pero también reducirá el consumo de los trabajadores que estén en el paro. Se trata entonces de qué efecto es más veloz. Los economistas keynesianos argumentan que la baja de la demanda de productos a causa del desempleo ocurrirá antes y, por ende, prevalecerá sobre la reducción de los precios causada por la automatización. Esto causará un mayor aumento del desempleo, al menos en el corto plazo.</w:t>
      </w:r>
    </w:p>
    <w:p w:rsidR="00E60407" w:rsidRPr="00E54B7F" w:rsidRDefault="00E60407" w:rsidP="00E60407">
      <w:pPr>
        <w:spacing w:line="240" w:lineRule="auto"/>
        <w:jc w:val="both"/>
        <w:rPr>
          <w:rFonts w:ascii="Times New Roman" w:hAnsi="Times New Roman" w:cs="Times New Roman"/>
          <w:color w:val="FF0000"/>
          <w:sz w:val="24"/>
          <w:szCs w:val="24"/>
          <w:u w:val="single"/>
        </w:rPr>
      </w:pPr>
      <w:r w:rsidRPr="00E54B7F">
        <w:rPr>
          <w:rFonts w:ascii="Times New Roman" w:hAnsi="Times New Roman" w:cs="Times New Roman"/>
          <w:color w:val="FF0000"/>
          <w:sz w:val="24"/>
          <w:szCs w:val="24"/>
          <w:u w:val="single"/>
        </w:rPr>
        <w:t>Es más, incluso si esas pérdidas laborales fueran solo un fenómeno de corto plazo, el efecto acumulativo de una serie de innovaciones de ahorro de trabajo creará con el tiempo desempleo de largo plazo. Para agravar las cosas, se supone que en un ambiente general de prevalencia de la competencia se da un mecanismo eficaz de ajuste de los precios, pero en un mercado oligopólico una firma puede usar sus ahorros de costes para elevar sus utilidades más que para reducir los precios.</w:t>
      </w:r>
    </w:p>
    <w:p w:rsidR="00E60407" w:rsidRPr="00E54B7F" w:rsidRDefault="00E60407" w:rsidP="00E60407">
      <w:pPr>
        <w:spacing w:line="240" w:lineRule="auto"/>
        <w:jc w:val="both"/>
        <w:rPr>
          <w:rFonts w:ascii="Times New Roman" w:hAnsi="Times New Roman" w:cs="Times New Roman"/>
          <w:b/>
          <w:color w:val="FF0000"/>
          <w:sz w:val="24"/>
          <w:szCs w:val="24"/>
          <w:u w:val="single"/>
        </w:rPr>
      </w:pPr>
      <w:r w:rsidRPr="00E54B7F">
        <w:rPr>
          <w:rFonts w:ascii="Times New Roman" w:hAnsi="Times New Roman" w:cs="Times New Roman"/>
          <w:b/>
          <w:color w:val="FF0000"/>
          <w:sz w:val="24"/>
          <w:szCs w:val="24"/>
          <w:u w:val="single"/>
        </w:rPr>
        <w:t>Consideraciones como estas sustentan la visión contemporánea de que los beneficios de la automatización son de largo plazo, con un aumento de la “redundancia” durante un “periodo de transición”. Pero cuando esta transición puede durar décadas, como reconoce un informe reciente del Instituto Global McKinsey, difícilmente sorprenda en que los trabajadores se sientan escépticos de todos estos argumentos compensatorios.</w:t>
      </w:r>
    </w:p>
    <w:p w:rsidR="00E60407" w:rsidRPr="00E54B7F" w:rsidRDefault="00E60407" w:rsidP="00E60407">
      <w:pPr>
        <w:spacing w:line="240" w:lineRule="auto"/>
        <w:jc w:val="both"/>
        <w:rPr>
          <w:rFonts w:ascii="Times New Roman" w:hAnsi="Times New Roman" w:cs="Times New Roman"/>
          <w:sz w:val="24"/>
          <w:szCs w:val="24"/>
          <w:u w:val="single"/>
        </w:rPr>
      </w:pPr>
      <w:r w:rsidRPr="00E54B7F">
        <w:rPr>
          <w:rFonts w:ascii="Times New Roman" w:hAnsi="Times New Roman" w:cs="Times New Roman"/>
          <w:sz w:val="24"/>
          <w:szCs w:val="24"/>
          <w:u w:val="single"/>
        </w:rPr>
        <w:t>Karl Marx planteaba que no existían estos procesos compensatorios, fuesen de corto o largo plazo. La historia que predijo no tenía un final feliz para los trabajadores, al menos no en el sistema capitalista.</w:t>
      </w:r>
    </w:p>
    <w:p w:rsidR="00E60407" w:rsidRPr="000417B8" w:rsidRDefault="00E60407" w:rsidP="00E60407">
      <w:pPr>
        <w:spacing w:line="240" w:lineRule="auto"/>
        <w:jc w:val="both"/>
        <w:rPr>
          <w:rFonts w:ascii="Times New Roman" w:hAnsi="Times New Roman" w:cs="Times New Roman"/>
          <w:sz w:val="24"/>
          <w:szCs w:val="24"/>
        </w:rPr>
      </w:pPr>
      <w:r w:rsidRPr="00E54B7F">
        <w:rPr>
          <w:rFonts w:ascii="Times New Roman" w:hAnsi="Times New Roman" w:cs="Times New Roman"/>
          <w:sz w:val="24"/>
          <w:szCs w:val="24"/>
          <w:u w:val="single"/>
        </w:rPr>
        <w:t>Marx señaló que las fuerzas de la competencia obligan a las firmas individuales a invertir la mayor parte posible de sus beneficios en equipos que ahorren trabajo y, por ende, reduzcan costes. Pero la mayor automatización no beneficia a los capitalistas como clase</w:t>
      </w:r>
      <w:r w:rsidRPr="000417B8">
        <w:rPr>
          <w:rFonts w:ascii="Times New Roman" w:hAnsi="Times New Roman" w:cs="Times New Roman"/>
          <w:sz w:val="24"/>
          <w:szCs w:val="24"/>
        </w:rPr>
        <w:t xml:space="preserve">. Es cierto que </w:t>
      </w:r>
      <w:r w:rsidRPr="000417B8">
        <w:rPr>
          <w:rFonts w:ascii="Times New Roman" w:hAnsi="Times New Roman" w:cs="Times New Roman"/>
          <w:sz w:val="24"/>
          <w:szCs w:val="24"/>
        </w:rPr>
        <w:lastRenderedPageBreak/>
        <w:t>el primero en actuar disfruta de una ventaja temporal al “apresurarse a aprovechar las curvas a la baja de los costes promedio”, como lo expresa Joseph Schumpeter en su Historia del Análisis Económico, aniquilando de paso a las empresas más débiles. Pero la competencia también propaga la nueva tecnología y elimina con rapidez cualesquiera “súper util</w:t>
      </w:r>
      <w:r>
        <w:rPr>
          <w:rFonts w:ascii="Times New Roman" w:hAnsi="Times New Roman" w:cs="Times New Roman"/>
          <w:sz w:val="24"/>
          <w:szCs w:val="24"/>
        </w:rPr>
        <w:t>idades” temporales haya creado.</w:t>
      </w:r>
    </w:p>
    <w:p w:rsidR="00E60407" w:rsidRPr="00E54B7F" w:rsidRDefault="00E60407" w:rsidP="00E60407">
      <w:pPr>
        <w:spacing w:line="240" w:lineRule="auto"/>
        <w:jc w:val="both"/>
        <w:rPr>
          <w:rFonts w:ascii="Times New Roman" w:hAnsi="Times New Roman" w:cs="Times New Roman"/>
          <w:sz w:val="24"/>
          <w:szCs w:val="24"/>
          <w:u w:val="single"/>
        </w:rPr>
      </w:pPr>
      <w:r w:rsidRPr="00E54B7F">
        <w:rPr>
          <w:rFonts w:ascii="Times New Roman" w:hAnsi="Times New Roman" w:cs="Times New Roman"/>
          <w:sz w:val="24"/>
          <w:szCs w:val="24"/>
          <w:u w:val="single"/>
        </w:rPr>
        <w:t>Para recuperar la tasa de utilidades, argumenta Marx, se requiere un creciente “ejército de reserva de desempleados”. Así, en sus palabras, la mecanización “lanzó a los trabajadores a la calle”. Para Marx, la naturaleza del desempleo es esencialmente tecnológica. Y aunque el ejército de reserva pueda ser absorbido de manera temporal por arranques de alta prosperidad, su persistencia lleva a una creciente pauperización en el largo plazo.</w:t>
      </w:r>
    </w:p>
    <w:p w:rsidR="00E60407" w:rsidRPr="00E54B7F" w:rsidRDefault="00E60407" w:rsidP="00E60407">
      <w:pPr>
        <w:spacing w:line="240" w:lineRule="auto"/>
        <w:jc w:val="both"/>
        <w:rPr>
          <w:rFonts w:ascii="Times New Roman" w:hAnsi="Times New Roman" w:cs="Times New Roman"/>
          <w:color w:val="FF0000"/>
          <w:sz w:val="24"/>
          <w:szCs w:val="24"/>
          <w:u w:val="single"/>
        </w:rPr>
      </w:pPr>
      <w:r w:rsidRPr="00E54B7F">
        <w:rPr>
          <w:rFonts w:ascii="Times New Roman" w:hAnsi="Times New Roman" w:cs="Times New Roman"/>
          <w:color w:val="FF0000"/>
          <w:sz w:val="24"/>
          <w:szCs w:val="24"/>
          <w:u w:val="single"/>
        </w:rPr>
        <w:t>En consecuencia, para Marx la secuencia de eventos en el largo plazo era exactamente la opuesta a la opinión ortodoxa: la mecanización da origen a una prosperidad febril en el corto plazo, pero al coste de una degradación en el largo plazo.</w:t>
      </w:r>
    </w:p>
    <w:p w:rsidR="00E60407" w:rsidRPr="000417B8" w:rsidRDefault="00E60407" w:rsidP="00E60407">
      <w:pPr>
        <w:spacing w:line="240" w:lineRule="auto"/>
        <w:jc w:val="both"/>
        <w:rPr>
          <w:rFonts w:ascii="Times New Roman" w:hAnsi="Times New Roman" w:cs="Times New Roman"/>
          <w:sz w:val="24"/>
          <w:szCs w:val="24"/>
        </w:rPr>
      </w:pPr>
      <w:r w:rsidRPr="000417B8">
        <w:rPr>
          <w:rFonts w:ascii="Times New Roman" w:hAnsi="Times New Roman" w:cs="Times New Roman"/>
          <w:sz w:val="24"/>
          <w:szCs w:val="24"/>
        </w:rPr>
        <w:t>Desde hace mucho, los efectos distribucionales del cambio tecnológico han tenido protagonismo en los debates entre economistas. En su libro de 1932 La Teoría de los salarios, John Hicks desarrolló la idea de la innovación inducida. Planteó que los salarios más altos, al amenazar las tasas de utilidades, impulsarían a las empresas a economizar en el uso del trabajo, debido a que este factor era ahora más costoso. En consecuencia, la automatización de la economía no es sencillamente el resultado de un creciente poder de computación, como diría la Ley de Moore, sino que depende de los cambios en los costes relativos entre el trabajo y el capital.</w:t>
      </w:r>
    </w:p>
    <w:p w:rsidR="00E60407" w:rsidRPr="009D3F61" w:rsidRDefault="00E60407" w:rsidP="00E60407">
      <w:pPr>
        <w:spacing w:line="240" w:lineRule="auto"/>
        <w:jc w:val="both"/>
        <w:rPr>
          <w:rFonts w:ascii="Times New Roman" w:hAnsi="Times New Roman" w:cs="Times New Roman"/>
          <w:color w:val="FF0000"/>
          <w:sz w:val="24"/>
          <w:szCs w:val="24"/>
          <w:u w:val="single"/>
        </w:rPr>
      </w:pPr>
      <w:r w:rsidRPr="009D3F61">
        <w:rPr>
          <w:rFonts w:ascii="Times New Roman" w:hAnsi="Times New Roman" w:cs="Times New Roman"/>
          <w:color w:val="FF0000"/>
          <w:sz w:val="24"/>
          <w:szCs w:val="24"/>
          <w:u w:val="single"/>
        </w:rPr>
        <w:t>Son argumentos técnicamente complejos, pero es evidente que la teoría económica no ofrece una respuesta clara acerca del efecto de largo plazo de los efectos del progreso tecnológico sobre el empleo. La mejor conclusión a la que podemos llegar es que el impacto dependerá del equilibrio entre la innovación de procesos y la de productos, y de factores como el estado de la demanda, el grado de competencia en el mercado y el equilibrio de poder entre capital y trabajo.</w:t>
      </w:r>
    </w:p>
    <w:p w:rsidR="00E60407" w:rsidRPr="009D3F61" w:rsidRDefault="00E60407" w:rsidP="00E60407">
      <w:pPr>
        <w:spacing w:line="240" w:lineRule="auto"/>
        <w:jc w:val="both"/>
        <w:rPr>
          <w:rFonts w:ascii="Times New Roman" w:hAnsi="Times New Roman" w:cs="Times New Roman"/>
          <w:b/>
          <w:color w:val="FF0000"/>
          <w:sz w:val="24"/>
          <w:szCs w:val="24"/>
          <w:u w:val="single"/>
        </w:rPr>
      </w:pPr>
      <w:r w:rsidRPr="009D3F61">
        <w:rPr>
          <w:rFonts w:ascii="Times New Roman" w:hAnsi="Times New Roman" w:cs="Times New Roman"/>
          <w:b/>
          <w:color w:val="FF0000"/>
          <w:sz w:val="24"/>
          <w:szCs w:val="24"/>
          <w:u w:val="single"/>
        </w:rPr>
        <w:t>Todas estas son áreas importantes en que los gobiernos pueden intervenir. Incluso si tradicionalmente la automatización ha sido beneficiosa en el largo plazo, las autoridades no deberían hacer oídos sordos a sus efectos perturbadores en el corto plazo. Después de todo, es allí donde ocurren los grandes horrores de la historia.</w:t>
      </w:r>
    </w:p>
    <w:p w:rsidR="00E60407" w:rsidRDefault="00E60407" w:rsidP="00E6040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0417B8">
        <w:rPr>
          <w:rFonts w:ascii="Times New Roman" w:hAnsi="Times New Roman" w:cs="Times New Roman"/>
          <w:sz w:val="24"/>
          <w:szCs w:val="24"/>
          <w:lang w:val="en-US"/>
        </w:rPr>
        <w:t>Robert Skidelsky, a member of the British House of Lords, is Professor Emeritus of Political Economy at Warwick University. The author of a three-volume biography of John Maynard Keynes, he began his political career in the Labour party, became the Conservative Party’s spokesman for Treasury affairs in the House of Lords, and was eventually forced out of the Conservative Party for his opposition to NATO’s</w:t>
      </w:r>
      <w:r>
        <w:rPr>
          <w:rFonts w:ascii="Times New Roman" w:hAnsi="Times New Roman" w:cs="Times New Roman"/>
          <w:sz w:val="24"/>
          <w:szCs w:val="24"/>
          <w:lang w:val="en-US"/>
        </w:rPr>
        <w:t xml:space="preserve"> intervention in Kosovo in 1999)</w:t>
      </w:r>
    </w:p>
    <w:p w:rsidR="009703A5" w:rsidRDefault="009703A5" w:rsidP="009703A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878D3">
        <w:rPr>
          <w:rFonts w:ascii="Times New Roman" w:hAnsi="Times New Roman" w:cs="Times New Roman"/>
          <w:sz w:val="24"/>
          <w:szCs w:val="24"/>
          <w:u w:val="single"/>
        </w:rPr>
        <w:t>El estímulo fiscal necesario para la UE</w:t>
      </w:r>
      <w:r>
        <w:rPr>
          <w:rFonts w:ascii="Times New Roman" w:hAnsi="Times New Roman" w:cs="Times New Roman"/>
          <w:sz w:val="24"/>
          <w:szCs w:val="24"/>
        </w:rPr>
        <w:t xml:space="preserve"> (El Economista - </w:t>
      </w:r>
      <w:r>
        <w:rPr>
          <w:rFonts w:ascii="Times New Roman" w:hAnsi="Times New Roman" w:cs="Times New Roman"/>
          <w:b/>
          <w:sz w:val="24"/>
          <w:szCs w:val="24"/>
        </w:rPr>
        <w:t>20</w:t>
      </w:r>
      <w:r w:rsidRPr="00C878D3">
        <w:rPr>
          <w:rFonts w:ascii="Times New Roman" w:hAnsi="Times New Roman" w:cs="Times New Roman"/>
          <w:b/>
          <w:sz w:val="24"/>
          <w:szCs w:val="24"/>
        </w:rPr>
        <w:t>/9/19</w:t>
      </w:r>
      <w:r>
        <w:rPr>
          <w:rFonts w:ascii="Times New Roman" w:hAnsi="Times New Roman" w:cs="Times New Roman"/>
          <w:sz w:val="24"/>
          <w:szCs w:val="24"/>
        </w:rPr>
        <w:t>)</w:t>
      </w:r>
    </w:p>
    <w:p w:rsidR="009703A5" w:rsidRPr="00C878D3" w:rsidRDefault="009703A5" w:rsidP="009703A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878D3">
        <w:rPr>
          <w:rFonts w:ascii="Times New Roman" w:hAnsi="Times New Roman" w:cs="Times New Roman"/>
          <w:sz w:val="24"/>
          <w:szCs w:val="24"/>
        </w:rPr>
        <w:t>Jim O'Neill</w:t>
      </w:r>
      <w:r>
        <w:rPr>
          <w:rFonts w:ascii="Times New Roman" w:hAnsi="Times New Roman" w:cs="Times New Roman"/>
          <w:sz w:val="24"/>
          <w:szCs w:val="24"/>
        </w:rPr>
        <w:t>)</w:t>
      </w:r>
    </w:p>
    <w:p w:rsidR="009703A5" w:rsidRPr="002E622E" w:rsidRDefault="009703A5" w:rsidP="009703A5">
      <w:pPr>
        <w:spacing w:line="240" w:lineRule="auto"/>
        <w:jc w:val="both"/>
        <w:rPr>
          <w:rFonts w:ascii="Times New Roman" w:hAnsi="Times New Roman" w:cs="Times New Roman"/>
          <w:sz w:val="24"/>
          <w:szCs w:val="24"/>
          <w:u w:val="single"/>
        </w:rPr>
      </w:pPr>
      <w:r w:rsidRPr="002E622E">
        <w:rPr>
          <w:rFonts w:ascii="Times New Roman" w:hAnsi="Times New Roman" w:cs="Times New Roman"/>
          <w:sz w:val="24"/>
          <w:szCs w:val="24"/>
          <w:u w:val="single"/>
        </w:rPr>
        <w:t>Al entrar en el último trimestre de 2019 (y de la década), los indicadores cíclicos apuntan a una ralentización de la economía mundial en medio de retos estructurales de gran envergadura. Hay un montón de temas que abordar, ya sea el cambio climático, el envejecimiento de la sociedad, la tensión de los sistemas de pensiones y de salud, los niveles de endeudamiento masivo y una guerra comercial en curso.</w:t>
      </w:r>
    </w:p>
    <w:p w:rsidR="009703A5" w:rsidRPr="002E622E" w:rsidRDefault="009703A5" w:rsidP="009703A5">
      <w:pPr>
        <w:spacing w:line="240" w:lineRule="auto"/>
        <w:jc w:val="both"/>
        <w:rPr>
          <w:rFonts w:ascii="Times New Roman" w:hAnsi="Times New Roman" w:cs="Times New Roman"/>
          <w:color w:val="FF0000"/>
          <w:sz w:val="24"/>
          <w:szCs w:val="24"/>
          <w:u w:val="single"/>
        </w:rPr>
      </w:pPr>
      <w:r w:rsidRPr="002E622E">
        <w:rPr>
          <w:rFonts w:ascii="Times New Roman" w:hAnsi="Times New Roman" w:cs="Times New Roman"/>
          <w:color w:val="FF0000"/>
          <w:sz w:val="24"/>
          <w:szCs w:val="24"/>
          <w:u w:val="single"/>
        </w:rPr>
        <w:lastRenderedPageBreak/>
        <w:t>Pero como dice el viejo refrán, uno nunca debe dejar que una crisis se desperdicie. Entre los países que sienten los peores efectos de las tensiones comerciales mundiales se encuentra Alemania, donde los responsables de la formulación de políticas finalmente se están dando cuenta de la evidente necesidad de un estímulo fiscal basado en la inversión y destinado a aumentar la productividad. Del mismo modo, bajo todo el caos causado por Brexit, Reino Unido también estudia sus opciones de estímulo fiscal. También lo es China, que busca medidas para reducir su vulnerabilidad a la interrupción del comercio y de las cadenas de suministro.</w:t>
      </w:r>
    </w:p>
    <w:p w:rsidR="009703A5" w:rsidRPr="002E622E" w:rsidRDefault="009703A5" w:rsidP="009703A5">
      <w:pPr>
        <w:spacing w:line="240" w:lineRule="auto"/>
        <w:jc w:val="both"/>
        <w:rPr>
          <w:rFonts w:ascii="Times New Roman" w:hAnsi="Times New Roman" w:cs="Times New Roman"/>
          <w:color w:val="FF0000"/>
          <w:sz w:val="24"/>
          <w:szCs w:val="24"/>
          <w:u w:val="single"/>
        </w:rPr>
      </w:pPr>
      <w:r w:rsidRPr="00C878D3">
        <w:rPr>
          <w:rFonts w:ascii="Times New Roman" w:hAnsi="Times New Roman" w:cs="Times New Roman"/>
          <w:sz w:val="24"/>
          <w:szCs w:val="24"/>
        </w:rPr>
        <w:t xml:space="preserve">Los responsables de la formulación de políticas de todo el mundo se están dando cuenta de que no es prudente ni factible depender constantemente de los bancos centrales para obtener apoyo en materia de política económica. </w:t>
      </w:r>
      <w:r w:rsidRPr="002E622E">
        <w:rPr>
          <w:rFonts w:ascii="Times New Roman" w:hAnsi="Times New Roman" w:cs="Times New Roman"/>
          <w:color w:val="FF0000"/>
          <w:sz w:val="24"/>
          <w:szCs w:val="24"/>
          <w:u w:val="single"/>
        </w:rPr>
        <w:t>En el entorno actual de tipos de interés bajos, y en algunos casos negativos, es más evidente la necesidad de trasladar la carga de la política monetaria a la fiscal.</w:t>
      </w:r>
    </w:p>
    <w:p w:rsidR="009703A5" w:rsidRPr="002E622E" w:rsidRDefault="009703A5" w:rsidP="009703A5">
      <w:pPr>
        <w:spacing w:line="240" w:lineRule="auto"/>
        <w:jc w:val="both"/>
        <w:rPr>
          <w:rFonts w:ascii="Times New Roman" w:hAnsi="Times New Roman" w:cs="Times New Roman"/>
          <w:sz w:val="24"/>
          <w:szCs w:val="24"/>
          <w:u w:val="single"/>
        </w:rPr>
      </w:pPr>
      <w:r w:rsidRPr="00C878D3">
        <w:rPr>
          <w:rFonts w:ascii="Times New Roman" w:hAnsi="Times New Roman" w:cs="Times New Roman"/>
          <w:sz w:val="24"/>
          <w:szCs w:val="24"/>
        </w:rPr>
        <w:t xml:space="preserve">A principios de este mes, el BCE decidió recortar los tipos de interés y llevar a cabo otra ronda de medidas de alivio cuantitativo (quantitative easing, QE), una medida que pareció acelerar la fuerte caída de los mercados mundiales de bonos. Sin embargo, al anunciar la decisión, </w:t>
      </w:r>
      <w:r w:rsidRPr="002E622E">
        <w:rPr>
          <w:rFonts w:ascii="Times New Roman" w:hAnsi="Times New Roman" w:cs="Times New Roman"/>
          <w:sz w:val="24"/>
          <w:szCs w:val="24"/>
          <w:u w:val="single"/>
        </w:rPr>
        <w:t>el presidente del BCE, Mario Draghi, se hizo eco de un creciente grupo de expertos que ahora piden más medidas de política fiscal.</w:t>
      </w:r>
    </w:p>
    <w:p w:rsidR="009703A5" w:rsidRPr="002E622E" w:rsidRDefault="009703A5" w:rsidP="009703A5">
      <w:pPr>
        <w:spacing w:line="240" w:lineRule="auto"/>
        <w:jc w:val="both"/>
        <w:rPr>
          <w:rFonts w:ascii="Times New Roman" w:hAnsi="Times New Roman" w:cs="Times New Roman"/>
          <w:color w:val="FF0000"/>
          <w:sz w:val="24"/>
          <w:szCs w:val="24"/>
          <w:u w:val="single"/>
        </w:rPr>
      </w:pPr>
      <w:r w:rsidRPr="002E622E">
        <w:rPr>
          <w:rFonts w:ascii="Times New Roman" w:hAnsi="Times New Roman" w:cs="Times New Roman"/>
          <w:sz w:val="24"/>
          <w:szCs w:val="24"/>
          <w:u w:val="single"/>
        </w:rPr>
        <w:t>Hizo bien en hacerlo</w:t>
      </w:r>
      <w:r w:rsidRPr="00C878D3">
        <w:rPr>
          <w:rFonts w:ascii="Times New Roman" w:hAnsi="Times New Roman" w:cs="Times New Roman"/>
          <w:sz w:val="24"/>
          <w:szCs w:val="24"/>
        </w:rPr>
        <w:t xml:space="preserve">. </w:t>
      </w:r>
      <w:r w:rsidRPr="002E622E">
        <w:rPr>
          <w:rFonts w:ascii="Times New Roman" w:hAnsi="Times New Roman" w:cs="Times New Roman"/>
          <w:color w:val="FF0000"/>
          <w:sz w:val="24"/>
          <w:szCs w:val="24"/>
          <w:u w:val="single"/>
        </w:rPr>
        <w:t>Sin embargo, uno sólo puede preguntarse qué beneficio espera obtener de una mayor relajación, dado que los tipos de interés ultra-bajos no han logrado impulsar la inversión o el gasto de los consumidores. En cuanto a la expansión cuantitativa, la vuelta a las políticas monetarias no convencionales que se iniciaron después de la crisis de 2008 no hará más que agravar los problemas sociales y políticos que ya afligen a las democracias occidentales. Después de todo, es sabido que los beneficios de estas políticas recaen principalmente en los hogares ricos que ya cuentan con importantes activos financieros.</w:t>
      </w:r>
    </w:p>
    <w:p w:rsidR="009703A5" w:rsidRPr="00C878D3" w:rsidRDefault="009703A5" w:rsidP="009703A5">
      <w:pPr>
        <w:spacing w:line="240" w:lineRule="auto"/>
        <w:jc w:val="both"/>
        <w:rPr>
          <w:rFonts w:ascii="Times New Roman" w:hAnsi="Times New Roman" w:cs="Times New Roman"/>
          <w:sz w:val="24"/>
          <w:szCs w:val="24"/>
        </w:rPr>
      </w:pPr>
      <w:r w:rsidRPr="0064730F">
        <w:rPr>
          <w:rFonts w:ascii="Times New Roman" w:hAnsi="Times New Roman" w:cs="Times New Roman"/>
          <w:sz w:val="24"/>
          <w:szCs w:val="24"/>
          <w:u w:val="single"/>
        </w:rPr>
        <w:t>Mientras tanto, los datos mensuales de China ofrecen más pruebas de una desaceleración en ese país, con una disminución de las exportaciones que sugiere claramente que la guerra comercial con Estados Unidos se cobra su precio</w:t>
      </w:r>
      <w:r w:rsidRPr="00C878D3">
        <w:rPr>
          <w:rFonts w:ascii="Times New Roman" w:hAnsi="Times New Roman" w:cs="Times New Roman"/>
          <w:sz w:val="24"/>
          <w:szCs w:val="24"/>
        </w:rPr>
        <w:t>. Tal vez por esta razón, los responsables políticos chinos han relajado su política de desalentar el apalancamiento interno (la prioridad del año pasado), con el fin de centra</w:t>
      </w:r>
      <w:r>
        <w:rPr>
          <w:rFonts w:ascii="Times New Roman" w:hAnsi="Times New Roman" w:cs="Times New Roman"/>
          <w:sz w:val="24"/>
          <w:szCs w:val="24"/>
        </w:rPr>
        <w:t>rse en el apoyo al crecimiento.</w:t>
      </w:r>
    </w:p>
    <w:p w:rsidR="009703A5" w:rsidRPr="0064730F" w:rsidRDefault="009703A5" w:rsidP="009703A5">
      <w:pPr>
        <w:spacing w:line="240" w:lineRule="auto"/>
        <w:jc w:val="both"/>
        <w:rPr>
          <w:rFonts w:ascii="Times New Roman" w:hAnsi="Times New Roman" w:cs="Times New Roman"/>
          <w:sz w:val="24"/>
          <w:szCs w:val="24"/>
          <w:u w:val="single"/>
        </w:rPr>
      </w:pPr>
      <w:r w:rsidRPr="0064730F">
        <w:rPr>
          <w:rFonts w:ascii="Times New Roman" w:hAnsi="Times New Roman" w:cs="Times New Roman"/>
          <w:sz w:val="24"/>
          <w:szCs w:val="24"/>
          <w:u w:val="single"/>
        </w:rPr>
        <w:t>La desaceleración en Alemania es igualmente evidente. Debido a su excesiva dependencia de las exportaciones, la economía alemana coquetea con la recesión a pesar de la firme demanda interna (según los bajos estándares alemanes).</w:t>
      </w:r>
    </w:p>
    <w:p w:rsidR="009703A5" w:rsidRPr="00C878D3" w:rsidRDefault="009703A5" w:rsidP="009703A5">
      <w:pPr>
        <w:spacing w:line="240" w:lineRule="auto"/>
        <w:jc w:val="both"/>
        <w:rPr>
          <w:rFonts w:ascii="Times New Roman" w:hAnsi="Times New Roman" w:cs="Times New Roman"/>
          <w:sz w:val="24"/>
          <w:szCs w:val="24"/>
        </w:rPr>
      </w:pPr>
      <w:r w:rsidRPr="0064730F">
        <w:rPr>
          <w:rFonts w:ascii="Times New Roman" w:hAnsi="Times New Roman" w:cs="Times New Roman"/>
          <w:color w:val="FF0000"/>
          <w:sz w:val="24"/>
          <w:szCs w:val="24"/>
          <w:u w:val="single"/>
        </w:rPr>
        <w:t>Durante mucho tiempo he argumentado que la economía alemana no es tan sólida desde el punto de vista estructural como parece, y que hace tiempo que debería haberse producido un cambio en el enfoque de su política.</w:t>
      </w:r>
      <w:r w:rsidRPr="0064730F">
        <w:rPr>
          <w:rFonts w:ascii="Times New Roman" w:hAnsi="Times New Roman" w:cs="Times New Roman"/>
          <w:sz w:val="24"/>
          <w:szCs w:val="24"/>
          <w:u w:val="single"/>
        </w:rPr>
        <w:t>Durante más de una década, Alemania se ha adherido a un marco fiscal rígido y se ha centrado constantemente en la reducción de la deuda pública. Pero ahora incluso los responsables políticos alemanes están reconociendo la necesidad de un cambio</w:t>
      </w:r>
      <w:r w:rsidRPr="00C878D3">
        <w:rPr>
          <w:rFonts w:ascii="Times New Roman" w:hAnsi="Times New Roman" w:cs="Times New Roman"/>
          <w:sz w:val="24"/>
          <w:szCs w:val="24"/>
        </w:rPr>
        <w:t>. El rendimiento de los bonos a diez años del país está muy por debajo de cero, su ratio deuda/PIB está por debajo del 60 por ciento, su superávit por cuenta corriente es obscenamente alto (cerca del 8 por ciento del PIB) y su infraestructura se deteriora.</w:t>
      </w:r>
    </w:p>
    <w:p w:rsidR="009703A5" w:rsidRPr="0064730F" w:rsidRDefault="009703A5" w:rsidP="009703A5">
      <w:pPr>
        <w:spacing w:line="240" w:lineRule="auto"/>
        <w:jc w:val="both"/>
        <w:rPr>
          <w:rFonts w:ascii="Times New Roman" w:hAnsi="Times New Roman" w:cs="Times New Roman"/>
          <w:color w:val="FF0000"/>
          <w:sz w:val="24"/>
          <w:szCs w:val="24"/>
          <w:u w:val="single"/>
        </w:rPr>
      </w:pPr>
      <w:r w:rsidRPr="0064730F">
        <w:rPr>
          <w:rFonts w:ascii="Times New Roman" w:hAnsi="Times New Roman" w:cs="Times New Roman"/>
          <w:color w:val="FF0000"/>
          <w:sz w:val="24"/>
          <w:szCs w:val="24"/>
          <w:u w:val="single"/>
        </w:rPr>
        <w:t>Desde 2008, el déficit de la balanza por cuenta corriente de EEUU se ha reducido a la mitad, por debajo del 3 por ciento del PIB, y el de China se ha reducido del 10 por ciento del PIB a casi cero</w:t>
      </w:r>
      <w:r w:rsidRPr="00C878D3">
        <w:rPr>
          <w:rFonts w:ascii="Times New Roman" w:hAnsi="Times New Roman" w:cs="Times New Roman"/>
          <w:sz w:val="24"/>
          <w:szCs w:val="24"/>
        </w:rPr>
        <w:t xml:space="preserve">. </w:t>
      </w:r>
      <w:r w:rsidRPr="0064730F">
        <w:rPr>
          <w:rFonts w:ascii="Times New Roman" w:hAnsi="Times New Roman" w:cs="Times New Roman"/>
          <w:color w:val="FF0000"/>
          <w:sz w:val="24"/>
          <w:szCs w:val="24"/>
          <w:u w:val="single"/>
        </w:rPr>
        <w:t xml:space="preserve">Sin embargo, el desequilibrio exterior de Alemania ha seguido creciendo, amenazando la estabilidad de la zona euro en su conjunto. Una importante expansión fiscal </w:t>
      </w:r>
      <w:r w:rsidRPr="0064730F">
        <w:rPr>
          <w:rFonts w:ascii="Times New Roman" w:hAnsi="Times New Roman" w:cs="Times New Roman"/>
          <w:color w:val="FF0000"/>
          <w:sz w:val="24"/>
          <w:szCs w:val="24"/>
          <w:u w:val="single"/>
        </w:rPr>
        <w:lastRenderedPageBreak/>
        <w:t>alemana podría comenzar a invertir esta tendencia.</w:t>
      </w:r>
      <w:r w:rsidRPr="00C878D3">
        <w:rPr>
          <w:rFonts w:ascii="Times New Roman" w:hAnsi="Times New Roman" w:cs="Times New Roman"/>
          <w:sz w:val="24"/>
          <w:szCs w:val="24"/>
        </w:rPr>
        <w:t xml:space="preserve">También podría tener efectos multiplicadores positivos para la inversión y el consumo privados, creando así oportunidades de exportación para otros miembros de la eurozona en dificultades. Además, </w:t>
      </w:r>
      <w:r w:rsidRPr="0064730F">
        <w:rPr>
          <w:rFonts w:ascii="Times New Roman" w:hAnsi="Times New Roman" w:cs="Times New Roman"/>
          <w:color w:val="FF0000"/>
          <w:sz w:val="24"/>
          <w:szCs w:val="24"/>
          <w:u w:val="single"/>
        </w:rPr>
        <w:t>un cambio en el enfoque de la política fiscal de Alemania podría abrir la puerta a una flexibilización de las normas fiscales de la zona del euro. Los gobiernos europeos deben tener la opción de desempeñar un papel más activo en la economía, de modo que puedan invertir en las fuentes de crecimiento a largo plazo y liderar el proceso de descarbonización.</w:t>
      </w:r>
    </w:p>
    <w:p w:rsidR="009703A5" w:rsidRPr="00C878D3" w:rsidRDefault="009703A5" w:rsidP="009703A5">
      <w:pPr>
        <w:spacing w:line="240" w:lineRule="auto"/>
        <w:jc w:val="both"/>
        <w:rPr>
          <w:rFonts w:ascii="Times New Roman" w:hAnsi="Times New Roman" w:cs="Times New Roman"/>
          <w:sz w:val="24"/>
          <w:szCs w:val="24"/>
        </w:rPr>
      </w:pPr>
      <w:r w:rsidRPr="00C878D3">
        <w:rPr>
          <w:rFonts w:ascii="Times New Roman" w:hAnsi="Times New Roman" w:cs="Times New Roman"/>
          <w:sz w:val="24"/>
          <w:szCs w:val="24"/>
        </w:rPr>
        <w:t>Volviendo a Reino Unido, dos cuestiones más allá de Brexit merecen atención. En primer lugar, Boris Johnson ya ha pronunciado discursos en el norte de Inglaterra, prometiendo inversiones. Sin duda, muchos ven el abrazo de Johnson al Norte como una estratagema cínica para reforzar su base electoral antes de las próximas elecciones. Pero seguramente Johnson y sus asesores no son tan tontos como para asumir que los votos se pueden comprar tan fácilmente. Además, resolver los retos estructurales a largo plazo del Norte y aumentar su productividad son aún más importantes para la economía británica que la relación comercial con la UE.</w:t>
      </w:r>
    </w:p>
    <w:p w:rsidR="009703A5" w:rsidRPr="00C878D3" w:rsidRDefault="009703A5" w:rsidP="009703A5">
      <w:pPr>
        <w:spacing w:line="240" w:lineRule="auto"/>
        <w:jc w:val="both"/>
        <w:rPr>
          <w:rFonts w:ascii="Times New Roman" w:hAnsi="Times New Roman" w:cs="Times New Roman"/>
          <w:sz w:val="24"/>
          <w:szCs w:val="24"/>
        </w:rPr>
      </w:pPr>
      <w:r w:rsidRPr="00C878D3">
        <w:rPr>
          <w:rFonts w:ascii="Times New Roman" w:hAnsi="Times New Roman" w:cs="Times New Roman"/>
          <w:sz w:val="24"/>
          <w:szCs w:val="24"/>
        </w:rPr>
        <w:t>En segundo lugar, la reciente revisión del gasto del Ministro de Hacienda Sajid Javid augura un cambio en la política fiscal de Reino Unido. Debido a las bajas tasas de interés y a una fuerte reducción del déficit fiscal en la última década, Javid cree que ha llegado el momento de comenzar a abordar las enormes carencias de infraestructuras del país. Ha sugerido una nueva regla fiscal para distinguir entre los niveles de deuda, con exclusión de los gastos de inversión. Dadas las circunstancias actuales, una norma de este tipo tendría mucho sentido no sólo para el Reino Unido, sino también para la UE, Alemania y muchos otros países.</w:t>
      </w:r>
    </w:p>
    <w:p w:rsidR="009703A5" w:rsidRDefault="009703A5" w:rsidP="009703A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(Jim O Neill - </w:t>
      </w:r>
      <w:r w:rsidRPr="00C878D3">
        <w:rPr>
          <w:rFonts w:ascii="Times New Roman" w:hAnsi="Times New Roman" w:cs="Times New Roman"/>
          <w:sz w:val="24"/>
          <w:szCs w:val="24"/>
        </w:rPr>
        <w:t>Presidente del think tank Chatham House y exministro de Hacienda de Reino Unido</w:t>
      </w:r>
      <w:r>
        <w:rPr>
          <w:rFonts w:ascii="Times New Roman" w:hAnsi="Times New Roman" w:cs="Times New Roman"/>
          <w:sz w:val="24"/>
          <w:szCs w:val="24"/>
        </w:rPr>
        <w:t>)</w:t>
      </w:r>
    </w:p>
    <w:p w:rsidR="008F062A" w:rsidRPr="00AF15DE"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F15DE">
        <w:rPr>
          <w:rFonts w:ascii="Times New Roman" w:hAnsi="Times New Roman" w:cs="Times New Roman"/>
          <w:sz w:val="24"/>
          <w:szCs w:val="24"/>
          <w:u w:val="single"/>
        </w:rPr>
        <w:t>La eurozona sigue perdiendo fuelle y la recesión empieza a ser inevitable</w:t>
      </w:r>
      <w:r>
        <w:rPr>
          <w:rFonts w:ascii="Times New Roman" w:hAnsi="Times New Roman" w:cs="Times New Roman"/>
          <w:sz w:val="24"/>
          <w:szCs w:val="24"/>
        </w:rPr>
        <w:t xml:space="preserve"> (El Confidencial - </w:t>
      </w:r>
      <w:r w:rsidRPr="00AF15DE">
        <w:rPr>
          <w:rFonts w:ascii="Times New Roman" w:hAnsi="Times New Roman" w:cs="Times New Roman"/>
          <w:b/>
          <w:sz w:val="24"/>
          <w:szCs w:val="24"/>
        </w:rPr>
        <w:t>23/9/19</w:t>
      </w:r>
      <w:r>
        <w:rPr>
          <w:rFonts w:ascii="Times New Roman" w:hAnsi="Times New Roman" w:cs="Times New Roman"/>
          <w:sz w:val="24"/>
          <w:szCs w:val="24"/>
        </w:rPr>
        <w:t>)</w:t>
      </w:r>
    </w:p>
    <w:p w:rsidR="008F062A" w:rsidRPr="00A835E7" w:rsidRDefault="008F062A" w:rsidP="008F062A">
      <w:pPr>
        <w:spacing w:line="240" w:lineRule="auto"/>
        <w:jc w:val="both"/>
        <w:rPr>
          <w:rFonts w:ascii="Times New Roman" w:hAnsi="Times New Roman" w:cs="Times New Roman"/>
          <w:sz w:val="24"/>
          <w:szCs w:val="24"/>
          <w:u w:val="single"/>
        </w:rPr>
      </w:pPr>
      <w:r w:rsidRPr="00AF15DE">
        <w:rPr>
          <w:rFonts w:ascii="Times New Roman" w:hAnsi="Times New Roman" w:cs="Times New Roman"/>
          <w:sz w:val="24"/>
          <w:szCs w:val="24"/>
        </w:rPr>
        <w:t xml:space="preserve">El deterioro de la economía en la eurozona da un paso al frente. O lo que es lo mismo, empeora de forma pronunciada a la luz de los últimos indicadores cualitativos de actividad, que anticipan un estancamiento en el tercer trimestre de este año. En algunos países, como Alemania, incluso se da por hecho que el PIB se contrajo entre julio y septiembre, por lo que ya serían dos trimestres consecutivos con crecimiento negativo. Los datos oficiales se conocerán en los primeros días de octubre, pero, </w:t>
      </w:r>
      <w:r w:rsidRPr="00A835E7">
        <w:rPr>
          <w:rFonts w:ascii="Times New Roman" w:hAnsi="Times New Roman" w:cs="Times New Roman"/>
          <w:sz w:val="24"/>
          <w:szCs w:val="24"/>
          <w:u w:val="single"/>
        </w:rPr>
        <w:t>como un verdadero aviso a navegantes, este lunes Mario Draghi, presidente del BCE, advirtió de que la eurozona se enfrenta a una “caída prolongada”.</w:t>
      </w:r>
    </w:p>
    <w:p w:rsidR="008F062A" w:rsidRPr="00AF15DE" w:rsidRDefault="008F062A" w:rsidP="008F062A">
      <w:pPr>
        <w:spacing w:line="240" w:lineRule="auto"/>
        <w:jc w:val="both"/>
        <w:rPr>
          <w:rFonts w:ascii="Times New Roman" w:hAnsi="Times New Roman" w:cs="Times New Roman"/>
          <w:sz w:val="24"/>
          <w:szCs w:val="24"/>
        </w:rPr>
      </w:pPr>
      <w:r w:rsidRPr="00F708BD">
        <w:rPr>
          <w:rFonts w:ascii="Times New Roman" w:hAnsi="Times New Roman" w:cs="Times New Roman"/>
          <w:color w:val="FF0000"/>
          <w:sz w:val="24"/>
          <w:szCs w:val="24"/>
          <w:u w:val="single"/>
        </w:rPr>
        <w:t>Lo que preocupa es la capacidad de contagio de la economía alemana sobre el resto de la región, toda vez que representa nada menos que el 25% del PIB de la eurozona</w:t>
      </w:r>
      <w:r w:rsidRPr="00AF15DE">
        <w:rPr>
          <w:rFonts w:ascii="Times New Roman" w:hAnsi="Times New Roman" w:cs="Times New Roman"/>
          <w:sz w:val="24"/>
          <w:szCs w:val="24"/>
        </w:rPr>
        <w:t xml:space="preserve">. </w:t>
      </w:r>
      <w:r w:rsidRPr="00F708BD">
        <w:rPr>
          <w:rFonts w:ascii="Times New Roman" w:hAnsi="Times New Roman" w:cs="Times New Roman"/>
          <w:sz w:val="24"/>
          <w:szCs w:val="24"/>
          <w:u w:val="single"/>
        </w:rPr>
        <w:t>En el caso de España, las exportaciones a Alemania suponen un 11,2% del total, solo por detrás de Francia.</w:t>
      </w:r>
      <w:r w:rsidRPr="00AF15DE">
        <w:rPr>
          <w:rFonts w:ascii="Times New Roman" w:hAnsi="Times New Roman" w:cs="Times New Roman"/>
          <w:sz w:val="24"/>
          <w:szCs w:val="24"/>
        </w:rPr>
        <w:t xml:space="preserve"> Eso explica que institutos de coyuntura como Caixa Research hayan estimado que el PIB español avanzó en el tercer trimestre de este año apenas un 0,3%, dos décimas por deb</w:t>
      </w:r>
      <w:r>
        <w:rPr>
          <w:rFonts w:ascii="Times New Roman" w:hAnsi="Times New Roman" w:cs="Times New Roman"/>
          <w:sz w:val="24"/>
          <w:szCs w:val="24"/>
        </w:rPr>
        <w:t>ajo del mismo periodo anterior.</w:t>
      </w:r>
    </w:p>
    <w:p w:rsidR="008F062A"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Eso significa que si se anualiza esa tasa, multiplicándola por los cuatro trimestres de un año, la economía estaría avanza</w:t>
      </w:r>
      <w:r w:rsidR="00AA1361">
        <w:rPr>
          <w:rFonts w:ascii="Times New Roman" w:hAnsi="Times New Roman" w:cs="Times New Roman"/>
          <w:sz w:val="24"/>
          <w:szCs w:val="24"/>
        </w:rPr>
        <w:t>n</w:t>
      </w:r>
      <w:r w:rsidRPr="00AF15DE">
        <w:rPr>
          <w:rFonts w:ascii="Times New Roman" w:hAnsi="Times New Roman" w:cs="Times New Roman"/>
          <w:sz w:val="24"/>
          <w:szCs w:val="24"/>
        </w:rPr>
        <w:t>do en estos momentos alrededor de un 1,2%, muy lejos de la previsión oficial. Los economistas de La Caixa lo achacan no solo al contexto exterior y a la situación geopolítica sino, también, a que la economía, tras cinco años de crecimiento, se “está aden</w:t>
      </w:r>
      <w:r>
        <w:rPr>
          <w:rFonts w:ascii="Times New Roman" w:hAnsi="Times New Roman" w:cs="Times New Roman"/>
          <w:sz w:val="24"/>
          <w:szCs w:val="24"/>
        </w:rPr>
        <w:t>trando” en un ciclo más maduro.</w:t>
      </w:r>
    </w:p>
    <w:p w:rsidR="0024093E" w:rsidRDefault="00AA1361" w:rsidP="008F062A">
      <w:pPr>
        <w:spacing w:line="240" w:lineRule="auto"/>
        <w:jc w:val="both"/>
        <w:rPr>
          <w:rFonts w:ascii="Times New Roman" w:hAnsi="Times New Roman" w:cs="Times New Roman"/>
          <w:sz w:val="24"/>
          <w:szCs w:val="24"/>
        </w:rPr>
      </w:pPr>
      <w:r w:rsidRPr="00AF15DE">
        <w:rPr>
          <w:rFonts w:ascii="Times New Roman" w:hAnsi="Times New Roman" w:cs="Times New Roman"/>
          <w:noProof/>
          <w:sz w:val="24"/>
          <w:szCs w:val="24"/>
          <w:lang w:val="en-GB" w:eastAsia="en-GB"/>
        </w:rPr>
        <w:lastRenderedPageBreak/>
        <w:drawing>
          <wp:inline distT="0" distB="0" distL="0" distR="0">
            <wp:extent cx="5732146" cy="3098800"/>
            <wp:effectExtent l="0" t="0" r="1905"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098456"/>
                    </a:xfrm>
                    <a:prstGeom prst="rect">
                      <a:avLst/>
                    </a:prstGeom>
                  </pic:spPr>
                </pic:pic>
              </a:graphicData>
            </a:graphic>
          </wp:inline>
        </w:drawing>
      </w:r>
    </w:p>
    <w:p w:rsidR="008F062A"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Lo que se sabe es que el informe preliminar del índice PMI compuesto de actividad en la eurozona, que mide las órdenes de compra de 5.000 empresas, tanto del sector servicios como manufacturero, se situó en septiembre en 50,4 puntos, frente a los 51,9 puntos de agosto. Es decir, ya muy cerca de la contracción (por debajo de los 50 puntos). Es el peor registro en más de seis años, lo que da idea de su relevancia, ya que se trata de un indicador adelantado que tarde o temprano se trasladará a la economía real. Algunas previsiones, como las del Banco de Italia, estiman que la eurozona ha crecido en el tercer trimestre un 0,2%, lo mismo que en el mismo periodo ant</w:t>
      </w:r>
      <w:r>
        <w:rPr>
          <w:rFonts w:ascii="Times New Roman" w:hAnsi="Times New Roman" w:cs="Times New Roman"/>
          <w:sz w:val="24"/>
          <w:szCs w:val="24"/>
        </w:rPr>
        <w:t>erior. Es decir, estancamiento.</w:t>
      </w:r>
    </w:p>
    <w:p w:rsidR="008F062A" w:rsidRPr="00AF15DE"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Construcción e industria</w:t>
      </w:r>
    </w:p>
    <w:p w:rsidR="008F062A" w:rsidRPr="00AF15DE"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 xml:space="preserve">Como sostienen los redactores del indicador PMI, lo más significativo, sin embargo, es el deterioro del sector servicios, que hasta ahora se había mostrado más robusto que las manufacturas. Hasta el punto de que se trata de los peores datos desde diciembre de 2014. También los indicadores cuantitativos dan muestra de debilidad. Tanto el sector de la construcción como la producción industrial en el conjunto de la eurozona </w:t>
      </w:r>
      <w:r>
        <w:rPr>
          <w:rFonts w:ascii="Times New Roman" w:hAnsi="Times New Roman" w:cs="Times New Roman"/>
          <w:sz w:val="24"/>
          <w:szCs w:val="24"/>
        </w:rPr>
        <w:t>ya reflejan el parón económico.</w:t>
      </w:r>
    </w:p>
    <w:p w:rsidR="008F062A"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El caso más singular sigue siendo el de Alem</w:t>
      </w:r>
      <w:r w:rsidR="0024093E">
        <w:rPr>
          <w:rFonts w:ascii="Times New Roman" w:hAnsi="Times New Roman" w:cs="Times New Roman"/>
          <w:sz w:val="24"/>
          <w:szCs w:val="24"/>
        </w:rPr>
        <w:t>ania, donde la actividad total -servicios e industria-</w:t>
      </w:r>
      <w:r w:rsidRPr="00AF15DE">
        <w:rPr>
          <w:rFonts w:ascii="Times New Roman" w:hAnsi="Times New Roman" w:cs="Times New Roman"/>
          <w:sz w:val="24"/>
          <w:szCs w:val="24"/>
        </w:rPr>
        <w:t xml:space="preserve"> decayó por primera vez desde abril de 2013. El crecimiento del sector servicios, incluso, se redujo hasta su mínimo en lo que va de año, mientras que el sector manufacturero sufrió la segunda caída más intensa de la producción desde junio de 2009. El propio Bundesbank, el banco central alemán, no descartó recientemente, en su último boletín mensual, que el país entre en recesión tras encadenar dos trimestres cons</w:t>
      </w:r>
      <w:r>
        <w:rPr>
          <w:rFonts w:ascii="Times New Roman" w:hAnsi="Times New Roman" w:cs="Times New Roman"/>
          <w:sz w:val="24"/>
          <w:szCs w:val="24"/>
        </w:rPr>
        <w:t>ecutivos de retrocesos del PIB.</w:t>
      </w:r>
    </w:p>
    <w:p w:rsidR="0024093E" w:rsidRPr="00F708BD" w:rsidRDefault="0024093E" w:rsidP="0024093E">
      <w:pPr>
        <w:spacing w:line="240" w:lineRule="auto"/>
        <w:jc w:val="both"/>
        <w:rPr>
          <w:rFonts w:ascii="Times New Roman" w:hAnsi="Times New Roman" w:cs="Times New Roman"/>
          <w:sz w:val="24"/>
          <w:szCs w:val="24"/>
          <w:u w:val="single"/>
        </w:rPr>
      </w:pPr>
      <w:r w:rsidRPr="00F708BD">
        <w:rPr>
          <w:rFonts w:ascii="Times New Roman" w:hAnsi="Times New Roman" w:cs="Times New Roman"/>
          <w:sz w:val="24"/>
          <w:szCs w:val="24"/>
          <w:u w:val="single"/>
        </w:rPr>
        <w:t>Un par de datos ilustran mejor que nada la coyuntura industrial germana. Su industria automotriz ha sufrido una caída del 12% en la producción y una disminución del 14% en las exportaciones este año, afectada por una desaceleración en el mercado chino y la interrupción de los nuevos estándares ambientales.</w:t>
      </w:r>
    </w:p>
    <w:p w:rsidR="0024093E" w:rsidRDefault="0024093E" w:rsidP="008F062A">
      <w:pPr>
        <w:spacing w:line="240" w:lineRule="auto"/>
        <w:jc w:val="both"/>
        <w:rPr>
          <w:rFonts w:ascii="Times New Roman" w:hAnsi="Times New Roman" w:cs="Times New Roman"/>
          <w:sz w:val="24"/>
          <w:szCs w:val="24"/>
        </w:rPr>
      </w:pPr>
    </w:p>
    <w:p w:rsidR="008F062A" w:rsidRPr="00AF15DE"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noProof/>
          <w:sz w:val="24"/>
          <w:szCs w:val="24"/>
          <w:lang w:val="en-GB" w:eastAsia="en-GB"/>
        </w:rPr>
        <w:lastRenderedPageBreak/>
        <w:drawing>
          <wp:inline distT="0" distB="0" distL="0" distR="0">
            <wp:extent cx="5731979" cy="2749550"/>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749325"/>
                    </a:xfrm>
                    <a:prstGeom prst="rect">
                      <a:avLst/>
                    </a:prstGeom>
                  </pic:spPr>
                </pic:pic>
              </a:graphicData>
            </a:graphic>
          </wp:inline>
        </w:drawing>
      </w:r>
    </w:p>
    <w:p w:rsidR="008F062A" w:rsidRPr="00F708BD" w:rsidRDefault="008F062A" w:rsidP="008F062A">
      <w:pPr>
        <w:spacing w:line="240" w:lineRule="auto"/>
        <w:jc w:val="both"/>
        <w:rPr>
          <w:rFonts w:ascii="Times New Roman" w:hAnsi="Times New Roman" w:cs="Times New Roman"/>
          <w:sz w:val="24"/>
          <w:szCs w:val="24"/>
          <w:u w:val="single"/>
        </w:rPr>
      </w:pPr>
      <w:r w:rsidRPr="00F708BD">
        <w:rPr>
          <w:rFonts w:ascii="Times New Roman" w:hAnsi="Times New Roman" w:cs="Times New Roman"/>
          <w:sz w:val="24"/>
          <w:szCs w:val="24"/>
          <w:u w:val="single"/>
        </w:rPr>
        <w:t>Lo peor, con todo, es que las medidas de carácter fiscal para combatir la ralentización de la economía con políticas contracíclicas, en el mejor de los casos, tardarán en llegar. Entre otras cosas, porque el debate sobre la suavización de las reglas fiscales solo acaba de comenzar. Y cuando haya acuerdo, si lo hay, la eurozona ya estará sumida en un estancamiento que ha llevado a que los inversores vuelvan a refugiarse en los bonos alemanes para capear a buen resguardo el temporal.</w:t>
      </w:r>
    </w:p>
    <w:p w:rsidR="008F062A" w:rsidRPr="00AF15DE"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Gobiernos manirrotos</w:t>
      </w:r>
    </w:p>
    <w:p w:rsidR="008F062A"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Y eso sin contar con el hecho de que algunos banqueros centrales han criticado con dureza tanto la relajación monetaria como una reforma en profundidad del pacto de estabilidad, el mecanismo creado al comienzo del euro para coordinar las políticas fiscales y castiga</w:t>
      </w:r>
      <w:r w:rsidR="00AA1361">
        <w:rPr>
          <w:rFonts w:ascii="Times New Roman" w:hAnsi="Times New Roman" w:cs="Times New Roman"/>
          <w:sz w:val="24"/>
          <w:szCs w:val="24"/>
        </w:rPr>
        <w:t>r a los gobiernos “manirrotos”</w:t>
      </w:r>
      <w:r>
        <w:rPr>
          <w:rFonts w:ascii="Times New Roman" w:hAnsi="Times New Roman" w:cs="Times New Roman"/>
          <w:sz w:val="24"/>
          <w:szCs w:val="24"/>
        </w:rPr>
        <w:t>.</w:t>
      </w:r>
    </w:p>
    <w:p w:rsidR="008F062A" w:rsidRPr="00AF15DE" w:rsidRDefault="008F062A" w:rsidP="008F062A">
      <w:pPr>
        <w:spacing w:line="240" w:lineRule="auto"/>
        <w:jc w:val="both"/>
        <w:rPr>
          <w:rFonts w:ascii="Times New Roman" w:hAnsi="Times New Roman" w:cs="Times New Roman"/>
          <w:sz w:val="24"/>
          <w:szCs w:val="24"/>
        </w:rPr>
      </w:pPr>
      <w:r w:rsidRPr="00BF5CD3">
        <w:rPr>
          <w:rFonts w:ascii="Times New Roman" w:hAnsi="Times New Roman" w:cs="Times New Roman"/>
          <w:noProof/>
          <w:sz w:val="24"/>
          <w:szCs w:val="24"/>
          <w:lang w:val="en-GB" w:eastAsia="en-GB"/>
        </w:rPr>
        <w:drawing>
          <wp:inline distT="0" distB="0" distL="0" distR="0">
            <wp:extent cx="5732202" cy="3035300"/>
            <wp:effectExtent l="0" t="0" r="1905"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034933"/>
                    </a:xfrm>
                    <a:prstGeom prst="rect">
                      <a:avLst/>
                    </a:prstGeom>
                  </pic:spPr>
                </pic:pic>
              </a:graphicData>
            </a:graphic>
          </wp:inline>
        </w:drawing>
      </w:r>
    </w:p>
    <w:p w:rsidR="008F062A" w:rsidRPr="00AF15DE"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 xml:space="preserve">Klaas Knot, el presidente del banco central holandés y uno de los críticos más expresivos de Draghi, se quejó este lunes de que las tasas de interés históricamente bajas </w:t>
      </w:r>
      <w:r w:rsidR="00AA1361">
        <w:rPr>
          <w:rFonts w:ascii="Times New Roman" w:hAnsi="Times New Roman" w:cs="Times New Roman"/>
          <w:sz w:val="24"/>
          <w:szCs w:val="24"/>
        </w:rPr>
        <w:t xml:space="preserve">se estaban </w:t>
      </w:r>
      <w:r w:rsidR="00AA1361">
        <w:rPr>
          <w:rFonts w:ascii="Times New Roman" w:hAnsi="Times New Roman" w:cs="Times New Roman"/>
          <w:sz w:val="24"/>
          <w:szCs w:val="24"/>
        </w:rPr>
        <w:lastRenderedPageBreak/>
        <w:t>convirtiendo en una “situación casi permanente”</w:t>
      </w:r>
      <w:r w:rsidRPr="00AF15DE">
        <w:rPr>
          <w:rFonts w:ascii="Times New Roman" w:hAnsi="Times New Roman" w:cs="Times New Roman"/>
          <w:sz w:val="24"/>
          <w:szCs w:val="24"/>
        </w:rPr>
        <w:t>, con efectos secundarios negativos en el aumento de los precios de la vivien</w:t>
      </w:r>
      <w:r>
        <w:rPr>
          <w:rFonts w:ascii="Times New Roman" w:hAnsi="Times New Roman" w:cs="Times New Roman"/>
          <w:sz w:val="24"/>
          <w:szCs w:val="24"/>
        </w:rPr>
        <w:t>da y la caída de las pensiones.</w:t>
      </w:r>
    </w:p>
    <w:p w:rsidR="008F062A" w:rsidRPr="00F708BD" w:rsidRDefault="008F062A" w:rsidP="008F062A">
      <w:pPr>
        <w:spacing w:line="240" w:lineRule="auto"/>
        <w:jc w:val="both"/>
        <w:rPr>
          <w:rFonts w:ascii="Times New Roman" w:hAnsi="Times New Roman" w:cs="Times New Roman"/>
          <w:color w:val="FF0000"/>
          <w:sz w:val="24"/>
          <w:szCs w:val="24"/>
          <w:u w:val="single"/>
        </w:rPr>
      </w:pPr>
      <w:r w:rsidRPr="00F708BD">
        <w:rPr>
          <w:rFonts w:ascii="Times New Roman" w:hAnsi="Times New Roman" w:cs="Times New Roman"/>
          <w:color w:val="FF0000"/>
          <w:sz w:val="24"/>
          <w:szCs w:val="24"/>
          <w:u w:val="single"/>
        </w:rPr>
        <w:t>Esta parálisis es la que explica las expectativas para los próximos 12 meses, que muestran “una persistente preocupación sobre las guerras comerciales y las tensiones geopolíticas, especialmente el Brexit, que exacerba la inquietud respecto del posible empeoramiento de las perspectivas de crecimiento y demanda, tanto a nivel nacional como mundial”, según Markit, que es quien elabora los índices de los gestores de compra.</w:t>
      </w:r>
    </w:p>
    <w:p w:rsidR="009703A5" w:rsidRPr="001B768A" w:rsidRDefault="008F062A" w:rsidP="008F062A">
      <w:pPr>
        <w:spacing w:line="240" w:lineRule="auto"/>
        <w:jc w:val="both"/>
        <w:rPr>
          <w:rFonts w:ascii="Times New Roman" w:hAnsi="Times New Roman" w:cs="Times New Roman"/>
          <w:sz w:val="24"/>
          <w:szCs w:val="24"/>
        </w:rPr>
      </w:pPr>
      <w:r w:rsidRPr="00AF15DE">
        <w:rPr>
          <w:rFonts w:ascii="Times New Roman" w:hAnsi="Times New Roman" w:cs="Times New Roman"/>
          <w:sz w:val="24"/>
          <w:szCs w:val="24"/>
        </w:rPr>
        <w:t>Este deterioro ya se observó en el segundo trimestre de este año, en el que el PIB avanzó apenas un 0,2% en la eurozona en términos intertrimestrales. Algunos informes estiman que en el tercero, el crecimiento podría ser de un 0,1%, es decir, prácticamente estancado. Bankia Research, por ejemplo, estima que Alemania crecerá en el conjunto de este año apenas un 0,6%.</w:t>
      </w:r>
    </w:p>
    <w:p w:rsidR="008F062A" w:rsidRPr="00DA3E82"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70458">
        <w:rPr>
          <w:rFonts w:ascii="Times New Roman" w:hAnsi="Times New Roman" w:cs="Times New Roman"/>
          <w:sz w:val="24"/>
          <w:szCs w:val="24"/>
          <w:u w:val="single"/>
        </w:rPr>
        <w:t>Reino Unido: ¿un laboratorio antisocial</w:t>
      </w:r>
      <w:r w:rsidRPr="00DA3E82">
        <w:rPr>
          <w:rFonts w:ascii="Times New Roman" w:hAnsi="Times New Roman" w:cs="Times New Roman"/>
          <w:sz w:val="24"/>
          <w:szCs w:val="24"/>
        </w:rPr>
        <w:t>?</w:t>
      </w:r>
      <w:r>
        <w:rPr>
          <w:rFonts w:ascii="Times New Roman" w:hAnsi="Times New Roman" w:cs="Times New Roman"/>
          <w:sz w:val="24"/>
          <w:szCs w:val="24"/>
        </w:rPr>
        <w:t xml:space="preserve"> (Nueva Sociedad - </w:t>
      </w:r>
      <w:r w:rsidRPr="009C0D45">
        <w:rPr>
          <w:rFonts w:ascii="Times New Roman" w:hAnsi="Times New Roman" w:cs="Times New Roman"/>
          <w:b/>
          <w:sz w:val="24"/>
          <w:szCs w:val="24"/>
        </w:rPr>
        <w:t>Septiembre 2019</w:t>
      </w:r>
      <w:r>
        <w:rPr>
          <w:rFonts w:ascii="Times New Roman" w:hAnsi="Times New Roman" w:cs="Times New Roman"/>
          <w:sz w:val="24"/>
          <w:szCs w:val="24"/>
        </w:rPr>
        <w:t>)</w:t>
      </w:r>
    </w:p>
    <w:p w:rsidR="008F062A" w:rsidRPr="00350E16"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50E16">
        <w:rPr>
          <w:rFonts w:ascii="Times New Roman" w:hAnsi="Times New Roman" w:cs="Times New Roman"/>
          <w:sz w:val="24"/>
          <w:szCs w:val="24"/>
        </w:rPr>
        <w:t>Philippe Marlière)</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Si el escenario de un Brexit sin acuerdo se concretara, Reino Unido se convertiría una vez más, tras la revolución thatcheriana, en el laboratorio europeo de una ofensiva antisocial de envergadura que podría exportarse luego al continente. Boris </w:t>
      </w:r>
      <w:r w:rsidR="0024093E">
        <w:rPr>
          <w:rFonts w:ascii="Times New Roman" w:hAnsi="Times New Roman" w:cs="Times New Roman"/>
          <w:sz w:val="24"/>
          <w:szCs w:val="24"/>
        </w:rPr>
        <w:t>Johnson podría apoyarse en una “Internacional del Brexit”</w:t>
      </w:r>
      <w:r w:rsidRPr="00DA3E82">
        <w:rPr>
          <w:rFonts w:ascii="Times New Roman" w:hAnsi="Times New Roman" w:cs="Times New Roman"/>
          <w:sz w:val="24"/>
          <w:szCs w:val="24"/>
        </w:rPr>
        <w:t xml:space="preserve"> compuesta de gobiernos populistas de extrema derecha, todo</w:t>
      </w:r>
      <w:r>
        <w:rPr>
          <w:rFonts w:ascii="Times New Roman" w:hAnsi="Times New Roman" w:cs="Times New Roman"/>
          <w:sz w:val="24"/>
          <w:szCs w:val="24"/>
        </w:rPr>
        <w:t>s ferozmente anti Unión Europea</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Reino Unido: ¿un laboratorio antisocial?  El Brexit y Boris Johnson </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Si el escenario de un Brexit sin acuerdo se concretara, Reino Unido se convertiría una vez más, tras la revolución thatcheriana, en el laboratorio europeo de una ofensiva antisocial de envergadura que podría exportarse luego al continente. Boris </w:t>
      </w:r>
      <w:r w:rsidR="00AA1361">
        <w:rPr>
          <w:rFonts w:ascii="Times New Roman" w:hAnsi="Times New Roman" w:cs="Times New Roman"/>
          <w:sz w:val="24"/>
          <w:szCs w:val="24"/>
        </w:rPr>
        <w:t>Johnson podría apoyarse en una “Internacional del Brexit”</w:t>
      </w:r>
      <w:r w:rsidRPr="00DA3E82">
        <w:rPr>
          <w:rFonts w:ascii="Times New Roman" w:hAnsi="Times New Roman" w:cs="Times New Roman"/>
          <w:sz w:val="24"/>
          <w:szCs w:val="24"/>
        </w:rPr>
        <w:t xml:space="preserve"> compuesta de gobiernos populistas de extrema derecha, todos ferozm</w:t>
      </w:r>
      <w:r>
        <w:rPr>
          <w:rFonts w:ascii="Times New Roman" w:hAnsi="Times New Roman" w:cs="Times New Roman"/>
          <w:sz w:val="24"/>
          <w:szCs w:val="24"/>
        </w:rPr>
        <w:t>ente anti Unión Europea.</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Desde que Boris Johnson tomó la decisión de suspender durante cinco semanas las sesiones de la Cámara de los Comunes, la democracia británica, madre de las democracias modernas, está sumida en una crisis gravísima e inédita. Retomando las palabras del presidente Bart</w:t>
      </w:r>
      <w:r w:rsidR="00AA1361">
        <w:rPr>
          <w:rFonts w:ascii="Times New Roman" w:hAnsi="Times New Roman" w:cs="Times New Roman"/>
          <w:sz w:val="24"/>
          <w:szCs w:val="24"/>
        </w:rPr>
        <w:t>let en la serie The West Wing: “</w:t>
      </w:r>
      <w:r w:rsidRPr="00DA3E82">
        <w:rPr>
          <w:rFonts w:ascii="Times New Roman" w:hAnsi="Times New Roman" w:cs="Times New Roman"/>
          <w:sz w:val="24"/>
          <w:szCs w:val="24"/>
        </w:rPr>
        <w:t>¿Es posible estar estupefacto y, al</w:t>
      </w:r>
      <w:r w:rsidR="00AA1361">
        <w:rPr>
          <w:rFonts w:ascii="Times New Roman" w:hAnsi="Times New Roman" w:cs="Times New Roman"/>
          <w:sz w:val="24"/>
          <w:szCs w:val="24"/>
        </w:rPr>
        <w:t xml:space="preserve"> mismo tiempo, no sorprenderse?”</w:t>
      </w:r>
      <w:r w:rsidRPr="00DA3E82">
        <w:rPr>
          <w:rFonts w:ascii="Times New Roman" w:hAnsi="Times New Roman" w:cs="Times New Roman"/>
          <w:sz w:val="24"/>
          <w:szCs w:val="24"/>
        </w:rPr>
        <w:t>. Sí. Lo que acaba de suceder es desconcertante, pero no debería sorprender a nadie, teniendo en cuenta que esta crisis se inc</w:t>
      </w:r>
      <w:r>
        <w:rPr>
          <w:rFonts w:ascii="Times New Roman" w:hAnsi="Times New Roman" w:cs="Times New Roman"/>
          <w:sz w:val="24"/>
          <w:szCs w:val="24"/>
        </w:rPr>
        <w:t>ubaba desde hacía mucho tiempo.</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El 3 de septiembre, los diputados y diputadas (una veintena de los cuales son conservadores) tomaron el control de la agenda del Parlamento con vistas a frenar los planes de salida de la Unión Europea (UE) sin acuerdo de Johnson (el no-deal Brexit). Al día siguiente, los diputados infligieron otras dos aplastantes derrotas al Primer Ministro: en un primer momento, los parlamentarios aprobaron una ley de emergencia que prohíbe al gobierno abandonar la UE sin acuerdo el próximo 31 de octubre. Lo que, de hecho, parece obligar a Johnson a pedir a Bruselas una nueva postergación de la salida hasta el 31 de enero de 2020. El mismo día, otra votación impidió a Johnson convocar a elecciones legislativas anticipadas el 15 de octubre. En síntesis, fue una sucesión de derrotas importantes para un primer ministro que acaba de asumir y </w:t>
      </w:r>
      <w:r>
        <w:rPr>
          <w:rFonts w:ascii="Times New Roman" w:hAnsi="Times New Roman" w:cs="Times New Roman"/>
          <w:sz w:val="24"/>
          <w:szCs w:val="24"/>
        </w:rPr>
        <w:t>ya se encuentra muy debilitado.</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¿Cómo explicar esta rápida descomposición del Ejecutivo? Desde la votación popular de 2016 en favor de la salida de la UE, los primeros ministros nunca lograron obtener el apoyo </w:t>
      </w:r>
      <w:r w:rsidRPr="00DA3E82">
        <w:rPr>
          <w:rFonts w:ascii="Times New Roman" w:hAnsi="Times New Roman" w:cs="Times New Roman"/>
          <w:sz w:val="24"/>
          <w:szCs w:val="24"/>
        </w:rPr>
        <w:lastRenderedPageBreak/>
        <w:t xml:space="preserve">de una mayoría de diputados y diputadas. En un primer momento, Theresa May celebró un acuerdo con sus socios europeos que fue rechazado tres veces en la Cámara, no tanto gracias al esfuerzo concertado de la oposición, como a la desunión crónica en las filas conservadoras. Si bien el 51,9% de los británicos votaron a favor de la salida en 2016, alrededor del 75% de los diputados conservadores hicieron campaña </w:t>
      </w:r>
      <w:r>
        <w:rPr>
          <w:rFonts w:ascii="Times New Roman" w:hAnsi="Times New Roman" w:cs="Times New Roman"/>
          <w:sz w:val="24"/>
          <w:szCs w:val="24"/>
        </w:rPr>
        <w:t>por la permanencia en la Unión.</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Theresa May fue expulsada </w:t>
      </w:r>
      <w:r w:rsidR="004407BB">
        <w:rPr>
          <w:rFonts w:ascii="Times New Roman" w:hAnsi="Times New Roman" w:cs="Times New Roman"/>
          <w:sz w:val="24"/>
          <w:szCs w:val="24"/>
        </w:rPr>
        <w:t>por el ala ultra de los brexite</w:t>
      </w:r>
      <w:r w:rsidRPr="00DA3E82">
        <w:rPr>
          <w:rFonts w:ascii="Times New Roman" w:hAnsi="Times New Roman" w:cs="Times New Roman"/>
          <w:sz w:val="24"/>
          <w:szCs w:val="24"/>
        </w:rPr>
        <w:t>rs, a la que pertenece Johnson. Paradójicamente, esos ultras son muy minoritarios tanto en el grupo parlamentario como en el país. En los meses que siguieron al referéndum, los principales partidos coincidieron en que era necesario respetar la voluntad popular y salir de la UE. Pero cuando comenzaron las discusiones sobre las modalidades de esta salida, se forjó otro consenso: esta salida debería hacerse de manera ordenada con el fin de no poner en peligro los intereses económicos y políticos d</w:t>
      </w:r>
      <w:r>
        <w:rPr>
          <w:rFonts w:ascii="Times New Roman" w:hAnsi="Times New Roman" w:cs="Times New Roman"/>
          <w:sz w:val="24"/>
          <w:szCs w:val="24"/>
        </w:rPr>
        <w:t>el país.</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Muy pronto, una amplia mayoría de diputados, a la que se sumaron rápidamente los británicos, consideró que una salida sin acuerdo era inaceptable ya que una decisión semejante sumiría a Reino Unido en una situación incierta y peligrosa. Un informe secreto revelado a la prensa sobre la Operación Yellowhammer (encargada de preparar la salida de la UE) anticipa situaciones caóticas en el área del transporte de bienes y personas, grave escasez (alimentos, agua, medicamentos, combustible, servicios, etc.), y tensiones en Irlanda del Norte, susceptibles de poner en tela de juicio los acuerdos de paz. A excepción del grupo ultraconservador y de extrema derecha (el Brexit Party de Nigel Farage), nadi</w:t>
      </w:r>
      <w:r>
        <w:rPr>
          <w:rFonts w:ascii="Times New Roman" w:hAnsi="Times New Roman" w:cs="Times New Roman"/>
          <w:sz w:val="24"/>
          <w:szCs w:val="24"/>
        </w:rPr>
        <w:t>e desea una salida sin acuerdo.</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Cabe señalar que </w:t>
      </w:r>
      <w:r w:rsidR="00AA1361">
        <w:rPr>
          <w:rFonts w:ascii="Times New Roman" w:hAnsi="Times New Roman" w:cs="Times New Roman"/>
          <w:sz w:val="24"/>
          <w:szCs w:val="24"/>
        </w:rPr>
        <w:t>toda salida determinada por un “No deal”</w:t>
      </w:r>
      <w:r w:rsidRPr="00DA3E82">
        <w:rPr>
          <w:rFonts w:ascii="Times New Roman" w:hAnsi="Times New Roman" w:cs="Times New Roman"/>
          <w:sz w:val="24"/>
          <w:szCs w:val="24"/>
        </w:rPr>
        <w:t xml:space="preserve"> sería ilegal y, cuanto menos, antidemocrática, ya que no existe ningún mandato popular en ese sentido. Al suspender las labores parlamentarias por un período inusualmente largo (cinco semanas, en lugar de las dos o tres semanas tradicionales de cierre) y en una fecha decisiva, Johnson, en teoría, no dio un paso en falso en el plano constitucional. Pero su decisión fue percibida como un golpe antidemocrático, ya que evidentemente la oportunidad de esta medida no es casual: la suspensión de las labores parlamentarias comenzará el 10 de septiembre y terminará el 14 de octubre. Considerando que, a falta de acuerdo, Reino Unido saldrá de la UE el 1º de noviembre, la oposición no dispondría de tiempo para votar la legislación que impide una salida sin acuerdo. A través de esta medida de suspensión, Johnson deseó silenciar a la representación parlamentaria del país. La conmoción y la ira suscitadas por es</w:t>
      </w:r>
      <w:r>
        <w:rPr>
          <w:rFonts w:ascii="Times New Roman" w:hAnsi="Times New Roman" w:cs="Times New Roman"/>
          <w:sz w:val="24"/>
          <w:szCs w:val="24"/>
        </w:rPr>
        <w:t>te acto son pues comprensibles.</w:t>
      </w:r>
    </w:p>
    <w:p w:rsidR="008F062A" w:rsidRPr="00DA3E82" w:rsidRDefault="00AA1361"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C3169">
        <w:rPr>
          <w:rFonts w:ascii="Times New Roman" w:hAnsi="Times New Roman" w:cs="Times New Roman"/>
          <w:sz w:val="24"/>
          <w:szCs w:val="24"/>
        </w:rPr>
        <w:t>Volver a ser soberanos”</w:t>
      </w:r>
      <w:r w:rsidR="008F062A" w:rsidRPr="00DA3E82">
        <w:rPr>
          <w:rFonts w:ascii="Times New Roman" w:hAnsi="Times New Roman" w:cs="Times New Roman"/>
          <w:sz w:val="24"/>
          <w:szCs w:val="24"/>
        </w:rPr>
        <w:t xml:space="preserve">: ese era el principal eslogan de los partidarios del Leave durante la campaña del referéndum de 2016. La mayoría de la gente está hoy convencida de que solo era un eslogan, otra promesa incumplida. Actualmente, las consecuencias económicas de un retiro no son más que otra promesa incumplida. Los partidarios de la salida le mintieron a la gente, prometiendo una inyección de fondos considerable en los servicios públicos (especialmente la salud), una vez que Reino Unido estuviera fuera </w:t>
      </w:r>
      <w:r w:rsidR="008F062A">
        <w:rPr>
          <w:rFonts w:ascii="Times New Roman" w:hAnsi="Times New Roman" w:cs="Times New Roman"/>
          <w:sz w:val="24"/>
          <w:szCs w:val="24"/>
        </w:rPr>
        <w:t>de la UE. Algo que no sucederá.</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Hoy ha quedado demostrado que la cuestión de la soberanía popular nunca estuvo en el orden del día. Johnson se convirtió en primer ministro, no tras haber ganado una elección, sino tras haber sido elegido por los miembros del Partido Conservador, mayoritariamente hombres, mayores, racistas y reaccionarios. Estos adherentes conservadores constituyen por lo demás el corazón del electorado pro-Brexit. Como la decisión de suspender las labores de la Cámara aumentan las posibilidades de una salida sin acuerdo (un escenario que la mayoría de los </w:t>
      </w:r>
      <w:r w:rsidRPr="00DA3E82">
        <w:rPr>
          <w:rFonts w:ascii="Times New Roman" w:hAnsi="Times New Roman" w:cs="Times New Roman"/>
          <w:sz w:val="24"/>
          <w:szCs w:val="24"/>
        </w:rPr>
        <w:lastRenderedPageBreak/>
        <w:t>británicos rechaza), es posible pensar que lo que acaba de hacer Johnson es fundamentalmente antidemocrático y atenta contra el espíritu y el ejercicio de la demo</w:t>
      </w:r>
      <w:r>
        <w:rPr>
          <w:rFonts w:ascii="Times New Roman" w:hAnsi="Times New Roman" w:cs="Times New Roman"/>
          <w:sz w:val="24"/>
          <w:szCs w:val="24"/>
        </w:rPr>
        <w:t>cracia parlamentaria británica.</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Johnson es un hombre que nació y se educó en el seno de la elite británica. Vive y forma parte de la oligarquía mediática-política-financiera, y no le importan las críticas que recibe. Es un hombre astuto, sin escrúpulos, racista, sexista e insensible a las injusticias. P</w:t>
      </w:r>
      <w:r w:rsidR="006C3169">
        <w:rPr>
          <w:rFonts w:ascii="Times New Roman" w:hAnsi="Times New Roman" w:cs="Times New Roman"/>
          <w:sz w:val="24"/>
          <w:szCs w:val="24"/>
        </w:rPr>
        <w:t>ertenece a la categoría de los “populistas educados”</w:t>
      </w:r>
      <w:r w:rsidRPr="00DA3E82">
        <w:rPr>
          <w:rFonts w:ascii="Times New Roman" w:hAnsi="Times New Roman" w:cs="Times New Roman"/>
          <w:sz w:val="24"/>
          <w:szCs w:val="24"/>
        </w:rPr>
        <w:t xml:space="preserve"> (asistió a Eton, la escuela reservada a los niños de las elites </w:t>
      </w:r>
      <w:r w:rsidR="006C3169">
        <w:rPr>
          <w:rFonts w:ascii="Times New Roman" w:hAnsi="Times New Roman" w:cs="Times New Roman"/>
          <w:sz w:val="24"/>
          <w:szCs w:val="24"/>
        </w:rPr>
        <w:t>del país), por oposición a los “populistas ignorantes”</w:t>
      </w:r>
      <w:r w:rsidRPr="00DA3E82">
        <w:rPr>
          <w:rFonts w:ascii="Times New Roman" w:hAnsi="Times New Roman" w:cs="Times New Roman"/>
          <w:sz w:val="24"/>
          <w:szCs w:val="24"/>
        </w:rPr>
        <w:t xml:space="preserve"> (Donald Trump, Matteo Salvini, Viktor Orbán). Se hace constantemente el gracioso, lo que le permitió cautivar y adormecer a parte de la población, así como conquistar a los medios de comunicació</w:t>
      </w:r>
      <w:r w:rsidR="006C3169">
        <w:rPr>
          <w:rFonts w:ascii="Times New Roman" w:hAnsi="Times New Roman" w:cs="Times New Roman"/>
          <w:sz w:val="24"/>
          <w:szCs w:val="24"/>
        </w:rPr>
        <w:t>n (que lo llaman familiarmente “Boris”</w:t>
      </w:r>
      <w:r w:rsidRPr="00DA3E82">
        <w:rPr>
          <w:rFonts w:ascii="Times New Roman" w:hAnsi="Times New Roman" w:cs="Times New Roman"/>
          <w:sz w:val="24"/>
          <w:szCs w:val="24"/>
        </w:rPr>
        <w:t>). Así, pudo ganarse la simpatía de los electores de Londres, ciudad sociológicamente de izquierda, de la que fue, dos veces, un al</w:t>
      </w:r>
      <w:r>
        <w:rPr>
          <w:rFonts w:ascii="Times New Roman" w:hAnsi="Times New Roman" w:cs="Times New Roman"/>
          <w:sz w:val="24"/>
          <w:szCs w:val="24"/>
        </w:rPr>
        <w:t>calde incompetente.</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¿Qué quiere exactamente Boris Johnson? ¿Busca realmente una salida sin acuerdo como piensan muchos analistas? Nada menos cierto. El conservador es el candidato apoyado por los ricos, los oligarcas y las finanzas. Ninguno de estos grupos desea una salida sin acuerdo, sinónimo de turbulencias económicas, con consecuencias imprevisibles. El escenario ideal de los oligarcas, que Johnson se encargó de montar, es bastante claro: una salida con un acuerdo (aunque tenga que revisar vagamente el texto de May), la reelección de su aliado Trump, la continuación de políticas de librecambio agresivas que pasan por una ofensiva sin precedentes contra los derechos sociales de los trabajadores británicos y la destruc</w:t>
      </w:r>
      <w:r>
        <w:rPr>
          <w:rFonts w:ascii="Times New Roman" w:hAnsi="Times New Roman" w:cs="Times New Roman"/>
          <w:sz w:val="24"/>
          <w:szCs w:val="24"/>
        </w:rPr>
        <w:t>ción de los servicios públicos.</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Si este escenario ideal se concretara, Reino Unido se convertiría una vez más, tras la revolución thatcheriana, en el laboratorio europeo de una ofensiva antisocial de envergadura que se podría exportar luego al continente.</w:t>
      </w:r>
      <w:r w:rsidR="006C3169">
        <w:rPr>
          <w:rFonts w:ascii="Times New Roman" w:hAnsi="Times New Roman" w:cs="Times New Roman"/>
          <w:sz w:val="24"/>
          <w:szCs w:val="24"/>
        </w:rPr>
        <w:t xml:space="preserve"> Johnson podría basarse en una “Internacional del Brexit”</w:t>
      </w:r>
      <w:r w:rsidRPr="00DA3E82">
        <w:rPr>
          <w:rFonts w:ascii="Times New Roman" w:hAnsi="Times New Roman" w:cs="Times New Roman"/>
          <w:sz w:val="24"/>
          <w:szCs w:val="24"/>
        </w:rPr>
        <w:t xml:space="preserve"> de hecho, compuesta por gobiernos populistas de ext</w:t>
      </w:r>
      <w:r w:rsidR="006C3169">
        <w:rPr>
          <w:rFonts w:ascii="Times New Roman" w:hAnsi="Times New Roman" w:cs="Times New Roman"/>
          <w:sz w:val="24"/>
          <w:szCs w:val="24"/>
        </w:rPr>
        <w:t>rema derecha, todos ferozmente “antieuropeos”</w:t>
      </w:r>
      <w:r w:rsidRPr="00DA3E82">
        <w:rPr>
          <w:rFonts w:ascii="Times New Roman" w:hAnsi="Times New Roman" w:cs="Times New Roman"/>
          <w:sz w:val="24"/>
          <w:szCs w:val="24"/>
        </w:rPr>
        <w:t xml:space="preserve"> y anti-UE. Este escenario catastrófico precipitaría sin lugar a dudas la desintegración de la UE, y un ataque concertado contra los derechos sociales y las libertades públicas en toda Europa.</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Suspendiendo el Parlamento, Johnson busca en realidad provocar a una oposición desunida y débil en el plano táctico y político. La responsabilidad recae principalmente en Jeremy Corbyn, el líder del Partido Laborista, principal partido de oposición. Corbyn, cuyo entorno político personal está compuesto de euroescépticos y partidarios del Brexit, llevó a cabo una campaña sin convicción, por ende, inaudible, por la permanencia en la Unión. Tras el referéndum, se desinteresó del tema justo cuando el Brexit se había vuelto una cuestión política esencial. Luego contó con una elección anticipada para llegar al poder y renegociar el acuerdo de May. Más tarde</w:t>
      </w:r>
      <w:r w:rsidR="006C3169">
        <w:rPr>
          <w:rFonts w:ascii="Times New Roman" w:hAnsi="Times New Roman" w:cs="Times New Roman"/>
          <w:sz w:val="24"/>
          <w:szCs w:val="24"/>
        </w:rPr>
        <w:t>, desarrolló la noción de “ambigüedad constructiva”</w:t>
      </w:r>
      <w:r w:rsidRPr="00DA3E82">
        <w:rPr>
          <w:rFonts w:ascii="Times New Roman" w:hAnsi="Times New Roman" w:cs="Times New Roman"/>
          <w:sz w:val="24"/>
          <w:szCs w:val="24"/>
        </w:rPr>
        <w:t>, una línea política confusa que intentaba reunir a los sectores pro y anti-Brexit. Así, les dio la razón a los electores que habían votado por la salida y que apoyaron al Brexit Party en las elecciones europeas. Generó el descontento de su electorado que en su mayoría eligió a los liberales-demócratas, los ecologistas y al Partido Nacional Escocés, tres partidos claramente anti-Brexit. Los laboristas obtuvieron en la elección europea de mayo de 2019 su peor resultado electoral del último siglo: 14,1% (Partido del Brexit consiguió</w:t>
      </w:r>
      <w:r>
        <w:rPr>
          <w:rFonts w:ascii="Times New Roman" w:hAnsi="Times New Roman" w:cs="Times New Roman"/>
          <w:sz w:val="24"/>
          <w:szCs w:val="24"/>
        </w:rPr>
        <w:t xml:space="preserve"> el 31,6% y Lib Dems el 20,3%).</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Bajo la presión de su base militante, de su grupo parlamentario, pero también de su aliado más cercano, John McDonnell, ministro de </w:t>
      </w:r>
      <w:r w:rsidR="007D67F3">
        <w:rPr>
          <w:rFonts w:ascii="Times New Roman" w:hAnsi="Times New Roman" w:cs="Times New Roman"/>
          <w:sz w:val="24"/>
          <w:szCs w:val="24"/>
        </w:rPr>
        <w:t>finanzas en el gabinete en las s</w:t>
      </w:r>
      <w:r w:rsidRPr="00DA3E82">
        <w:rPr>
          <w:rFonts w:ascii="Times New Roman" w:hAnsi="Times New Roman" w:cs="Times New Roman"/>
          <w:sz w:val="24"/>
          <w:szCs w:val="24"/>
        </w:rPr>
        <w:t xml:space="preserve">ombras, Corbyn aceptó finalmente entablar negociaciones con los partidos opuestos al Brexit a fines del mes </w:t>
      </w:r>
      <w:r w:rsidRPr="00DA3E82">
        <w:rPr>
          <w:rFonts w:ascii="Times New Roman" w:hAnsi="Times New Roman" w:cs="Times New Roman"/>
          <w:sz w:val="24"/>
          <w:szCs w:val="24"/>
        </w:rPr>
        <w:lastRenderedPageBreak/>
        <w:t>de agosto. Pero la gestión, al parecer, habría llegado demasiado tarde: Corbyn goza de una muy mala imagen tanto en la derecha como en parte de la izquierda (ecologistas, nacionalismo escocés, Plaid Cymru galés). Es visto como una figura sectaria que divide, y un partidario poco confiabl</w:t>
      </w:r>
      <w:r>
        <w:rPr>
          <w:rFonts w:ascii="Times New Roman" w:hAnsi="Times New Roman" w:cs="Times New Roman"/>
          <w:sz w:val="24"/>
          <w:szCs w:val="24"/>
        </w:rPr>
        <w:t>e de la causa contra el Brexit.</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Johnson, como populista aguerrido, se valdrá de la fibra nacionalista contra los opositores al Brexit, que serán presentados como traidores a la nación y agentes que se oponen a la voluntad popular. En el actual clima de tensión exacerbada, esta estrategia de alto riesgo podría resultar provechosa por dos razones. Por un lado, toda acción del Parlamento que demore la salida de la UE fortalecerá al núcleo duro del electorado pro-Brexit (un electorado integrado por personas mayores, de derecha, que vive en las zonas rurales, que concibe a Reino Unido como un país blanco y cristiano y se opone fue</w:t>
      </w:r>
      <w:r>
        <w:rPr>
          <w:rFonts w:ascii="Times New Roman" w:hAnsi="Times New Roman" w:cs="Times New Roman"/>
          <w:sz w:val="24"/>
          <w:szCs w:val="24"/>
        </w:rPr>
        <w:t>rtemente al multiculturalismo).</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Por el otro, la desunión de la oposición, su heterogeneidad (existen diferentes grados de oposición al Brexit), su debilidad táctica y la ausencia de un líder incuestionable en su seno, vuelven complicado el triunfo de una coalición de agrupaciones anti-Brexit en el marco de elecciones anticipadas en las que Johnson podría imponerse, en estas circunstancias. Ya que, si bien Johnson quiere salir de la UE, también quiere una mayoría en la Cámara para aplicar su</w:t>
      </w:r>
      <w:r w:rsidR="00554672">
        <w:rPr>
          <w:rFonts w:ascii="Times New Roman" w:hAnsi="Times New Roman" w:cs="Times New Roman"/>
          <w:sz w:val="24"/>
          <w:szCs w:val="24"/>
        </w:rPr>
        <w:t xml:space="preserve"> “terapia de shock”</w:t>
      </w:r>
      <w:r>
        <w:rPr>
          <w:rFonts w:ascii="Times New Roman" w:hAnsi="Times New Roman" w:cs="Times New Roman"/>
          <w:sz w:val="24"/>
          <w:szCs w:val="24"/>
        </w:rPr>
        <w:t xml:space="preserve"> antisocial.</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Así, si la oposición parlamentaria dejara al gobierno conservador en minoría, eso no disgustaría a Johnson, quien se preparó para la batalla electoral. El primer ministro podría incluso ganar la mayoría (algo que señalan actualmente las encuestas) si logra, in extremis, cerrar un acuerdo con la UE. Los países miembros de la UE tienen mucho interés desde un punto de vista económico y político en un nuevo acuerdo (aunque deban hacerse algunas concesiones simbólicas al texto del antiguo acuerdo que sería revisado someramente). Desde luego, los gobiernos europeos están hartos de la saga del Brexit, pero temen an</w:t>
      </w:r>
      <w:r>
        <w:rPr>
          <w:rFonts w:ascii="Times New Roman" w:hAnsi="Times New Roman" w:cs="Times New Roman"/>
          <w:sz w:val="24"/>
          <w:szCs w:val="24"/>
        </w:rPr>
        <w:t>te todo una salida sin acuerdo.</w:t>
      </w:r>
    </w:p>
    <w:p w:rsidR="008F062A" w:rsidRPr="00DA3E8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¿Cómo se llegó a esta situación catastrófica? Primero, por la irresponsabilidad política de David Cameron, el primer ministro conservador que, para poner en vereda a su ala derecha euroescéptica, aceptó organizar un referéndum que pensaba ganar cómodamente. A fines de 2015, nadie hablaba de salir de la UE, y a la gente no le interesaba el tema en absoluto. Cameron puso el dedo en un engranaje fatal. El voto pro-Brexit que se expresó fue en parte un voto antiajuste, en favor de servicios públicos de calidad y un mayor poder adquisitivo; todas cuestiones que pertenecen a la esfera, no de la UE, sino de los Estados nacionales. Otro componente de este voto fue el racismo y la xenofobia, que Farage y algunos conservadores exacerbaron dur</w:t>
      </w:r>
      <w:r>
        <w:rPr>
          <w:rFonts w:ascii="Times New Roman" w:hAnsi="Times New Roman" w:cs="Times New Roman"/>
          <w:sz w:val="24"/>
          <w:szCs w:val="24"/>
        </w:rPr>
        <w:t>ante la campaña del referéndum.</w:t>
      </w:r>
    </w:p>
    <w:p w:rsidR="009C0D45"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Reino Unido, a diferencia por ejemplo de Francia, no tiene una Constitución escrita. Todo se basa pues en la jurisprudencia y las tradiciones. La democracia parlamentaria británica funciona bien en la medida en que sus principales actores estén animados por un espíritu de servicio público, tolerante, pluralista y liberal. Desde 2016, las personas a cargo del gobierno se encuentran entre los políticos más oportunistas que puedan imaginarse. En este tipo de circunstancias, la ausencia de reglas escritas puede crear una situación peligrosa para el buen funcionamiento del gobierno, pero también para la democracia en general. Con Johnson, un aventurero ególatra, los británicos se dan cuenta de que el hombre fuerte del momento puede hacer lo que quiera. Y ésa es, precisamente, la i</w:t>
      </w:r>
      <w:r>
        <w:rPr>
          <w:rFonts w:ascii="Times New Roman" w:hAnsi="Times New Roman" w:cs="Times New Roman"/>
          <w:sz w:val="24"/>
          <w:szCs w:val="24"/>
        </w:rPr>
        <w:t>ntención del ex alumno de Eton.</w:t>
      </w:r>
    </w:p>
    <w:p w:rsidR="008F062A" w:rsidRPr="00554672" w:rsidRDefault="008F062A" w:rsidP="008F062A">
      <w:pPr>
        <w:spacing w:line="240" w:lineRule="auto"/>
        <w:jc w:val="both"/>
        <w:rPr>
          <w:rFonts w:ascii="Times New Roman" w:hAnsi="Times New Roman" w:cs="Times New Roman"/>
          <w:sz w:val="24"/>
          <w:szCs w:val="24"/>
        </w:rPr>
      </w:pPr>
      <w:r w:rsidRPr="00DA3E82">
        <w:rPr>
          <w:rFonts w:ascii="Times New Roman" w:hAnsi="Times New Roman" w:cs="Times New Roman"/>
          <w:sz w:val="24"/>
          <w:szCs w:val="24"/>
        </w:rPr>
        <w:t xml:space="preserve">Fuente: </w:t>
      </w:r>
      <w:hyperlink r:id="rId43" w:history="1">
        <w:r w:rsidR="00554672" w:rsidRPr="00554672">
          <w:rPr>
            <w:rStyle w:val="Hipervnculo"/>
            <w:rFonts w:ascii="Times New Roman" w:hAnsi="Times New Roman" w:cs="Times New Roman"/>
            <w:color w:val="auto"/>
            <w:sz w:val="24"/>
            <w:szCs w:val="24"/>
            <w:u w:val="none"/>
          </w:rPr>
          <w:t>https://blogs.mediapart.fr/philippe-marliere/blog/</w:t>
        </w:r>
      </w:hyperlink>
      <w:r w:rsidRPr="00554672">
        <w:rPr>
          <w:rFonts w:ascii="Times New Roman" w:hAnsi="Times New Roman" w:cs="Times New Roman"/>
          <w:sz w:val="24"/>
          <w:szCs w:val="24"/>
        </w:rPr>
        <w:t>....</w:t>
      </w:r>
    </w:p>
    <w:p w:rsidR="00554672" w:rsidRPr="00DA3E82" w:rsidRDefault="00554672" w:rsidP="008F062A">
      <w:pPr>
        <w:spacing w:line="240" w:lineRule="auto"/>
        <w:jc w:val="both"/>
        <w:rPr>
          <w:rFonts w:ascii="Times New Roman" w:hAnsi="Times New Roman" w:cs="Times New Roman"/>
          <w:sz w:val="24"/>
          <w:szCs w:val="24"/>
        </w:rPr>
      </w:pPr>
    </w:p>
    <w:p w:rsidR="008F062A" w:rsidRPr="00655B5E"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55B5E">
        <w:rPr>
          <w:rFonts w:ascii="Times New Roman" w:hAnsi="Times New Roman" w:cs="Times New Roman"/>
          <w:sz w:val="24"/>
          <w:szCs w:val="24"/>
          <w:u w:val="single"/>
        </w:rPr>
        <w:t>Cuatro rumbos de colisión para la economía global</w:t>
      </w:r>
      <w:r>
        <w:rPr>
          <w:rFonts w:ascii="Times New Roman" w:hAnsi="Times New Roman" w:cs="Times New Roman"/>
          <w:sz w:val="24"/>
          <w:szCs w:val="24"/>
        </w:rPr>
        <w:t xml:space="preserve"> (Project Syndicate - </w:t>
      </w:r>
      <w:r w:rsidRPr="00655B5E">
        <w:rPr>
          <w:rFonts w:ascii="Times New Roman" w:hAnsi="Times New Roman" w:cs="Times New Roman"/>
          <w:b/>
          <w:sz w:val="24"/>
          <w:szCs w:val="24"/>
        </w:rPr>
        <w:t>24/9/19</w:t>
      </w:r>
      <w:r>
        <w:rPr>
          <w:rFonts w:ascii="Times New Roman" w:hAnsi="Times New Roman" w:cs="Times New Roman"/>
          <w:sz w:val="24"/>
          <w:szCs w:val="24"/>
        </w:rPr>
        <w:t>)</w:t>
      </w:r>
    </w:p>
    <w:p w:rsidR="008F062A" w:rsidRPr="00655B5E" w:rsidRDefault="006C3169"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8F062A" w:rsidRPr="00297EB4">
        <w:rPr>
          <w:rFonts w:ascii="Times New Roman" w:hAnsi="Times New Roman" w:cs="Times New Roman"/>
          <w:sz w:val="24"/>
          <w:szCs w:val="24"/>
          <w:u w:val="single"/>
        </w:rPr>
        <w:t>En el clásico “juego del gallina”, dos automovilistas corren directamente el uno hacia el otro, y el primero que se desvía para evitar el choque es el “perdedor”. Pero si ninguno se desvía, es probable que los dos mueran. El estudio de esta clase de situaciones se ha usado para evaluar los riesgos de las rivalidades entre grandes potencias</w:t>
      </w:r>
      <w:r w:rsidR="008F062A" w:rsidRPr="00655B5E">
        <w:rPr>
          <w:rFonts w:ascii="Times New Roman" w:hAnsi="Times New Roman" w:cs="Times New Roman"/>
          <w:sz w:val="24"/>
          <w:szCs w:val="24"/>
        </w:rPr>
        <w:t>. Por ejemplo, en el caso de la crisis de los misiles cubanos, las dirigencias de la Unión Soviética y de Estados Unidos tenían que elegir entre perder el honor o arriesgarse a una colisión catastrófica. La pregunta que se hace siempre es si se puede hallar una solución intermedia en la que cada parte salve a la vez la vida y la credibilidad.</w:t>
      </w:r>
    </w:p>
    <w:p w:rsidR="008F062A" w:rsidRPr="00297EB4" w:rsidRDefault="008F062A" w:rsidP="008F062A">
      <w:pPr>
        <w:spacing w:line="240" w:lineRule="auto"/>
        <w:jc w:val="both"/>
        <w:rPr>
          <w:rFonts w:ascii="Times New Roman" w:hAnsi="Times New Roman" w:cs="Times New Roman"/>
          <w:sz w:val="24"/>
          <w:szCs w:val="24"/>
          <w:u w:val="single"/>
        </w:rPr>
      </w:pPr>
      <w:r w:rsidRPr="00297EB4">
        <w:rPr>
          <w:rFonts w:ascii="Times New Roman" w:hAnsi="Times New Roman" w:cs="Times New Roman"/>
          <w:sz w:val="24"/>
          <w:szCs w:val="24"/>
          <w:u w:val="single"/>
        </w:rPr>
        <w:t>Hoy en el mundo se desarrollan varios juegos del gallina de carácter geoeconómico. En cada caso, si no se encuentra una solución habrá un choque entre ambas partes, y el resultado más probable será una recesión global y una crisis financiera</w:t>
      </w:r>
      <w:r w:rsidRPr="00655B5E">
        <w:rPr>
          <w:rFonts w:ascii="Times New Roman" w:hAnsi="Times New Roman" w:cs="Times New Roman"/>
          <w:sz w:val="24"/>
          <w:szCs w:val="24"/>
        </w:rPr>
        <w:t xml:space="preserve">. </w:t>
      </w:r>
      <w:r w:rsidRPr="00297EB4">
        <w:rPr>
          <w:rFonts w:ascii="Times New Roman" w:hAnsi="Times New Roman" w:cs="Times New Roman"/>
          <w:color w:val="FF0000"/>
          <w:sz w:val="24"/>
          <w:szCs w:val="24"/>
          <w:u w:val="single"/>
        </w:rPr>
        <w:t>El primero y más importante es el conflicto comercial y tecnológico entre Estados Unidos y China. El segundo es la disputa que se está gestando entre Estados Unidos e Irán. Luego en Europa tenemos la escalada del juego de nervios entre el primer ministro británico Boris Johnson y la Unión Europea en relación con el Brexit. Y finalmente Argentina</w:t>
      </w:r>
      <w:r w:rsidRPr="00297EB4">
        <w:rPr>
          <w:rFonts w:ascii="Times New Roman" w:hAnsi="Times New Roman" w:cs="Times New Roman"/>
          <w:sz w:val="24"/>
          <w:szCs w:val="24"/>
          <w:u w:val="single"/>
        </w:rPr>
        <w:t>, que tras la probable victoria del peronista Alberto Fernández en la elección presidencial del mes entrante puede terminar en rumbo de colisión con el Fondo Monetario Internacional.</w:t>
      </w:r>
    </w:p>
    <w:p w:rsidR="008F062A" w:rsidRPr="00655B5E" w:rsidRDefault="008F062A" w:rsidP="008F062A">
      <w:pPr>
        <w:spacing w:line="240" w:lineRule="auto"/>
        <w:jc w:val="both"/>
        <w:rPr>
          <w:rFonts w:ascii="Times New Roman" w:hAnsi="Times New Roman" w:cs="Times New Roman"/>
          <w:sz w:val="24"/>
          <w:szCs w:val="24"/>
        </w:rPr>
      </w:pPr>
      <w:r w:rsidRPr="00297EB4">
        <w:rPr>
          <w:rFonts w:ascii="Times New Roman" w:hAnsi="Times New Roman" w:cs="Times New Roman"/>
          <w:color w:val="FF0000"/>
          <w:sz w:val="24"/>
          <w:szCs w:val="24"/>
          <w:u w:val="single"/>
        </w:rPr>
        <w:t>En el primer caso, una guerra plena comercial, monetaria, tecnológica y finalmente guerra fría entre Estados Unidos y China extendería la actual desaceleración de la industria, el comercio y el gasto en capital al sector servicios y al consumo privado, lo que empujaría a Estados Unidos y a las economías globales a una recesión importante</w:t>
      </w:r>
      <w:r w:rsidRPr="00655B5E">
        <w:rPr>
          <w:rFonts w:ascii="Times New Roman" w:hAnsi="Times New Roman" w:cs="Times New Roman"/>
          <w:sz w:val="24"/>
          <w:szCs w:val="24"/>
        </w:rPr>
        <w:t xml:space="preserve">. </w:t>
      </w:r>
      <w:r w:rsidRPr="00297EB4">
        <w:rPr>
          <w:rFonts w:ascii="Times New Roman" w:hAnsi="Times New Roman" w:cs="Times New Roman"/>
          <w:color w:val="FF0000"/>
          <w:sz w:val="24"/>
          <w:szCs w:val="24"/>
          <w:u w:val="single"/>
        </w:rPr>
        <w:t>En tanto, un conflicto militar entre Estados Unidos e Irán llevaría el petróleo a más de cien dólares por barril y eso provocaría una estanflación (recesión con aumento de la inflación)</w:t>
      </w:r>
      <w:r w:rsidRPr="00655B5E">
        <w:rPr>
          <w:rFonts w:ascii="Times New Roman" w:hAnsi="Times New Roman" w:cs="Times New Roman"/>
          <w:sz w:val="24"/>
          <w:szCs w:val="24"/>
        </w:rPr>
        <w:t>. Es lo que sucedió en 1973 durante la Guerra de Yom Kippur, en 1979 después de la Revolución Iraní y en 1990 tr</w:t>
      </w:r>
      <w:r>
        <w:rPr>
          <w:rFonts w:ascii="Times New Roman" w:hAnsi="Times New Roman" w:cs="Times New Roman"/>
          <w:sz w:val="24"/>
          <w:szCs w:val="24"/>
        </w:rPr>
        <w:t>as la invasión iraquí a Kuwait.</w:t>
      </w:r>
    </w:p>
    <w:p w:rsidR="008F062A" w:rsidRPr="00297EB4" w:rsidRDefault="008F062A" w:rsidP="008F062A">
      <w:pPr>
        <w:spacing w:line="240" w:lineRule="auto"/>
        <w:jc w:val="both"/>
        <w:rPr>
          <w:rFonts w:ascii="Times New Roman" w:hAnsi="Times New Roman" w:cs="Times New Roman"/>
          <w:sz w:val="24"/>
          <w:szCs w:val="24"/>
          <w:u w:val="single"/>
        </w:rPr>
      </w:pPr>
      <w:r w:rsidRPr="00297EB4">
        <w:rPr>
          <w:rFonts w:ascii="Times New Roman" w:hAnsi="Times New Roman" w:cs="Times New Roman"/>
          <w:color w:val="FF0000"/>
          <w:sz w:val="24"/>
          <w:szCs w:val="24"/>
          <w:u w:val="single"/>
        </w:rPr>
        <w:t>En cuanto al Brexit, un choque entre ambas partes tal vez no baste para causar una recesión global, pero sin duda iniciaría una en Europa, que luego se derramaría a otras economías</w:t>
      </w:r>
      <w:r w:rsidRPr="00655B5E">
        <w:rPr>
          <w:rFonts w:ascii="Times New Roman" w:hAnsi="Times New Roman" w:cs="Times New Roman"/>
          <w:sz w:val="24"/>
          <w:szCs w:val="24"/>
        </w:rPr>
        <w:t xml:space="preserve">. La visión convencional indica que un Brexit “duro” provocaría una grave recesión en el Reino Unido pero no en Europa, porque el primero es más dependiente del comercio bilateral que la UE. Pero es una visión ingenua. </w:t>
      </w:r>
      <w:r w:rsidRPr="00297EB4">
        <w:rPr>
          <w:rFonts w:ascii="Times New Roman" w:hAnsi="Times New Roman" w:cs="Times New Roman"/>
          <w:sz w:val="24"/>
          <w:szCs w:val="24"/>
          <w:u w:val="single"/>
        </w:rPr>
        <w:t>La eurozona ya padece una marcada desaceleración y una recesión industrial; y los Países Bajos, Bélgica, Irlanda y Alemania (que se acerca a una recesión) dependen intensamente del mercado de exportaciones al RU.</w:t>
      </w:r>
    </w:p>
    <w:p w:rsidR="008F062A" w:rsidRPr="00297EB4" w:rsidRDefault="008F062A" w:rsidP="008F062A">
      <w:pPr>
        <w:spacing w:line="240" w:lineRule="auto"/>
        <w:jc w:val="both"/>
        <w:rPr>
          <w:rFonts w:ascii="Times New Roman" w:hAnsi="Times New Roman" w:cs="Times New Roman"/>
          <w:sz w:val="24"/>
          <w:szCs w:val="24"/>
          <w:u w:val="single"/>
        </w:rPr>
      </w:pPr>
      <w:r w:rsidRPr="00297EB4">
        <w:rPr>
          <w:rFonts w:ascii="Times New Roman" w:hAnsi="Times New Roman" w:cs="Times New Roman"/>
          <w:color w:val="FF0000"/>
          <w:sz w:val="24"/>
          <w:szCs w:val="24"/>
          <w:u w:val="single"/>
        </w:rPr>
        <w:t>La confianza empresarial en la eurozona ya está deprimida como resultado de las tensiones comerciales sinoestadounidenses, y un Brexit caótico sería la gota que colme el vaso</w:t>
      </w:r>
      <w:r w:rsidRPr="00655B5E">
        <w:rPr>
          <w:rFonts w:ascii="Times New Roman" w:hAnsi="Times New Roman" w:cs="Times New Roman"/>
          <w:sz w:val="24"/>
          <w:szCs w:val="24"/>
        </w:rPr>
        <w:t xml:space="preserve">. Basta imaginar miles de camiones y autos haciendo fila para cumplir los nuevos procedimientos aduaneros en Dover y Calais. </w:t>
      </w:r>
      <w:r w:rsidRPr="00297EB4">
        <w:rPr>
          <w:rFonts w:ascii="Times New Roman" w:hAnsi="Times New Roman" w:cs="Times New Roman"/>
          <w:sz w:val="24"/>
          <w:szCs w:val="24"/>
          <w:u w:val="single"/>
        </w:rPr>
        <w:t>Además, una recesión europea tendría repercusiones con capacidad de debilitar el crecimiento en todo el mundo y tal vez iniciar un episodio de huida del riesgo. Podría incluso provocar nuevas guerras de monedas, si el euro y la libra se devaluaran demasiado respecto de otras divisas (en particular el dólar estadounidense).</w:t>
      </w:r>
    </w:p>
    <w:p w:rsidR="008F062A" w:rsidRPr="00655B5E" w:rsidRDefault="008F062A" w:rsidP="008F062A">
      <w:pPr>
        <w:spacing w:line="240" w:lineRule="auto"/>
        <w:jc w:val="both"/>
        <w:rPr>
          <w:rFonts w:ascii="Times New Roman" w:hAnsi="Times New Roman" w:cs="Times New Roman"/>
          <w:sz w:val="24"/>
          <w:szCs w:val="24"/>
        </w:rPr>
      </w:pPr>
      <w:r w:rsidRPr="00297EB4">
        <w:rPr>
          <w:rFonts w:ascii="Times New Roman" w:hAnsi="Times New Roman" w:cs="Times New Roman"/>
          <w:color w:val="FF0000"/>
          <w:sz w:val="24"/>
          <w:szCs w:val="24"/>
          <w:u w:val="single"/>
        </w:rPr>
        <w:t>Una crisis en Argentina también puede tener consecuencias globales</w:t>
      </w:r>
      <w:r w:rsidRPr="00655B5E">
        <w:rPr>
          <w:rFonts w:ascii="Times New Roman" w:hAnsi="Times New Roman" w:cs="Times New Roman"/>
          <w:sz w:val="24"/>
          <w:szCs w:val="24"/>
        </w:rPr>
        <w:t xml:space="preserve">. Si Fernández derrota al presidente Mauricio Macri y hunde el programa de 57 000 millones de dólares acordado con el FMI, Argentina puede sufrir una repetición de la crisis monetaria con impago de deuda de 2001. Eso puede llevar a un proceso más general de fuga de capitales desde los mercados emergentes, que podría provocar una crisis en países muy endeudados como Turquía, </w:t>
      </w:r>
      <w:r w:rsidRPr="00655B5E">
        <w:rPr>
          <w:rFonts w:ascii="Times New Roman" w:hAnsi="Times New Roman" w:cs="Times New Roman"/>
          <w:sz w:val="24"/>
          <w:szCs w:val="24"/>
        </w:rPr>
        <w:lastRenderedPageBreak/>
        <w:t>Venezuela, Pakistán y el Líbano, y complicar la situación de países como la India, Sudáfrica, China, Brasil, México y Ecuador.</w:t>
      </w:r>
    </w:p>
    <w:p w:rsidR="008F062A" w:rsidRPr="00297EB4" w:rsidRDefault="008F062A" w:rsidP="008F062A">
      <w:pPr>
        <w:spacing w:line="240" w:lineRule="auto"/>
        <w:jc w:val="both"/>
        <w:rPr>
          <w:rFonts w:ascii="Times New Roman" w:hAnsi="Times New Roman" w:cs="Times New Roman"/>
          <w:color w:val="FF0000"/>
          <w:sz w:val="24"/>
          <w:szCs w:val="24"/>
          <w:u w:val="single"/>
        </w:rPr>
      </w:pPr>
      <w:r w:rsidRPr="00297EB4">
        <w:rPr>
          <w:rFonts w:ascii="Times New Roman" w:hAnsi="Times New Roman" w:cs="Times New Roman"/>
          <w:color w:val="FF0000"/>
          <w:sz w:val="24"/>
          <w:szCs w:val="24"/>
          <w:u w:val="single"/>
        </w:rPr>
        <w:t>En los cuatro escenarios, las dos partes en pugna luchan por mantener el honor. El presidente estadounidense Donald Trump quiere un acuerdo con China para estabilizar la economía y los mercados antes de buscar la reelección en 2020; el presidente chino Xi Jinping también quiere un acuerdo para detener la desaceleración de China. Pero ninguno quiere ser el “gallina”, porque eso debilitaría su posición política interna y empoderaría al otro lado. Sin embargo, de no llegarse a un acuerdo antes de fin de año, la colisión se volverá más probable; el riesgo de un mal resultado se acrecienta con cada minuto que pasa.</w:t>
      </w:r>
    </w:p>
    <w:p w:rsidR="008F062A" w:rsidRPr="00655B5E" w:rsidRDefault="008F062A" w:rsidP="008F062A">
      <w:pPr>
        <w:spacing w:line="240" w:lineRule="auto"/>
        <w:jc w:val="both"/>
        <w:rPr>
          <w:rFonts w:ascii="Times New Roman" w:hAnsi="Times New Roman" w:cs="Times New Roman"/>
          <w:sz w:val="24"/>
          <w:szCs w:val="24"/>
        </w:rPr>
      </w:pPr>
      <w:r w:rsidRPr="00655B5E">
        <w:rPr>
          <w:rFonts w:ascii="Times New Roman" w:hAnsi="Times New Roman" w:cs="Times New Roman"/>
          <w:sz w:val="24"/>
          <w:szCs w:val="24"/>
        </w:rPr>
        <w:t>Trump también creyó que podía intimidar a Irán con el abandono del Plan de Acción Integral Conjunto y la imposición de graves sanciones. Pero los iraníes respondieron con una escalada de provocaciones regionales, porque saben que Trump no puede permitirse una guerra total y el encarecimiento del petróleo que traería aparejado. Además, Irán no iniciará negociaciones que den a Trump una oportunidad para la foto hasta que no se levanten algunas sanciones. Como ninguna de las partes quiere dar el brazo a torcer (y la administración Trump tiene detrás a Arabia Saudita e Israel que la incitan a seguir) el ries</w:t>
      </w:r>
      <w:r>
        <w:rPr>
          <w:rFonts w:ascii="Times New Roman" w:hAnsi="Times New Roman" w:cs="Times New Roman"/>
          <w:sz w:val="24"/>
          <w:szCs w:val="24"/>
        </w:rPr>
        <w:t>go de choque es cada vez mayor.</w:t>
      </w:r>
    </w:p>
    <w:p w:rsidR="008F062A" w:rsidRPr="00655B5E" w:rsidRDefault="008F062A" w:rsidP="008F062A">
      <w:pPr>
        <w:spacing w:line="240" w:lineRule="auto"/>
        <w:jc w:val="both"/>
        <w:rPr>
          <w:rFonts w:ascii="Times New Roman" w:hAnsi="Times New Roman" w:cs="Times New Roman"/>
          <w:sz w:val="24"/>
          <w:szCs w:val="24"/>
        </w:rPr>
      </w:pPr>
      <w:r w:rsidRPr="00297EB4">
        <w:rPr>
          <w:rFonts w:ascii="Times New Roman" w:hAnsi="Times New Roman" w:cs="Times New Roman"/>
          <w:sz w:val="24"/>
          <w:szCs w:val="24"/>
          <w:u w:val="single"/>
        </w:rPr>
        <w:t>Tal vez inspirado por Trump, Johnson creyó ingenuamente que podía usar la amenaza de un Brexit duro para intimidar a la UE y así sacarle un acuerdo de salida mejor al obtenido por su predecesora</w:t>
      </w:r>
      <w:r w:rsidRPr="00655B5E">
        <w:rPr>
          <w:rFonts w:ascii="Times New Roman" w:hAnsi="Times New Roman" w:cs="Times New Roman"/>
          <w:sz w:val="24"/>
          <w:szCs w:val="24"/>
        </w:rPr>
        <w:t xml:space="preserve">. Pero ahora que el Parlamento aprobó una ley contraria a un Brexit sin acuerdo, </w:t>
      </w:r>
      <w:r w:rsidRPr="00297EB4">
        <w:rPr>
          <w:rFonts w:ascii="Times New Roman" w:hAnsi="Times New Roman" w:cs="Times New Roman"/>
          <w:sz w:val="24"/>
          <w:szCs w:val="24"/>
          <w:u w:val="single"/>
        </w:rPr>
        <w:t>Johnson está en dos juegos del gallina simultáneos.</w:t>
      </w:r>
      <w:r w:rsidRPr="00655B5E">
        <w:rPr>
          <w:rFonts w:ascii="Times New Roman" w:hAnsi="Times New Roman" w:cs="Times New Roman"/>
          <w:sz w:val="24"/>
          <w:szCs w:val="24"/>
        </w:rPr>
        <w:t xml:space="preserve"> Aunque todavía es posible hallar una solución con la UE para el tema de la “salvaguarda” irlandesa antes del plazo del 31 de octubre, la probabilidad de un Brexit duro de facto también está en aumento.</w:t>
      </w:r>
    </w:p>
    <w:p w:rsidR="008F062A" w:rsidRPr="00655B5E" w:rsidRDefault="008F062A" w:rsidP="008F062A">
      <w:pPr>
        <w:spacing w:line="240" w:lineRule="auto"/>
        <w:jc w:val="both"/>
        <w:rPr>
          <w:rFonts w:ascii="Times New Roman" w:hAnsi="Times New Roman" w:cs="Times New Roman"/>
          <w:sz w:val="24"/>
          <w:szCs w:val="24"/>
        </w:rPr>
      </w:pPr>
      <w:r w:rsidRPr="00655B5E">
        <w:rPr>
          <w:rFonts w:ascii="Times New Roman" w:hAnsi="Times New Roman" w:cs="Times New Roman"/>
          <w:sz w:val="24"/>
          <w:szCs w:val="24"/>
        </w:rPr>
        <w:t xml:space="preserve">En lo referido a Argentina, ambas partes están en pose. Fernández quiere un mandato electoral claro, y hace campaña con el mensaje de que Macri y el FMI son los culpables de todos los problemas del país. </w:t>
      </w:r>
      <w:r w:rsidRPr="00297EB4">
        <w:rPr>
          <w:rFonts w:ascii="Times New Roman" w:hAnsi="Times New Roman" w:cs="Times New Roman"/>
          <w:sz w:val="24"/>
          <w:szCs w:val="24"/>
          <w:u w:val="single"/>
        </w:rPr>
        <w:t>La carta de poder del FMI es obvia: si cancela el próximo tramo de 5400 millones de dólares y pone fin al programa de ayuda, Argentina sufrirá otro colapso financiero. Pero Fernández también tiene una carta de poder, porque una deuda por 57 000 millones de dólares es un problema para cualquier acreedor; un colapso argentino limitaría la capacidad del FMI para ayudar a otras economías en dificultades</w:t>
      </w:r>
      <w:r w:rsidRPr="00655B5E">
        <w:rPr>
          <w:rFonts w:ascii="Times New Roman" w:hAnsi="Times New Roman" w:cs="Times New Roman"/>
          <w:sz w:val="24"/>
          <w:szCs w:val="24"/>
        </w:rPr>
        <w:t>. Como en los otros casos, una solución intermedia honrosa es lo mejor para todos, pero la posibilidad de colisión y debacle financiera no se puede descartar.</w:t>
      </w:r>
    </w:p>
    <w:p w:rsidR="008F062A" w:rsidRPr="00655B5E" w:rsidRDefault="008F062A" w:rsidP="008F062A">
      <w:pPr>
        <w:spacing w:line="240" w:lineRule="auto"/>
        <w:jc w:val="both"/>
        <w:rPr>
          <w:rFonts w:ascii="Times New Roman" w:hAnsi="Times New Roman" w:cs="Times New Roman"/>
          <w:sz w:val="24"/>
          <w:szCs w:val="24"/>
        </w:rPr>
      </w:pPr>
      <w:r w:rsidRPr="00655B5E">
        <w:rPr>
          <w:rFonts w:ascii="Times New Roman" w:hAnsi="Times New Roman" w:cs="Times New Roman"/>
          <w:sz w:val="24"/>
          <w:szCs w:val="24"/>
        </w:rPr>
        <w:t>El problema es que para hallar esa solución, ambas partes tienen que bajar tensiones; pero la lógica táctica del juego del gallina recompensa el comportamiento temerario. Si hago que parezca que ya no tengo forma de torcer la dirección de mi auto, a la otra parte no le queda más opción que desviarse. Pero si las dos partes arrojan el volante por la ventana,</w:t>
      </w:r>
      <w:r>
        <w:rPr>
          <w:rFonts w:ascii="Times New Roman" w:hAnsi="Times New Roman" w:cs="Times New Roman"/>
          <w:sz w:val="24"/>
          <w:szCs w:val="24"/>
        </w:rPr>
        <w:t xml:space="preserve"> ya no podrán evitar el choque.</w:t>
      </w:r>
    </w:p>
    <w:p w:rsidR="008F062A" w:rsidRPr="00A53C8D" w:rsidRDefault="008F062A" w:rsidP="008F062A">
      <w:pPr>
        <w:spacing w:line="240" w:lineRule="auto"/>
        <w:jc w:val="both"/>
        <w:rPr>
          <w:rFonts w:ascii="Times New Roman" w:hAnsi="Times New Roman" w:cs="Times New Roman"/>
          <w:sz w:val="24"/>
          <w:szCs w:val="24"/>
          <w:u w:val="single"/>
        </w:rPr>
      </w:pPr>
      <w:r w:rsidRPr="00A53C8D">
        <w:rPr>
          <w:rFonts w:ascii="Times New Roman" w:hAnsi="Times New Roman" w:cs="Times New Roman"/>
          <w:sz w:val="24"/>
          <w:szCs w:val="24"/>
          <w:u w:val="single"/>
        </w:rPr>
        <w:t>La buena noticia es que en los cuatro escenarios descritos, cada parte todavía dialoga con la otra, o puede estar dispuesta a un diálogo bajo determinadas condiciones honrosas</w:t>
      </w:r>
      <w:r w:rsidRPr="00655B5E">
        <w:rPr>
          <w:rFonts w:ascii="Times New Roman" w:hAnsi="Times New Roman" w:cs="Times New Roman"/>
          <w:sz w:val="24"/>
          <w:szCs w:val="24"/>
        </w:rPr>
        <w:t xml:space="preserve">. </w:t>
      </w:r>
      <w:r w:rsidRPr="00A53C8D">
        <w:rPr>
          <w:rFonts w:ascii="Times New Roman" w:hAnsi="Times New Roman" w:cs="Times New Roman"/>
          <w:sz w:val="24"/>
          <w:szCs w:val="24"/>
          <w:u w:val="single"/>
        </w:rPr>
        <w:t>La mala noticia es que todos todavía están muy lejos de cualquier forma de acuerdo.</w:t>
      </w:r>
      <w:r w:rsidRPr="00655B5E">
        <w:rPr>
          <w:rFonts w:ascii="Times New Roman" w:hAnsi="Times New Roman" w:cs="Times New Roman"/>
          <w:sz w:val="24"/>
          <w:szCs w:val="24"/>
        </w:rPr>
        <w:t xml:space="preserve"> Para peor, la mezcla incluye unos egos enormes, y algunos de ellos tal vez preferirían chocar antes que ser vistos como gallina. </w:t>
      </w:r>
      <w:r w:rsidRPr="00A53C8D">
        <w:rPr>
          <w:rFonts w:ascii="Times New Roman" w:hAnsi="Times New Roman" w:cs="Times New Roman"/>
          <w:sz w:val="24"/>
          <w:szCs w:val="24"/>
          <w:u w:val="single"/>
        </w:rPr>
        <w:t>De modo que el futuro de la economía global está pendiendo de cuatro juegos de nervios que pueden terminar de cualquier manera.</w:t>
      </w:r>
    </w:p>
    <w:p w:rsidR="008F062A" w:rsidRDefault="008F062A" w:rsidP="008F062A">
      <w:pPr>
        <w:spacing w:line="240" w:lineRule="auto"/>
        <w:jc w:val="both"/>
        <w:rPr>
          <w:rFonts w:ascii="Times New Roman" w:hAnsi="Times New Roman" w:cs="Times New Roman"/>
          <w:sz w:val="24"/>
          <w:szCs w:val="24"/>
          <w:lang w:val="en-US"/>
        </w:rPr>
      </w:pPr>
      <w:r w:rsidRPr="00655B5E">
        <w:rPr>
          <w:rFonts w:ascii="Times New Roman" w:hAnsi="Times New Roman" w:cs="Times New Roman"/>
          <w:sz w:val="24"/>
          <w:szCs w:val="24"/>
          <w:lang w:val="en-US"/>
        </w:rPr>
        <w:t xml:space="preserve">(Nouriel Roubini, a professor at NYU’s Stern School of Business and CEO of Roubini Macro Associates, was Senior Economist for International Affairs in the White House’s Council of </w:t>
      </w:r>
      <w:r w:rsidRPr="00655B5E">
        <w:rPr>
          <w:rFonts w:ascii="Times New Roman" w:hAnsi="Times New Roman" w:cs="Times New Roman"/>
          <w:sz w:val="24"/>
          <w:szCs w:val="24"/>
          <w:lang w:val="en-US"/>
        </w:rPr>
        <w:lastRenderedPageBreak/>
        <w:t>Economic Advisers during the Clinton Administration. He has worked for the International Monetary Fund, the US Fede</w:t>
      </w:r>
      <w:r>
        <w:rPr>
          <w:rFonts w:ascii="Times New Roman" w:hAnsi="Times New Roman" w:cs="Times New Roman"/>
          <w:sz w:val="24"/>
          <w:szCs w:val="24"/>
          <w:lang w:val="en-US"/>
        </w:rPr>
        <w:t>ral Reserve, and the World Bank)</w:t>
      </w:r>
    </w:p>
    <w:p w:rsidR="008F062A" w:rsidRPr="005B3695"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 xml:space="preserve">- </w:t>
      </w:r>
      <w:r w:rsidRPr="005B3695">
        <w:rPr>
          <w:rFonts w:ascii="Times New Roman" w:hAnsi="Times New Roman" w:cs="Times New Roman"/>
          <w:sz w:val="24"/>
          <w:szCs w:val="24"/>
          <w:u w:val="single"/>
        </w:rPr>
        <w:t>Del supremacismo anglo al complejo latino</w:t>
      </w:r>
      <w:r>
        <w:rPr>
          <w:rFonts w:ascii="Times New Roman" w:hAnsi="Times New Roman" w:cs="Times New Roman"/>
          <w:sz w:val="24"/>
          <w:szCs w:val="24"/>
        </w:rPr>
        <w:t xml:space="preserve"> (Cinco Días - </w:t>
      </w:r>
      <w:r w:rsidRPr="005B3695">
        <w:rPr>
          <w:rFonts w:ascii="Times New Roman" w:hAnsi="Times New Roman" w:cs="Times New Roman"/>
          <w:b/>
          <w:sz w:val="24"/>
          <w:szCs w:val="24"/>
        </w:rPr>
        <w:t>27/9/19</w:t>
      </w:r>
      <w:r>
        <w:rPr>
          <w:rFonts w:ascii="Times New Roman" w:hAnsi="Times New Roman" w:cs="Times New Roman"/>
          <w:sz w:val="24"/>
          <w:szCs w:val="24"/>
        </w:rPr>
        <w:t>)</w:t>
      </w:r>
    </w:p>
    <w:p w:rsidR="008F062A"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(Por Aurelio Medel Vicente</w:t>
      </w:r>
      <w:r>
        <w:rPr>
          <w:rFonts w:ascii="Times New Roman" w:hAnsi="Times New Roman" w:cs="Times New Roman"/>
          <w:sz w:val="24"/>
          <w:szCs w:val="24"/>
        </w:rPr>
        <w:t>)</w:t>
      </w:r>
    </w:p>
    <w:p w:rsidR="008F062A" w:rsidRPr="00CB30A5" w:rsidRDefault="008F062A" w:rsidP="008F062A">
      <w:pPr>
        <w:spacing w:line="240" w:lineRule="auto"/>
        <w:jc w:val="both"/>
        <w:rPr>
          <w:rFonts w:ascii="Times New Roman" w:hAnsi="Times New Roman" w:cs="Times New Roman"/>
          <w:sz w:val="24"/>
          <w:szCs w:val="24"/>
          <w:u w:val="single"/>
        </w:rPr>
      </w:pPr>
      <w:r w:rsidRPr="00CB30A5">
        <w:rPr>
          <w:rFonts w:ascii="Times New Roman" w:hAnsi="Times New Roman" w:cs="Times New Roman"/>
          <w:sz w:val="24"/>
          <w:szCs w:val="24"/>
          <w:u w:val="single"/>
        </w:rPr>
        <w:t>Donald Trump y Boris Johnson están viviendo seguramente sus peores momentos políticos, pero eso no debería tranquilizar a nadie. Trump y Johnson serían una anécdota si no tuvieran detrás tanto apoyo, y no solo popular, no solo del mundo no informado. Su gran sostén está en una parte relevante de las élites, que guiada por la miopía fiscal resume su vida en que con Trump van a pagar menos y habrá un retorno a las esencias.</w:t>
      </w:r>
    </w:p>
    <w:p w:rsidR="008F062A" w:rsidRPr="00CB30A5" w:rsidRDefault="008F062A" w:rsidP="008F062A">
      <w:pPr>
        <w:spacing w:line="240" w:lineRule="auto"/>
        <w:jc w:val="both"/>
        <w:rPr>
          <w:rFonts w:ascii="Times New Roman" w:hAnsi="Times New Roman" w:cs="Times New Roman"/>
          <w:sz w:val="24"/>
          <w:szCs w:val="24"/>
          <w:u w:val="single"/>
        </w:rPr>
      </w:pPr>
      <w:r w:rsidRPr="00CB30A5">
        <w:rPr>
          <w:rFonts w:ascii="Times New Roman" w:hAnsi="Times New Roman" w:cs="Times New Roman"/>
          <w:color w:val="FF0000"/>
          <w:sz w:val="24"/>
          <w:szCs w:val="24"/>
          <w:u w:val="single"/>
        </w:rPr>
        <w:t>El comportamiento de Trump &amp; Johnson no es convencional, es ilegal y grosero con sus contrincantes. Lo que más une a los dos dirigentes es esa especie de supremacismo anglosajón, que les hace estar absolutamente convencidos de que sus países son los mejores del mundo (puede que sea verdad) y que no necesitan a nadie (seguramente falso).</w:t>
      </w:r>
      <w:r w:rsidRPr="00CB30A5">
        <w:rPr>
          <w:rFonts w:ascii="Times New Roman" w:hAnsi="Times New Roman" w:cs="Times New Roman"/>
          <w:sz w:val="24"/>
          <w:szCs w:val="24"/>
          <w:u w:val="single"/>
        </w:rPr>
        <w:t xml:space="preserve">Este supremacismo sería cómico si no ocuparan </w:t>
      </w:r>
      <w:r w:rsidR="006C3169">
        <w:rPr>
          <w:rFonts w:ascii="Times New Roman" w:hAnsi="Times New Roman" w:cs="Times New Roman"/>
          <w:sz w:val="24"/>
          <w:szCs w:val="24"/>
          <w:u w:val="single"/>
        </w:rPr>
        <w:t>las residencias oficiales de EE</w:t>
      </w:r>
      <w:r w:rsidRPr="00CB30A5">
        <w:rPr>
          <w:rFonts w:ascii="Times New Roman" w:hAnsi="Times New Roman" w:cs="Times New Roman"/>
          <w:sz w:val="24"/>
          <w:szCs w:val="24"/>
          <w:u w:val="single"/>
        </w:rPr>
        <w:t>UU y Reino Unido. Su comportamiento tiene que ver con el supremacismo blanco que, atención, el viernes pasado ha sido incluido en la lista de amenazas terroristas por el departamento de Seguridad Interior de Estados Unidos.</w:t>
      </w:r>
      <w:r w:rsidRPr="005B3695">
        <w:rPr>
          <w:rFonts w:ascii="Times New Roman" w:hAnsi="Times New Roman" w:cs="Times New Roman"/>
          <w:sz w:val="24"/>
          <w:szCs w:val="24"/>
        </w:rPr>
        <w:t xml:space="preserve"> Esta ideología radical está provocando atentados y causando muertes. </w:t>
      </w:r>
      <w:r w:rsidRPr="00CB30A5">
        <w:rPr>
          <w:rFonts w:ascii="Times New Roman" w:hAnsi="Times New Roman" w:cs="Times New Roman"/>
          <w:sz w:val="24"/>
          <w:szCs w:val="24"/>
          <w:u w:val="single"/>
        </w:rPr>
        <w:t>Cuidado con las bufonadas que terminan con muertos.</w:t>
      </w:r>
    </w:p>
    <w:p w:rsidR="008F062A" w:rsidRPr="005B3695" w:rsidRDefault="008F062A" w:rsidP="008F062A">
      <w:pPr>
        <w:spacing w:line="240" w:lineRule="auto"/>
        <w:jc w:val="both"/>
        <w:rPr>
          <w:rFonts w:ascii="Times New Roman" w:hAnsi="Times New Roman" w:cs="Times New Roman"/>
          <w:sz w:val="24"/>
          <w:szCs w:val="24"/>
        </w:rPr>
      </w:pPr>
      <w:r w:rsidRPr="00CB30A5">
        <w:rPr>
          <w:rFonts w:ascii="Times New Roman" w:hAnsi="Times New Roman" w:cs="Times New Roman"/>
          <w:sz w:val="24"/>
          <w:szCs w:val="24"/>
          <w:u w:val="single"/>
        </w:rPr>
        <w:t>Por tanto, la mala noticia es cómo es posible que estos dos personajes hayan llegado a dirigir Estados Unidos y Reino Unido, pero la buena, la buenísima, es que en estos dos grandes países las instituciones funcionan y Trump está ante un proceso de impeachment y Johnson ha tenido que soportar uno de los mayores ridículos de la historia británica al acusarle su Tribunal Supremo de engañar a la Reina para cerrar el Parlamento Británico, que ha vuelto a reabrir</w:t>
      </w:r>
      <w:r w:rsidRPr="005B3695">
        <w:rPr>
          <w:rFonts w:ascii="Times New Roman" w:hAnsi="Times New Roman" w:cs="Times New Roman"/>
          <w:sz w:val="24"/>
          <w:szCs w:val="24"/>
        </w:rPr>
        <w:t>.</w:t>
      </w:r>
    </w:p>
    <w:p w:rsidR="008F062A" w:rsidRPr="00CB30A5" w:rsidRDefault="008F062A" w:rsidP="008F062A">
      <w:pPr>
        <w:spacing w:line="240" w:lineRule="auto"/>
        <w:jc w:val="both"/>
        <w:rPr>
          <w:rFonts w:ascii="Times New Roman" w:hAnsi="Times New Roman" w:cs="Times New Roman"/>
          <w:sz w:val="24"/>
          <w:szCs w:val="24"/>
          <w:u w:val="single"/>
        </w:rPr>
      </w:pPr>
      <w:r w:rsidRPr="00CB30A5">
        <w:rPr>
          <w:rFonts w:ascii="Times New Roman" w:hAnsi="Times New Roman" w:cs="Times New Roman"/>
          <w:color w:val="FF0000"/>
          <w:sz w:val="24"/>
          <w:szCs w:val="24"/>
          <w:u w:val="single"/>
        </w:rPr>
        <w:t>La humanidad tiene grandes retos, pero hay tres en los que hay un gran consenso: la inclusión social, la igualdad de la mujer y el cambio climático</w:t>
      </w:r>
      <w:r w:rsidRPr="005B3695">
        <w:rPr>
          <w:rFonts w:ascii="Times New Roman" w:hAnsi="Times New Roman" w:cs="Times New Roman"/>
          <w:sz w:val="24"/>
          <w:szCs w:val="24"/>
        </w:rPr>
        <w:t xml:space="preserve">. Sobre los tres puntos tienen opiniones y hechos que dejan muy clara su posición, especialmente en el caso de Trump, Johnson lleva semanas en el poder, aunque lleva una vida dando opiniones. </w:t>
      </w:r>
      <w:r w:rsidRPr="00CB30A5">
        <w:rPr>
          <w:rFonts w:ascii="Times New Roman" w:hAnsi="Times New Roman" w:cs="Times New Roman"/>
          <w:sz w:val="24"/>
          <w:szCs w:val="24"/>
          <w:u w:val="single"/>
        </w:rPr>
        <w:t>Da la impresión de que a ambos estos tres problemas/retos les importan muy poco.</w:t>
      </w:r>
    </w:p>
    <w:p w:rsidR="008F062A" w:rsidRPr="005B3695" w:rsidRDefault="008F062A" w:rsidP="008F062A">
      <w:pPr>
        <w:spacing w:line="240" w:lineRule="auto"/>
        <w:jc w:val="both"/>
        <w:rPr>
          <w:rFonts w:ascii="Times New Roman" w:hAnsi="Times New Roman" w:cs="Times New Roman"/>
          <w:sz w:val="24"/>
          <w:szCs w:val="24"/>
        </w:rPr>
      </w:pPr>
      <w:r w:rsidRPr="00CB30A5">
        <w:rPr>
          <w:rFonts w:ascii="Times New Roman" w:hAnsi="Times New Roman" w:cs="Times New Roman"/>
          <w:sz w:val="24"/>
          <w:szCs w:val="24"/>
          <w:u w:val="single"/>
        </w:rPr>
        <w:t>La inclusión social parte de tener crecimiento económico</w:t>
      </w:r>
      <w:r w:rsidRPr="005B3695">
        <w:rPr>
          <w:rFonts w:ascii="Times New Roman" w:hAnsi="Times New Roman" w:cs="Times New Roman"/>
          <w:sz w:val="24"/>
          <w:szCs w:val="24"/>
        </w:rPr>
        <w:t>, de manera que haya trabajo que desarrollar con el construir al desarrollo de una vida plena e impuestos que pagar con los que atender los servicios sociales con los que contribuir a que los desheredados de la tierra sean los mínimos posibles. La realidad es que la guerra comercial declarada por Trump y el Brexit defendido por Johnson contribuyen a que haya más desigualdad. La primera consecuencia de mermar el comercio mundial es menos trabajo y más inflación, los precios más altos van directamente a la cesta de la compra de los más desfavorecidos. Los de arriba nunca sabrán c</w:t>
      </w:r>
      <w:r>
        <w:rPr>
          <w:rFonts w:ascii="Times New Roman" w:hAnsi="Times New Roman" w:cs="Times New Roman"/>
          <w:sz w:val="24"/>
          <w:szCs w:val="24"/>
        </w:rPr>
        <w:t>uánto cuesta un litro de leche.</w:t>
      </w:r>
    </w:p>
    <w:p w:rsidR="008F062A" w:rsidRPr="005B3695" w:rsidRDefault="008F062A" w:rsidP="008F062A">
      <w:pPr>
        <w:spacing w:line="240" w:lineRule="auto"/>
        <w:jc w:val="both"/>
        <w:rPr>
          <w:rFonts w:ascii="Times New Roman" w:hAnsi="Times New Roman" w:cs="Times New Roman"/>
          <w:sz w:val="24"/>
          <w:szCs w:val="24"/>
        </w:rPr>
      </w:pPr>
      <w:r w:rsidRPr="00CB30A5">
        <w:rPr>
          <w:rFonts w:ascii="Times New Roman" w:hAnsi="Times New Roman" w:cs="Times New Roman"/>
          <w:sz w:val="24"/>
          <w:szCs w:val="24"/>
          <w:u w:val="single"/>
        </w:rPr>
        <w:t>Si hablamos se habla del cambio climático, la actitud de Trump es simplemente negacionista.</w:t>
      </w:r>
      <w:r w:rsidRPr="005B3695">
        <w:rPr>
          <w:rFonts w:ascii="Times New Roman" w:hAnsi="Times New Roman" w:cs="Times New Roman"/>
          <w:sz w:val="24"/>
          <w:szCs w:val="24"/>
        </w:rPr>
        <w:t xml:space="preserve"> Lo peor es que su mandato va a suponer un retroceso enorme en las políticas de protección del medioambiente. En cuanto a Johnson, lo que se conoce son generalidades que en ningún caso hacen pensar que esté en la misma línea que Tr</w:t>
      </w:r>
      <w:r>
        <w:rPr>
          <w:rFonts w:ascii="Times New Roman" w:hAnsi="Times New Roman" w:cs="Times New Roman"/>
          <w:sz w:val="24"/>
          <w:szCs w:val="24"/>
        </w:rPr>
        <w:t>ump o el presidente de Brasil</w:t>
      </w:r>
    </w:p>
    <w:p w:rsidR="008F062A" w:rsidRPr="005B3695" w:rsidRDefault="008F062A" w:rsidP="008F062A">
      <w:pPr>
        <w:spacing w:line="240" w:lineRule="auto"/>
        <w:jc w:val="both"/>
        <w:rPr>
          <w:rFonts w:ascii="Times New Roman" w:hAnsi="Times New Roman" w:cs="Times New Roman"/>
          <w:sz w:val="24"/>
          <w:szCs w:val="24"/>
        </w:rPr>
      </w:pPr>
      <w:r w:rsidRPr="00CB30A5">
        <w:rPr>
          <w:rFonts w:ascii="Times New Roman" w:hAnsi="Times New Roman" w:cs="Times New Roman"/>
          <w:sz w:val="24"/>
          <w:szCs w:val="24"/>
          <w:u w:val="single"/>
        </w:rPr>
        <w:t>Respecto a la igualdad de la mujer, los hechos son muy tozudos</w:t>
      </w:r>
      <w:r w:rsidRPr="005B3695">
        <w:rPr>
          <w:rFonts w:ascii="Times New Roman" w:hAnsi="Times New Roman" w:cs="Times New Roman"/>
          <w:sz w:val="24"/>
          <w:szCs w:val="24"/>
        </w:rPr>
        <w:t xml:space="preserve"> en el caso de Trump y no merece la pena elaborar mucho más. En el de Johnson, su currículum no está muy lejos, pero la pátina de intelectual que le da Oxford y su, a veces, cuidada retórica le hace parecer otra </w:t>
      </w:r>
      <w:r w:rsidRPr="005B3695">
        <w:rPr>
          <w:rFonts w:ascii="Times New Roman" w:hAnsi="Times New Roman" w:cs="Times New Roman"/>
          <w:sz w:val="24"/>
          <w:szCs w:val="24"/>
        </w:rPr>
        <w:lastRenderedPageBreak/>
        <w:t>cosa. Lo que sabemos es que está separado, que con su actual novia tuvo un bronca en julio que llevó a que los vecinos llamaran a la policía y lo más reciente que sirve la prensa británica es que siendo alcalde de Londres favoreció a una ex modelo californiana, que en Londres hizo currículum de emprendedora digital, con la que t</w:t>
      </w:r>
      <w:r>
        <w:rPr>
          <w:rFonts w:ascii="Times New Roman" w:hAnsi="Times New Roman" w:cs="Times New Roman"/>
          <w:sz w:val="24"/>
          <w:szCs w:val="24"/>
        </w:rPr>
        <w:t>enía una relación muy especial.</w:t>
      </w:r>
    </w:p>
    <w:p w:rsidR="008F062A" w:rsidRPr="005B3695"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Esto último lo ha publicado The Sunday Times, el periódico hermano de The Times, medio para el que trabajó Johnson y del que fue despedido por inventarse informaciones. Para quien tenga interés en profundizar en el conocimiento del político británico es muy recomendable el artículo “La delirante trayectoria de Boris Johnson”, publicado en el suplemento Ideas, de El País, cuyo autor es Fintan O´Toole,</w:t>
      </w:r>
      <w:r>
        <w:rPr>
          <w:rFonts w:ascii="Times New Roman" w:hAnsi="Times New Roman" w:cs="Times New Roman"/>
          <w:sz w:val="24"/>
          <w:szCs w:val="24"/>
        </w:rPr>
        <w:t xml:space="preserve"> crítico y columnista irlandés.</w:t>
      </w:r>
    </w:p>
    <w:p w:rsidR="008F062A" w:rsidRPr="005B3695"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El grupo The Times pertenece a News International, la multinacional de la comunicación propiedad de Rupert Murdoch, dueño de la Fox, sin cuyo canal de noticias (Fox News) no se puede entender la llegada de Trump al poder. (Otra recomendación, la serie The Loudest Voice, se puede ver en Movistar). Trump &amp; Johnson dos grandes aficionados a las fake news, dos grandes conocedores de las herramientas de la comunicación de masas de hoy, cuyo f</w:t>
      </w:r>
      <w:r>
        <w:rPr>
          <w:rFonts w:ascii="Times New Roman" w:hAnsi="Times New Roman" w:cs="Times New Roman"/>
          <w:sz w:val="24"/>
          <w:szCs w:val="24"/>
        </w:rPr>
        <w:t>undamento es la desinformación.</w:t>
      </w:r>
    </w:p>
    <w:p w:rsidR="008F062A" w:rsidRPr="00CB30A5" w:rsidRDefault="008F062A" w:rsidP="008F062A">
      <w:pPr>
        <w:spacing w:line="240" w:lineRule="auto"/>
        <w:jc w:val="both"/>
        <w:rPr>
          <w:rFonts w:ascii="Times New Roman" w:hAnsi="Times New Roman" w:cs="Times New Roman"/>
          <w:color w:val="FF0000"/>
          <w:sz w:val="24"/>
          <w:szCs w:val="24"/>
          <w:u w:val="single"/>
        </w:rPr>
      </w:pPr>
      <w:r w:rsidRPr="00CB30A5">
        <w:rPr>
          <w:rFonts w:ascii="Times New Roman" w:hAnsi="Times New Roman" w:cs="Times New Roman"/>
          <w:color w:val="FF0000"/>
          <w:sz w:val="24"/>
          <w:szCs w:val="24"/>
          <w:u w:val="single"/>
        </w:rPr>
        <w:t>Europa Continental, de la que tanto reniega Johnson, tiene una oportunidad magnífica para retomar el liderazgo intelectual del mundo. Para eso los países del sur, a los que tanto han acomplejado durante la crisis, metiéndolos en una granja de acrónimos como PIGS (Portugal, Italia, Grecia y España), tienen que subirse al tren de Alemania y Francia y defender sin complejos su cultura, su contrato social.</w:t>
      </w:r>
    </w:p>
    <w:p w:rsidR="008F062A" w:rsidRPr="00CB30A5" w:rsidRDefault="008F062A" w:rsidP="008F062A">
      <w:pPr>
        <w:spacing w:line="240" w:lineRule="auto"/>
        <w:jc w:val="both"/>
        <w:rPr>
          <w:rFonts w:ascii="Times New Roman" w:hAnsi="Times New Roman" w:cs="Times New Roman"/>
          <w:sz w:val="24"/>
          <w:szCs w:val="24"/>
          <w:u w:val="single"/>
        </w:rPr>
      </w:pPr>
      <w:r w:rsidRPr="00CB30A5">
        <w:rPr>
          <w:rFonts w:ascii="Times New Roman" w:hAnsi="Times New Roman" w:cs="Times New Roman"/>
          <w:sz w:val="24"/>
          <w:szCs w:val="24"/>
          <w:u w:val="single"/>
        </w:rPr>
        <w:t>Italia ha sabido desprenderse de Salvini, el gemelo latino de Trump &amp; Johnson; Portugal ha dado una lección por la izquierda; Francia y Alemania tienen a los líderes proeuropeos más sólidos, y falta que España tenga un jefe claro y rotundo en quien mirarse. Los que tienen posibilidades reales de armar un pacto de Gobierno (Pedro Sánchez y Pablo Casado) apuntan buenas maneras.</w:t>
      </w:r>
    </w:p>
    <w:p w:rsidR="008F062A" w:rsidRPr="005B3695" w:rsidRDefault="008F062A" w:rsidP="008F062A">
      <w:pPr>
        <w:spacing w:line="240" w:lineRule="auto"/>
        <w:jc w:val="both"/>
        <w:rPr>
          <w:rFonts w:ascii="Times New Roman" w:hAnsi="Times New Roman" w:cs="Times New Roman"/>
          <w:sz w:val="24"/>
          <w:szCs w:val="24"/>
        </w:rPr>
      </w:pPr>
      <w:r w:rsidRPr="00CB30A5">
        <w:rPr>
          <w:rFonts w:ascii="Times New Roman" w:hAnsi="Times New Roman" w:cs="Times New Roman"/>
          <w:sz w:val="24"/>
          <w:szCs w:val="24"/>
          <w:u w:val="single"/>
        </w:rPr>
        <w:t>“Vivimos una época en la que no pensábamos tener los personajes que gobiernan el mundo”.</w:t>
      </w:r>
      <w:r w:rsidRPr="005B3695">
        <w:rPr>
          <w:rFonts w:ascii="Times New Roman" w:hAnsi="Times New Roman" w:cs="Times New Roman"/>
          <w:sz w:val="24"/>
          <w:szCs w:val="24"/>
        </w:rPr>
        <w:t xml:space="preserve"> Decía en</w:t>
      </w:r>
      <w:r w:rsidR="00550AB2">
        <w:rPr>
          <w:rFonts w:ascii="Times New Roman" w:hAnsi="Times New Roman" w:cs="Times New Roman"/>
          <w:sz w:val="24"/>
          <w:szCs w:val="24"/>
        </w:rPr>
        <w:t xml:space="preserve"> el</w:t>
      </w:r>
      <w:r w:rsidRPr="005B3695">
        <w:rPr>
          <w:rFonts w:ascii="Times New Roman" w:hAnsi="Times New Roman" w:cs="Times New Roman"/>
          <w:sz w:val="24"/>
          <w:szCs w:val="24"/>
        </w:rPr>
        <w:t xml:space="preserve"> Diario de Burgos Ginés Clemente, CEO de la aeronáutica Aciturri, con moderación castellana.</w:t>
      </w:r>
    </w:p>
    <w:p w:rsidR="008F062A"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B3695">
        <w:rPr>
          <w:rFonts w:ascii="Times New Roman" w:hAnsi="Times New Roman" w:cs="Times New Roman"/>
          <w:sz w:val="24"/>
          <w:szCs w:val="24"/>
        </w:rPr>
        <w:t>Aurelio Medel es Doctor en Ciencias de la Información y profesor de la Universidad Complutense</w:t>
      </w:r>
      <w:r>
        <w:rPr>
          <w:rFonts w:ascii="Times New Roman" w:hAnsi="Times New Roman" w:cs="Times New Roman"/>
          <w:sz w:val="24"/>
          <w:szCs w:val="24"/>
        </w:rPr>
        <w:t>)</w:t>
      </w:r>
    </w:p>
    <w:p w:rsidR="008F062A" w:rsidRPr="005B3695"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B3695">
        <w:rPr>
          <w:rFonts w:ascii="Times New Roman" w:hAnsi="Times New Roman" w:cs="Times New Roman"/>
          <w:sz w:val="24"/>
          <w:szCs w:val="24"/>
          <w:u w:val="single"/>
        </w:rPr>
        <w:t>Una Comisión Europea fuerte para recuperar el peso glob</w:t>
      </w:r>
      <w:r w:rsidR="00197FCC">
        <w:rPr>
          <w:rFonts w:ascii="Times New Roman" w:hAnsi="Times New Roman" w:cs="Times New Roman"/>
          <w:sz w:val="24"/>
          <w:szCs w:val="24"/>
          <w:u w:val="single"/>
        </w:rPr>
        <w:t>al de la UE</w:t>
      </w:r>
      <w:r>
        <w:rPr>
          <w:rFonts w:ascii="Times New Roman" w:hAnsi="Times New Roman" w:cs="Times New Roman"/>
          <w:sz w:val="24"/>
          <w:szCs w:val="24"/>
        </w:rPr>
        <w:t xml:space="preserve">(El Confidencial - </w:t>
      </w:r>
      <w:r w:rsidRPr="005B3695">
        <w:rPr>
          <w:rFonts w:ascii="Times New Roman" w:hAnsi="Times New Roman" w:cs="Times New Roman"/>
          <w:b/>
          <w:sz w:val="24"/>
          <w:szCs w:val="24"/>
        </w:rPr>
        <w:t>27/9/19</w:t>
      </w:r>
      <w:r>
        <w:rPr>
          <w:rFonts w:ascii="Times New Roman" w:hAnsi="Times New Roman" w:cs="Times New Roman"/>
          <w:sz w:val="24"/>
          <w:szCs w:val="24"/>
        </w:rPr>
        <w:t>)</w:t>
      </w:r>
    </w:p>
    <w:p w:rsidR="008F062A" w:rsidRPr="00CB30A5" w:rsidRDefault="008F062A" w:rsidP="008F062A">
      <w:pPr>
        <w:spacing w:line="240" w:lineRule="auto"/>
        <w:jc w:val="both"/>
        <w:rPr>
          <w:rFonts w:ascii="Times New Roman" w:hAnsi="Times New Roman" w:cs="Times New Roman"/>
          <w:color w:val="FF0000"/>
          <w:sz w:val="24"/>
          <w:szCs w:val="24"/>
        </w:rPr>
      </w:pPr>
      <w:r w:rsidRPr="00CB30A5">
        <w:rPr>
          <w:rFonts w:ascii="Times New Roman" w:hAnsi="Times New Roman" w:cs="Times New Roman"/>
          <w:color w:val="FF0000"/>
          <w:sz w:val="24"/>
          <w:szCs w:val="24"/>
        </w:rPr>
        <w:t>Migración, cambio climático, Brexit, un euro fuerte ante una posible recesión, la guerra EEUU-China... ¿Será capaz la Comisión Europea de hacer frente a todos estos retos?</w:t>
      </w:r>
    </w:p>
    <w:p w:rsidR="008F062A"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t>(Por Eva Valle)</w:t>
      </w:r>
    </w:p>
    <w:p w:rsidR="008F062A" w:rsidRPr="00CB30A5" w:rsidRDefault="008F062A" w:rsidP="008F062A">
      <w:pPr>
        <w:spacing w:line="240" w:lineRule="auto"/>
        <w:jc w:val="both"/>
        <w:rPr>
          <w:rFonts w:ascii="Times New Roman" w:hAnsi="Times New Roman" w:cs="Times New Roman"/>
          <w:color w:val="FF0000"/>
          <w:sz w:val="24"/>
          <w:szCs w:val="24"/>
          <w:u w:val="single"/>
        </w:rPr>
      </w:pPr>
      <w:r w:rsidRPr="00CB30A5">
        <w:rPr>
          <w:rFonts w:ascii="Times New Roman" w:hAnsi="Times New Roman" w:cs="Times New Roman"/>
          <w:color w:val="FF0000"/>
          <w:sz w:val="24"/>
          <w:szCs w:val="24"/>
          <w:u w:val="single"/>
        </w:rPr>
        <w:t>En poco más de 30 días, y tras unas complejas elecciones al Parlamento Europeo, una nueva Comisión, el poder ejecutivo de la Unión Europea, tomará las riendas.</w:t>
      </w:r>
    </w:p>
    <w:p w:rsidR="008F062A" w:rsidRPr="00CB30A5" w:rsidRDefault="008F062A" w:rsidP="008F062A">
      <w:pPr>
        <w:spacing w:line="240" w:lineRule="auto"/>
        <w:jc w:val="both"/>
        <w:rPr>
          <w:rFonts w:ascii="Times New Roman" w:hAnsi="Times New Roman" w:cs="Times New Roman"/>
          <w:color w:val="FF0000"/>
          <w:sz w:val="24"/>
          <w:szCs w:val="24"/>
          <w:u w:val="single"/>
        </w:rPr>
      </w:pPr>
      <w:r w:rsidRPr="00CB30A5">
        <w:rPr>
          <w:rFonts w:ascii="Times New Roman" w:hAnsi="Times New Roman" w:cs="Times New Roman"/>
          <w:color w:val="FF0000"/>
          <w:sz w:val="24"/>
          <w:szCs w:val="24"/>
          <w:u w:val="single"/>
        </w:rPr>
        <w:t xml:space="preserve">Y lo hará en un momento en que todavía estamos superando las consecuencias políticas que nos ha dejado una durísima crisis económica que, entre otras cosas, ha puesto a prueba la vocación de integración europea; en un momento en que, salvo improbable sorpresa de última hora, uno de sus miembros más relevantes dejará la Unión Europea justo al mismo tiempo que llega el nuevo Ejecutivo; en un momento en que la escena global está protagonizada por </w:t>
      </w:r>
      <w:r w:rsidRPr="00CB30A5">
        <w:rPr>
          <w:rFonts w:ascii="Times New Roman" w:hAnsi="Times New Roman" w:cs="Times New Roman"/>
          <w:color w:val="FF0000"/>
          <w:sz w:val="24"/>
          <w:szCs w:val="24"/>
          <w:u w:val="single"/>
        </w:rPr>
        <w:lastRenderedPageBreak/>
        <w:t>el enfrentamiento de Estados Unidos y China por la hegemonía global y que ahora mismo supone la principal amenaza para la economía mundial, y en un momento en que, además, las economías de algunos de los principales Estados miembros muestran signos de ralentización.</w:t>
      </w:r>
    </w:p>
    <w:p w:rsidR="008F062A" w:rsidRPr="005B3695" w:rsidRDefault="008F062A" w:rsidP="008F062A">
      <w:pPr>
        <w:spacing w:line="240" w:lineRule="auto"/>
        <w:jc w:val="both"/>
        <w:rPr>
          <w:rFonts w:ascii="Times New Roman" w:hAnsi="Times New Roman" w:cs="Times New Roman"/>
          <w:sz w:val="24"/>
          <w:szCs w:val="24"/>
        </w:rPr>
      </w:pPr>
      <w:r w:rsidRPr="00EA483B">
        <w:rPr>
          <w:rFonts w:ascii="Times New Roman" w:hAnsi="Times New Roman" w:cs="Times New Roman"/>
          <w:sz w:val="24"/>
          <w:szCs w:val="24"/>
          <w:u w:val="single"/>
        </w:rPr>
        <w:t>En los últimos años, la Comisión ha ejercido un liderazgo político mayor que el que inicialmente le conferían los tratados</w:t>
      </w:r>
      <w:r w:rsidRPr="005B3695">
        <w:rPr>
          <w:rFonts w:ascii="Times New Roman" w:hAnsi="Times New Roman" w:cs="Times New Roman"/>
          <w:sz w:val="24"/>
          <w:szCs w:val="24"/>
        </w:rPr>
        <w:t>. La profundización en el proceso de integración, el aumento del número de Estados miembros, el calado de la crisis de 2008 y la creciente necesidad de rendir cuentas que se exige a los pod</w:t>
      </w:r>
      <w:r w:rsidR="009121B0">
        <w:rPr>
          <w:rFonts w:ascii="Times New Roman" w:hAnsi="Times New Roman" w:cs="Times New Roman"/>
          <w:sz w:val="24"/>
          <w:szCs w:val="24"/>
        </w:rPr>
        <w:t>eres públicos han llevado a la “guardiana de los tratados”</w:t>
      </w:r>
      <w:r w:rsidRPr="005B3695">
        <w:rPr>
          <w:rFonts w:ascii="Times New Roman" w:hAnsi="Times New Roman" w:cs="Times New Roman"/>
          <w:sz w:val="24"/>
          <w:szCs w:val="24"/>
        </w:rPr>
        <w:t xml:space="preserve"> a trascender la misión cuasi arbitral, técnica y de supervisión para la que fue creada y adoptar un carácter más político.</w:t>
      </w:r>
    </w:p>
    <w:p w:rsidR="008F062A" w:rsidRPr="00EA483B" w:rsidRDefault="008F062A" w:rsidP="008F062A">
      <w:pPr>
        <w:spacing w:line="240" w:lineRule="auto"/>
        <w:jc w:val="both"/>
        <w:rPr>
          <w:rFonts w:ascii="Times New Roman" w:hAnsi="Times New Roman" w:cs="Times New Roman"/>
          <w:sz w:val="24"/>
          <w:szCs w:val="24"/>
          <w:u w:val="single"/>
        </w:rPr>
      </w:pPr>
      <w:r w:rsidRPr="00EA483B">
        <w:rPr>
          <w:rFonts w:ascii="Times New Roman" w:hAnsi="Times New Roman" w:cs="Times New Roman"/>
          <w:sz w:val="24"/>
          <w:szCs w:val="24"/>
          <w:u w:val="single"/>
        </w:rPr>
        <w:t>Así, la Comisión, en los últimos años, ha modulado activamente la agenda de la Unión y, en gran medida, priorizado los temas de discusión de Consejo y Parlamento a través del poder que le confiere tener el monopolio en la iniciativa legislativa.</w:t>
      </w:r>
    </w:p>
    <w:p w:rsidR="008F062A" w:rsidRDefault="008F062A" w:rsidP="008F062A">
      <w:pPr>
        <w:spacing w:line="240" w:lineRule="auto"/>
        <w:jc w:val="both"/>
        <w:rPr>
          <w:rFonts w:ascii="Times New Roman" w:hAnsi="Times New Roman" w:cs="Times New Roman"/>
          <w:sz w:val="24"/>
          <w:szCs w:val="24"/>
          <w:u w:val="single"/>
        </w:rPr>
      </w:pPr>
      <w:r w:rsidRPr="00EA483B">
        <w:rPr>
          <w:rFonts w:ascii="Times New Roman" w:hAnsi="Times New Roman" w:cs="Times New Roman"/>
          <w:sz w:val="24"/>
          <w:szCs w:val="24"/>
          <w:u w:val="single"/>
        </w:rPr>
        <w:t>Nada parece indicar que la entrante Comisión Von der Leyen vaya a adoptar un perfil de menor liderazgo político que la saliente Comisión Juncker</w:t>
      </w:r>
      <w:r w:rsidRPr="005B3695">
        <w:rPr>
          <w:rFonts w:ascii="Times New Roman" w:hAnsi="Times New Roman" w:cs="Times New Roman"/>
          <w:sz w:val="24"/>
          <w:szCs w:val="24"/>
        </w:rPr>
        <w:t xml:space="preserve">. Y ello es probablemente necesario, dado el complejo entorno en el que nace su mandato y el grado de fraccionamiento del nuevo Parlamento Europeo. </w:t>
      </w:r>
      <w:r w:rsidRPr="00EA483B">
        <w:rPr>
          <w:rFonts w:ascii="Times New Roman" w:hAnsi="Times New Roman" w:cs="Times New Roman"/>
          <w:sz w:val="24"/>
          <w:szCs w:val="24"/>
          <w:u w:val="single"/>
        </w:rPr>
        <w:t>Pero ¿está bien posicionada la nueva Comisión para llevar a cabo esta tarea? ¿Tiene la presidenta suficiente liderazgo? ¿Son la estructura y las prioridades fijadas las adecuadas? Veámoslo.</w:t>
      </w:r>
    </w:p>
    <w:p w:rsidR="008F062A" w:rsidRPr="005B3695"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¿Y quién es ella?</w:t>
      </w:r>
    </w:p>
    <w:p w:rsidR="008F062A" w:rsidRPr="005B3695" w:rsidRDefault="008F062A" w:rsidP="008F062A">
      <w:pPr>
        <w:spacing w:line="240" w:lineRule="auto"/>
        <w:jc w:val="both"/>
        <w:rPr>
          <w:rFonts w:ascii="Times New Roman" w:hAnsi="Times New Roman" w:cs="Times New Roman"/>
          <w:sz w:val="24"/>
          <w:szCs w:val="24"/>
        </w:rPr>
      </w:pPr>
      <w:r w:rsidRPr="00EA483B">
        <w:rPr>
          <w:rFonts w:ascii="Times New Roman" w:hAnsi="Times New Roman" w:cs="Times New Roman"/>
          <w:color w:val="FF0000"/>
          <w:sz w:val="24"/>
          <w:szCs w:val="24"/>
          <w:u w:val="single"/>
        </w:rPr>
        <w:t>Ursula von der Leyen es la primera alemana que preside la Comisión Europea y tiene, sin duda, conocimiento y capacidad para desarrollar su función</w:t>
      </w:r>
      <w:r w:rsidRPr="005B3695">
        <w:rPr>
          <w:rFonts w:ascii="Times New Roman" w:hAnsi="Times New Roman" w:cs="Times New Roman"/>
          <w:sz w:val="24"/>
          <w:szCs w:val="24"/>
        </w:rPr>
        <w:t>. Médica de profesión con formación ec</w:t>
      </w:r>
      <w:r w:rsidR="009121B0">
        <w:rPr>
          <w:rFonts w:ascii="Times New Roman" w:hAnsi="Times New Roman" w:cs="Times New Roman"/>
          <w:sz w:val="24"/>
          <w:szCs w:val="24"/>
        </w:rPr>
        <w:t>onómica, europeísta convencida -</w:t>
      </w:r>
      <w:r w:rsidRPr="005B3695">
        <w:rPr>
          <w:rFonts w:ascii="Times New Roman" w:hAnsi="Times New Roman" w:cs="Times New Roman"/>
          <w:sz w:val="24"/>
          <w:szCs w:val="24"/>
        </w:rPr>
        <w:t>es hija de un funcio</w:t>
      </w:r>
      <w:r w:rsidR="009121B0">
        <w:rPr>
          <w:rFonts w:ascii="Times New Roman" w:hAnsi="Times New Roman" w:cs="Times New Roman"/>
          <w:sz w:val="24"/>
          <w:szCs w:val="24"/>
        </w:rPr>
        <w:t>nario europeo y político alemán-</w:t>
      </w:r>
      <w:r w:rsidRPr="005B3695">
        <w:rPr>
          <w:rFonts w:ascii="Times New Roman" w:hAnsi="Times New Roman" w:cs="Times New Roman"/>
          <w:sz w:val="24"/>
          <w:szCs w:val="24"/>
        </w:rPr>
        <w:t>, acumula experiencia en política, a nivel local, regional y estatal, y ha ejercido responsabilidades como ministra en carteras tan dispares y complejas como Trabajo o Defensa.</w:t>
      </w:r>
    </w:p>
    <w:p w:rsidR="008F062A" w:rsidRPr="005B3695"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Von der Leyen, sin embargo, no participó</w:t>
      </w:r>
      <w:r w:rsidR="006C3169">
        <w:rPr>
          <w:rFonts w:ascii="Times New Roman" w:hAnsi="Times New Roman" w:cs="Times New Roman"/>
          <w:sz w:val="24"/>
          <w:szCs w:val="24"/>
        </w:rPr>
        <w:t xml:space="preserve"> en el sistema de los llamados “spitzenkandidaten” -</w:t>
      </w:r>
      <w:r w:rsidRPr="005B3695">
        <w:rPr>
          <w:rFonts w:ascii="Times New Roman" w:hAnsi="Times New Roman" w:cs="Times New Roman"/>
          <w:sz w:val="24"/>
          <w:szCs w:val="24"/>
        </w:rPr>
        <w:t>o ca</w:t>
      </w:r>
      <w:r w:rsidR="006C3169">
        <w:rPr>
          <w:rFonts w:ascii="Times New Roman" w:hAnsi="Times New Roman" w:cs="Times New Roman"/>
          <w:sz w:val="24"/>
          <w:szCs w:val="24"/>
        </w:rPr>
        <w:t>ndidatos a presidir la Comisión-</w:t>
      </w:r>
      <w:r w:rsidRPr="005B3695">
        <w:rPr>
          <w:rFonts w:ascii="Times New Roman" w:hAnsi="Times New Roman" w:cs="Times New Roman"/>
          <w:sz w:val="24"/>
          <w:szCs w:val="24"/>
        </w:rPr>
        <w:t xml:space="preserve"> en las elecciones al Parlamento, sistema que fue diseñado en 2014,</w:t>
      </w:r>
      <w:r w:rsidR="00197FCC">
        <w:rPr>
          <w:rFonts w:ascii="Times New Roman" w:hAnsi="Times New Roman" w:cs="Times New Roman"/>
          <w:sz w:val="24"/>
          <w:szCs w:val="24"/>
        </w:rPr>
        <w:t xml:space="preserve"> en gran parte, para paliar el “</w:t>
      </w:r>
      <w:r w:rsidRPr="005B3695">
        <w:rPr>
          <w:rFonts w:ascii="Times New Roman" w:hAnsi="Times New Roman" w:cs="Times New Roman"/>
          <w:sz w:val="24"/>
          <w:szCs w:val="24"/>
        </w:rPr>
        <w:t>déficit democrátic</w:t>
      </w:r>
      <w:r w:rsidR="00197FCC">
        <w:rPr>
          <w:rFonts w:ascii="Times New Roman" w:hAnsi="Times New Roman" w:cs="Times New Roman"/>
          <w:sz w:val="24"/>
          <w:szCs w:val="24"/>
        </w:rPr>
        <w:t>o”</w:t>
      </w:r>
      <w:r>
        <w:rPr>
          <w:rFonts w:ascii="Times New Roman" w:hAnsi="Times New Roman" w:cs="Times New Roman"/>
          <w:sz w:val="24"/>
          <w:szCs w:val="24"/>
        </w:rPr>
        <w:t xml:space="preserve"> del que adolece la Comisión.</w:t>
      </w:r>
    </w:p>
    <w:p w:rsidR="008F062A" w:rsidRPr="00EA483B" w:rsidRDefault="008F062A" w:rsidP="008F062A">
      <w:pPr>
        <w:spacing w:line="240" w:lineRule="auto"/>
        <w:jc w:val="both"/>
        <w:rPr>
          <w:rFonts w:ascii="Times New Roman" w:hAnsi="Times New Roman" w:cs="Times New Roman"/>
          <w:sz w:val="24"/>
          <w:szCs w:val="24"/>
          <w:u w:val="single"/>
        </w:rPr>
      </w:pPr>
      <w:r w:rsidRPr="005B3695">
        <w:rPr>
          <w:rFonts w:ascii="Times New Roman" w:hAnsi="Times New Roman" w:cs="Times New Roman"/>
          <w:sz w:val="24"/>
          <w:szCs w:val="24"/>
        </w:rPr>
        <w:t xml:space="preserve">El Consejo, finalmente, no eligió a ninguno de estos cabeza de lista, inclinándose por Von der Leyen, quien, a su vez, logró la aprobación del Parlamento Europeo con un estrecho margen de nueve votos y con un discurso de investidura profundamente europeísta, pero con guiños evidentes a la parte del espectro político que le resulta más lejana. </w:t>
      </w:r>
      <w:r w:rsidRPr="00EA483B">
        <w:rPr>
          <w:rFonts w:ascii="Times New Roman" w:hAnsi="Times New Roman" w:cs="Times New Roman"/>
          <w:sz w:val="24"/>
          <w:szCs w:val="24"/>
          <w:u w:val="single"/>
        </w:rPr>
        <w:t>Todo ello hace que, a pesar de su evidente idoneidad personal, su labor pueda verse de d</w:t>
      </w:r>
      <w:r w:rsidR="006C3169">
        <w:rPr>
          <w:rFonts w:ascii="Times New Roman" w:hAnsi="Times New Roman" w:cs="Times New Roman"/>
          <w:sz w:val="24"/>
          <w:szCs w:val="24"/>
          <w:u w:val="single"/>
        </w:rPr>
        <w:t>ificultada por una falta de la “auctoritas”</w:t>
      </w:r>
      <w:r w:rsidRPr="00EA483B">
        <w:rPr>
          <w:rFonts w:ascii="Times New Roman" w:hAnsi="Times New Roman" w:cs="Times New Roman"/>
          <w:sz w:val="24"/>
          <w:szCs w:val="24"/>
          <w:u w:val="single"/>
        </w:rPr>
        <w:t xml:space="preserve"> política necesaria para ejercer el liderazgo.</w:t>
      </w:r>
    </w:p>
    <w:p w:rsidR="008F062A" w:rsidRPr="00EA483B" w:rsidRDefault="008F062A" w:rsidP="008F062A">
      <w:pPr>
        <w:spacing w:line="240" w:lineRule="auto"/>
        <w:jc w:val="both"/>
        <w:rPr>
          <w:rFonts w:ascii="Times New Roman" w:hAnsi="Times New Roman" w:cs="Times New Roman"/>
          <w:sz w:val="24"/>
          <w:szCs w:val="24"/>
          <w:u w:val="single"/>
        </w:rPr>
      </w:pPr>
      <w:r w:rsidRPr="00EA483B">
        <w:rPr>
          <w:rFonts w:ascii="Times New Roman" w:hAnsi="Times New Roman" w:cs="Times New Roman"/>
          <w:sz w:val="24"/>
          <w:szCs w:val="24"/>
          <w:u w:val="single"/>
        </w:rPr>
        <w:t>Conocedora de esta limitación, Von der Leyen se ha comprometido a “impulsar la democracia europea”, reforzando la colaboración entre el Parlamento y la Comisión, apoyando el derecho del Parlamento a la iniciativa legislativa, involucrándole más en la gobernanza económica y</w:t>
      </w:r>
      <w:r w:rsidR="006C3169">
        <w:rPr>
          <w:rFonts w:ascii="Times New Roman" w:hAnsi="Times New Roman" w:cs="Times New Roman"/>
          <w:sz w:val="24"/>
          <w:szCs w:val="24"/>
          <w:u w:val="single"/>
        </w:rPr>
        <w:t xml:space="preserve"> avanzando hacia la codecisión -</w:t>
      </w:r>
      <w:r w:rsidRPr="00EA483B">
        <w:rPr>
          <w:rFonts w:ascii="Times New Roman" w:hAnsi="Times New Roman" w:cs="Times New Roman"/>
          <w:sz w:val="24"/>
          <w:szCs w:val="24"/>
          <w:u w:val="single"/>
        </w:rPr>
        <w:t xml:space="preserve">y </w:t>
      </w:r>
      <w:r w:rsidR="006C3169">
        <w:rPr>
          <w:rFonts w:ascii="Times New Roman" w:hAnsi="Times New Roman" w:cs="Times New Roman"/>
          <w:sz w:val="24"/>
          <w:szCs w:val="24"/>
          <w:u w:val="single"/>
        </w:rPr>
        <w:t xml:space="preserve">prescindiendo de la unanimidad- </w:t>
      </w:r>
      <w:r w:rsidRPr="00EA483B">
        <w:rPr>
          <w:rFonts w:ascii="Times New Roman" w:hAnsi="Times New Roman" w:cs="Times New Roman"/>
          <w:sz w:val="24"/>
          <w:szCs w:val="24"/>
          <w:u w:val="single"/>
        </w:rPr>
        <w:t>en temas como cambio climático, energía, temas sociales o tributación.</w:t>
      </w:r>
    </w:p>
    <w:p w:rsidR="008F062A" w:rsidRPr="005B3695" w:rsidRDefault="006C3169"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Ello, “a priori”</w:t>
      </w:r>
      <w:r w:rsidR="008F062A" w:rsidRPr="00EA483B">
        <w:rPr>
          <w:rFonts w:ascii="Times New Roman" w:hAnsi="Times New Roman" w:cs="Times New Roman"/>
          <w:sz w:val="24"/>
          <w:szCs w:val="24"/>
          <w:u w:val="single"/>
        </w:rPr>
        <w:t>, lo hace con la intención de acercar Europa a los ciudadanos y de mejorar la negativa imagen que estos tienen de la Comisión tras la crisis económica</w:t>
      </w:r>
      <w:r w:rsidR="008F062A" w:rsidRPr="005B3695">
        <w:rPr>
          <w:rFonts w:ascii="Times New Roman" w:hAnsi="Times New Roman" w:cs="Times New Roman"/>
          <w:sz w:val="24"/>
          <w:szCs w:val="24"/>
        </w:rPr>
        <w:t xml:space="preserve">. Pero el populismo también ha llegado a Europa y el Brexit es una de sus manifestaciones más evidentes. Y en este contexto, el peligro de la estrategia de Von der Leyen es que, dada la fragmentación del </w:t>
      </w:r>
      <w:r w:rsidR="008F062A" w:rsidRPr="005B3695">
        <w:rPr>
          <w:rFonts w:ascii="Times New Roman" w:hAnsi="Times New Roman" w:cs="Times New Roman"/>
          <w:sz w:val="24"/>
          <w:szCs w:val="24"/>
        </w:rPr>
        <w:lastRenderedPageBreak/>
        <w:t>Parlamento Europeo y la trascendencia de las decisiones a tomar, el resultado sea muy distinto al esperado.</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Y es que la Unión Europea se enfrenta a retos no menores en los que nos jugamos la fortaleza de nuestro proceso de integración, nuestro peso político en el mundo y nuestro nivel de bienestar. En primer lugar, es imprescindible que la Unión Europea recupere su posición en la escena global, hable con una voz única y sea un actor relevante en la lucha por la hegemonía global que enfrenta a China y Estados Unidos y que se está traduciendo en menor comercio, crecimiento y empleo globales.</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La Unión Europea tiene como seña de identidad el libre comercio que, respetando las normas básicas, está en la base del crecimiento y el progreso. Hacer prevalecer esta posición en la escena global es vital para los intereses económicos y políticos de la Unión.</w:t>
      </w:r>
    </w:p>
    <w:p w:rsidR="008F062A" w:rsidRPr="005B3695"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Unión económica y monetaria</w:t>
      </w:r>
    </w:p>
    <w:p w:rsidR="008F062A" w:rsidRPr="00EA483B" w:rsidRDefault="008F062A" w:rsidP="008F062A">
      <w:pPr>
        <w:spacing w:line="240" w:lineRule="auto"/>
        <w:jc w:val="both"/>
        <w:rPr>
          <w:rFonts w:ascii="Times New Roman" w:hAnsi="Times New Roman" w:cs="Times New Roman"/>
          <w:sz w:val="24"/>
          <w:szCs w:val="24"/>
          <w:u w:val="single"/>
        </w:rPr>
      </w:pPr>
      <w:r w:rsidRPr="00EA483B">
        <w:rPr>
          <w:rFonts w:ascii="Times New Roman" w:hAnsi="Times New Roman" w:cs="Times New Roman"/>
          <w:color w:val="FF0000"/>
          <w:sz w:val="24"/>
          <w:szCs w:val="24"/>
          <w:u w:val="single"/>
        </w:rPr>
        <w:t>La segunda gran tarea pendiente es la de completar la unión económica y monetaria, como piedra angular del mercado interior</w:t>
      </w:r>
      <w:r w:rsidRPr="005B3695">
        <w:rPr>
          <w:rFonts w:ascii="Times New Roman" w:hAnsi="Times New Roman" w:cs="Times New Roman"/>
          <w:sz w:val="24"/>
          <w:szCs w:val="24"/>
        </w:rPr>
        <w:t xml:space="preserve">. </w:t>
      </w:r>
      <w:r w:rsidRPr="00EA483B">
        <w:rPr>
          <w:rFonts w:ascii="Times New Roman" w:hAnsi="Times New Roman" w:cs="Times New Roman"/>
          <w:sz w:val="24"/>
          <w:szCs w:val="24"/>
          <w:u w:val="single"/>
        </w:rPr>
        <w:t>Si bien es cierto que la crisis de 2008 puso a prueba los cimientos del euro, no lo es menos que permitió avanzar en la unión bancaria y en el desarrollo de instrumentos de gestión de crisis como el Mecanismo Europeo de Estabilidad.</w:t>
      </w:r>
    </w:p>
    <w:p w:rsidR="008F062A" w:rsidRPr="005B3695" w:rsidRDefault="008F062A" w:rsidP="008F062A">
      <w:pPr>
        <w:spacing w:line="240" w:lineRule="auto"/>
        <w:jc w:val="both"/>
        <w:rPr>
          <w:rFonts w:ascii="Times New Roman" w:hAnsi="Times New Roman" w:cs="Times New Roman"/>
          <w:sz w:val="24"/>
          <w:szCs w:val="24"/>
        </w:rPr>
      </w:pPr>
      <w:r w:rsidRPr="00EA483B">
        <w:rPr>
          <w:rFonts w:ascii="Times New Roman" w:hAnsi="Times New Roman" w:cs="Times New Roman"/>
          <w:color w:val="FF0000"/>
          <w:sz w:val="24"/>
          <w:szCs w:val="24"/>
          <w:u w:val="single"/>
        </w:rPr>
        <w:t>Pero aún quedan importantes pasos que dar para tener un euro fuerte, como son, entre otros, la unión de capitales, un seguro europeo de depósito</w:t>
      </w:r>
      <w:r w:rsidR="00197FCC">
        <w:rPr>
          <w:rFonts w:ascii="Times New Roman" w:hAnsi="Times New Roman" w:cs="Times New Roman"/>
          <w:color w:val="FF0000"/>
          <w:sz w:val="24"/>
          <w:szCs w:val="24"/>
          <w:u w:val="single"/>
        </w:rPr>
        <w:t>s o un instrumento fiscal ante “shocks”</w:t>
      </w:r>
      <w:r w:rsidRPr="00EA483B">
        <w:rPr>
          <w:rFonts w:ascii="Times New Roman" w:hAnsi="Times New Roman" w:cs="Times New Roman"/>
          <w:color w:val="FF0000"/>
          <w:sz w:val="24"/>
          <w:szCs w:val="24"/>
          <w:u w:val="single"/>
        </w:rPr>
        <w:t xml:space="preserve"> asimétricos</w:t>
      </w:r>
      <w:r w:rsidRPr="005B3695">
        <w:rPr>
          <w:rFonts w:ascii="Times New Roman" w:hAnsi="Times New Roman" w:cs="Times New Roman"/>
          <w:sz w:val="24"/>
          <w:szCs w:val="24"/>
        </w:rPr>
        <w:t>. Estas decisiones se han revelado muy difíciles de tomar hasta ahora y no deben retrasarse. El éxito o el fracaso en este ámbito dará una medida del cap</w:t>
      </w:r>
      <w:r>
        <w:rPr>
          <w:rFonts w:ascii="Times New Roman" w:hAnsi="Times New Roman" w:cs="Times New Roman"/>
          <w:sz w:val="24"/>
          <w:szCs w:val="24"/>
        </w:rPr>
        <w:t>ital político de Von der Leyen.</w:t>
      </w:r>
    </w:p>
    <w:p w:rsidR="008F062A" w:rsidRPr="005B3695" w:rsidRDefault="008F062A" w:rsidP="008F062A">
      <w:pPr>
        <w:spacing w:line="240" w:lineRule="auto"/>
        <w:jc w:val="both"/>
        <w:rPr>
          <w:rFonts w:ascii="Times New Roman" w:hAnsi="Times New Roman" w:cs="Times New Roman"/>
          <w:sz w:val="24"/>
          <w:szCs w:val="24"/>
        </w:rPr>
      </w:pPr>
      <w:r w:rsidRPr="00EA483B">
        <w:rPr>
          <w:rFonts w:ascii="Times New Roman" w:hAnsi="Times New Roman" w:cs="Times New Roman"/>
          <w:color w:val="FF0000"/>
          <w:sz w:val="24"/>
          <w:szCs w:val="24"/>
          <w:u w:val="single"/>
        </w:rPr>
        <w:t>En tercer lugar, la Unión Europea debe ser capaz de liderar globalmente la transformación económica que suponen, por un lado, la revolución digital en marcha y, por otro el cambio climático</w:t>
      </w:r>
      <w:r w:rsidRPr="005B3695">
        <w:rPr>
          <w:rFonts w:ascii="Times New Roman" w:hAnsi="Times New Roman" w:cs="Times New Roman"/>
          <w:sz w:val="24"/>
          <w:szCs w:val="24"/>
        </w:rPr>
        <w:t>. La hegemonía de Europa, su competitividad global y el éxito de su modelo de crecimiento y Estado de bienestar dependen de que la Unión sea capaz de fijar estándares globales en ambos ámbitos.</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El conflicto entre Estados Unidos y China esconde una lucha por el dominio digital en la que Europa debe participar activamente, desarrollando sus propias tecnologías y estándares en ámbitos como la inteligencia artificial, la robótica o el Internet de las Cosas.</w:t>
      </w:r>
    </w:p>
    <w:p w:rsidR="008F062A" w:rsidRPr="005B3695" w:rsidRDefault="008F062A" w:rsidP="008F062A">
      <w:pPr>
        <w:spacing w:line="240" w:lineRule="auto"/>
        <w:jc w:val="both"/>
        <w:rPr>
          <w:rFonts w:ascii="Times New Roman" w:hAnsi="Times New Roman" w:cs="Times New Roman"/>
          <w:sz w:val="24"/>
          <w:szCs w:val="24"/>
        </w:rPr>
      </w:pPr>
      <w:r w:rsidRPr="005B3695">
        <w:rPr>
          <w:rFonts w:ascii="Times New Roman" w:hAnsi="Times New Roman" w:cs="Times New Roman"/>
          <w:sz w:val="24"/>
          <w:szCs w:val="24"/>
        </w:rPr>
        <w:t>El cambio climático es un reto global que Europa debe liderar. Pero esto debe hacerse sin apriorismos, siendo realistas, permitiendo operar a todas las tecnologías que puedan contribuir a reducir las emisiones e impulsando la coordinación con el resto de las áreas del mundo para ser realmente efectivos. Además, se hace necesaria la investigación en tecnologías cada vez menos contaminantes como único camino para hacer compatible el crecimiento y la calidad de nuestra atmósfera.</w:t>
      </w:r>
    </w:p>
    <w:p w:rsidR="008F062A" w:rsidRDefault="008F062A" w:rsidP="008F062A">
      <w:pPr>
        <w:spacing w:line="240" w:lineRule="auto"/>
        <w:jc w:val="both"/>
        <w:rPr>
          <w:rFonts w:ascii="Times New Roman" w:hAnsi="Times New Roman" w:cs="Times New Roman"/>
          <w:sz w:val="24"/>
          <w:szCs w:val="24"/>
        </w:rPr>
      </w:pPr>
      <w:r w:rsidRPr="00EA483B">
        <w:rPr>
          <w:rFonts w:ascii="Times New Roman" w:hAnsi="Times New Roman" w:cs="Times New Roman"/>
          <w:sz w:val="24"/>
          <w:szCs w:val="24"/>
          <w:u w:val="single"/>
        </w:rPr>
        <w:t>Estas son las prioridades, sin olvidar, claro, otros temas no menores como la urgencia de adoptar un nuevo presupuesto europeo; la gestión de la salida del Reino Unido y su impacto en la Unión, o los complejos temas relacionados con la migración que, de momento, son los que están ya poniendo a prueba a la nueva presidenta, sin que ni siquiera haya, aún, tomado posesión de su cargo</w:t>
      </w:r>
      <w:r w:rsidRPr="00197FCC">
        <w:rPr>
          <w:rFonts w:ascii="Times New Roman" w:hAnsi="Times New Roman" w:cs="Times New Roman"/>
          <w:sz w:val="24"/>
          <w:szCs w:val="24"/>
        </w:rPr>
        <w:t>.</w:t>
      </w:r>
      <w:r w:rsidRPr="005B3695">
        <w:rPr>
          <w:rFonts w:ascii="Times New Roman" w:hAnsi="Times New Roman" w:cs="Times New Roman"/>
          <w:sz w:val="24"/>
          <w:szCs w:val="24"/>
        </w:rPr>
        <w:t>¿Podrá la Comisión Von der Leyen hac</w:t>
      </w:r>
      <w:r w:rsidR="00197FCC">
        <w:rPr>
          <w:rFonts w:ascii="Times New Roman" w:hAnsi="Times New Roman" w:cs="Times New Roman"/>
          <w:sz w:val="24"/>
          <w:szCs w:val="24"/>
        </w:rPr>
        <w:t xml:space="preserve">er frente a estos retos? </w:t>
      </w:r>
    </w:p>
    <w:p w:rsidR="00554672" w:rsidRDefault="00554672" w:rsidP="008F062A">
      <w:pPr>
        <w:spacing w:line="240" w:lineRule="auto"/>
        <w:jc w:val="both"/>
        <w:rPr>
          <w:rFonts w:ascii="Times New Roman" w:hAnsi="Times New Roman" w:cs="Times New Roman"/>
          <w:sz w:val="24"/>
          <w:szCs w:val="24"/>
        </w:rPr>
      </w:pPr>
    </w:p>
    <w:p w:rsidR="00554672" w:rsidRPr="00197FCC" w:rsidRDefault="00554672" w:rsidP="008F062A">
      <w:pPr>
        <w:spacing w:line="240" w:lineRule="auto"/>
        <w:jc w:val="both"/>
        <w:rPr>
          <w:rFonts w:ascii="Times New Roman" w:hAnsi="Times New Roman" w:cs="Times New Roman"/>
          <w:sz w:val="24"/>
          <w:szCs w:val="24"/>
          <w:u w:val="single"/>
        </w:rPr>
      </w:pPr>
    </w:p>
    <w:p w:rsidR="008F062A" w:rsidRPr="00C059C7" w:rsidRDefault="008F062A" w:rsidP="008F062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059C7">
        <w:rPr>
          <w:rFonts w:ascii="Times New Roman" w:hAnsi="Times New Roman" w:cs="Times New Roman"/>
          <w:sz w:val="24"/>
          <w:szCs w:val="24"/>
        </w:rPr>
        <w:t>¿</w:t>
      </w:r>
      <w:r w:rsidRPr="00C059C7">
        <w:rPr>
          <w:rFonts w:ascii="Times New Roman" w:hAnsi="Times New Roman" w:cs="Times New Roman"/>
          <w:sz w:val="24"/>
          <w:szCs w:val="24"/>
          <w:u w:val="single"/>
        </w:rPr>
        <w:t>Qué impide una mejora de la relación entre Europa y Rusia</w:t>
      </w:r>
      <w:r w:rsidRPr="00C059C7">
        <w:rPr>
          <w:rFonts w:ascii="Times New Roman" w:hAnsi="Times New Roman" w:cs="Times New Roman"/>
          <w:sz w:val="24"/>
          <w:szCs w:val="24"/>
        </w:rPr>
        <w:t xml:space="preserve">?(Project Syndicate - </w:t>
      </w:r>
      <w:r w:rsidRPr="00C059C7">
        <w:rPr>
          <w:rFonts w:ascii="Times New Roman" w:hAnsi="Times New Roman" w:cs="Times New Roman"/>
          <w:b/>
          <w:sz w:val="24"/>
          <w:szCs w:val="24"/>
        </w:rPr>
        <w:t>25/9/19</w:t>
      </w:r>
      <w:r w:rsidRPr="00C059C7">
        <w:rPr>
          <w:rFonts w:ascii="Times New Roman" w:hAnsi="Times New Roman" w:cs="Times New Roman"/>
          <w:sz w:val="24"/>
          <w:szCs w:val="24"/>
        </w:rPr>
        <w:t>)</w:t>
      </w:r>
    </w:p>
    <w:p w:rsidR="008F062A" w:rsidRPr="00EA483B" w:rsidRDefault="006C3169" w:rsidP="008F062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Berlín.-</w:t>
      </w:r>
      <w:r w:rsidR="008F062A" w:rsidRPr="00EA483B">
        <w:rPr>
          <w:rFonts w:ascii="Times New Roman" w:hAnsi="Times New Roman" w:cs="Times New Roman"/>
          <w:sz w:val="24"/>
          <w:szCs w:val="24"/>
          <w:u w:val="single"/>
        </w:rPr>
        <w:t>Aunque la Unión Europea y Rusia son parte de la misma masa continental, no es que tengan mucho en común. De hecho, los rusos todavía tienen que decidir a qué parte del mundo pertenece su país. El grueso del territorio está en Asia, pero más del 70% de su población vive al oeste de los montes Urales. Los rusos no tienen interés en asociarse con Asia oriental o con el sur islámico, así que sus únicas opciones son el aislamiento u orientarse hacia Europa.</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sz w:val="24"/>
          <w:szCs w:val="24"/>
          <w:u w:val="single"/>
        </w:rPr>
        <w:t>Pero el aislamiento es peligroso. Rusia es un coloso con armas nucleares, pero está en decadencia demográfica, económica y tecnológica. El país todavía vive de exportar combustibles fósiles y otros commodities, algo que no bastará para mantener la condición de superpotencia en el siglo XXI</w:t>
      </w:r>
      <w:r w:rsidRPr="00EA483B">
        <w:rPr>
          <w:rFonts w:ascii="Times New Roman" w:hAnsi="Times New Roman" w:cs="Times New Roman"/>
          <w:color w:val="FF0000"/>
          <w:sz w:val="24"/>
          <w:szCs w:val="24"/>
          <w:u w:val="single"/>
        </w:rPr>
        <w:t>. Rusia corre cada vez más riesgo de convertirse en un socio menor de China.</w:t>
      </w:r>
    </w:p>
    <w:p w:rsidR="008F062A" w:rsidRPr="00EA483B" w:rsidRDefault="008F062A" w:rsidP="008F062A">
      <w:pPr>
        <w:spacing w:line="240" w:lineRule="auto"/>
        <w:jc w:val="both"/>
        <w:rPr>
          <w:rFonts w:ascii="Times New Roman" w:hAnsi="Times New Roman" w:cs="Times New Roman"/>
          <w:sz w:val="24"/>
          <w:szCs w:val="24"/>
          <w:u w:val="single"/>
        </w:rPr>
      </w:pPr>
      <w:r w:rsidRPr="00EA483B">
        <w:rPr>
          <w:rFonts w:ascii="Times New Roman" w:hAnsi="Times New Roman" w:cs="Times New Roman"/>
          <w:color w:val="FF0000"/>
          <w:sz w:val="24"/>
          <w:szCs w:val="24"/>
          <w:u w:val="single"/>
        </w:rPr>
        <w:t>De modo que la única alternativa es Europa</w:t>
      </w:r>
      <w:r w:rsidRPr="00C059C7">
        <w:rPr>
          <w:rFonts w:ascii="Times New Roman" w:hAnsi="Times New Roman" w:cs="Times New Roman"/>
          <w:sz w:val="24"/>
          <w:szCs w:val="24"/>
        </w:rPr>
        <w:t xml:space="preserve">. </w:t>
      </w:r>
      <w:r w:rsidRPr="00EA483B">
        <w:rPr>
          <w:rFonts w:ascii="Times New Roman" w:hAnsi="Times New Roman" w:cs="Times New Roman"/>
          <w:sz w:val="24"/>
          <w:szCs w:val="24"/>
          <w:u w:val="single"/>
        </w:rPr>
        <w:t>Pero ambos lados son prisioneros de sus respectivas historias. Los recuerdos de la opresión bajo los zares y la Unión Soviética siguen frescos en Europa central y del este, particularmente en Polonia y los estados bálticos; y la política del presidente ruso Vladimir Putin de anexión de Crimea y campaña militar en Ucrania oriental reforzó la desconfianza regional hacia Rusia.</w:t>
      </w:r>
    </w:p>
    <w:p w:rsidR="008F062A" w:rsidRPr="00C059C7" w:rsidRDefault="008F062A" w:rsidP="008F062A">
      <w:pPr>
        <w:spacing w:line="240" w:lineRule="auto"/>
        <w:jc w:val="both"/>
        <w:rPr>
          <w:rFonts w:ascii="Times New Roman" w:hAnsi="Times New Roman" w:cs="Times New Roman"/>
          <w:sz w:val="24"/>
          <w:szCs w:val="24"/>
        </w:rPr>
      </w:pPr>
      <w:r w:rsidRPr="00EA483B">
        <w:rPr>
          <w:rFonts w:ascii="Times New Roman" w:hAnsi="Times New Roman" w:cs="Times New Roman"/>
          <w:sz w:val="24"/>
          <w:szCs w:val="24"/>
          <w:u w:val="single"/>
        </w:rPr>
        <w:t>La relación de Rusia con el resto de Europa también está determinada por su historia</w:t>
      </w:r>
      <w:r w:rsidRPr="00C059C7">
        <w:rPr>
          <w:rFonts w:ascii="Times New Roman" w:hAnsi="Times New Roman" w:cs="Times New Roman"/>
          <w:sz w:val="24"/>
          <w:szCs w:val="24"/>
        </w:rPr>
        <w:t xml:space="preserve">. Tras el período de confusión de los noventa que siguió al derrumbe soviético, con la llegada de Putin al poder en 2000 Rusia adoptó una mentalidad decimonónica. La élite rusa, ya desde tiempos de los zares antes de la Revolución Bolchevique, considera a su país una gran potencia europea (incluso una potencia hegemónica en relación con Europa oriental), lo cual la pone </w:t>
      </w:r>
      <w:r>
        <w:rPr>
          <w:rFonts w:ascii="Times New Roman" w:hAnsi="Times New Roman" w:cs="Times New Roman"/>
          <w:sz w:val="24"/>
          <w:szCs w:val="24"/>
        </w:rPr>
        <w:t>en directa oposición con la UE.</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La razón de ser de la UE es trascender la división de Europa en zonas de influencia, porque es el único modo de evitar un retorno a las luchas de poder y a las guerras catastróficas que hallaron su punto de culminación en la primera mitad del siglo XX. Pero Rusia es demasiado grande para integrarse a la UE (de hecho, no está claro quién se integraría con quién).</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Incluso si no fuera así, Rusia (o al menos su dirigencia) no comparte los valores de la UE.</w:t>
      </w:r>
      <w:r w:rsidRPr="00EA483B">
        <w:rPr>
          <w:rFonts w:ascii="Times New Roman" w:hAnsi="Times New Roman" w:cs="Times New Roman"/>
          <w:sz w:val="24"/>
          <w:szCs w:val="24"/>
          <w:u w:val="single"/>
        </w:rPr>
        <w:t>Además de defender la democracia, la independencia del sistema judicial y el Estado de Derecho, la UE renunció a toda modificación de fronteras por la fuerza.</w:t>
      </w:r>
      <w:r w:rsidRPr="00EA483B">
        <w:rPr>
          <w:rFonts w:ascii="Times New Roman" w:hAnsi="Times New Roman" w:cs="Times New Roman"/>
          <w:color w:val="FF0000"/>
          <w:sz w:val="24"/>
          <w:szCs w:val="24"/>
          <w:u w:val="single"/>
        </w:rPr>
        <w:t>La cercanía geográfica exige a Rusia y la UE un manejo de su relación tan mutuamente ventajoso como sea posible, pero la guerra del Kremlin en la región ucraniana de Donbas prácticamente lo impide.</w:t>
      </w:r>
    </w:p>
    <w:p w:rsidR="008F062A" w:rsidRPr="00EA483B" w:rsidRDefault="008F062A" w:rsidP="008F062A">
      <w:pPr>
        <w:spacing w:line="240" w:lineRule="auto"/>
        <w:jc w:val="both"/>
        <w:rPr>
          <w:rFonts w:ascii="Times New Roman" w:hAnsi="Times New Roman" w:cs="Times New Roman"/>
          <w:sz w:val="24"/>
          <w:szCs w:val="24"/>
          <w:u w:val="single"/>
        </w:rPr>
      </w:pPr>
      <w:r w:rsidRPr="00EA483B">
        <w:rPr>
          <w:rFonts w:ascii="Times New Roman" w:hAnsi="Times New Roman" w:cs="Times New Roman"/>
          <w:sz w:val="24"/>
          <w:szCs w:val="24"/>
          <w:u w:val="single"/>
        </w:rPr>
        <w:t>Aun así, el presidente francés Emmanuel Macron ha renovado los intentos de mejorar las relaciones entre la UE y Rusia</w:t>
      </w:r>
      <w:r w:rsidRPr="00C059C7">
        <w:rPr>
          <w:rFonts w:ascii="Times New Roman" w:hAnsi="Times New Roman" w:cs="Times New Roman"/>
          <w:sz w:val="24"/>
          <w:szCs w:val="24"/>
        </w:rPr>
        <w:t xml:space="preserve">, en particular con su reunión con Putin antes de la cumbre del G7 en Biarritz el mes pasado. </w:t>
      </w:r>
      <w:r w:rsidRPr="00EA483B">
        <w:rPr>
          <w:rFonts w:ascii="Times New Roman" w:hAnsi="Times New Roman" w:cs="Times New Roman"/>
          <w:sz w:val="24"/>
          <w:szCs w:val="24"/>
          <w:u w:val="single"/>
        </w:rPr>
        <w:t>Macron considera que a Europa no le conviene impulsar un mayor acercamiento de Rusia con China o quedarse mirando mientras se desintegran los tratados de control de armas entre Estados Unidos y Rusia. En relación con esto último, Estados Unidos y Europa tienen intereses distintos, y al actual gobierno estadounidense le preocupan muy poco Europa o sus ideas respecto de cualquier tema.</w:t>
      </w:r>
    </w:p>
    <w:p w:rsidR="008F062A" w:rsidRPr="00EA483B" w:rsidRDefault="008F062A" w:rsidP="008F062A">
      <w:pPr>
        <w:spacing w:line="240" w:lineRule="auto"/>
        <w:jc w:val="both"/>
        <w:rPr>
          <w:rFonts w:ascii="Times New Roman" w:hAnsi="Times New Roman" w:cs="Times New Roman"/>
          <w:sz w:val="24"/>
          <w:szCs w:val="24"/>
          <w:u w:val="single"/>
        </w:rPr>
      </w:pPr>
      <w:r w:rsidRPr="00EA483B">
        <w:rPr>
          <w:rFonts w:ascii="Times New Roman" w:hAnsi="Times New Roman" w:cs="Times New Roman"/>
          <w:sz w:val="24"/>
          <w:szCs w:val="24"/>
          <w:u w:val="single"/>
        </w:rPr>
        <w:t>Pero los esfuerzos de Macron generan muchas dudas. En primer lugar, no es evidente de qué manera Europa pueda ayudar a renovar el régimen mundial de control de armas.</w:t>
      </w:r>
      <w:r w:rsidRPr="00C059C7">
        <w:rPr>
          <w:rFonts w:ascii="Times New Roman" w:hAnsi="Times New Roman" w:cs="Times New Roman"/>
          <w:sz w:val="24"/>
          <w:szCs w:val="24"/>
        </w:rPr>
        <w:t xml:space="preserve"> Sin Estados Unidos, Europa tiene poco que ofrecer a Rusia en lo referido a los misiles de alcance intermedio. Se vería en la posición de tener que convencer a dos partes mal dispuestas para </w:t>
      </w:r>
      <w:r w:rsidRPr="00C059C7">
        <w:rPr>
          <w:rFonts w:ascii="Times New Roman" w:hAnsi="Times New Roman" w:cs="Times New Roman"/>
          <w:sz w:val="24"/>
          <w:szCs w:val="24"/>
        </w:rPr>
        <w:lastRenderedPageBreak/>
        <w:t xml:space="preserve">que lleguen a un nuevo acuerdo. </w:t>
      </w:r>
      <w:r w:rsidRPr="00EA483B">
        <w:rPr>
          <w:rFonts w:ascii="Times New Roman" w:hAnsi="Times New Roman" w:cs="Times New Roman"/>
          <w:sz w:val="24"/>
          <w:szCs w:val="24"/>
          <w:u w:val="single"/>
        </w:rPr>
        <w:t>Y eso sin contar a China, que también desarrolló una capacidad misilística de alcance intermedio propia.</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Europa sí tiene algo que ofrecer a Rusia en lo económico. Pero mejorar las relaciones económicas no será posible sin un avance verificable en la implementación del Protocolo de Minsk para poner fin al conflicto en Donbas, y no está claro que Putin esté dispuesto a eso.</w:t>
      </w:r>
    </w:p>
    <w:p w:rsidR="008F062A" w:rsidRPr="00EA483B" w:rsidRDefault="008F062A" w:rsidP="008F062A">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b/>
          <w:color w:val="FF0000"/>
          <w:sz w:val="24"/>
          <w:szCs w:val="24"/>
          <w:u w:val="single"/>
        </w:rPr>
        <w:t>Sin embargo, el problema real entre Rusia y la UE es la cuestión de la democracia. El mayor temor de Putin y de la oligarquía rusa es una repetición de la revolución ucraniana de 2014 en la Plaza Roja moscovita. Es una posibilidad por la que el Kremlin no culpa a la OTAN, sino a la UE.</w:t>
      </w:r>
      <w:r w:rsidRPr="00C059C7">
        <w:rPr>
          <w:rFonts w:ascii="Times New Roman" w:hAnsi="Times New Roman" w:cs="Times New Roman"/>
          <w:sz w:val="24"/>
          <w:szCs w:val="24"/>
        </w:rPr>
        <w:t xml:space="preserve"> La retórica anti‑OTAN es un recurso propagandístico probado, que explota el arraigado temor de muchos rusos a los fantasmas de la Guerra Fría. Pero </w:t>
      </w:r>
      <w:r w:rsidRPr="00EA483B">
        <w:rPr>
          <w:rFonts w:ascii="Times New Roman" w:hAnsi="Times New Roman" w:cs="Times New Roman"/>
          <w:color w:val="FF0000"/>
          <w:sz w:val="24"/>
          <w:szCs w:val="24"/>
          <w:u w:val="single"/>
        </w:rPr>
        <w:t>para la oligarquía rusa, la amenaza real es la UE y su promoción de la democracia y del Estado de Derecho.</w:t>
      </w:r>
    </w:p>
    <w:p w:rsidR="008F062A" w:rsidRPr="00464C78" w:rsidRDefault="008F062A" w:rsidP="008F062A">
      <w:pPr>
        <w:spacing w:line="240" w:lineRule="auto"/>
        <w:jc w:val="both"/>
        <w:rPr>
          <w:rFonts w:ascii="Times New Roman" w:hAnsi="Times New Roman" w:cs="Times New Roman"/>
          <w:sz w:val="24"/>
          <w:szCs w:val="24"/>
          <w:u w:val="single"/>
        </w:rPr>
      </w:pPr>
      <w:r w:rsidRPr="00464C78">
        <w:rPr>
          <w:rFonts w:ascii="Times New Roman" w:hAnsi="Times New Roman" w:cs="Times New Roman"/>
          <w:sz w:val="24"/>
          <w:szCs w:val="24"/>
          <w:u w:val="single"/>
        </w:rPr>
        <w:t>Los sistemas ruso y europeo son radicalmente incompatibles, ya que representan valores contradictorios y formas muy diferentes de encarar la política interna y externa. En el siglo XIX, la Rusia zarista lideró la “Santa Alianza”, un baluarte reaccionario contra las revoluciones burguesas que barrían Europa. Esta dinámica se invirtió después de 1917 con los bolcheviques, cuando Rusia se convirtió en la cuna de la revolución. Pero bajo Stalin, volvió a perseguir básicamente los mismos objetivos que los zares, en particular en lo referido a aplastar movimientos independentistas en Europa central y del este.</w:t>
      </w:r>
    </w:p>
    <w:p w:rsidR="008F062A" w:rsidRPr="00464C78" w:rsidRDefault="008F062A" w:rsidP="008F062A">
      <w:pPr>
        <w:spacing w:line="240" w:lineRule="auto"/>
        <w:jc w:val="both"/>
        <w:rPr>
          <w:rFonts w:ascii="Times New Roman" w:hAnsi="Times New Roman" w:cs="Times New Roman"/>
          <w:color w:val="FF0000"/>
          <w:sz w:val="24"/>
          <w:szCs w:val="24"/>
          <w:u w:val="single"/>
        </w:rPr>
      </w:pPr>
      <w:r w:rsidRPr="00464C78">
        <w:rPr>
          <w:rFonts w:ascii="Times New Roman" w:hAnsi="Times New Roman" w:cs="Times New Roman"/>
          <w:color w:val="FF0000"/>
          <w:sz w:val="24"/>
          <w:szCs w:val="24"/>
          <w:u w:val="single"/>
        </w:rPr>
        <w:t>El régimen de Putin ha seguido una trayectoria similar: se retiró al siglo XIX, se alió con la Iglesia Ortodoxa y ataca al “decadente Occidente”, con diatribas contra la homosexualidad y el liberalismo. El apoyo activo del Kremlin a las fuerzas nacionalistas iliberales en Europa y Estados Unidos es sólo parte de este cuadro más amplio.</w:t>
      </w:r>
    </w:p>
    <w:p w:rsidR="008F062A" w:rsidRPr="00464C78" w:rsidRDefault="008F062A" w:rsidP="008F062A">
      <w:pPr>
        <w:spacing w:line="240" w:lineRule="auto"/>
        <w:jc w:val="both"/>
        <w:rPr>
          <w:rFonts w:ascii="Times New Roman" w:hAnsi="Times New Roman" w:cs="Times New Roman"/>
          <w:sz w:val="24"/>
          <w:szCs w:val="24"/>
          <w:u w:val="single"/>
        </w:rPr>
      </w:pPr>
      <w:r w:rsidRPr="00464C78">
        <w:rPr>
          <w:rFonts w:ascii="Times New Roman" w:hAnsi="Times New Roman" w:cs="Times New Roman"/>
          <w:sz w:val="24"/>
          <w:szCs w:val="24"/>
          <w:u w:val="single"/>
        </w:rPr>
        <w:t>Por más que una mejora en las relaciones entre la UE y Rusia es deseable, no ocurrirá pronto ni será fácil</w:t>
      </w:r>
      <w:r w:rsidRPr="00C059C7">
        <w:rPr>
          <w:rFonts w:ascii="Times New Roman" w:hAnsi="Times New Roman" w:cs="Times New Roman"/>
          <w:sz w:val="24"/>
          <w:szCs w:val="24"/>
        </w:rPr>
        <w:t xml:space="preserve">. </w:t>
      </w:r>
      <w:r w:rsidRPr="00464C78">
        <w:rPr>
          <w:rFonts w:ascii="Times New Roman" w:hAnsi="Times New Roman" w:cs="Times New Roman"/>
          <w:sz w:val="24"/>
          <w:szCs w:val="24"/>
          <w:u w:val="single"/>
        </w:rPr>
        <w:t>En las cuestiones centrales de Ucrania y la democracia, Europa no puede ceder ni un palmo.</w:t>
      </w:r>
    </w:p>
    <w:p w:rsidR="008F062A" w:rsidRPr="008B4E7E" w:rsidRDefault="008F062A" w:rsidP="008F062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059C7">
        <w:rPr>
          <w:rFonts w:ascii="Times New Roman" w:hAnsi="Times New Roman" w:cs="Times New Roman"/>
          <w:sz w:val="24"/>
          <w:szCs w:val="24"/>
          <w:lang w:val="en-US"/>
        </w:rPr>
        <w:t>Joschka Fischer was German Foreign Minister and Vice Chancellor from 1998-2005, a term marked by Germany's strong support for NATO's intervention in Kosovo in 1999, followed by it</w:t>
      </w:r>
      <w:r w:rsidR="003B0B4C">
        <w:rPr>
          <w:rFonts w:ascii="Times New Roman" w:hAnsi="Times New Roman" w:cs="Times New Roman"/>
          <w:sz w:val="24"/>
          <w:szCs w:val="24"/>
          <w:lang w:val="en-US"/>
        </w:rPr>
        <w:t>s opposition to the war in Iraq)</w:t>
      </w:r>
    </w:p>
    <w:p w:rsidR="008B4E7E" w:rsidRPr="003B0B4C" w:rsidRDefault="008B4E7E" w:rsidP="00B0273B">
      <w:pPr>
        <w:spacing w:after="0" w:line="240" w:lineRule="auto"/>
        <w:jc w:val="both"/>
        <w:textAlignment w:val="baseline"/>
        <w:rPr>
          <w:rFonts w:ascii="Times New Roman" w:hAnsi="Times New Roman" w:cs="Times New Roman"/>
          <w:b/>
          <w:sz w:val="24"/>
          <w:szCs w:val="24"/>
        </w:rPr>
      </w:pPr>
      <w:r w:rsidRPr="003B0B4C">
        <w:rPr>
          <w:rFonts w:ascii="Times New Roman" w:hAnsi="Times New Roman" w:cs="Times New Roman"/>
          <w:b/>
          <w:sz w:val="24"/>
          <w:szCs w:val="24"/>
        </w:rPr>
        <w:t>Creo que “gracias” a las alucinaciones, delirios, desplantes</w:t>
      </w:r>
      <w:r w:rsidR="00231CDA" w:rsidRPr="003B0B4C">
        <w:rPr>
          <w:rFonts w:ascii="Times New Roman" w:hAnsi="Times New Roman" w:cs="Times New Roman"/>
          <w:b/>
          <w:sz w:val="24"/>
          <w:szCs w:val="24"/>
        </w:rPr>
        <w:t>,</w:t>
      </w:r>
      <w:r w:rsidRPr="003B0B4C">
        <w:rPr>
          <w:rFonts w:ascii="Times New Roman" w:hAnsi="Times New Roman" w:cs="Times New Roman"/>
          <w:b/>
          <w:sz w:val="24"/>
          <w:szCs w:val="24"/>
        </w:rPr>
        <w:t xml:space="preserve"> fantasmadas, argucias, engaños, torpezas, fanfarronadas, chantajes… de Donald Trump</w:t>
      </w:r>
      <w:r w:rsidR="00231CDA" w:rsidRPr="003B0B4C">
        <w:rPr>
          <w:rFonts w:ascii="Times New Roman" w:hAnsi="Times New Roman" w:cs="Times New Roman"/>
          <w:b/>
          <w:sz w:val="24"/>
          <w:szCs w:val="24"/>
        </w:rPr>
        <w:t xml:space="preserve"> (OTAN, guerra arancelaria, desafecto manifiesto</w:t>
      </w:r>
      <w:r w:rsidRPr="003B0B4C">
        <w:rPr>
          <w:rFonts w:ascii="Times New Roman" w:hAnsi="Times New Roman" w:cs="Times New Roman"/>
          <w:b/>
          <w:sz w:val="24"/>
          <w:szCs w:val="24"/>
        </w:rPr>
        <w:t>, denuncia de convenios</w:t>
      </w:r>
      <w:r w:rsidR="00231CDA" w:rsidRPr="003B0B4C">
        <w:rPr>
          <w:rFonts w:ascii="Times New Roman" w:hAnsi="Times New Roman" w:cs="Times New Roman"/>
          <w:b/>
          <w:sz w:val="24"/>
          <w:szCs w:val="24"/>
        </w:rPr>
        <w:t>…), la UE no podrá seguir “poniéndose de perfil”, ejerciendo de ciego voluntario, negando la evidencia, o haciendo de “alfombrilla de baño”,  para vender unos autitos, unos vinitos o una</w:t>
      </w:r>
      <w:r w:rsidR="003B0B4C">
        <w:rPr>
          <w:rFonts w:ascii="Times New Roman" w:hAnsi="Times New Roman" w:cs="Times New Roman"/>
          <w:b/>
          <w:sz w:val="24"/>
          <w:szCs w:val="24"/>
        </w:rPr>
        <w:t>s</w:t>
      </w:r>
      <w:r w:rsidR="00231CDA" w:rsidRPr="003B0B4C">
        <w:rPr>
          <w:rFonts w:ascii="Times New Roman" w:hAnsi="Times New Roman" w:cs="Times New Roman"/>
          <w:b/>
          <w:sz w:val="24"/>
          <w:szCs w:val="24"/>
        </w:rPr>
        <w:t xml:space="preserve"> aceitunitas…</w:t>
      </w:r>
    </w:p>
    <w:p w:rsidR="008B4E7E" w:rsidRPr="003B0B4C" w:rsidRDefault="008B4E7E" w:rsidP="00B0273B">
      <w:pPr>
        <w:spacing w:after="0" w:line="240" w:lineRule="auto"/>
        <w:jc w:val="both"/>
        <w:textAlignment w:val="baseline"/>
        <w:rPr>
          <w:rFonts w:ascii="Times New Roman" w:hAnsi="Times New Roman" w:cs="Times New Roman"/>
          <w:b/>
          <w:sz w:val="24"/>
          <w:szCs w:val="24"/>
        </w:rPr>
      </w:pPr>
    </w:p>
    <w:p w:rsidR="003B0B4C" w:rsidRPr="003B0B4C" w:rsidRDefault="008B4E7E" w:rsidP="00B0273B">
      <w:pPr>
        <w:spacing w:after="0" w:line="240" w:lineRule="auto"/>
        <w:jc w:val="both"/>
        <w:textAlignment w:val="baseline"/>
        <w:rPr>
          <w:rFonts w:ascii="Times New Roman" w:hAnsi="Times New Roman" w:cs="Times New Roman"/>
          <w:b/>
          <w:sz w:val="24"/>
          <w:szCs w:val="24"/>
        </w:rPr>
      </w:pPr>
      <w:r w:rsidRPr="003B0B4C">
        <w:rPr>
          <w:rFonts w:ascii="Times New Roman" w:hAnsi="Times New Roman" w:cs="Times New Roman"/>
          <w:b/>
          <w:sz w:val="24"/>
          <w:szCs w:val="24"/>
        </w:rPr>
        <w:t>Donald Trump ha cerrado el paraguas, el cielo protector se acabó, el “amigo” americano se “piantó” con otra (u otro). No va más. Europa</w:t>
      </w:r>
      <w:r w:rsidR="003B0B4C">
        <w:rPr>
          <w:rFonts w:ascii="Times New Roman" w:hAnsi="Times New Roman" w:cs="Times New Roman"/>
          <w:b/>
          <w:sz w:val="24"/>
          <w:szCs w:val="24"/>
        </w:rPr>
        <w:t xml:space="preserve"> se</w:t>
      </w:r>
      <w:r w:rsidRPr="003B0B4C">
        <w:rPr>
          <w:rFonts w:ascii="Times New Roman" w:hAnsi="Times New Roman" w:cs="Times New Roman"/>
          <w:b/>
          <w:sz w:val="24"/>
          <w:szCs w:val="24"/>
        </w:rPr>
        <w:t xml:space="preserve"> ha quedado a la intemperie, desnuda, desvalida, abandonada, perjudicada, maltratada… ¿violada? Creo que eso sería mucho decir</w:t>
      </w:r>
      <w:r w:rsidR="003B0B4C">
        <w:rPr>
          <w:rFonts w:ascii="Times New Roman" w:hAnsi="Times New Roman" w:cs="Times New Roman"/>
          <w:b/>
          <w:sz w:val="24"/>
          <w:szCs w:val="24"/>
        </w:rPr>
        <w:t>,</w:t>
      </w:r>
      <w:r w:rsidRPr="003B0B4C">
        <w:rPr>
          <w:rFonts w:ascii="Times New Roman" w:hAnsi="Times New Roman" w:cs="Times New Roman"/>
          <w:b/>
          <w:sz w:val="24"/>
          <w:szCs w:val="24"/>
        </w:rPr>
        <w:t xml:space="preserve"> para una “puta </w:t>
      </w:r>
      <w:r w:rsidR="003B0B4C" w:rsidRPr="003B0B4C">
        <w:rPr>
          <w:rFonts w:ascii="Times New Roman" w:hAnsi="Times New Roman" w:cs="Times New Roman"/>
          <w:b/>
          <w:sz w:val="24"/>
          <w:szCs w:val="24"/>
        </w:rPr>
        <w:t>vieja”, q</w:t>
      </w:r>
      <w:r w:rsidR="003B0B4C">
        <w:rPr>
          <w:rFonts w:ascii="Times New Roman" w:hAnsi="Times New Roman" w:cs="Times New Roman"/>
          <w:b/>
          <w:sz w:val="24"/>
          <w:szCs w:val="24"/>
        </w:rPr>
        <w:t xml:space="preserve">ue ya ha se ha revolcado en tantas camas </w:t>
      </w:r>
      <w:r w:rsidRPr="003B0B4C">
        <w:rPr>
          <w:rFonts w:ascii="Times New Roman" w:hAnsi="Times New Roman" w:cs="Times New Roman"/>
          <w:b/>
          <w:sz w:val="24"/>
          <w:szCs w:val="24"/>
        </w:rPr>
        <w:t xml:space="preserve">a lo largo de su historia. </w:t>
      </w:r>
    </w:p>
    <w:p w:rsidR="003B0B4C" w:rsidRPr="003B0B4C" w:rsidRDefault="003B0B4C" w:rsidP="00B0273B">
      <w:pPr>
        <w:spacing w:after="0" w:line="240" w:lineRule="auto"/>
        <w:jc w:val="both"/>
        <w:textAlignment w:val="baseline"/>
        <w:rPr>
          <w:rFonts w:ascii="Times New Roman" w:hAnsi="Times New Roman" w:cs="Times New Roman"/>
          <w:b/>
          <w:sz w:val="24"/>
          <w:szCs w:val="24"/>
        </w:rPr>
      </w:pPr>
    </w:p>
    <w:p w:rsidR="003B0B4C" w:rsidRDefault="003B0B4C" w:rsidP="003B0B4C">
      <w:pPr>
        <w:spacing w:after="0" w:line="240" w:lineRule="auto"/>
        <w:jc w:val="both"/>
        <w:textAlignment w:val="baseline"/>
        <w:rPr>
          <w:rFonts w:ascii="Times New Roman" w:hAnsi="Times New Roman" w:cs="Times New Roman"/>
          <w:b/>
          <w:sz w:val="24"/>
          <w:szCs w:val="24"/>
        </w:rPr>
      </w:pPr>
      <w:r w:rsidRPr="003B0B4C">
        <w:rPr>
          <w:rFonts w:ascii="Times New Roman" w:hAnsi="Times New Roman" w:cs="Times New Roman"/>
          <w:b/>
          <w:sz w:val="24"/>
          <w:szCs w:val="24"/>
        </w:rPr>
        <w:t>Lo sorprendente es que esa “puta vieja” se haya dejado engañar durante tanto tiempo por unos “patanes” americanos</w:t>
      </w:r>
      <w:r w:rsidR="004D5328">
        <w:rPr>
          <w:rFonts w:ascii="Times New Roman" w:hAnsi="Times New Roman" w:cs="Times New Roman"/>
          <w:b/>
          <w:sz w:val="24"/>
          <w:szCs w:val="24"/>
        </w:rPr>
        <w:t>,</w:t>
      </w:r>
      <w:r w:rsidRPr="003B0B4C">
        <w:rPr>
          <w:rFonts w:ascii="Times New Roman" w:hAnsi="Times New Roman" w:cs="Times New Roman"/>
          <w:b/>
          <w:sz w:val="24"/>
          <w:szCs w:val="24"/>
        </w:rPr>
        <w:t xml:space="preserve"> que le juraron amor eterno. Debería saber que cuando dicen amor(asociación) </w:t>
      </w:r>
      <w:r>
        <w:rPr>
          <w:rFonts w:ascii="Times New Roman" w:hAnsi="Times New Roman" w:cs="Times New Roman"/>
          <w:b/>
          <w:sz w:val="24"/>
          <w:szCs w:val="24"/>
        </w:rPr>
        <w:t>quieren decir</w:t>
      </w:r>
      <w:r w:rsidRPr="003B0B4C">
        <w:rPr>
          <w:rFonts w:ascii="Times New Roman" w:hAnsi="Times New Roman" w:cs="Times New Roman"/>
          <w:b/>
          <w:sz w:val="24"/>
          <w:szCs w:val="24"/>
        </w:rPr>
        <w:t xml:space="preserve"> sexo (negocios). Al final, habrá que agradecer</w:t>
      </w:r>
      <w:r>
        <w:rPr>
          <w:rFonts w:ascii="Times New Roman" w:hAnsi="Times New Roman" w:cs="Times New Roman"/>
          <w:b/>
          <w:sz w:val="24"/>
          <w:szCs w:val="24"/>
        </w:rPr>
        <w:t xml:space="preserve"> a POTUS que haya </w:t>
      </w:r>
      <w:r w:rsidR="004D5328">
        <w:rPr>
          <w:rFonts w:ascii="Times New Roman" w:hAnsi="Times New Roman" w:cs="Times New Roman"/>
          <w:b/>
          <w:sz w:val="24"/>
          <w:szCs w:val="24"/>
        </w:rPr>
        <w:t>“incitado” a la UE a</w:t>
      </w:r>
      <w:r>
        <w:rPr>
          <w:rFonts w:ascii="Times New Roman" w:hAnsi="Times New Roman" w:cs="Times New Roman"/>
          <w:b/>
          <w:sz w:val="24"/>
          <w:szCs w:val="24"/>
        </w:rPr>
        <w:t xml:space="preserve"> abando</w:t>
      </w:r>
      <w:r w:rsidR="004D5328">
        <w:rPr>
          <w:rFonts w:ascii="Times New Roman" w:hAnsi="Times New Roman" w:cs="Times New Roman"/>
          <w:b/>
          <w:sz w:val="24"/>
          <w:szCs w:val="24"/>
        </w:rPr>
        <w:t>nar su connivencia e idiocia habitual.</w:t>
      </w:r>
    </w:p>
    <w:p w:rsidR="008B4E7E" w:rsidRDefault="008B4E7E" w:rsidP="003B0B4C">
      <w:pPr>
        <w:spacing w:after="0"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554672">
        <w:rPr>
          <w:rFonts w:ascii="Times New Roman" w:hAnsi="Times New Roman" w:cs="Times New Roman"/>
          <w:b/>
          <w:sz w:val="24"/>
          <w:szCs w:val="24"/>
        </w:rPr>
        <w:t>Últimos acontecimientos relevantes</w:t>
      </w:r>
      <w:r>
        <w:rPr>
          <w:rFonts w:ascii="Times New Roman" w:hAnsi="Times New Roman" w:cs="Times New Roman"/>
          <w:b/>
          <w:sz w:val="24"/>
          <w:szCs w:val="24"/>
        </w:rPr>
        <w:t>: ¡Esquizofrénicos del mundo… “uníos”!</w:t>
      </w:r>
    </w:p>
    <w:p w:rsidR="003B0B4C" w:rsidRPr="003B0B4C" w:rsidRDefault="003B0B4C" w:rsidP="003B0B4C">
      <w:pPr>
        <w:spacing w:after="0" w:line="240" w:lineRule="auto"/>
        <w:jc w:val="both"/>
        <w:textAlignment w:val="baseline"/>
        <w:rPr>
          <w:rFonts w:ascii="Times New Roman" w:hAnsi="Times New Roman" w:cs="Times New Roman"/>
          <w:b/>
          <w:sz w:val="24"/>
          <w:szCs w:val="24"/>
        </w:rPr>
      </w:pPr>
    </w:p>
    <w:p w:rsidR="008B4E7E" w:rsidRPr="007D67F3" w:rsidRDefault="008B4E7E" w:rsidP="008B4E7E">
      <w:pPr>
        <w:spacing w:line="240" w:lineRule="auto"/>
        <w:jc w:val="both"/>
        <w:rPr>
          <w:rFonts w:ascii="Times New Roman" w:hAnsi="Times New Roman" w:cs="Times New Roman"/>
          <w:b/>
          <w:sz w:val="24"/>
          <w:szCs w:val="24"/>
        </w:rPr>
      </w:pPr>
      <w:r w:rsidRPr="007D67F3">
        <w:rPr>
          <w:rFonts w:ascii="Times New Roman" w:hAnsi="Times New Roman" w:cs="Times New Roman"/>
          <w:b/>
          <w:sz w:val="24"/>
          <w:szCs w:val="24"/>
        </w:rPr>
        <w:t>Brexit or non Brexit: that is the question…</w:t>
      </w:r>
    </w:p>
    <w:p w:rsidR="008B4E7E" w:rsidRPr="007160ED" w:rsidRDefault="008B4E7E" w:rsidP="008B4E7E">
      <w:pPr>
        <w:spacing w:line="240" w:lineRule="auto"/>
        <w:jc w:val="both"/>
        <w:rPr>
          <w:rFonts w:ascii="Times New Roman" w:hAnsi="Times New Roman" w:cs="Times New Roman"/>
          <w:b/>
          <w:sz w:val="24"/>
          <w:szCs w:val="24"/>
        </w:rPr>
      </w:pPr>
      <w:r w:rsidRPr="007160ED">
        <w:rPr>
          <w:rFonts w:ascii="Times New Roman" w:hAnsi="Times New Roman" w:cs="Times New Roman"/>
          <w:b/>
          <w:sz w:val="24"/>
          <w:szCs w:val="24"/>
        </w:rPr>
        <w:t>¿Si DT se “embeded” con China, por qué yo (BY) no puedo “dormir” con el enemigo?</w:t>
      </w:r>
    </w:p>
    <w:p w:rsidR="008B4E7E" w:rsidRPr="00132336"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32336">
        <w:rPr>
          <w:rFonts w:ascii="Times New Roman" w:hAnsi="Times New Roman" w:cs="Times New Roman"/>
          <w:sz w:val="24"/>
          <w:szCs w:val="24"/>
          <w:u w:val="single"/>
        </w:rPr>
        <w:t>El plan de Johnson para un acuerdo del Brexit de úl</w:t>
      </w:r>
      <w:r>
        <w:rPr>
          <w:rFonts w:ascii="Times New Roman" w:hAnsi="Times New Roman" w:cs="Times New Roman"/>
          <w:sz w:val="24"/>
          <w:szCs w:val="24"/>
          <w:u w:val="single"/>
        </w:rPr>
        <w:t>tima hora: aceptar el proyecto “loco”</w:t>
      </w:r>
      <w:r w:rsidRPr="00132336">
        <w:rPr>
          <w:rFonts w:ascii="Times New Roman" w:hAnsi="Times New Roman" w:cs="Times New Roman"/>
          <w:sz w:val="24"/>
          <w:szCs w:val="24"/>
          <w:u w:val="single"/>
        </w:rPr>
        <w:t xml:space="preserve"> de May para Irlanda</w:t>
      </w:r>
      <w:r>
        <w:rPr>
          <w:rFonts w:ascii="Times New Roman" w:hAnsi="Times New Roman" w:cs="Times New Roman"/>
          <w:sz w:val="24"/>
          <w:szCs w:val="24"/>
        </w:rPr>
        <w:t xml:space="preserve"> (El Economista - </w:t>
      </w:r>
      <w:r w:rsidRPr="00132336">
        <w:rPr>
          <w:rFonts w:ascii="Times New Roman" w:hAnsi="Times New Roman" w:cs="Times New Roman"/>
          <w:b/>
          <w:sz w:val="24"/>
          <w:szCs w:val="24"/>
        </w:rPr>
        <w:t>12/10/19</w:t>
      </w:r>
      <w:r>
        <w:rPr>
          <w:rFonts w:ascii="Times New Roman" w:hAnsi="Times New Roman" w:cs="Times New Roman"/>
          <w:sz w:val="24"/>
          <w:szCs w:val="24"/>
        </w:rPr>
        <w:t>)</w:t>
      </w:r>
    </w:p>
    <w:p w:rsidR="008B4E7E" w:rsidRPr="00C54A31" w:rsidRDefault="008B4E7E" w:rsidP="008B4E7E">
      <w:pPr>
        <w:spacing w:line="240" w:lineRule="auto"/>
        <w:jc w:val="both"/>
        <w:rPr>
          <w:rFonts w:ascii="Times New Roman" w:hAnsi="Times New Roman" w:cs="Times New Roman"/>
          <w:color w:val="FF0000"/>
          <w:sz w:val="24"/>
          <w:szCs w:val="24"/>
        </w:rPr>
      </w:pPr>
      <w:r w:rsidRPr="00C54A31">
        <w:rPr>
          <w:rFonts w:ascii="Times New Roman" w:hAnsi="Times New Roman" w:cs="Times New Roman"/>
          <w:color w:val="FF0000"/>
          <w:sz w:val="24"/>
          <w:szCs w:val="24"/>
        </w:rPr>
        <w:t>Irlanda del Norte tendría dos sistemas aduaneros, con el europeo como principal</w:t>
      </w:r>
    </w:p>
    <w:p w:rsidR="008B4E7E" w:rsidRPr="00C54A31" w:rsidRDefault="008B4E7E" w:rsidP="008B4E7E">
      <w:pPr>
        <w:spacing w:line="240" w:lineRule="auto"/>
        <w:jc w:val="both"/>
        <w:rPr>
          <w:rFonts w:ascii="Times New Roman" w:hAnsi="Times New Roman" w:cs="Times New Roman"/>
          <w:color w:val="FF0000"/>
          <w:sz w:val="24"/>
          <w:szCs w:val="24"/>
        </w:rPr>
      </w:pPr>
      <w:r w:rsidRPr="00C54A31">
        <w:rPr>
          <w:rFonts w:ascii="Times New Roman" w:hAnsi="Times New Roman" w:cs="Times New Roman"/>
          <w:color w:val="FF0000"/>
          <w:sz w:val="24"/>
          <w:szCs w:val="24"/>
        </w:rPr>
        <w:t>Habría que cambiar las leyes británicas y esperar que no haya vetos</w:t>
      </w:r>
    </w:p>
    <w:p w:rsidR="008B4E7E" w:rsidRPr="00C54A31" w:rsidRDefault="008B4E7E" w:rsidP="008B4E7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C54A31">
        <w:rPr>
          <w:rFonts w:ascii="Times New Roman" w:hAnsi="Times New Roman" w:cs="Times New Roman"/>
          <w:sz w:val="24"/>
          <w:szCs w:val="24"/>
          <w:u w:val="single"/>
        </w:rPr>
        <w:t>Es una locura. Es un plan que nunca ha sido probado y que haría muy difícil llegar a acuerd</w:t>
      </w:r>
      <w:r>
        <w:rPr>
          <w:rFonts w:ascii="Times New Roman" w:hAnsi="Times New Roman" w:cs="Times New Roman"/>
          <w:sz w:val="24"/>
          <w:szCs w:val="24"/>
          <w:u w:val="single"/>
        </w:rPr>
        <w:t>os comerciales con otros países”</w:t>
      </w:r>
      <w:r w:rsidRPr="00C54A31">
        <w:rPr>
          <w:rFonts w:ascii="Times New Roman" w:hAnsi="Times New Roman" w:cs="Times New Roman"/>
          <w:sz w:val="24"/>
          <w:szCs w:val="24"/>
          <w:u w:val="single"/>
        </w:rPr>
        <w:t>. Así describía la propuesta inicial de salvaguarda para Irlanda del Norte el entonces ministro de Exteriores británico, Boris Johnson, en agosto de 2018. Apenas han pasado 14 meses, y las primeras filtraciones sobre el último plan del Brexit ofrecido por el ahora primer ministro de Reino Unido a su homólogo irlandés, Leo Varadkar, apuntan a que la propuesta de May es la solución para intentar obtener un acuerdo de salida de la UE en el último momento.</w:t>
      </w:r>
    </w:p>
    <w:p w:rsidR="008B4E7E" w:rsidRPr="00C54A31" w:rsidRDefault="008B4E7E" w:rsidP="008B4E7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“sistema loco”</w:t>
      </w:r>
      <w:r w:rsidRPr="00C54A31">
        <w:rPr>
          <w:rFonts w:ascii="Times New Roman" w:hAnsi="Times New Roman" w:cs="Times New Roman"/>
          <w:color w:val="FF0000"/>
          <w:sz w:val="24"/>
          <w:szCs w:val="24"/>
          <w:u w:val="single"/>
        </w:rPr>
        <w:t xml:space="preserve"> de May, adoptado ah</w:t>
      </w:r>
      <w:r>
        <w:rPr>
          <w:rFonts w:ascii="Times New Roman" w:hAnsi="Times New Roman" w:cs="Times New Roman"/>
          <w:color w:val="FF0000"/>
          <w:sz w:val="24"/>
          <w:szCs w:val="24"/>
          <w:u w:val="single"/>
        </w:rPr>
        <w:t>ora por Johnson, supondría que “</w:t>
      </w:r>
      <w:r w:rsidRPr="00C54A31">
        <w:rPr>
          <w:rFonts w:ascii="Times New Roman" w:hAnsi="Times New Roman" w:cs="Times New Roman"/>
          <w:color w:val="FF0000"/>
          <w:sz w:val="24"/>
          <w:szCs w:val="24"/>
          <w:u w:val="single"/>
        </w:rPr>
        <w:t>Reino Unido acabaría recaudando los aranceles de l</w:t>
      </w:r>
      <w:r>
        <w:rPr>
          <w:rFonts w:ascii="Times New Roman" w:hAnsi="Times New Roman" w:cs="Times New Roman"/>
          <w:color w:val="FF0000"/>
          <w:sz w:val="24"/>
          <w:szCs w:val="24"/>
          <w:u w:val="single"/>
        </w:rPr>
        <w:t>os productos destinados a la UE”</w:t>
      </w:r>
      <w:r w:rsidRPr="00C54A31">
        <w:rPr>
          <w:rFonts w:ascii="Times New Roman" w:hAnsi="Times New Roman" w:cs="Times New Roman"/>
          <w:color w:val="FF0000"/>
          <w:sz w:val="24"/>
          <w:szCs w:val="24"/>
          <w:u w:val="single"/>
        </w:rPr>
        <w:t xml:space="preserve"> que pasaran por Irlanda del Norte y entregándoselos a las autoridades europeas. En la práctica, eso significaría la creación de una frontera aduanera entre la provincia británica y el resto del país, manteniendo a Irlanda del Norte en la órbita europea. En otras palabras, el objetivo inicial de la UE, antes de que May se viera obligada a ofrecer una unión aduanera para todo el país por la presión de los unionistas norirlandeses.</w:t>
      </w:r>
    </w:p>
    <w:p w:rsidR="008B4E7E" w:rsidRPr="00C54A31" w:rsidRDefault="008B4E7E" w:rsidP="008B4E7E">
      <w:pPr>
        <w:spacing w:line="240" w:lineRule="auto"/>
        <w:jc w:val="both"/>
        <w:rPr>
          <w:rFonts w:ascii="Times New Roman" w:hAnsi="Times New Roman" w:cs="Times New Roman"/>
          <w:color w:val="FF0000"/>
          <w:sz w:val="24"/>
          <w:szCs w:val="24"/>
          <w:u w:val="single"/>
        </w:rPr>
      </w:pPr>
      <w:r w:rsidRPr="00C54A31">
        <w:rPr>
          <w:rFonts w:ascii="Times New Roman" w:hAnsi="Times New Roman" w:cs="Times New Roman"/>
          <w:color w:val="FF0000"/>
          <w:sz w:val="24"/>
          <w:szCs w:val="24"/>
          <w:u w:val="single"/>
        </w:rPr>
        <w:t>Según la televisión pública irlandesa, RTÉ, y el diario The Daily Telegraph, en el que trabajaba Johnson hasta hace unos meses, la concesión británica se aplicaría mediante la creación de dos espacios aduaneros en Irlanda del Norte. El sistema aduanero principal sería el europeo, y las autoridades británicas aplicarían los aranceles y las regulaciones fijadas por Bruselas a todos los productos que entren en la provincia. Así no sería necesaria una frontera dentro de la isla, pero sí con el resto del país.</w:t>
      </w:r>
    </w:p>
    <w:p w:rsidR="008B4E7E" w:rsidRPr="00C54A31" w:rsidRDefault="008B4E7E" w:rsidP="008B4E7E">
      <w:pPr>
        <w:spacing w:line="240" w:lineRule="auto"/>
        <w:jc w:val="both"/>
        <w:rPr>
          <w:rFonts w:ascii="Times New Roman" w:hAnsi="Times New Roman" w:cs="Times New Roman"/>
          <w:color w:val="FF0000"/>
          <w:sz w:val="24"/>
          <w:szCs w:val="24"/>
          <w:u w:val="single"/>
        </w:rPr>
      </w:pPr>
      <w:r w:rsidRPr="00C54A31">
        <w:rPr>
          <w:rFonts w:ascii="Times New Roman" w:hAnsi="Times New Roman" w:cs="Times New Roman"/>
          <w:color w:val="FF0000"/>
          <w:sz w:val="24"/>
          <w:szCs w:val="24"/>
          <w:u w:val="single"/>
        </w:rPr>
        <w:t>A su vez, Irlanda del Norte podría seguir acogiéndose al sistema aduanero británico, pero solo para los bienes destinados para consumirse dentro de la provincia. Mediante facturas, y con un sistema similar al de las devoluciones del IVA, los ciudadanos y empresas norirlandesas podrían exigir al Gobierno que les devolviera la diferencia en los productos en los que hubieran pagado, siguiendo los niveles europeos, más aranceles de los fijados por Londres.</w:t>
      </w:r>
    </w:p>
    <w:p w:rsidR="008B4E7E" w:rsidRPr="00D47685" w:rsidRDefault="008B4E7E" w:rsidP="008B4E7E">
      <w:pPr>
        <w:spacing w:line="240" w:lineRule="auto"/>
        <w:jc w:val="both"/>
        <w:rPr>
          <w:rFonts w:ascii="Times New Roman" w:hAnsi="Times New Roman" w:cs="Times New Roman"/>
          <w:sz w:val="24"/>
          <w:szCs w:val="24"/>
          <w:u w:val="single"/>
        </w:rPr>
      </w:pPr>
      <w:r w:rsidRPr="00132336">
        <w:rPr>
          <w:rFonts w:ascii="Times New Roman" w:hAnsi="Times New Roman" w:cs="Times New Roman"/>
          <w:sz w:val="24"/>
          <w:szCs w:val="24"/>
        </w:rPr>
        <w:t xml:space="preserve">Aunque no hay ninguna confirmación oficial todavía, este viernes Johnson se negó por dos veces a confirmar que Irlanda del Norte abandonaría la unión aduanera europea y aplicaría las regulaciones británicas al completo, lo que hace sospechar que su plan es hacer justo lo contrario. </w:t>
      </w:r>
      <w:r w:rsidRPr="00D47685">
        <w:rPr>
          <w:rFonts w:ascii="Times New Roman" w:hAnsi="Times New Roman" w:cs="Times New Roman"/>
          <w:sz w:val="24"/>
          <w:szCs w:val="24"/>
          <w:u w:val="single"/>
        </w:rPr>
        <w:t>Además, el Telegraph, que tiene línea directa con el primer ministro, abría este viernes advirtiendo de que “Irlanda del Norte no puede ser una piedra atada al Reino Unido” que frene la aplicación del Brexit, señalando que el Gobierno está más cerca de levantar sus líneas rojas sobre la provincia.</w:t>
      </w:r>
    </w:p>
    <w:p w:rsidR="008B4E7E" w:rsidRPr="00132336" w:rsidRDefault="008B4E7E" w:rsidP="008B4E7E">
      <w:pPr>
        <w:spacing w:line="240" w:lineRule="auto"/>
        <w:jc w:val="both"/>
        <w:rPr>
          <w:rFonts w:ascii="Times New Roman" w:hAnsi="Times New Roman" w:cs="Times New Roman"/>
          <w:sz w:val="24"/>
          <w:szCs w:val="24"/>
        </w:rPr>
      </w:pPr>
      <w:r w:rsidRPr="00132336">
        <w:rPr>
          <w:rFonts w:ascii="Times New Roman" w:hAnsi="Times New Roman" w:cs="Times New Roman"/>
          <w:sz w:val="24"/>
          <w:szCs w:val="24"/>
        </w:rPr>
        <w:t xml:space="preserve">Por su parte, el negociador jefe de la UE para el Brexit, Michel Barnier, confirmó que los Veintisiete habían dado la luz verde para pasar a la etapa de negociaciones intensas, </w:t>
      </w:r>
      <w:r w:rsidRPr="00132336">
        <w:rPr>
          <w:rFonts w:ascii="Times New Roman" w:hAnsi="Times New Roman" w:cs="Times New Roman"/>
          <w:sz w:val="24"/>
          <w:szCs w:val="24"/>
        </w:rPr>
        <w:lastRenderedPageBreak/>
        <w:t>insistiendo en que no se habían movido de sus líneas rojas. Aunque el jefe del Consejo Europeo, Dona</w:t>
      </w:r>
      <w:r>
        <w:rPr>
          <w:rFonts w:ascii="Times New Roman" w:hAnsi="Times New Roman" w:cs="Times New Roman"/>
          <w:sz w:val="24"/>
          <w:szCs w:val="24"/>
        </w:rPr>
        <w:t>ld Tusk, no fue tan optimista: “</w:t>
      </w:r>
      <w:r w:rsidRPr="00132336">
        <w:rPr>
          <w:rFonts w:ascii="Times New Roman" w:hAnsi="Times New Roman" w:cs="Times New Roman"/>
          <w:sz w:val="24"/>
          <w:szCs w:val="24"/>
        </w:rPr>
        <w:t xml:space="preserve">El Reino Unido todavía no ha propuesto una idea factible y realista. Pero hay señales prometedoras. Cualquier posibilidad que haya, por pequeña </w:t>
      </w:r>
      <w:r>
        <w:rPr>
          <w:rFonts w:ascii="Times New Roman" w:hAnsi="Times New Roman" w:cs="Times New Roman"/>
          <w:sz w:val="24"/>
          <w:szCs w:val="24"/>
        </w:rPr>
        <w:t>que sea, debe ser aprovechada”.</w:t>
      </w:r>
    </w:p>
    <w:p w:rsidR="008B4E7E" w:rsidRPr="00132336" w:rsidRDefault="008B4E7E" w:rsidP="008B4E7E">
      <w:pPr>
        <w:spacing w:line="240" w:lineRule="auto"/>
        <w:jc w:val="both"/>
        <w:rPr>
          <w:rFonts w:ascii="Times New Roman" w:hAnsi="Times New Roman" w:cs="Times New Roman"/>
          <w:sz w:val="24"/>
          <w:szCs w:val="24"/>
        </w:rPr>
      </w:pPr>
      <w:r w:rsidRPr="00132336">
        <w:rPr>
          <w:rFonts w:ascii="Times New Roman" w:hAnsi="Times New Roman" w:cs="Times New Roman"/>
          <w:sz w:val="24"/>
          <w:szCs w:val="24"/>
        </w:rPr>
        <w:t>¿Rebelión en Westminster?</w:t>
      </w:r>
    </w:p>
    <w:p w:rsidR="008B4E7E" w:rsidRPr="00C54A31" w:rsidRDefault="008B4E7E" w:rsidP="008B4E7E">
      <w:pPr>
        <w:spacing w:line="240" w:lineRule="auto"/>
        <w:jc w:val="both"/>
        <w:rPr>
          <w:rFonts w:ascii="Times New Roman" w:hAnsi="Times New Roman" w:cs="Times New Roman"/>
          <w:sz w:val="24"/>
          <w:szCs w:val="24"/>
          <w:u w:val="single"/>
        </w:rPr>
      </w:pPr>
      <w:r w:rsidRPr="00C54A31">
        <w:rPr>
          <w:rFonts w:ascii="Times New Roman" w:hAnsi="Times New Roman" w:cs="Times New Roman"/>
          <w:sz w:val="24"/>
          <w:szCs w:val="24"/>
          <w:u w:val="single"/>
        </w:rPr>
        <w:t>Una cuestión clave es si es posible acordar un nuevo tratado antes del sábado 19, cuando el Parlamento británico debe elegir entre ratificar un acuerdo o pedir una prórroga. Pero la pregunta del millón es si Johnson tendría suficientes votos para sacar adelante una concesión de ese nivel.</w:t>
      </w:r>
    </w:p>
    <w:p w:rsidR="008B4E7E" w:rsidRPr="00132336"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De entrada, los “brexiters”</w:t>
      </w:r>
      <w:r w:rsidRPr="00132336">
        <w:rPr>
          <w:rFonts w:ascii="Times New Roman" w:hAnsi="Times New Roman" w:cs="Times New Roman"/>
          <w:sz w:val="24"/>
          <w:szCs w:val="24"/>
        </w:rPr>
        <w:t xml:space="preserve"> -entre los que se encontraba él mismo- aprobaron en 2018 una enmienda que, en la práctica, hacía ilegal este plan, y que debería ser derogada antes de poder ratificarlo. Lo segundo es saber si los votos clave que necesita Johnson -los</w:t>
      </w:r>
      <w:r>
        <w:rPr>
          <w:rFonts w:ascii="Times New Roman" w:hAnsi="Times New Roman" w:cs="Times New Roman"/>
          <w:sz w:val="24"/>
          <w:szCs w:val="24"/>
        </w:rPr>
        <w:t xml:space="preserve"> unionistas norirlandeses, los “brexiters”</w:t>
      </w:r>
      <w:r w:rsidRPr="00132336">
        <w:rPr>
          <w:rFonts w:ascii="Times New Roman" w:hAnsi="Times New Roman" w:cs="Times New Roman"/>
          <w:sz w:val="24"/>
          <w:szCs w:val="24"/>
        </w:rPr>
        <w:t xml:space="preserve"> duros y los laboristas pro-Brexit- estarían de acuerdo con una propuesta qu</w:t>
      </w:r>
      <w:r>
        <w:rPr>
          <w:rFonts w:ascii="Times New Roman" w:hAnsi="Times New Roman" w:cs="Times New Roman"/>
          <w:sz w:val="24"/>
          <w:szCs w:val="24"/>
        </w:rPr>
        <w:t>e han atacado durante dos años.</w:t>
      </w:r>
    </w:p>
    <w:p w:rsidR="008B4E7E" w:rsidRDefault="008B4E7E" w:rsidP="008B4E7E">
      <w:pPr>
        <w:spacing w:line="240" w:lineRule="auto"/>
        <w:jc w:val="both"/>
        <w:rPr>
          <w:rFonts w:ascii="Times New Roman" w:hAnsi="Times New Roman" w:cs="Times New Roman"/>
          <w:sz w:val="24"/>
          <w:szCs w:val="24"/>
        </w:rPr>
      </w:pPr>
      <w:r w:rsidRPr="00132336">
        <w:rPr>
          <w:rFonts w:ascii="Times New Roman" w:hAnsi="Times New Roman" w:cs="Times New Roman"/>
          <w:sz w:val="24"/>
          <w:szCs w:val="24"/>
        </w:rPr>
        <w:t>Sin ir más lejos, el ac</w:t>
      </w:r>
      <w:r>
        <w:rPr>
          <w:rFonts w:ascii="Times New Roman" w:hAnsi="Times New Roman" w:cs="Times New Roman"/>
          <w:sz w:val="24"/>
          <w:szCs w:val="24"/>
        </w:rPr>
        <w:t>tual jefe parlamentario de los “tories”</w:t>
      </w:r>
      <w:r w:rsidRPr="00132336">
        <w:rPr>
          <w:rFonts w:ascii="Times New Roman" w:hAnsi="Times New Roman" w:cs="Times New Roman"/>
          <w:sz w:val="24"/>
          <w:szCs w:val="24"/>
        </w:rPr>
        <w:t>, Jacob Re</w:t>
      </w:r>
      <w:r>
        <w:rPr>
          <w:rFonts w:ascii="Times New Roman" w:hAnsi="Times New Roman" w:cs="Times New Roman"/>
          <w:sz w:val="24"/>
          <w:szCs w:val="24"/>
        </w:rPr>
        <w:t>es-Mogg, tachó la propuesta de “cretinez” y “traición al sentido común”</w:t>
      </w:r>
      <w:r w:rsidRPr="00132336">
        <w:rPr>
          <w:rFonts w:ascii="Times New Roman" w:hAnsi="Times New Roman" w:cs="Times New Roman"/>
          <w:sz w:val="24"/>
          <w:szCs w:val="24"/>
        </w:rPr>
        <w:t>. Johnson, de hecho, puso esta oferta como uno de los motivos de su dimisión como ministro de May. Aunque quizá sol</w:t>
      </w:r>
      <w:r>
        <w:rPr>
          <w:rFonts w:ascii="Times New Roman" w:hAnsi="Times New Roman" w:cs="Times New Roman"/>
          <w:sz w:val="24"/>
          <w:szCs w:val="24"/>
        </w:rPr>
        <w:t>o un “verdadero creyente”</w:t>
      </w:r>
      <w:r w:rsidRPr="00132336">
        <w:rPr>
          <w:rFonts w:ascii="Times New Roman" w:hAnsi="Times New Roman" w:cs="Times New Roman"/>
          <w:sz w:val="24"/>
          <w:szCs w:val="24"/>
        </w:rPr>
        <w:t xml:space="preserve"> pueda conseguir la aprobación de una cesión así, igual que el presidente de EEUU Richard Nixon aprovechó sus credenciales de anticomunista furibundo para reabrir relaciones con China. May no creía en el Brexit, Johnson sí. La pregunta es si su apoyo convertirá el plan de May en aceptable o, por el contrario, él también acabará convertido en un traidor.</w:t>
      </w:r>
    </w:p>
    <w:p w:rsidR="008B4E7E" w:rsidRPr="00CD0F76" w:rsidRDefault="008B4E7E" w:rsidP="008B4E7E">
      <w:pPr>
        <w:spacing w:line="240" w:lineRule="auto"/>
        <w:jc w:val="both"/>
        <w:rPr>
          <w:rFonts w:ascii="Times New Roman" w:hAnsi="Times New Roman" w:cs="Times New Roman"/>
          <w:b/>
          <w:sz w:val="24"/>
          <w:szCs w:val="24"/>
        </w:rPr>
      </w:pPr>
      <w:r w:rsidRPr="00CD0F76">
        <w:rPr>
          <w:rFonts w:ascii="Times New Roman" w:hAnsi="Times New Roman" w:cs="Times New Roman"/>
          <w:b/>
          <w:sz w:val="24"/>
          <w:szCs w:val="24"/>
        </w:rPr>
        <w:t>¿Fumata blanca?</w:t>
      </w:r>
      <w:r>
        <w:rPr>
          <w:rFonts w:ascii="Times New Roman" w:hAnsi="Times New Roman" w:cs="Times New Roman"/>
          <w:b/>
          <w:sz w:val="24"/>
          <w:szCs w:val="24"/>
        </w:rPr>
        <w:t xml:space="preserve"> Tras casi tres</w:t>
      </w:r>
      <w:r w:rsidRPr="00CD0F76">
        <w:rPr>
          <w:rFonts w:ascii="Times New Roman" w:hAnsi="Times New Roman" w:cs="Times New Roman"/>
          <w:b/>
          <w:sz w:val="24"/>
          <w:szCs w:val="24"/>
        </w:rPr>
        <w:t xml:space="preserve"> años de n</w:t>
      </w:r>
      <w:r>
        <w:rPr>
          <w:rFonts w:ascii="Times New Roman" w:hAnsi="Times New Roman" w:cs="Times New Roman"/>
          <w:b/>
          <w:sz w:val="24"/>
          <w:szCs w:val="24"/>
        </w:rPr>
        <w:t>egociaciones, el laberinto del Brexit se acerca a su final</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0C94">
        <w:rPr>
          <w:rFonts w:ascii="Times New Roman" w:hAnsi="Times New Roman" w:cs="Times New Roman"/>
          <w:sz w:val="24"/>
          <w:szCs w:val="24"/>
          <w:u w:val="single"/>
        </w:rPr>
        <w:t>Brexit: el primer ministro británico, Boris Johnson, anuncia que llegó a un acuerdo con la Unión Europea</w:t>
      </w:r>
      <w:r w:rsidRPr="00F60C94">
        <w:rPr>
          <w:rFonts w:ascii="Times New Roman" w:hAnsi="Times New Roman" w:cs="Times New Roman"/>
          <w:sz w:val="24"/>
          <w:szCs w:val="24"/>
        </w:rPr>
        <w:t xml:space="preserve"> (BBCMundo</w:t>
      </w:r>
      <w:r>
        <w:rPr>
          <w:rFonts w:ascii="Times New Roman" w:hAnsi="Times New Roman" w:cs="Times New Roman"/>
          <w:sz w:val="24"/>
          <w:szCs w:val="24"/>
        </w:rPr>
        <w:t xml:space="preserve"> - </w:t>
      </w:r>
      <w:r w:rsidRPr="00F60C94">
        <w:rPr>
          <w:rFonts w:ascii="Times New Roman" w:hAnsi="Times New Roman" w:cs="Times New Roman"/>
          <w:b/>
          <w:sz w:val="24"/>
          <w:szCs w:val="24"/>
        </w:rPr>
        <w:t>17/10/19</w:t>
      </w:r>
      <w:r>
        <w:rPr>
          <w:rFonts w:ascii="Times New Roman" w:hAnsi="Times New Roman" w:cs="Times New Roman"/>
          <w:sz w:val="24"/>
          <w:szCs w:val="24"/>
        </w:rPr>
        <w:t>)</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El primer ministro británico, Boris Johnson, aseguró este jueves que Reino Unido y la Unión Europea (</w:t>
      </w:r>
      <w:r>
        <w:rPr>
          <w:rFonts w:ascii="Times New Roman" w:hAnsi="Times New Roman" w:cs="Times New Roman"/>
          <w:sz w:val="24"/>
          <w:szCs w:val="24"/>
        </w:rPr>
        <w:t>UE) lograron “</w:t>
      </w:r>
      <w:r w:rsidRPr="00F60C94">
        <w:rPr>
          <w:rFonts w:ascii="Times New Roman" w:hAnsi="Times New Roman" w:cs="Times New Roman"/>
          <w:sz w:val="24"/>
          <w:szCs w:val="24"/>
        </w:rPr>
        <w:t xml:space="preserve">un gran </w:t>
      </w:r>
      <w:r>
        <w:rPr>
          <w:rFonts w:ascii="Times New Roman" w:hAnsi="Times New Roman" w:cs="Times New Roman"/>
          <w:sz w:val="24"/>
          <w:szCs w:val="24"/>
        </w:rPr>
        <w:t>nuevo acuerdo” sobre el Brexit.</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Ambas partes han estado trabajando en el texto legal de un acuerdo, pero éste aún necesita ser aprobado por los parlamento</w:t>
      </w:r>
      <w:r>
        <w:rPr>
          <w:rFonts w:ascii="Times New Roman" w:hAnsi="Times New Roman" w:cs="Times New Roman"/>
          <w:sz w:val="24"/>
          <w:szCs w:val="24"/>
        </w:rPr>
        <w:t>s de Reino Unido y de Bruselas.</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 xml:space="preserve">El presidente de la Comisión Europea, Jean Claude Juncker, </w:t>
      </w:r>
      <w:r>
        <w:rPr>
          <w:rFonts w:ascii="Times New Roman" w:hAnsi="Times New Roman" w:cs="Times New Roman"/>
          <w:sz w:val="24"/>
          <w:szCs w:val="24"/>
        </w:rPr>
        <w:t>confirmó el acuerdo en un tuit.</w:t>
      </w:r>
    </w:p>
    <w:p w:rsidR="008B4E7E" w:rsidRPr="00F60C94"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Boris Johnson tuiteó: “</w:t>
      </w:r>
      <w:r w:rsidRPr="00F60C94">
        <w:rPr>
          <w:rFonts w:ascii="Times New Roman" w:hAnsi="Times New Roman" w:cs="Times New Roman"/>
          <w:sz w:val="24"/>
          <w:szCs w:val="24"/>
        </w:rPr>
        <w:t>Tenemos un gran nuevo acuerdo co</w:t>
      </w:r>
      <w:r>
        <w:rPr>
          <w:rFonts w:ascii="Times New Roman" w:hAnsi="Times New Roman" w:cs="Times New Roman"/>
          <w:sz w:val="24"/>
          <w:szCs w:val="24"/>
        </w:rPr>
        <w:t>n el que recuperamos el control”</w:t>
      </w:r>
      <w:r w:rsidRPr="00F60C94">
        <w:rPr>
          <w:rFonts w:ascii="Times New Roman" w:hAnsi="Times New Roman" w:cs="Times New Roman"/>
          <w:sz w:val="24"/>
          <w:szCs w:val="24"/>
        </w:rPr>
        <w:t>.</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Tanto Juncker como Johnson están urgiendo a sus respectivos parlamentos a que apoyen el acuerdo.</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La fecha de salida del Reno Unido de la Unión Europea está fijada para el próximo 31 de octubre.</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El No del DUP</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Pero el Partido Unionista Democrático (DUP) de Irlanda del Norte, socio vital de los conservadores en el Parlamento de Westminster, ha expresado dudas sobre el acue</w:t>
      </w:r>
      <w:r>
        <w:rPr>
          <w:rFonts w:ascii="Times New Roman" w:hAnsi="Times New Roman" w:cs="Times New Roman"/>
          <w:sz w:val="24"/>
          <w:szCs w:val="24"/>
        </w:rPr>
        <w:t>rdo e indicó que no lo apoyará.</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lastRenderedPageBreak/>
        <w:t xml:space="preserve">Antes del anuncio de Johnson, el DUP publicó una declaración en la que </w:t>
      </w:r>
      <w:r>
        <w:rPr>
          <w:rFonts w:ascii="Times New Roman" w:hAnsi="Times New Roman" w:cs="Times New Roman"/>
          <w:sz w:val="24"/>
          <w:szCs w:val="24"/>
        </w:rPr>
        <w:t>dice que no apoyará propuestas “tal como están las cosas”</w:t>
      </w:r>
      <w:r w:rsidRPr="00F60C94">
        <w:rPr>
          <w:rFonts w:ascii="Times New Roman" w:hAnsi="Times New Roman" w:cs="Times New Roman"/>
          <w:sz w:val="24"/>
          <w:szCs w:val="24"/>
        </w:rPr>
        <w:t xml:space="preserve"> y después del anuncio de Johnson dijo que </w:t>
      </w:r>
      <w:r>
        <w:rPr>
          <w:rFonts w:ascii="Times New Roman" w:hAnsi="Times New Roman" w:cs="Times New Roman"/>
          <w:sz w:val="24"/>
          <w:szCs w:val="24"/>
        </w:rPr>
        <w:t>su declaración “sigue vigente”.</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Las propuestas de Johnson para un nuevo acuerdo del Brexit dependían d</w:t>
      </w:r>
      <w:r>
        <w:rPr>
          <w:rFonts w:ascii="Times New Roman" w:hAnsi="Times New Roman" w:cs="Times New Roman"/>
          <w:sz w:val="24"/>
          <w:szCs w:val="24"/>
        </w:rPr>
        <w:t>e deshacerse del controvertido “backstop”</w:t>
      </w:r>
      <w:r w:rsidRPr="00F60C94">
        <w:rPr>
          <w:rFonts w:ascii="Times New Roman" w:hAnsi="Times New Roman" w:cs="Times New Roman"/>
          <w:sz w:val="24"/>
          <w:szCs w:val="24"/>
        </w:rPr>
        <w:t xml:space="preserve"> o salvaguarda irlandesa -la polémica solución que negoció la antecesora de Johnson, Theresa May, para resolver el asunto de cómo controlar las fronteras de Irlanda del Norte y la República de Irlanda una vez </w:t>
      </w:r>
      <w:r>
        <w:rPr>
          <w:rFonts w:ascii="Times New Roman" w:hAnsi="Times New Roman" w:cs="Times New Roman"/>
          <w:sz w:val="24"/>
          <w:szCs w:val="24"/>
        </w:rPr>
        <w:t>que Reino Unido salga de la UE.</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Esto porque Irlanda f</w:t>
      </w:r>
      <w:r>
        <w:rPr>
          <w:rFonts w:ascii="Times New Roman" w:hAnsi="Times New Roman" w:cs="Times New Roman"/>
          <w:sz w:val="24"/>
          <w:szCs w:val="24"/>
        </w:rPr>
        <w:t>orma parte de la Unión Europea.</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Qué es el backstop o salvaguarda irlandesa, la polémica política sobre las fronteras de Irlanda que se convirtió en el principal obstáculo para el Brexit</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Al retirar el backstop, Johnson esperaba asegurar el apoyo de los que apoyan el Brexit en su propio partido y del DUP, cuyo apoyo es clave para obtener un voto de aprobaci</w:t>
      </w:r>
      <w:r>
        <w:rPr>
          <w:rFonts w:ascii="Times New Roman" w:hAnsi="Times New Roman" w:cs="Times New Roman"/>
          <w:sz w:val="24"/>
          <w:szCs w:val="24"/>
        </w:rPr>
        <w:t>ón en la Cámara de los Comunes.</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Sin embargo, se entiende que el nuevo plan propone tratar a Irlanda del Norte de forma distinta del resto de Reino Unido, algo qu</w:t>
      </w:r>
      <w:r>
        <w:rPr>
          <w:rFonts w:ascii="Times New Roman" w:hAnsi="Times New Roman" w:cs="Times New Roman"/>
          <w:sz w:val="24"/>
          <w:szCs w:val="24"/>
        </w:rPr>
        <w:t>e el DUP, y otros, no aprueban.</w:t>
      </w:r>
    </w:p>
    <w:p w:rsidR="008B4E7E" w:rsidRPr="00F60C94"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El DUP mantiene un acuerdo de “confianza y participación”</w:t>
      </w:r>
      <w:r w:rsidRPr="00F60C94">
        <w:rPr>
          <w:rFonts w:ascii="Times New Roman" w:hAnsi="Times New Roman" w:cs="Times New Roman"/>
          <w:sz w:val="24"/>
          <w:szCs w:val="24"/>
        </w:rPr>
        <w:t xml:space="preserve"> con el Partido Conservador desde las elecciones de 2017. Con éste trato el gobierno ha logrado, en el pasado, una mayoría parlamentaria.</w:t>
      </w:r>
    </w:p>
    <w:p w:rsidR="008B4E7E"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Pero después de varias renuncias en su partido en semanas recientes, Johnson enfrenta ahora una dura batalla para lograr la aprobación de su acuerdo en el Parlamento.</w:t>
      </w:r>
    </w:p>
    <w:p w:rsidR="008B4E7E" w:rsidRPr="00F60C94"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Aprobación “rápida”</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 xml:space="preserve">El primer ministro urgió a los legisladores a apoyar </w:t>
      </w:r>
      <w:r>
        <w:rPr>
          <w:rFonts w:ascii="Times New Roman" w:hAnsi="Times New Roman" w:cs="Times New Roman"/>
          <w:sz w:val="24"/>
          <w:szCs w:val="24"/>
        </w:rPr>
        <w:t>el acuerdo este próximo sábado.</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Esto significa que Johnson tendrá 48 horas para tratar de ganar el apoyo del DUP y posteriormente lograr la</w:t>
      </w:r>
      <w:r>
        <w:rPr>
          <w:rFonts w:ascii="Times New Roman" w:hAnsi="Times New Roman" w:cs="Times New Roman"/>
          <w:sz w:val="24"/>
          <w:szCs w:val="24"/>
        </w:rPr>
        <w:t xml:space="preserve"> aprobación en el Parlamento.</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Si no logra ese apoyo, la aprobación dependerá de legisladores del Partido Laborista, de oposición, que se están revelando</w:t>
      </w:r>
      <w:r>
        <w:rPr>
          <w:rFonts w:ascii="Times New Roman" w:hAnsi="Times New Roman" w:cs="Times New Roman"/>
          <w:sz w:val="24"/>
          <w:szCs w:val="24"/>
        </w:rPr>
        <w:t xml:space="preserve"> contra su propio partido.</w:t>
      </w:r>
    </w:p>
    <w:p w:rsidR="008B4E7E" w:rsidRPr="00F60C94"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En un tuit Johnson dijo: “</w:t>
      </w:r>
      <w:r w:rsidRPr="00F60C94">
        <w:rPr>
          <w:rFonts w:ascii="Times New Roman" w:hAnsi="Times New Roman" w:cs="Times New Roman"/>
          <w:sz w:val="24"/>
          <w:szCs w:val="24"/>
        </w:rPr>
        <w:t>ahora el Parlamento debe aprobar el Brexit el sábado para que podamos pasar a otras prioridades como el costo de la vida, el NHS (Seguro Social), los crímenes viole</w:t>
      </w:r>
      <w:r>
        <w:rPr>
          <w:rFonts w:ascii="Times New Roman" w:hAnsi="Times New Roman" w:cs="Times New Roman"/>
          <w:sz w:val="24"/>
          <w:szCs w:val="24"/>
        </w:rPr>
        <w:t>ntos y nuestro medio ambiente”.</w:t>
      </w:r>
    </w:p>
    <w:p w:rsidR="008B4E7E" w:rsidRPr="00F60C94" w:rsidRDefault="008B4E7E" w:rsidP="008B4E7E">
      <w:pPr>
        <w:spacing w:line="240" w:lineRule="auto"/>
        <w:jc w:val="both"/>
        <w:rPr>
          <w:rFonts w:ascii="Times New Roman" w:hAnsi="Times New Roman" w:cs="Times New Roman"/>
          <w:sz w:val="24"/>
          <w:szCs w:val="24"/>
        </w:rPr>
      </w:pPr>
      <w:r w:rsidRPr="00F60C94">
        <w:rPr>
          <w:rFonts w:ascii="Times New Roman" w:hAnsi="Times New Roman" w:cs="Times New Roman"/>
          <w:sz w:val="24"/>
          <w:szCs w:val="24"/>
        </w:rPr>
        <w:t>Por su parte, Jean C</w:t>
      </w:r>
      <w:r>
        <w:rPr>
          <w:rFonts w:ascii="Times New Roman" w:hAnsi="Times New Roman" w:cs="Times New Roman"/>
          <w:sz w:val="24"/>
          <w:szCs w:val="24"/>
        </w:rPr>
        <w:t>laude Juncker dijo en un tuit: “</w:t>
      </w:r>
      <w:r w:rsidRPr="00F60C94">
        <w:rPr>
          <w:rFonts w:ascii="Times New Roman" w:hAnsi="Times New Roman" w:cs="Times New Roman"/>
          <w:sz w:val="24"/>
          <w:szCs w:val="24"/>
        </w:rPr>
        <w:t>Donde hay voluntad, hay un acuerdo - ¡nosotros ya tenemos uno! Es un acuerdo justo y balanceado para la UE y para Reino Unido y es testamento de nuestro comprom</w:t>
      </w:r>
      <w:r>
        <w:rPr>
          <w:rFonts w:ascii="Times New Roman" w:hAnsi="Times New Roman" w:cs="Times New Roman"/>
          <w:sz w:val="24"/>
          <w:szCs w:val="24"/>
        </w:rPr>
        <w:t>iso para encontrar soluciones”.</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0C94">
        <w:rPr>
          <w:rFonts w:ascii="Times New Roman" w:hAnsi="Times New Roman" w:cs="Times New Roman"/>
          <w:sz w:val="24"/>
          <w:szCs w:val="24"/>
        </w:rPr>
        <w:t>Recomiendo que el Con</w:t>
      </w:r>
      <w:r>
        <w:rPr>
          <w:rFonts w:ascii="Times New Roman" w:hAnsi="Times New Roman" w:cs="Times New Roman"/>
          <w:sz w:val="24"/>
          <w:szCs w:val="24"/>
        </w:rPr>
        <w:t>sejo Europeo apoye este acuerdo”</w:t>
      </w:r>
      <w:r w:rsidRPr="00F60C94">
        <w:rPr>
          <w:rFonts w:ascii="Times New Roman" w:hAnsi="Times New Roman" w:cs="Times New Roman"/>
          <w:sz w:val="24"/>
          <w:szCs w:val="24"/>
        </w:rPr>
        <w:t>, indicó.</w:t>
      </w:r>
    </w:p>
    <w:p w:rsidR="008B4E7E" w:rsidRDefault="008B4E7E" w:rsidP="008B4E7E">
      <w:pPr>
        <w:spacing w:line="240" w:lineRule="auto"/>
        <w:jc w:val="both"/>
        <w:rPr>
          <w:rFonts w:ascii="Times New Roman" w:hAnsi="Times New Roman" w:cs="Times New Roman"/>
          <w:b/>
          <w:sz w:val="24"/>
          <w:szCs w:val="24"/>
        </w:rPr>
      </w:pPr>
      <w:r w:rsidRPr="00CD4FA6">
        <w:rPr>
          <w:rFonts w:ascii="Times New Roman" w:hAnsi="Times New Roman" w:cs="Times New Roman"/>
          <w:b/>
          <w:sz w:val="24"/>
          <w:szCs w:val="24"/>
        </w:rPr>
        <w:t>¿Amigos para siempre?</w:t>
      </w:r>
      <w:r>
        <w:rPr>
          <w:rFonts w:ascii="Times New Roman" w:hAnsi="Times New Roman" w:cs="Times New Roman"/>
          <w:b/>
          <w:sz w:val="24"/>
          <w:szCs w:val="24"/>
        </w:rPr>
        <w:t xml:space="preserve"> (o dos borrachos que se “abrazan” para no caerse)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Esto de los borrachos es “literal” (hay varios ejemplos -fotos y fatos- que lo atestiguan).</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 xml:space="preserve">“Donde hay voluntad, hay un acuerdo. ¡Tenemos uno!” (...) “Ya es hora de cerrar el divorcio con Reino Unido y pasar página”, ha señalado en la red social, Jean Claude Juncker (presidente de la Comisión Europea por unos días más y nada más).  “Es un acuerdo justo y </w:t>
      </w:r>
      <w:r w:rsidRPr="00812D47">
        <w:rPr>
          <w:rFonts w:ascii="Times New Roman" w:hAnsi="Times New Roman" w:cs="Times New Roman"/>
          <w:sz w:val="24"/>
          <w:szCs w:val="24"/>
        </w:rPr>
        <w:lastRenderedPageBreak/>
        <w:t>equilibrado para la UE y el Reino Unido y es una prueba de nuestro compromiso de encontrar soluciones. Recomiendo que (la cumbre de la UE) respalde este acuerdo”.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primer ministro británico, Boris Johnson (¿por unos días más, y poco más?), ha celebrado el “gran nuevo acuerdo” y ha emplazado al Parlamento británico a aprobarlo el sábado en una sesión extraordinaria. “Tenemos un nuevo acuerdo que nos devuelve el control”, ha señalado. “Ahora el parlamento debería aprobar el Brexit el sábado para que podamos pasar a otras prioridades como el coste de la vida, la NHS (Seguridad Social británica), los delitos violentos y nuestro medio ambiente”.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Barnier ha asegurado: “Hemos conseguido una base justa y razonable para que Reino Unido salga de forma ordenada y para empezar a trabajar en la nueva asociación a partir del 1 de noviembre”.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“Gran parte del texto final estaba ya en el texto propuesto hace un año”, ha admitido Barnier, que cree que no habrá problemas para que el Consejo Europeo apruebe el texto. “Tengo la confianza en que se ratifique este apoyo en el tiempo que nos queda hasta el 31 de octubre”.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Donald Tusk ha pedido a los Veintisiete que den luz verde al texto revisado y a la nueva declaración de intenciones sobre la futura relación entre la Unión Europea y el Reino Unido, e insta a avanzar “con rapidez” hacia el debate sobre esa vinculación futura, informa Efe.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principal escollo para el acuerdo era dar solución a las dos Irlandas para no levantar una infraestructura fronteriza en la isla que pudiera afectar al proceso de paz de la provincia británica.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acuerdo sellado hoy prevé que Irlanda del Norte siga alineada con ciertas normas del mercado único europeo pero forme parte del territorio aduanero del Reino Unido, con lo que los controles a los bienes se efectuarán en el punto de entrada a este territorio británico y no en la República de Irlanda, es decir, que Irlanda del Norte se alineará con el mercado único de la UE, ha explicado Barnier. Las autoridades del Reino Unido se encargarán de aplicar las normas aduaneras de la Unión Europea en Irlanda del Norte.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Por otro lado, la Asamblea de Irlanda del Norte podrá votar si se mantiene la salvaguarda para evitar una frontera física en la isla de Irlanda cuatro años después de que haya entrado en vigor, lo cual debería suceder una vez que concluya el periodo de transición posterior al Brexit.</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primer ministro conservador, al no tener mayoría parlamentaria, necesita el respaldo del Partido Democrático Unionista de Irlanda del Norte (DUP) para conseguir dar luz verde a cualquier acuerdo que pueda ser aprobado por la Cámara de los Comunes del Parlamento de Westminster, ya que los diez diputados unionistas permiten a Johnson gobernar en minoría y sus votos son claves para ratificarlo.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líder laborista Jeremy Corbyn, en la oposición, ha expresado por su parte su disconformidad con el texto. “Por lo que sabemos, Johnson ha negociado un acuerdo peor que el de Theresa May”.</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 xml:space="preserve">- </w:t>
      </w:r>
      <w:r w:rsidRPr="00812D47">
        <w:rPr>
          <w:rFonts w:ascii="Times New Roman" w:hAnsi="Times New Roman" w:cs="Times New Roman"/>
          <w:sz w:val="24"/>
          <w:szCs w:val="24"/>
          <w:u w:val="single"/>
        </w:rPr>
        <w:t>Brexit: 3 claves del nuevo pacto acordado por Boris Johnson y la Unión Europea (y qué sigue ahora</w:t>
      </w:r>
      <w:r w:rsidRPr="00812D47">
        <w:rPr>
          <w:rFonts w:ascii="Times New Roman" w:hAnsi="Times New Roman" w:cs="Times New Roman"/>
          <w:sz w:val="24"/>
          <w:szCs w:val="24"/>
        </w:rPr>
        <w:t xml:space="preserve">) (BBCMundo - </w:t>
      </w:r>
      <w:r w:rsidRPr="00812D47">
        <w:rPr>
          <w:rFonts w:ascii="Times New Roman" w:hAnsi="Times New Roman" w:cs="Times New Roman"/>
          <w:b/>
          <w:sz w:val="24"/>
          <w:szCs w:val="24"/>
        </w:rPr>
        <w:t>18/10/19</w:t>
      </w:r>
      <w:r w:rsidRPr="00812D47">
        <w:rPr>
          <w:rFonts w:ascii="Times New Roman" w:hAnsi="Times New Roman" w:cs="Times New Roman"/>
          <w:sz w:val="24"/>
          <w:szCs w:val="24"/>
        </w:rPr>
        <w:t>)</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1. ¿Qué cambia?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lastRenderedPageBreak/>
        <w:t>Gran parte del protocolo de salida acordado por Boris Johnson es el mismo que el pactado por su antecesora, Theresa May. Los principales cambios se refieren a Irlanda.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Desde el inicio de las negociaciones, una de las claves para Johnson era deshacerse del controvertido “backstop” o salvaguarda irlandesa, que los críticos consideraban que haría que Reino Unido acabara ligado de manera indefinida a las regulaciones de la Unión.</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Se trataba de una política negociada por May sobre una frontera en la isla de Irlanda, que se convirtió en el principal obstáculo encontrado por los parlamentarios británicos para aprobar el pacto de salida anterior.</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actual acuerdo elimina esta polémica cláusula, por lo que el primer ministro espera contar con el apoyo de sus aliados parlamentarios del norirlandés Partido Democrático Unionista (DUP) para la aprobación del nuevo texto en el Parlamento.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En el nuevo acuerdo, Reino Unido sigue comprometiéndose a pagar la “factura del divorcio”, valorada en casi 50.000 millones de euros (unos US$ 50.000 millones).</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texto también garantiza los derechos tanto de los ciudadanos de la UE residentes en Reino Unido como de los británicos que viven en la Unión Europea.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2. ¿Qué relación comercial establece?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Todo Reino Unido abandonará la unión aduanera de la Unión Europea, lo que significa que el país podrá establecer acuerdos comerciales con otras naciones en el futuro.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La clave vuelve a estar en Irlanda.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Habrá una “frontera legal aduanera” entre Irlanda del Norte y la República de Irlanda, que permanece dentro de la UE. Pero en la práctica, la “frontera” en términos de aduanas será entre Gran Bretaña y la isla de Irlanda, pues los controles se harán en los “puertos de entrada” en Irlanda del Norte.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¿Qué significa eso? Que los controles y verificaciones tendrían lugar en los puertos norirlandeses, lo cual evitará tener que levantar una frontera dentro de la isla para efectuar estos procedimientos.</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Las autoridades británicas serán las encargadas de hacer los controles en el punto de entrada al territorio, con supervisión de la UE.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Irlanda del Norte seguirá alineada con el mercado único europeo en algunas materias, como bienes y productos, pero no servicios, por ejemplo.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No obstante, la región también continuará formando parte de la Unión Aduanera de Reino Unido, por lo que se incluirá en cualquier acuerdo comercial futuro alcanzado por Londres después del Brexit.</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Bajo este sistema, no se tendrán que pagar impuestos de forma automática sobre bienes que entren a Irlanda del Norte desde Gran Bretaña.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Pero si algún producto se considera “susceptible” de ser transportado a la República de Irlanda -que es parte de la unión aduanera de la UE-, habrá que pagar la tarifa comunitaria.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lastRenderedPageBreak/>
        <w:t>Un comité conjunto decidirá en el futuro qué bienes son considerados “susceptibles” (o “de riesgo”) de entrar al mercado común europeo.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nuevo acuerdo también establece que la ley europea sobre el impuesto al valor agregado (IVA) se aplicará en Irlanda del Norte, pero a los bienes, no a los servicios.</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Por ejemplo, si Reino Unido decidiera reducir el IVA del combustible doméstico a cero, Irlanda del Norte aún tendría que mantenerlo en 5%, que es el mínimo permitido por la UE.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protocolo también trata la relación comercial futura entre ambos socios: establece que ambas partes trabajarán para firmar un Trato de Libre Comercio y se organizará una reunión de alto nivel en enero de 2020 para verificar el progreso en esta área.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3. Irlanda del Norte podrá decidir su futuro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En este acuerdo, la Asamblea de Irlanda del Norte juega un papel crucial.</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Bajo un mecanismo de “consentimiento”, el protocolo recoge que la Asamblea pueda votar si se mantiene la solución para evitar una frontera física en la isla de Irlanda cuatro años después de que el protocolo haya entrado en vigor, lo cual debería suceder una vez concluya el periodo de transición posterior al Brexit.</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 xml:space="preserve">No obstante, si Londres y Bruselas lo deciden de forma conjunta, se podría prolongar uno o dos años, hasta 2021 </w:t>
      </w:r>
      <w:r w:rsidR="007D67F3" w:rsidRPr="00812D47">
        <w:rPr>
          <w:rFonts w:ascii="Times New Roman" w:hAnsi="Times New Roman" w:cs="Times New Roman"/>
          <w:sz w:val="24"/>
          <w:szCs w:val="24"/>
        </w:rPr>
        <w:t>o</w:t>
      </w:r>
      <w:r w:rsidRPr="00812D47">
        <w:rPr>
          <w:rFonts w:ascii="Times New Roman" w:hAnsi="Times New Roman" w:cs="Times New Roman"/>
          <w:sz w:val="24"/>
          <w:szCs w:val="24"/>
        </w:rPr>
        <w:t xml:space="preserve"> 2022.</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Si la Asamblea de Irlanda del Norte vota en contra, las normas europeas seguirían aplicando en la región por dos años más, tiempo durante el cual el “comité conjunto” haría recomendaciones a Reino Unido y a la UE sobre las “medidas necesarias” a tomar.</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Si la Asamblea vota a favor por mayoría simple, entonces continuará el sistema cuatro años más. Si tiene un “apoyo mayoritario”, entonces se extenderá por ocho años, o hasta la llegada de otro pacto que regule la relación.</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Con las actuales condiciones, la votación no ocurriría al menos hasta enero de 2025.</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¿Qué sigue ahora?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La nueva propuesta aún necesita ser aprobada por el Parlamento británico.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Tanto Juncker como Johnson han exhortado a los legisladores a apoyar el acuerdo.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Este próximo sábado, el primer ministro británico someterá su acuerdo a un voto en la Cámara de los Comunes.</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Esto significa que Johnson tiene poco más de 24 horas para tratar de ganar el apoyo del Partido Unionista Democrático de Irlanda del Norte (DUP), un socio vital de los conservadores.</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No obstante, no parece que lo vaya a tener fácil: el DUP ya advirtió que no puede aceptar lo que Johnson ha negociado con los Veintisiete.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Antes del anuncio de Johnson, el DUP publicó una declaración en la que dice que no apoyará propuestas “tal como están las cosas” y después del anuncio del primer ministro aseguró que su declaración “sigue vigente”.</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lastRenderedPageBreak/>
        <w:t>Sin el apoyo del partido norirlandés, la aprobación del protocolo de salida dependerá de legisladores del Partido Laborista, en la oposición, quienes tienen posiciones divididas sobre el Brexit.</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Jeremy Corbyn, líder laborista, no tardó en condenar el texto y aseguró que la “mejor manera de solucionar el problema del Brexit” es otorgarle al pueblo un segundo referéndum.</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“Johnson ha negociado un peor acuerdo que Theresa May”, tuiteó.</w:t>
      </w:r>
    </w:p>
    <w:p w:rsidR="006658FB" w:rsidRPr="00812D47" w:rsidRDefault="006658FB" w:rsidP="006658FB">
      <w:pPr>
        <w:spacing w:line="240" w:lineRule="auto"/>
        <w:jc w:val="both"/>
        <w:rPr>
          <w:rFonts w:ascii="Times New Roman" w:hAnsi="Times New Roman" w:cs="Times New Roman"/>
          <w:b/>
          <w:sz w:val="24"/>
          <w:szCs w:val="24"/>
        </w:rPr>
      </w:pPr>
      <w:r w:rsidRPr="00812D47">
        <w:rPr>
          <w:rFonts w:ascii="Times New Roman" w:hAnsi="Times New Roman" w:cs="Times New Roman"/>
          <w:b/>
          <w:sz w:val="24"/>
          <w:szCs w:val="24"/>
        </w:rPr>
        <w:t>(</w:t>
      </w:r>
      <w:r w:rsidR="00812D47" w:rsidRPr="00812D47">
        <w:rPr>
          <w:rFonts w:ascii="Times New Roman" w:hAnsi="Times New Roman" w:cs="Times New Roman"/>
          <w:b/>
          <w:sz w:val="24"/>
          <w:szCs w:val="24"/>
        </w:rPr>
        <w:t>19/10/</w:t>
      </w:r>
      <w:r w:rsidRPr="00812D47">
        <w:rPr>
          <w:rFonts w:ascii="Times New Roman" w:hAnsi="Times New Roman" w:cs="Times New Roman"/>
          <w:b/>
          <w:sz w:val="24"/>
          <w:szCs w:val="24"/>
        </w:rPr>
        <w:t>19) Brexit Delay: las ilimitadas extravagancias británicas (cartas sin firma)</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 xml:space="preserve">El Parlamento británico aprobó en una inusual sesión de sábado </w:t>
      </w:r>
      <w:r w:rsidR="00F1176B" w:rsidRPr="00812D47">
        <w:rPr>
          <w:rFonts w:ascii="Times New Roman" w:hAnsi="Times New Roman" w:cs="Times New Roman"/>
          <w:sz w:val="24"/>
          <w:szCs w:val="24"/>
        </w:rPr>
        <w:t>(19/19/19)</w:t>
      </w:r>
      <w:r w:rsidRPr="00812D47">
        <w:rPr>
          <w:rFonts w:ascii="Times New Roman" w:hAnsi="Times New Roman" w:cs="Times New Roman"/>
          <w:sz w:val="24"/>
          <w:szCs w:val="24"/>
        </w:rPr>
        <w:t xml:space="preserve"> una enmienda que suspende, por ahora, el voto final sobre el acuerdo para el Brexit alcanzado por el primer ministro británico, Boris Johnson, con Bruselas el pasado jueves.</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Este resultado obligaba a Johnson a solicitar un nuevo aplazamiento de la fecha del Brexit -inicialmente prevista para el 31 de octubre- hasta el próximo 31 de enero de 2020, algo que el primer ministro hizo, pero con matices.</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La votación de este sábado se llevó a cabo después de la decisión del presidente de la Cámara de los Comunes, John Bercow, de que el Parlamento sometiera a debate la llamada Enmienda Letwin.La enmienda, que toma el nombre del diputado Oliver Letwin, suspende la aprobación del acuerdo sobre el Brexit hasta que se ratifique una legislación para promulgarlo.</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Después de un debate de cinco horas, los diputados ratificaron la moción con 322</w:t>
      </w:r>
      <w:r w:rsidR="00C24670">
        <w:rPr>
          <w:rFonts w:ascii="Times New Roman" w:hAnsi="Times New Roman" w:cs="Times New Roman"/>
          <w:sz w:val="24"/>
          <w:szCs w:val="24"/>
        </w:rPr>
        <w:t xml:space="preserve"> votos a favor y 306 en contra. </w:t>
      </w:r>
      <w:r w:rsidRPr="00812D47">
        <w:rPr>
          <w:rFonts w:ascii="Times New Roman" w:hAnsi="Times New Roman" w:cs="Times New Roman"/>
          <w:sz w:val="24"/>
          <w:szCs w:val="24"/>
        </w:rPr>
        <w:t>El motivo por el cual esta medida obligaba a Johnson a pedir una prórroga es que en septiembre los parlamentarios aprobaron una ley que le o</w:t>
      </w:r>
      <w:r w:rsidR="00C24670">
        <w:rPr>
          <w:rFonts w:ascii="Times New Roman" w:hAnsi="Times New Roman" w:cs="Times New Roman"/>
          <w:sz w:val="24"/>
          <w:szCs w:val="24"/>
        </w:rPr>
        <w:t xml:space="preserve">bligaba a hacerlo, la ley Benn. </w:t>
      </w:r>
      <w:r w:rsidRPr="00812D47">
        <w:rPr>
          <w:rFonts w:ascii="Times New Roman" w:hAnsi="Times New Roman" w:cs="Times New Roman"/>
          <w:sz w:val="24"/>
          <w:szCs w:val="24"/>
        </w:rPr>
        <w:t>En concreto, la enmienda establece que dicha solicitud de aplazamiento debe producirse si para el 19 de octubre; es decir, este sábado, no se ratificaba un convenio de salida.</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Tanto esta última votación como la de septiembre tienen como objetivo evitar a toda costa el llamado Brexit duro (abandonar la UE sin acuerdo), algo que Johnson ha defendido en varias ocasiones y que la oposición teme.</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primer ministro estaba obligado por ley a pedirle la prórroga a la UE, después de que este sábado la Cámara de los Comunes pospus</w:t>
      </w:r>
      <w:r w:rsidR="00C24670">
        <w:rPr>
          <w:rFonts w:ascii="Times New Roman" w:hAnsi="Times New Roman" w:cs="Times New Roman"/>
          <w:sz w:val="24"/>
          <w:szCs w:val="24"/>
        </w:rPr>
        <w:t xml:space="preserve">iera la votación de su acuerdo. </w:t>
      </w:r>
      <w:r w:rsidRPr="00812D47">
        <w:rPr>
          <w:rFonts w:ascii="Times New Roman" w:hAnsi="Times New Roman" w:cs="Times New Roman"/>
          <w:sz w:val="24"/>
          <w:szCs w:val="24"/>
        </w:rPr>
        <w:t>Respetando el plazo que finalizaba en la medianoche de este sábado, Johnson envió a la Unión Europea una carta solicitando la extensión del plazo… sin su firma.</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La petición iba acompañada de una segunda carta, esta sí firmada por Johnson, en la que expuso que le parece un error extender el plazo.</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El presidente del Consejo de la UE, Donald Tusk, confirmó a través de Twitter la recepc</w:t>
      </w:r>
      <w:r w:rsidR="00C24670">
        <w:rPr>
          <w:rFonts w:ascii="Times New Roman" w:hAnsi="Times New Roman" w:cs="Times New Roman"/>
          <w:sz w:val="24"/>
          <w:szCs w:val="24"/>
        </w:rPr>
        <w:t xml:space="preserve">ión de la petición de prórroga. </w:t>
      </w:r>
      <w:r w:rsidRPr="00812D47">
        <w:rPr>
          <w:rFonts w:ascii="Times New Roman" w:hAnsi="Times New Roman" w:cs="Times New Roman"/>
          <w:sz w:val="24"/>
          <w:szCs w:val="24"/>
        </w:rPr>
        <w:t>No ofreció detalles de su contenido, pero añadió que consultará con los líderes europeos cómo reaccionar.</w:t>
      </w:r>
    </w:p>
    <w:p w:rsidR="006658FB" w:rsidRPr="00812D47"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Más temprano, Johnson llamó a líderes europeos, incluido Tusk,</w:t>
      </w:r>
      <w:r w:rsidR="00F1176B" w:rsidRPr="00812D47">
        <w:rPr>
          <w:rFonts w:ascii="Times New Roman" w:hAnsi="Times New Roman" w:cs="Times New Roman"/>
          <w:sz w:val="24"/>
          <w:szCs w:val="24"/>
        </w:rPr>
        <w:t xml:space="preserve"> para insistir en que la carta “</w:t>
      </w:r>
      <w:r w:rsidRPr="00812D47">
        <w:rPr>
          <w:rFonts w:ascii="Times New Roman" w:hAnsi="Times New Roman" w:cs="Times New Roman"/>
          <w:sz w:val="24"/>
          <w:szCs w:val="24"/>
        </w:rPr>
        <w:t>es la</w:t>
      </w:r>
      <w:r w:rsidR="00F1176B" w:rsidRPr="00812D47">
        <w:rPr>
          <w:rFonts w:ascii="Times New Roman" w:hAnsi="Times New Roman" w:cs="Times New Roman"/>
          <w:sz w:val="24"/>
          <w:szCs w:val="24"/>
        </w:rPr>
        <w:t xml:space="preserve"> carta del Parlamento, no mía”</w:t>
      </w:r>
      <w:r w:rsidRPr="00812D47">
        <w:rPr>
          <w:rFonts w:ascii="Times New Roman" w:hAnsi="Times New Roman" w:cs="Times New Roman"/>
          <w:sz w:val="24"/>
          <w:szCs w:val="24"/>
        </w:rPr>
        <w:t>.</w:t>
      </w:r>
    </w:p>
    <w:p w:rsidR="006658FB" w:rsidRDefault="006658FB" w:rsidP="006658FB">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La UE indicó que será Reino Unido el e</w:t>
      </w:r>
      <w:r w:rsidR="00F1176B" w:rsidRPr="00812D47">
        <w:rPr>
          <w:rFonts w:ascii="Times New Roman" w:hAnsi="Times New Roman" w:cs="Times New Roman"/>
          <w:sz w:val="24"/>
          <w:szCs w:val="24"/>
        </w:rPr>
        <w:t>ncargado “</w:t>
      </w:r>
      <w:r w:rsidRPr="00812D47">
        <w:rPr>
          <w:rFonts w:ascii="Times New Roman" w:hAnsi="Times New Roman" w:cs="Times New Roman"/>
          <w:sz w:val="24"/>
          <w:szCs w:val="24"/>
        </w:rPr>
        <w:t>de informarle cuáles se</w:t>
      </w:r>
      <w:r w:rsidR="00F1176B" w:rsidRPr="00812D47">
        <w:rPr>
          <w:rFonts w:ascii="Times New Roman" w:hAnsi="Times New Roman" w:cs="Times New Roman"/>
          <w:sz w:val="24"/>
          <w:szCs w:val="24"/>
        </w:rPr>
        <w:t>rán los próximos pasos a seguir”</w:t>
      </w:r>
      <w:r w:rsidRPr="00812D47">
        <w:rPr>
          <w:rFonts w:ascii="Times New Roman" w:hAnsi="Times New Roman" w:cs="Times New Roman"/>
          <w:sz w:val="24"/>
          <w:szCs w:val="24"/>
        </w:rPr>
        <w:t>.</w:t>
      </w:r>
    </w:p>
    <w:p w:rsidR="00812D47" w:rsidRPr="00812D47" w:rsidRDefault="00544A66" w:rsidP="00812D4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(28</w:t>
      </w:r>
      <w:r w:rsidR="00812D47" w:rsidRPr="00812D47">
        <w:rPr>
          <w:rFonts w:ascii="Times New Roman" w:hAnsi="Times New Roman" w:cs="Times New Roman"/>
          <w:b/>
          <w:sz w:val="24"/>
          <w:szCs w:val="24"/>
        </w:rPr>
        <w:t>/10/19) Más tiempo para el Brexit: ¿será esto</w:t>
      </w:r>
      <w:r w:rsidR="00812D47">
        <w:rPr>
          <w:rFonts w:ascii="Times New Roman" w:hAnsi="Times New Roman" w:cs="Times New Roman"/>
          <w:b/>
          <w:sz w:val="24"/>
          <w:szCs w:val="24"/>
        </w:rPr>
        <w:t xml:space="preserve"> alo que llaman </w:t>
      </w:r>
      <w:r w:rsidR="00812D47" w:rsidRPr="00812D47">
        <w:rPr>
          <w:rFonts w:ascii="Times New Roman" w:hAnsi="Times New Roman" w:cs="Times New Roman"/>
          <w:b/>
          <w:sz w:val="24"/>
          <w:szCs w:val="24"/>
        </w:rPr>
        <w:t>“flexiseguridad”?</w:t>
      </w:r>
    </w:p>
    <w:p w:rsidR="00812D47" w:rsidRPr="00BB7452" w:rsidRDefault="00812D47" w:rsidP="00812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BB7452">
        <w:rPr>
          <w:rFonts w:ascii="Times New Roman" w:hAnsi="Times New Roman" w:cs="Times New Roman"/>
          <w:sz w:val="24"/>
          <w:szCs w:val="24"/>
        </w:rPr>
        <w:t>lunes</w:t>
      </w:r>
      <w:r>
        <w:rPr>
          <w:rFonts w:ascii="Times New Roman" w:hAnsi="Times New Roman" w:cs="Times New Roman"/>
          <w:sz w:val="24"/>
          <w:szCs w:val="24"/>
        </w:rPr>
        <w:t xml:space="preserve"> 28 de octubre (2019)</w:t>
      </w:r>
      <w:r w:rsidRPr="00BB7452">
        <w:rPr>
          <w:rFonts w:ascii="Times New Roman" w:hAnsi="Times New Roman" w:cs="Times New Roman"/>
          <w:sz w:val="24"/>
          <w:szCs w:val="24"/>
        </w:rPr>
        <w:t>, los líderes de la Unión Europea acordaron otorgar una extensión para el Brexit hasta el 31 de enero de 2020, lo que significa que Reino Unido no saldrá del bloque este jueves 31 de octubre, como estaba planeado.</w:t>
      </w:r>
    </w:p>
    <w:p w:rsidR="00812D47" w:rsidRPr="00BB7452" w:rsidRDefault="00812D47" w:rsidP="00812D47">
      <w:pPr>
        <w:spacing w:line="240" w:lineRule="auto"/>
        <w:jc w:val="both"/>
        <w:rPr>
          <w:rFonts w:ascii="Times New Roman" w:hAnsi="Times New Roman" w:cs="Times New Roman"/>
          <w:sz w:val="24"/>
          <w:szCs w:val="24"/>
        </w:rPr>
      </w:pPr>
      <w:r w:rsidRPr="00BB7452">
        <w:rPr>
          <w:rFonts w:ascii="Times New Roman" w:hAnsi="Times New Roman" w:cs="Times New Roman"/>
          <w:sz w:val="24"/>
          <w:szCs w:val="24"/>
        </w:rPr>
        <w:t xml:space="preserve">El presidente del Consejo Europeo, Donald </w:t>
      </w:r>
      <w:r w:rsidR="0009075E">
        <w:rPr>
          <w:rFonts w:ascii="Times New Roman" w:hAnsi="Times New Roman" w:cs="Times New Roman"/>
          <w:sz w:val="24"/>
          <w:szCs w:val="24"/>
        </w:rPr>
        <w:t>Tusk, dijo que se trata de una “flextensión”</w:t>
      </w:r>
      <w:r w:rsidRPr="00BB7452">
        <w:rPr>
          <w:rFonts w:ascii="Times New Roman" w:hAnsi="Times New Roman" w:cs="Times New Roman"/>
          <w:sz w:val="24"/>
          <w:szCs w:val="24"/>
        </w:rPr>
        <w:t>, en el sentido de que el Brexit puede suceder antes del 31 de enero si el Parlamento británico logra apro</w:t>
      </w:r>
      <w:r>
        <w:rPr>
          <w:rFonts w:ascii="Times New Roman" w:hAnsi="Times New Roman" w:cs="Times New Roman"/>
          <w:sz w:val="24"/>
          <w:szCs w:val="24"/>
        </w:rPr>
        <w:t>bar un acuerdo de salida antes.</w:t>
      </w:r>
    </w:p>
    <w:p w:rsidR="00812D47" w:rsidRDefault="00812D47" w:rsidP="00812D47">
      <w:pPr>
        <w:spacing w:line="240" w:lineRule="auto"/>
        <w:jc w:val="both"/>
        <w:rPr>
          <w:rFonts w:ascii="Times New Roman" w:hAnsi="Times New Roman" w:cs="Times New Roman"/>
          <w:sz w:val="24"/>
          <w:szCs w:val="24"/>
        </w:rPr>
      </w:pPr>
      <w:r w:rsidRPr="00BB7452">
        <w:rPr>
          <w:rFonts w:ascii="Times New Roman" w:hAnsi="Times New Roman" w:cs="Times New Roman"/>
          <w:sz w:val="24"/>
          <w:szCs w:val="24"/>
        </w:rPr>
        <w:t>La salida del Reino Unido de la UE estaba prevista el 31 de octubre, pero Johnson tuvo que pedir una extensión cuando el Parlamento aprobó una</w:t>
      </w:r>
      <w:r w:rsidR="00C24670">
        <w:rPr>
          <w:rFonts w:ascii="Times New Roman" w:hAnsi="Times New Roman" w:cs="Times New Roman"/>
          <w:sz w:val="24"/>
          <w:szCs w:val="24"/>
        </w:rPr>
        <w:t xml:space="preserve"> medida que le obligaba a ello. </w:t>
      </w:r>
      <w:r>
        <w:rPr>
          <w:rFonts w:ascii="Times New Roman" w:hAnsi="Times New Roman" w:cs="Times New Roman"/>
          <w:sz w:val="24"/>
          <w:szCs w:val="24"/>
        </w:rPr>
        <w:t xml:space="preserve">El mismo día, </w:t>
      </w:r>
      <w:r w:rsidRPr="00BB7452">
        <w:rPr>
          <w:rFonts w:ascii="Times New Roman" w:hAnsi="Times New Roman" w:cs="Times New Roman"/>
          <w:sz w:val="24"/>
          <w:szCs w:val="24"/>
        </w:rPr>
        <w:t>el Parlamento británico rechaza</w:t>
      </w:r>
      <w:r>
        <w:rPr>
          <w:rFonts w:ascii="Times New Roman" w:hAnsi="Times New Roman" w:cs="Times New Roman"/>
          <w:sz w:val="24"/>
          <w:szCs w:val="24"/>
        </w:rPr>
        <w:t>ba</w:t>
      </w:r>
      <w:r w:rsidRPr="00BB7452">
        <w:rPr>
          <w:rFonts w:ascii="Times New Roman" w:hAnsi="Times New Roman" w:cs="Times New Roman"/>
          <w:sz w:val="24"/>
          <w:szCs w:val="24"/>
        </w:rPr>
        <w:t xml:space="preserve"> la convocatoria de elecciones de Boris Johnson</w:t>
      </w:r>
      <w:r w:rsidR="00C24670">
        <w:rPr>
          <w:rFonts w:ascii="Times New Roman" w:hAnsi="Times New Roman" w:cs="Times New Roman"/>
          <w:sz w:val="24"/>
          <w:szCs w:val="24"/>
        </w:rPr>
        <w:t xml:space="preserve">. </w:t>
      </w:r>
      <w:r w:rsidRPr="00BB7452">
        <w:rPr>
          <w:rFonts w:ascii="Times New Roman" w:hAnsi="Times New Roman" w:cs="Times New Roman"/>
          <w:sz w:val="24"/>
          <w:szCs w:val="24"/>
        </w:rPr>
        <w:t>El pri</w:t>
      </w:r>
      <w:r>
        <w:rPr>
          <w:rFonts w:ascii="Times New Roman" w:hAnsi="Times New Roman" w:cs="Times New Roman"/>
          <w:sz w:val="24"/>
          <w:szCs w:val="24"/>
        </w:rPr>
        <w:t xml:space="preserve">mer ministro fracasó </w:t>
      </w:r>
      <w:r w:rsidRPr="00BB7452">
        <w:rPr>
          <w:rFonts w:ascii="Times New Roman" w:hAnsi="Times New Roman" w:cs="Times New Roman"/>
          <w:sz w:val="24"/>
          <w:szCs w:val="24"/>
        </w:rPr>
        <w:t>en su intento de conseguir el apoyo de dos tercios del Parlamento británico a su idea de adelantar las elecciones al próximo 12 de diciembre.</w:t>
      </w:r>
    </w:p>
    <w:p w:rsidR="00812D47" w:rsidRDefault="00812D47" w:rsidP="00812D47">
      <w:pPr>
        <w:spacing w:line="240" w:lineRule="auto"/>
        <w:jc w:val="both"/>
        <w:rPr>
          <w:rFonts w:ascii="Times New Roman" w:hAnsi="Times New Roman" w:cs="Times New Roman"/>
          <w:sz w:val="24"/>
          <w:szCs w:val="24"/>
        </w:rPr>
      </w:pPr>
      <w:r w:rsidRPr="00BB7452">
        <w:rPr>
          <w:rFonts w:ascii="Times New Roman" w:hAnsi="Times New Roman" w:cs="Times New Roman"/>
          <w:sz w:val="24"/>
          <w:szCs w:val="24"/>
        </w:rPr>
        <w:t xml:space="preserve">El sí al adelanto electoral obtuvo 299 votos por 70 para el no, pero fue derrotada por la abstención de la bancada laborista. Se necesitaba 434 votos para </w:t>
      </w:r>
      <w:r>
        <w:rPr>
          <w:rFonts w:ascii="Times New Roman" w:hAnsi="Times New Roman" w:cs="Times New Roman"/>
          <w:sz w:val="24"/>
          <w:szCs w:val="24"/>
        </w:rPr>
        <w:t>que la moción saliera adelante.“</w:t>
      </w:r>
      <w:r w:rsidRPr="00BB7452">
        <w:rPr>
          <w:rFonts w:ascii="Times New Roman" w:hAnsi="Times New Roman" w:cs="Times New Roman"/>
          <w:sz w:val="24"/>
          <w:szCs w:val="24"/>
        </w:rPr>
        <w:t>Esta Cámara no puede segui</w:t>
      </w:r>
      <w:r>
        <w:rPr>
          <w:rFonts w:ascii="Times New Roman" w:hAnsi="Times New Roman" w:cs="Times New Roman"/>
          <w:sz w:val="24"/>
          <w:szCs w:val="24"/>
        </w:rPr>
        <w:t>r manteniendo rehén a este país”</w:t>
      </w:r>
      <w:r w:rsidRPr="00BB7452">
        <w:rPr>
          <w:rFonts w:ascii="Times New Roman" w:hAnsi="Times New Roman" w:cs="Times New Roman"/>
          <w:sz w:val="24"/>
          <w:szCs w:val="24"/>
        </w:rPr>
        <w:t>, declaró Johnson en alusión a la negativa del principal partido de oposición, el Partido Laborista, de acceder al adelanto electoral.</w:t>
      </w:r>
    </w:p>
    <w:p w:rsidR="00544A66" w:rsidRDefault="00544A66" w:rsidP="00544A66">
      <w:pPr>
        <w:spacing w:line="240" w:lineRule="auto"/>
        <w:jc w:val="both"/>
        <w:rPr>
          <w:rFonts w:ascii="Times New Roman" w:hAnsi="Times New Roman" w:cs="Times New Roman"/>
          <w:sz w:val="24"/>
          <w:szCs w:val="24"/>
        </w:rPr>
      </w:pPr>
      <w:r>
        <w:rPr>
          <w:rFonts w:ascii="Times New Roman" w:hAnsi="Times New Roman" w:cs="Times New Roman"/>
          <w:b/>
          <w:sz w:val="24"/>
          <w:szCs w:val="24"/>
        </w:rPr>
        <w:t>(29</w:t>
      </w:r>
      <w:r w:rsidRPr="00544A66">
        <w:rPr>
          <w:rFonts w:ascii="Times New Roman" w:hAnsi="Times New Roman" w:cs="Times New Roman"/>
          <w:b/>
          <w:sz w:val="24"/>
          <w:szCs w:val="24"/>
        </w:rPr>
        <w:t>/10/19)</w:t>
      </w:r>
      <w:r>
        <w:rPr>
          <w:rFonts w:ascii="Times New Roman" w:hAnsi="Times New Roman" w:cs="Times New Roman"/>
          <w:sz w:val="24"/>
          <w:szCs w:val="24"/>
        </w:rPr>
        <w:t xml:space="preserve"> - </w:t>
      </w:r>
      <w:r w:rsidRPr="00544A66">
        <w:rPr>
          <w:rFonts w:ascii="Times New Roman" w:hAnsi="Times New Roman" w:cs="Times New Roman"/>
          <w:b/>
          <w:sz w:val="24"/>
          <w:szCs w:val="24"/>
        </w:rPr>
        <w:t>El Parlamento británico da luz verde al plan de Boris Johnson de adelantar las elecciones generales a diciembre</w:t>
      </w:r>
    </w:p>
    <w:p w:rsidR="00544A66" w:rsidRPr="00FD1A79" w:rsidRDefault="00544A66" w:rsidP="00544A66">
      <w:pPr>
        <w:spacing w:line="240" w:lineRule="auto"/>
        <w:jc w:val="both"/>
        <w:rPr>
          <w:rFonts w:ascii="Times New Roman" w:hAnsi="Times New Roman" w:cs="Times New Roman"/>
          <w:sz w:val="24"/>
          <w:szCs w:val="24"/>
        </w:rPr>
      </w:pPr>
      <w:r w:rsidRPr="00FD1A79">
        <w:rPr>
          <w:rFonts w:ascii="Times New Roman" w:hAnsi="Times New Roman" w:cs="Times New Roman"/>
          <w:sz w:val="24"/>
          <w:szCs w:val="24"/>
        </w:rPr>
        <w:t>Johnson espera que las elecciones le den un nuevo mandato que le permita llevar a término su acuerdo del Brexit y rompan el actual punto muerto que ha llevado a que la salida de Reino Unido de la UE se retrase hasta inicios del próximo año.</w:t>
      </w:r>
    </w:p>
    <w:p w:rsidR="00812D47" w:rsidRPr="00812D47" w:rsidRDefault="00812D47" w:rsidP="00812D47">
      <w:pPr>
        <w:spacing w:line="240" w:lineRule="auto"/>
        <w:jc w:val="both"/>
        <w:rPr>
          <w:rFonts w:ascii="Times New Roman" w:hAnsi="Times New Roman" w:cs="Times New Roman"/>
          <w:b/>
          <w:sz w:val="24"/>
          <w:szCs w:val="24"/>
        </w:rPr>
      </w:pPr>
      <w:r w:rsidRPr="00812D47">
        <w:rPr>
          <w:rFonts w:ascii="Times New Roman" w:hAnsi="Times New Roman" w:cs="Times New Roman"/>
          <w:b/>
          <w:sz w:val="24"/>
          <w:szCs w:val="24"/>
        </w:rPr>
        <w:t>Por el momento: ni Brexit duro, ni Brexit blando…, ni “medio pensionista”, solo seguir empujando la soga</w:t>
      </w:r>
      <w:r>
        <w:rPr>
          <w:rFonts w:ascii="Times New Roman" w:hAnsi="Times New Roman" w:cs="Times New Roman"/>
          <w:b/>
          <w:sz w:val="24"/>
          <w:szCs w:val="24"/>
        </w:rPr>
        <w:t>,</w:t>
      </w:r>
      <w:r w:rsidRPr="00812D47">
        <w:rPr>
          <w:rFonts w:ascii="Times New Roman" w:hAnsi="Times New Roman" w:cs="Times New Roman"/>
          <w:b/>
          <w:sz w:val="24"/>
          <w:szCs w:val="24"/>
        </w:rPr>
        <w:t xml:space="preserve"> o esperar que el Viagra</w:t>
      </w:r>
      <w:r>
        <w:rPr>
          <w:rFonts w:ascii="Times New Roman" w:hAnsi="Times New Roman" w:cs="Times New Roman"/>
          <w:b/>
          <w:sz w:val="24"/>
          <w:szCs w:val="24"/>
        </w:rPr>
        <w:t xml:space="preserve"> electoral</w:t>
      </w:r>
      <w:r w:rsidRPr="00812D47">
        <w:rPr>
          <w:rFonts w:ascii="Times New Roman" w:hAnsi="Times New Roman" w:cs="Times New Roman"/>
          <w:b/>
          <w:sz w:val="24"/>
          <w:szCs w:val="24"/>
        </w:rPr>
        <w:t xml:space="preserve"> obre el milagro forense. </w:t>
      </w:r>
    </w:p>
    <w:p w:rsidR="00F1176B" w:rsidRPr="00F1176B" w:rsidRDefault="00F1176B" w:rsidP="00F1176B">
      <w:pPr>
        <w:spacing w:line="240" w:lineRule="auto"/>
        <w:jc w:val="both"/>
        <w:rPr>
          <w:rFonts w:ascii="Times New Roman" w:hAnsi="Times New Roman" w:cs="Times New Roman"/>
          <w:b/>
          <w:sz w:val="24"/>
          <w:szCs w:val="24"/>
          <w:lang w:val="en-US"/>
        </w:rPr>
      </w:pPr>
      <w:r w:rsidRPr="00F1176B">
        <w:rPr>
          <w:rFonts w:ascii="Times New Roman" w:hAnsi="Times New Roman" w:cs="Times New Roman"/>
          <w:b/>
          <w:sz w:val="24"/>
          <w:szCs w:val="24"/>
          <w:lang w:val="en-US"/>
        </w:rPr>
        <w:t>¡God save the Queen… &amp; the UK!</w:t>
      </w:r>
    </w:p>
    <w:p w:rsidR="006658FB" w:rsidRDefault="00F1176B" w:rsidP="006658FB">
      <w:pPr>
        <w:spacing w:line="240" w:lineRule="auto"/>
        <w:jc w:val="both"/>
        <w:rPr>
          <w:rFonts w:ascii="Times New Roman" w:hAnsi="Times New Roman" w:cs="Times New Roman"/>
          <w:b/>
          <w:sz w:val="24"/>
          <w:szCs w:val="24"/>
        </w:rPr>
      </w:pPr>
      <w:r w:rsidRPr="00F1176B">
        <w:rPr>
          <w:rFonts w:ascii="Times New Roman" w:hAnsi="Times New Roman" w:cs="Times New Roman"/>
          <w:b/>
          <w:sz w:val="24"/>
          <w:szCs w:val="24"/>
        </w:rPr>
        <w:t>Cansado de esperar (s</w:t>
      </w:r>
      <w:r w:rsidR="006658FB" w:rsidRPr="00F1176B">
        <w:rPr>
          <w:rFonts w:ascii="Times New Roman" w:hAnsi="Times New Roman" w:cs="Times New Roman"/>
          <w:b/>
          <w:sz w:val="24"/>
          <w:szCs w:val="24"/>
        </w:rPr>
        <w:t>olo</w:t>
      </w:r>
      <w:r>
        <w:rPr>
          <w:rFonts w:ascii="Times New Roman" w:hAnsi="Times New Roman" w:cs="Times New Roman"/>
          <w:b/>
          <w:sz w:val="24"/>
          <w:szCs w:val="24"/>
        </w:rPr>
        <w:t>,</w:t>
      </w:r>
      <w:r w:rsidR="006658FB" w:rsidRPr="00F1176B">
        <w:rPr>
          <w:rFonts w:ascii="Times New Roman" w:hAnsi="Times New Roman" w:cs="Times New Roman"/>
          <w:b/>
          <w:sz w:val="24"/>
          <w:szCs w:val="24"/>
        </w:rPr>
        <w:t xml:space="preserve"> un comentario final</w:t>
      </w:r>
      <w:r>
        <w:rPr>
          <w:rFonts w:ascii="Times New Roman" w:hAnsi="Times New Roman" w:cs="Times New Roman"/>
          <w:b/>
          <w:sz w:val="24"/>
          <w:szCs w:val="24"/>
        </w:rPr>
        <w:t>)</w:t>
      </w:r>
      <w:r w:rsidR="006658FB" w:rsidRPr="00F1176B">
        <w:rPr>
          <w:rFonts w:ascii="Times New Roman" w:hAnsi="Times New Roman" w:cs="Times New Roman"/>
          <w:b/>
          <w:sz w:val="24"/>
          <w:szCs w:val="24"/>
        </w:rPr>
        <w:t>:</w:t>
      </w:r>
      <w:r w:rsidR="006658FB">
        <w:rPr>
          <w:rFonts w:ascii="Times New Roman" w:hAnsi="Times New Roman" w:cs="Times New Roman"/>
          <w:b/>
          <w:sz w:val="24"/>
          <w:szCs w:val="24"/>
        </w:rPr>
        <w:t xml:space="preserve">pensar que esta tierra vio nacer a </w:t>
      </w:r>
      <w:r w:rsidR="006658FB" w:rsidRPr="00611DD0">
        <w:rPr>
          <w:rFonts w:ascii="Times New Roman" w:hAnsi="Times New Roman" w:cs="Times New Roman"/>
          <w:b/>
          <w:sz w:val="24"/>
          <w:szCs w:val="24"/>
        </w:rPr>
        <w:t>Shakespeare</w:t>
      </w:r>
      <w:r w:rsidR="006658FB">
        <w:rPr>
          <w:rFonts w:ascii="Times New Roman" w:hAnsi="Times New Roman" w:cs="Times New Roman"/>
          <w:b/>
          <w:sz w:val="24"/>
          <w:szCs w:val="24"/>
        </w:rPr>
        <w:t>,</w:t>
      </w:r>
      <w:r w:rsidR="00723CD7">
        <w:rPr>
          <w:rFonts w:ascii="Times New Roman" w:hAnsi="Times New Roman" w:cs="Times New Roman"/>
          <w:b/>
          <w:sz w:val="24"/>
          <w:szCs w:val="24"/>
        </w:rPr>
        <w:t xml:space="preserve"> Disraeli,</w:t>
      </w:r>
      <w:r w:rsidR="006658FB" w:rsidRPr="00611DD0">
        <w:rPr>
          <w:rFonts w:ascii="Times New Roman" w:hAnsi="Times New Roman" w:cs="Times New Roman"/>
          <w:b/>
          <w:sz w:val="24"/>
          <w:szCs w:val="24"/>
        </w:rPr>
        <w:t>Churchill</w:t>
      </w:r>
      <w:r w:rsidR="006658FB">
        <w:rPr>
          <w:rFonts w:ascii="Times New Roman" w:hAnsi="Times New Roman" w:cs="Times New Roman"/>
          <w:b/>
          <w:sz w:val="24"/>
          <w:szCs w:val="24"/>
        </w:rPr>
        <w:t>,</w:t>
      </w:r>
      <w:r w:rsidR="00723CD7">
        <w:rPr>
          <w:rFonts w:ascii="Times New Roman" w:hAnsi="Times New Roman" w:cs="Times New Roman"/>
          <w:b/>
          <w:sz w:val="24"/>
          <w:szCs w:val="24"/>
        </w:rPr>
        <w:t xml:space="preserve"> Smith,</w:t>
      </w:r>
      <w:r w:rsidR="006658FB">
        <w:rPr>
          <w:rFonts w:ascii="Times New Roman" w:hAnsi="Times New Roman" w:cs="Times New Roman"/>
          <w:b/>
          <w:sz w:val="24"/>
          <w:szCs w:val="24"/>
        </w:rPr>
        <w:t xml:space="preserve"> Keynes, Newton, Händel, Turner</w:t>
      </w:r>
      <w:r w:rsidR="00723CD7">
        <w:rPr>
          <w:rFonts w:ascii="Times New Roman" w:hAnsi="Times New Roman" w:cs="Times New Roman"/>
          <w:b/>
          <w:sz w:val="24"/>
          <w:szCs w:val="24"/>
        </w:rPr>
        <w:t xml:space="preserve">, </w:t>
      </w:r>
      <w:r w:rsidR="00723CD7" w:rsidRPr="00723CD7">
        <w:rPr>
          <w:rFonts w:ascii="Times New Roman" w:hAnsi="Times New Roman" w:cs="Times New Roman"/>
          <w:b/>
          <w:sz w:val="24"/>
          <w:szCs w:val="24"/>
        </w:rPr>
        <w:t>Bell</w:t>
      </w:r>
      <w:r w:rsidR="00723CD7">
        <w:rPr>
          <w:rFonts w:ascii="Times New Roman" w:hAnsi="Times New Roman" w:cs="Times New Roman"/>
          <w:b/>
          <w:sz w:val="24"/>
          <w:szCs w:val="24"/>
        </w:rPr>
        <w:t xml:space="preserve">, Hawking, </w:t>
      </w:r>
      <w:r w:rsidR="00723CD7" w:rsidRPr="00723CD7">
        <w:rPr>
          <w:rFonts w:ascii="Times New Roman" w:hAnsi="Times New Roman" w:cs="Times New Roman"/>
          <w:b/>
          <w:sz w:val="24"/>
          <w:szCs w:val="24"/>
        </w:rPr>
        <w:t>Logie Baird</w:t>
      </w:r>
      <w:r w:rsidR="00723CD7">
        <w:rPr>
          <w:rFonts w:ascii="Times New Roman" w:hAnsi="Times New Roman" w:cs="Times New Roman"/>
          <w:b/>
          <w:sz w:val="24"/>
          <w:szCs w:val="24"/>
        </w:rPr>
        <w:t xml:space="preserve">, </w:t>
      </w:r>
      <w:r w:rsidR="00723CD7" w:rsidRPr="00723CD7">
        <w:rPr>
          <w:rFonts w:ascii="Times New Roman" w:hAnsi="Times New Roman" w:cs="Times New Roman"/>
          <w:b/>
          <w:sz w:val="24"/>
          <w:szCs w:val="24"/>
        </w:rPr>
        <w:t>Berners-Lee</w:t>
      </w:r>
      <w:r w:rsidR="006658FB">
        <w:rPr>
          <w:rFonts w:ascii="Times New Roman" w:hAnsi="Times New Roman" w:cs="Times New Roman"/>
          <w:b/>
          <w:sz w:val="24"/>
          <w:szCs w:val="24"/>
        </w:rPr>
        <w:t>… y ahora tiene al frente a unos “personajillos” tan mediocres, insignificantes, ridículos y delirantes</w:t>
      </w:r>
      <w:r>
        <w:rPr>
          <w:rFonts w:ascii="Times New Roman" w:hAnsi="Times New Roman" w:cs="Times New Roman"/>
          <w:b/>
          <w:sz w:val="24"/>
          <w:szCs w:val="24"/>
        </w:rPr>
        <w:t xml:space="preserve">. </w:t>
      </w:r>
    </w:p>
    <w:p w:rsidR="006658FB" w:rsidRDefault="006658FB" w:rsidP="006658F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mi (humilde) opinión, los políticos británicos adolecen de una enfermedad que no les permite </w:t>
      </w:r>
      <w:r w:rsidRPr="00A66606">
        <w:rPr>
          <w:rFonts w:ascii="Times New Roman" w:hAnsi="Times New Roman" w:cs="Times New Roman"/>
          <w:b/>
          <w:sz w:val="24"/>
          <w:szCs w:val="24"/>
        </w:rPr>
        <w:t>recono</w:t>
      </w:r>
      <w:r>
        <w:rPr>
          <w:rFonts w:ascii="Times New Roman" w:hAnsi="Times New Roman" w:cs="Times New Roman"/>
          <w:b/>
          <w:sz w:val="24"/>
          <w:szCs w:val="24"/>
        </w:rPr>
        <w:t>cer la realidad histórica de su nación, y como sostenía Paul Valéry: “</w:t>
      </w:r>
      <w:r w:rsidRPr="00A66606">
        <w:rPr>
          <w:rFonts w:ascii="Times New Roman" w:hAnsi="Times New Roman" w:cs="Times New Roman"/>
          <w:b/>
          <w:sz w:val="24"/>
          <w:szCs w:val="24"/>
        </w:rPr>
        <w:t>el ejercicio del liderazgo no consiste en dar sin más a la gente lo que pide, sino, por el contrario, interrogar a la c</w:t>
      </w:r>
      <w:r>
        <w:rPr>
          <w:rFonts w:ascii="Times New Roman" w:hAnsi="Times New Roman" w:cs="Times New Roman"/>
          <w:b/>
          <w:sz w:val="24"/>
          <w:szCs w:val="24"/>
        </w:rPr>
        <w:t>iudadanía sobre lo que necesita”… Su fracaso e</w:t>
      </w:r>
      <w:r w:rsidRPr="00B57F7D">
        <w:rPr>
          <w:rFonts w:ascii="Times New Roman" w:hAnsi="Times New Roman" w:cs="Times New Roman"/>
          <w:b/>
          <w:sz w:val="24"/>
          <w:szCs w:val="24"/>
        </w:rPr>
        <w:t>s tan estrepitoso que resulta indecoroso.</w:t>
      </w:r>
    </w:p>
    <w:p w:rsidR="006658FB" w:rsidRDefault="006658FB" w:rsidP="006658F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Por falta de una estrategia a largo plazo, han caído </w:t>
      </w:r>
      <w:r w:rsidRPr="00A66606">
        <w:rPr>
          <w:rFonts w:ascii="Times New Roman" w:hAnsi="Times New Roman" w:cs="Times New Roman"/>
          <w:b/>
          <w:sz w:val="24"/>
          <w:szCs w:val="24"/>
        </w:rPr>
        <w:t>en su propia trampa tacticista.</w:t>
      </w:r>
      <w:r>
        <w:rPr>
          <w:rFonts w:ascii="Times New Roman" w:hAnsi="Times New Roman" w:cs="Times New Roman"/>
          <w:b/>
          <w:sz w:val="24"/>
          <w:szCs w:val="24"/>
        </w:rPr>
        <w:t xml:space="preserve"> Y l</w:t>
      </w:r>
      <w:r w:rsidRPr="00A66606">
        <w:rPr>
          <w:rFonts w:ascii="Times New Roman" w:hAnsi="Times New Roman" w:cs="Times New Roman"/>
          <w:b/>
          <w:sz w:val="24"/>
          <w:szCs w:val="24"/>
        </w:rPr>
        <w:t>o peor, con todo, es que no se trata de un fenómeno pasajero. En la</w:t>
      </w:r>
      <w:r>
        <w:rPr>
          <w:rFonts w:ascii="Times New Roman" w:hAnsi="Times New Roman" w:cs="Times New Roman"/>
          <w:b/>
          <w:sz w:val="24"/>
          <w:szCs w:val="24"/>
        </w:rPr>
        <w:t xml:space="preserve"> medida que el conflicto del Brexit</w:t>
      </w:r>
      <w:r w:rsidRPr="00A66606">
        <w:rPr>
          <w:rFonts w:ascii="Times New Roman" w:hAnsi="Times New Roman" w:cs="Times New Roman"/>
          <w:b/>
          <w:sz w:val="24"/>
          <w:szCs w:val="24"/>
        </w:rPr>
        <w:t xml:space="preserve"> se enquiste, y nada indica que esté en vías de solución</w:t>
      </w:r>
      <w:r>
        <w:rPr>
          <w:rFonts w:ascii="Times New Roman" w:hAnsi="Times New Roman" w:cs="Times New Roman"/>
          <w:b/>
          <w:sz w:val="24"/>
          <w:szCs w:val="24"/>
        </w:rPr>
        <w:t xml:space="preserve">, </w:t>
      </w:r>
      <w:r w:rsidRPr="007E5A78">
        <w:rPr>
          <w:rFonts w:ascii="Times New Roman" w:hAnsi="Times New Roman" w:cs="Times New Roman"/>
          <w:b/>
          <w:sz w:val="24"/>
          <w:szCs w:val="24"/>
        </w:rPr>
        <w:t>el prob</w:t>
      </w:r>
      <w:r>
        <w:rPr>
          <w:rFonts w:ascii="Times New Roman" w:hAnsi="Times New Roman" w:cs="Times New Roman"/>
          <w:b/>
          <w:sz w:val="24"/>
          <w:szCs w:val="24"/>
        </w:rPr>
        <w:t>lema con Gran Bretaña</w:t>
      </w:r>
      <w:r w:rsidRPr="007E5A78">
        <w:rPr>
          <w:rFonts w:ascii="Times New Roman" w:hAnsi="Times New Roman" w:cs="Times New Roman"/>
          <w:b/>
          <w:sz w:val="24"/>
          <w:szCs w:val="24"/>
        </w:rPr>
        <w:t>,se ha convertido en una tra</w:t>
      </w:r>
      <w:r>
        <w:rPr>
          <w:rFonts w:ascii="Times New Roman" w:hAnsi="Times New Roman" w:cs="Times New Roman"/>
          <w:b/>
          <w:sz w:val="24"/>
          <w:szCs w:val="24"/>
        </w:rPr>
        <w:t xml:space="preserve">gedia política para el conjunto de la Unión Europea. Una </w:t>
      </w:r>
      <w:r w:rsidRPr="007E5A78">
        <w:rPr>
          <w:rFonts w:ascii="Times New Roman" w:hAnsi="Times New Roman" w:cs="Times New Roman"/>
          <w:b/>
          <w:sz w:val="24"/>
          <w:szCs w:val="24"/>
        </w:rPr>
        <w:t>representación de la política</w:t>
      </w:r>
      <w:r>
        <w:rPr>
          <w:rFonts w:ascii="Times New Roman" w:hAnsi="Times New Roman" w:cs="Times New Roman"/>
          <w:b/>
          <w:sz w:val="24"/>
          <w:szCs w:val="24"/>
        </w:rPr>
        <w:t>,</w:t>
      </w:r>
      <w:r w:rsidRPr="007E5A78">
        <w:rPr>
          <w:rFonts w:ascii="Times New Roman" w:hAnsi="Times New Roman" w:cs="Times New Roman"/>
          <w:b/>
          <w:sz w:val="24"/>
          <w:szCs w:val="24"/>
        </w:rPr>
        <w:t xml:space="preserve"> zafia y rudimentaria</w:t>
      </w:r>
      <w:r>
        <w:rPr>
          <w:rFonts w:ascii="Times New Roman" w:hAnsi="Times New Roman" w:cs="Times New Roman"/>
          <w:b/>
          <w:sz w:val="24"/>
          <w:szCs w:val="24"/>
        </w:rPr>
        <w:t xml:space="preserve"> (a modo de un reality show), indigna de la grandeza y la </w:t>
      </w:r>
      <w:r w:rsidRPr="007E5A78">
        <w:rPr>
          <w:rFonts w:ascii="Times New Roman" w:hAnsi="Times New Roman" w:cs="Times New Roman"/>
          <w:b/>
          <w:sz w:val="24"/>
          <w:szCs w:val="24"/>
        </w:rPr>
        <w:t>elocuencia de</w:t>
      </w:r>
      <w:r>
        <w:rPr>
          <w:rFonts w:ascii="Times New Roman" w:hAnsi="Times New Roman" w:cs="Times New Roman"/>
          <w:b/>
          <w:sz w:val="24"/>
          <w:szCs w:val="24"/>
        </w:rPr>
        <w:t xml:space="preserve"> las tragedias de</w:t>
      </w:r>
      <w:r w:rsidRPr="007E5A78">
        <w:rPr>
          <w:rFonts w:ascii="Times New Roman" w:hAnsi="Times New Roman" w:cs="Times New Roman"/>
          <w:b/>
          <w:sz w:val="24"/>
          <w:szCs w:val="24"/>
        </w:rPr>
        <w:t xml:space="preserve"> Shakespeare.</w:t>
      </w:r>
    </w:p>
    <w:p w:rsidR="006658FB" w:rsidRDefault="006658FB" w:rsidP="006658F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Unos personajes de “ópera bufa” que, entre </w:t>
      </w:r>
      <w:r w:rsidRPr="00E31264">
        <w:rPr>
          <w:rFonts w:ascii="Times New Roman" w:hAnsi="Times New Roman" w:cs="Times New Roman"/>
          <w:b/>
          <w:sz w:val="24"/>
          <w:szCs w:val="24"/>
        </w:rPr>
        <w:t xml:space="preserve">la </w:t>
      </w:r>
      <w:r>
        <w:rPr>
          <w:rFonts w:ascii="Times New Roman" w:hAnsi="Times New Roman" w:cs="Times New Roman"/>
          <w:b/>
          <w:sz w:val="24"/>
          <w:szCs w:val="24"/>
        </w:rPr>
        <w:t>“</w:t>
      </w:r>
      <w:r w:rsidRPr="00E31264">
        <w:rPr>
          <w:rFonts w:ascii="Times New Roman" w:hAnsi="Times New Roman" w:cs="Times New Roman"/>
          <w:b/>
          <w:sz w:val="24"/>
          <w:szCs w:val="24"/>
        </w:rPr>
        <w:t>incuria</w:t>
      </w:r>
      <w:r>
        <w:rPr>
          <w:rFonts w:ascii="Times New Roman" w:hAnsi="Times New Roman" w:cs="Times New Roman"/>
          <w:b/>
          <w:sz w:val="24"/>
          <w:szCs w:val="24"/>
        </w:rPr>
        <w:t>”</w:t>
      </w:r>
      <w:r w:rsidRPr="00E31264">
        <w:rPr>
          <w:rFonts w:ascii="Times New Roman" w:hAnsi="Times New Roman" w:cs="Times New Roman"/>
          <w:b/>
          <w:sz w:val="24"/>
          <w:szCs w:val="24"/>
        </w:rPr>
        <w:t xml:space="preserve"> de unos</w:t>
      </w:r>
      <w:r>
        <w:rPr>
          <w:rFonts w:ascii="Times New Roman" w:hAnsi="Times New Roman" w:cs="Times New Roman"/>
          <w:b/>
          <w:sz w:val="24"/>
          <w:szCs w:val="24"/>
        </w:rPr>
        <w:t xml:space="preserve"> (UK) y</w:t>
      </w:r>
      <w:r w:rsidRPr="00E31264">
        <w:rPr>
          <w:rFonts w:ascii="Times New Roman" w:hAnsi="Times New Roman" w:cs="Times New Roman"/>
          <w:b/>
          <w:sz w:val="24"/>
          <w:szCs w:val="24"/>
        </w:rPr>
        <w:t xml:space="preserve"> la </w:t>
      </w:r>
      <w:r>
        <w:rPr>
          <w:rFonts w:ascii="Times New Roman" w:hAnsi="Times New Roman" w:cs="Times New Roman"/>
          <w:b/>
          <w:sz w:val="24"/>
          <w:szCs w:val="24"/>
        </w:rPr>
        <w:t>“</w:t>
      </w:r>
      <w:r w:rsidRPr="00E31264">
        <w:rPr>
          <w:rFonts w:ascii="Times New Roman" w:hAnsi="Times New Roman" w:cs="Times New Roman"/>
          <w:b/>
          <w:sz w:val="24"/>
          <w:szCs w:val="24"/>
        </w:rPr>
        <w:t>dejadez</w:t>
      </w:r>
      <w:r>
        <w:rPr>
          <w:rFonts w:ascii="Times New Roman" w:hAnsi="Times New Roman" w:cs="Times New Roman"/>
          <w:b/>
          <w:sz w:val="24"/>
          <w:szCs w:val="24"/>
        </w:rPr>
        <w:t>”</w:t>
      </w:r>
      <w:r w:rsidRPr="00E31264">
        <w:rPr>
          <w:rFonts w:ascii="Times New Roman" w:hAnsi="Times New Roman" w:cs="Times New Roman"/>
          <w:b/>
          <w:sz w:val="24"/>
          <w:szCs w:val="24"/>
        </w:rPr>
        <w:t xml:space="preserve"> de otros</w:t>
      </w:r>
      <w:r>
        <w:rPr>
          <w:rFonts w:ascii="Times New Roman" w:hAnsi="Times New Roman" w:cs="Times New Roman"/>
          <w:b/>
          <w:sz w:val="24"/>
          <w:szCs w:val="24"/>
        </w:rPr>
        <w:t xml:space="preserve"> (CE), se pueden terminar llevando por delante, por estrés o absurdo existencial, todo el proyecto de la Unión Europea. Puede que la mano que ha mecido la cuna, termine cavando la sepultura. Apretado aquelarre de los enemigos de Europa.</w:t>
      </w:r>
    </w:p>
    <w:p w:rsidR="006658FB" w:rsidRDefault="006658FB" w:rsidP="006658FB">
      <w:pPr>
        <w:spacing w:line="240" w:lineRule="auto"/>
        <w:jc w:val="both"/>
        <w:rPr>
          <w:rFonts w:ascii="Times New Roman" w:hAnsi="Times New Roman" w:cs="Times New Roman"/>
          <w:b/>
          <w:sz w:val="24"/>
          <w:szCs w:val="24"/>
        </w:rPr>
      </w:pPr>
      <w:r>
        <w:rPr>
          <w:rFonts w:ascii="Times New Roman" w:hAnsi="Times New Roman" w:cs="Times New Roman"/>
          <w:b/>
          <w:sz w:val="24"/>
          <w:szCs w:val="24"/>
        </w:rPr>
        <w:t>Y una pregunta que queda sin respuesta (de momento - 20/10/19): ¿</w:t>
      </w:r>
      <w:r w:rsidRPr="00B5741F">
        <w:rPr>
          <w:rFonts w:ascii="Times New Roman" w:hAnsi="Times New Roman" w:cs="Times New Roman"/>
          <w:b/>
          <w:sz w:val="24"/>
          <w:szCs w:val="24"/>
        </w:rPr>
        <w:t>quién</w:t>
      </w:r>
      <w:r>
        <w:rPr>
          <w:rFonts w:ascii="Times New Roman" w:hAnsi="Times New Roman" w:cs="Times New Roman"/>
          <w:b/>
          <w:sz w:val="24"/>
          <w:szCs w:val="24"/>
        </w:rPr>
        <w:t xml:space="preserve"> será capaz de</w:t>
      </w:r>
      <w:r w:rsidRPr="00B5741F">
        <w:rPr>
          <w:rFonts w:ascii="Times New Roman" w:hAnsi="Times New Roman" w:cs="Times New Roman"/>
          <w:b/>
          <w:sz w:val="24"/>
          <w:szCs w:val="24"/>
        </w:rPr>
        <w:t xml:space="preserve"> limpia</w:t>
      </w:r>
      <w:r>
        <w:rPr>
          <w:rFonts w:ascii="Times New Roman" w:hAnsi="Times New Roman" w:cs="Times New Roman"/>
          <w:b/>
          <w:sz w:val="24"/>
          <w:szCs w:val="24"/>
        </w:rPr>
        <w:t>r</w:t>
      </w:r>
      <w:r w:rsidRPr="00B5741F">
        <w:rPr>
          <w:rFonts w:ascii="Times New Roman" w:hAnsi="Times New Roman" w:cs="Times New Roman"/>
          <w:b/>
          <w:sz w:val="24"/>
          <w:szCs w:val="24"/>
        </w:rPr>
        <w:t xml:space="preserve"> la playa de los restos de este naufragio de dimensiones ciclópeas</w:t>
      </w:r>
      <w:r>
        <w:rPr>
          <w:rFonts w:ascii="Times New Roman" w:hAnsi="Times New Roman" w:cs="Times New Roman"/>
          <w:b/>
          <w:sz w:val="24"/>
          <w:szCs w:val="24"/>
        </w:rPr>
        <w:t>?</w:t>
      </w:r>
    </w:p>
    <w:p w:rsidR="008B4E7E" w:rsidRDefault="008B4E7E" w:rsidP="008B4E7E">
      <w:pPr>
        <w:spacing w:line="240" w:lineRule="auto"/>
        <w:jc w:val="both"/>
        <w:rPr>
          <w:rFonts w:ascii="Times New Roman" w:hAnsi="Times New Roman" w:cs="Times New Roman"/>
          <w:b/>
          <w:sz w:val="24"/>
          <w:szCs w:val="24"/>
        </w:rPr>
      </w:pPr>
      <w:r>
        <w:rPr>
          <w:rFonts w:ascii="Times New Roman" w:hAnsi="Times New Roman" w:cs="Times New Roman"/>
          <w:b/>
          <w:sz w:val="24"/>
          <w:szCs w:val="24"/>
        </w:rPr>
        <w:t>Trump</w:t>
      </w:r>
      <w:r w:rsidR="007D67F3">
        <w:rPr>
          <w:rFonts w:ascii="Times New Roman" w:hAnsi="Times New Roman" w:cs="Times New Roman"/>
          <w:b/>
          <w:sz w:val="24"/>
          <w:szCs w:val="24"/>
        </w:rPr>
        <w:t xml:space="preserve">, </w:t>
      </w:r>
      <w:r>
        <w:rPr>
          <w:rFonts w:ascii="Times New Roman" w:hAnsi="Times New Roman" w:cs="Times New Roman"/>
          <w:b/>
          <w:sz w:val="24"/>
          <w:szCs w:val="24"/>
        </w:rPr>
        <w:t>Trade &amp; China: el jardín de senderos que se bifurcan (</w:t>
      </w:r>
      <w:r w:rsidRPr="00D21DC3">
        <w:rPr>
          <w:rFonts w:ascii="Times New Roman" w:hAnsi="Times New Roman" w:cs="Times New Roman"/>
          <w:b/>
          <w:sz w:val="24"/>
          <w:szCs w:val="24"/>
        </w:rPr>
        <w:t>un juego de apariencias</w:t>
      </w:r>
      <w:r>
        <w:rPr>
          <w:rFonts w:ascii="Times New Roman" w:hAnsi="Times New Roman" w:cs="Times New Roman"/>
          <w:b/>
          <w:sz w:val="24"/>
          <w:szCs w:val="24"/>
        </w:rPr>
        <w:t>)</w:t>
      </w:r>
    </w:p>
    <w:p w:rsidR="008B4E7E" w:rsidRPr="00383CB4" w:rsidRDefault="008B4E7E" w:rsidP="008B4E7E">
      <w:pPr>
        <w:spacing w:line="240" w:lineRule="auto"/>
        <w:jc w:val="both"/>
        <w:rPr>
          <w:rFonts w:ascii="Times New Roman" w:hAnsi="Times New Roman" w:cs="Times New Roman"/>
          <w:b/>
          <w:sz w:val="24"/>
          <w:szCs w:val="24"/>
        </w:rPr>
      </w:pPr>
      <w:r w:rsidRPr="00383CB4">
        <w:rPr>
          <w:rFonts w:ascii="Times New Roman" w:hAnsi="Times New Roman" w:cs="Times New Roman"/>
          <w:b/>
          <w:sz w:val="24"/>
          <w:szCs w:val="24"/>
        </w:rPr>
        <w:t>Mambrú se fue a la… “tregua”</w:t>
      </w:r>
      <w:r>
        <w:rPr>
          <w:rFonts w:ascii="Times New Roman" w:hAnsi="Times New Roman" w:cs="Times New Roman"/>
          <w:b/>
          <w:sz w:val="24"/>
          <w:szCs w:val="24"/>
        </w:rPr>
        <w:t>…</w:t>
      </w:r>
    </w:p>
    <w:p w:rsidR="008B4E7E" w:rsidRPr="00DF3A74" w:rsidRDefault="008B4E7E" w:rsidP="008B4E7E">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 xml:space="preserve">- </w:t>
      </w:r>
      <w:r w:rsidRPr="00DF3A74">
        <w:rPr>
          <w:rFonts w:ascii="Times New Roman" w:hAnsi="Times New Roman" w:cs="Times New Roman"/>
          <w:sz w:val="24"/>
          <w:szCs w:val="24"/>
          <w:u w:val="single"/>
        </w:rPr>
        <w:t>China y</w:t>
      </w:r>
      <w:r>
        <w:rPr>
          <w:rFonts w:ascii="Times New Roman" w:hAnsi="Times New Roman" w:cs="Times New Roman"/>
          <w:sz w:val="24"/>
          <w:szCs w:val="24"/>
          <w:u w:val="single"/>
        </w:rPr>
        <w:t xml:space="preserve"> EE</w:t>
      </w:r>
      <w:r w:rsidRPr="00DF3A74">
        <w:rPr>
          <w:rFonts w:ascii="Times New Roman" w:hAnsi="Times New Roman" w:cs="Times New Roman"/>
          <w:sz w:val="24"/>
          <w:szCs w:val="24"/>
          <w:u w:val="single"/>
        </w:rPr>
        <w:t>UU alcanzan un acuerdo parcial para suspender los aranceles</w:t>
      </w:r>
      <w:r w:rsidRPr="00DF3A74">
        <w:rPr>
          <w:rFonts w:ascii="Times New Roman" w:hAnsi="Times New Roman" w:cs="Times New Roman"/>
          <w:sz w:val="24"/>
          <w:szCs w:val="24"/>
        </w:rPr>
        <w:t xml:space="preserve"> (Cinco Días - </w:t>
      </w:r>
      <w:r w:rsidRPr="00DF3A74">
        <w:rPr>
          <w:rFonts w:ascii="Times New Roman" w:hAnsi="Times New Roman" w:cs="Times New Roman"/>
          <w:b/>
          <w:sz w:val="24"/>
          <w:szCs w:val="24"/>
        </w:rPr>
        <w:t>12/10/19</w:t>
      </w:r>
      <w:r w:rsidRPr="00DF3A74">
        <w:rPr>
          <w:rFonts w:ascii="Times New Roman" w:hAnsi="Times New Roman" w:cs="Times New Roman"/>
          <w:sz w:val="24"/>
          <w:szCs w:val="24"/>
        </w:rPr>
        <w:t>)</w:t>
      </w:r>
    </w:p>
    <w:p w:rsidR="008B4E7E" w:rsidRDefault="008B4E7E" w:rsidP="008B4E7E">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Wall Street suma más de un 1,5%</w:t>
      </w:r>
    </w:p>
    <w:p w:rsidR="008B4E7E" w:rsidRPr="00486909" w:rsidRDefault="008B4E7E" w:rsidP="008B4E7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China y EE</w:t>
      </w:r>
      <w:r w:rsidRPr="00486909">
        <w:rPr>
          <w:rFonts w:ascii="Times New Roman" w:hAnsi="Times New Roman" w:cs="Times New Roman"/>
          <w:color w:val="FF0000"/>
          <w:sz w:val="24"/>
          <w:szCs w:val="24"/>
          <w:u w:val="single"/>
        </w:rPr>
        <w:t>UU se dan una tregua comercial. Representantes de ambos países han alcanzado este viernes un principio de acuerdo para retrasar la implantación de una nueva ronda de aranceles más allá del próximo martes. A cambio, Pekín se ha comprometido a ampliar sus compras de productos agrícolas norteamericanos.</w:t>
      </w:r>
    </w:p>
    <w:p w:rsidR="008B4E7E" w:rsidRPr="00DF3A74" w:rsidRDefault="008B4E7E" w:rsidP="008B4E7E">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La noticia, que ha llegado minutos a</w:t>
      </w:r>
      <w:r>
        <w:rPr>
          <w:rFonts w:ascii="Times New Roman" w:hAnsi="Times New Roman" w:cs="Times New Roman"/>
          <w:sz w:val="24"/>
          <w:szCs w:val="24"/>
        </w:rPr>
        <w:t>ntes de que el presidente de EE</w:t>
      </w:r>
      <w:r w:rsidRPr="00DF3A74">
        <w:rPr>
          <w:rFonts w:ascii="Times New Roman" w:hAnsi="Times New Roman" w:cs="Times New Roman"/>
          <w:sz w:val="24"/>
          <w:szCs w:val="24"/>
        </w:rPr>
        <w:t>UU, Donald Trump, y el vicepresidente chino Liu</w:t>
      </w:r>
      <w:r>
        <w:rPr>
          <w:rFonts w:ascii="Times New Roman" w:hAnsi="Times New Roman" w:cs="Times New Roman"/>
          <w:sz w:val="24"/>
          <w:szCs w:val="24"/>
        </w:rPr>
        <w:t xml:space="preserve"> He se reúnan en la Casa Blanca,</w:t>
      </w:r>
      <w:r w:rsidRPr="00DF3A74">
        <w:rPr>
          <w:rFonts w:ascii="Times New Roman" w:hAnsi="Times New Roman" w:cs="Times New Roman"/>
          <w:sz w:val="24"/>
          <w:szCs w:val="24"/>
        </w:rPr>
        <w:t xml:space="preserve"> ha sumado optimismo a la buena sesión de la Bolsa de Nueva York. Los tres principales índices de Wall Street suben más de un </w:t>
      </w:r>
      <w:r>
        <w:rPr>
          <w:rFonts w:ascii="Times New Roman" w:hAnsi="Times New Roman" w:cs="Times New Roman"/>
          <w:sz w:val="24"/>
          <w:szCs w:val="24"/>
        </w:rPr>
        <w:t>1,5% tras conocerse la noticia.</w:t>
      </w:r>
    </w:p>
    <w:p w:rsidR="008B4E7E" w:rsidRPr="00486909" w:rsidRDefault="008B4E7E" w:rsidP="008B4E7E">
      <w:pPr>
        <w:spacing w:line="240" w:lineRule="auto"/>
        <w:jc w:val="both"/>
        <w:rPr>
          <w:rFonts w:ascii="Times New Roman" w:hAnsi="Times New Roman" w:cs="Times New Roman"/>
          <w:color w:val="FF0000"/>
          <w:sz w:val="24"/>
          <w:szCs w:val="24"/>
          <w:u w:val="single"/>
        </w:rPr>
      </w:pPr>
      <w:r w:rsidRPr="00486909">
        <w:rPr>
          <w:rFonts w:ascii="Times New Roman" w:hAnsi="Times New Roman" w:cs="Times New Roman"/>
          <w:sz w:val="24"/>
          <w:szCs w:val="24"/>
          <w:u w:val="single"/>
        </w:rPr>
        <w:t>Según lo acordado</w:t>
      </w:r>
      <w:r w:rsidRPr="00DF3A74">
        <w:rPr>
          <w:rFonts w:ascii="Times New Roman" w:hAnsi="Times New Roman" w:cs="Times New Roman"/>
          <w:sz w:val="24"/>
          <w:szCs w:val="24"/>
        </w:rPr>
        <w:t xml:space="preserve"> en una reunión en la que han estado presentes el secretario del Tesoro, Steven Mnuchin, y Robert Lig</w:t>
      </w:r>
      <w:r>
        <w:rPr>
          <w:rFonts w:ascii="Times New Roman" w:hAnsi="Times New Roman" w:cs="Times New Roman"/>
          <w:sz w:val="24"/>
          <w:szCs w:val="24"/>
        </w:rPr>
        <w:t>hthizer, el representante de EE</w:t>
      </w:r>
      <w:r w:rsidRPr="00DF3A74">
        <w:rPr>
          <w:rFonts w:ascii="Times New Roman" w:hAnsi="Times New Roman" w:cs="Times New Roman"/>
          <w:sz w:val="24"/>
          <w:szCs w:val="24"/>
        </w:rPr>
        <w:t xml:space="preserve">UU en materia comercial, </w:t>
      </w:r>
      <w:r w:rsidRPr="00486909">
        <w:rPr>
          <w:rFonts w:ascii="Times New Roman" w:hAnsi="Times New Roman" w:cs="Times New Roman"/>
          <w:color w:val="FF0000"/>
          <w:sz w:val="24"/>
          <w:szCs w:val="24"/>
          <w:u w:val="single"/>
        </w:rPr>
        <w:t>China estaría dispuesto a aumentar las adquisiciones de productos agrícolas y aceptaría nuevas medidas en materia de propiedad intelectual y servicios financieros así como la prohibición de deval</w:t>
      </w:r>
      <w:r>
        <w:rPr>
          <w:rFonts w:ascii="Times New Roman" w:hAnsi="Times New Roman" w:cs="Times New Roman"/>
          <w:color w:val="FF0000"/>
          <w:sz w:val="24"/>
          <w:szCs w:val="24"/>
          <w:u w:val="single"/>
        </w:rPr>
        <w:t>uar su moneda. Por su parte, EE</w:t>
      </w:r>
      <w:r w:rsidRPr="00486909">
        <w:rPr>
          <w:rFonts w:ascii="Times New Roman" w:hAnsi="Times New Roman" w:cs="Times New Roman"/>
          <w:color w:val="FF0000"/>
          <w:sz w:val="24"/>
          <w:szCs w:val="24"/>
          <w:u w:val="single"/>
        </w:rPr>
        <w:t>UU suspendería la puesta en marcha de los aranceles que se iban a comenzar a aplicar el próximo martes-en agosto, Trump anunció que elevaría del 25% al 30% las tarifas para productos importados de China por valor de 250.000 millones de dólares- y relajaría las prohibiciones impuestas al gigante chino tecnológico Huawei. Asimismo, el pacto incluiría la posibilidad de que los aranceles que iban a entrar en vigor en diciembre, por valor de unos 150.000 dólares y que afectaban sobre todo a productos tecnológicos, se retrasasen o incluso cancelasen.</w:t>
      </w:r>
    </w:p>
    <w:p w:rsidR="008B4E7E" w:rsidRPr="00486909" w:rsidRDefault="008B4E7E" w:rsidP="008B4E7E">
      <w:pPr>
        <w:spacing w:line="240" w:lineRule="auto"/>
        <w:jc w:val="both"/>
        <w:rPr>
          <w:rFonts w:ascii="Times New Roman" w:hAnsi="Times New Roman" w:cs="Times New Roman"/>
          <w:color w:val="FF0000"/>
          <w:sz w:val="24"/>
          <w:szCs w:val="24"/>
          <w:u w:val="single"/>
        </w:rPr>
      </w:pPr>
      <w:r w:rsidRPr="00486909">
        <w:rPr>
          <w:rFonts w:ascii="Times New Roman" w:hAnsi="Times New Roman" w:cs="Times New Roman"/>
          <w:color w:val="FF0000"/>
          <w:sz w:val="24"/>
          <w:szCs w:val="24"/>
          <w:u w:val="single"/>
        </w:rPr>
        <w:t xml:space="preserve">Trump parece dispuesto a poner fin a esta guerra comercial, ya que ha afirmado que no esperará a que el documento sea aprobado por el </w:t>
      </w:r>
      <w:r w:rsidR="007D67F3" w:rsidRPr="00486909">
        <w:rPr>
          <w:rFonts w:ascii="Times New Roman" w:hAnsi="Times New Roman" w:cs="Times New Roman"/>
          <w:color w:val="FF0000"/>
          <w:sz w:val="24"/>
          <w:szCs w:val="24"/>
          <w:u w:val="single"/>
        </w:rPr>
        <w:t>Congreso</w:t>
      </w:r>
      <w:r w:rsidRPr="00486909">
        <w:rPr>
          <w:rFonts w:ascii="Times New Roman" w:hAnsi="Times New Roman" w:cs="Times New Roman"/>
          <w:color w:val="FF0000"/>
          <w:sz w:val="24"/>
          <w:szCs w:val="24"/>
          <w:u w:val="single"/>
        </w:rPr>
        <w:t>. “Cuando el acuerdo se haya negociado totalmente, lo firmaré en nombre de mi país”, ha subrayado.</w:t>
      </w:r>
    </w:p>
    <w:p w:rsidR="008B4E7E" w:rsidRDefault="008B4E7E" w:rsidP="008B4E7E">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El propio secretario del Tesoro, Steven Mnuchin, ha confirmado que esta nueva ronda de aranceles no entrará en vigor. Ha afirmado que se ha alcanzado un acuerdo en los puntos principales, pero que aún “queda mucho trabajo por hacer”. Y ha apuntado a que la Casa Blanca estudia retirar la acusación de manipulación de divisa contra Pekín.</w:t>
      </w:r>
    </w:p>
    <w:p w:rsidR="008B4E7E" w:rsidRPr="00DE2CEC" w:rsidRDefault="008B4E7E" w:rsidP="008B4E7E">
      <w:pPr>
        <w:spacing w:line="240" w:lineRule="auto"/>
        <w:jc w:val="both"/>
        <w:rPr>
          <w:rFonts w:ascii="Times New Roman" w:hAnsi="Times New Roman" w:cs="Times New Roman"/>
          <w:sz w:val="24"/>
          <w:szCs w:val="24"/>
        </w:rPr>
      </w:pPr>
      <w:r w:rsidRPr="00DE2CEC">
        <w:rPr>
          <w:rFonts w:ascii="Times New Roman" w:hAnsi="Times New Roman" w:cs="Times New Roman"/>
          <w:sz w:val="24"/>
          <w:szCs w:val="24"/>
        </w:rPr>
        <w:t>El pacto se pondrá sobre papel a lo largo de las próximas cuatro semanas y el objetivo es que Trump y el presidente chino, Xi Jinping, lo firmen durante la cumbre del Foro de Cooperación Económica Asia-Pacífico (APEC) que se celebrará en Santiago de Chile el 16 y 17 de noviembre.</w:t>
      </w:r>
    </w:p>
    <w:p w:rsidR="008B4E7E" w:rsidRPr="00383CB4" w:rsidRDefault="008B4E7E" w:rsidP="008B4E7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383CB4">
        <w:rPr>
          <w:rFonts w:ascii="Times New Roman" w:hAnsi="Times New Roman" w:cs="Times New Roman"/>
          <w:b/>
          <w:sz w:val="24"/>
          <w:szCs w:val="24"/>
        </w:rPr>
        <w:t>Y todos tan felices: el “festival del amor” (cuándo Donald, dijo Xi)</w:t>
      </w:r>
    </w:p>
    <w:p w:rsidR="008B4E7E" w:rsidRPr="00486909" w:rsidRDefault="008B4E7E" w:rsidP="008B4E7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486909">
        <w:rPr>
          <w:rFonts w:ascii="Times New Roman" w:hAnsi="Times New Roman" w:cs="Times New Roman"/>
          <w:color w:val="FF0000"/>
          <w:sz w:val="24"/>
          <w:szCs w:val="24"/>
          <w:u w:val="single"/>
        </w:rPr>
        <w:t>Estaremos en Chile y tendré una (ceremonia de) fi</w:t>
      </w:r>
      <w:r>
        <w:rPr>
          <w:rFonts w:ascii="Times New Roman" w:hAnsi="Times New Roman" w:cs="Times New Roman"/>
          <w:color w:val="FF0000"/>
          <w:sz w:val="24"/>
          <w:szCs w:val="24"/>
          <w:u w:val="single"/>
        </w:rPr>
        <w:t>rma formal con el presidente Xi”</w:t>
      </w:r>
      <w:r w:rsidRPr="00486909">
        <w:rPr>
          <w:rFonts w:ascii="Times New Roman" w:hAnsi="Times New Roman" w:cs="Times New Roman"/>
          <w:color w:val="FF0000"/>
          <w:sz w:val="24"/>
          <w:szCs w:val="24"/>
          <w:u w:val="single"/>
        </w:rPr>
        <w:t>, afirmó Trump, que hasta ahora no había confirmado si iría a la cumbre del APEC.</w:t>
      </w:r>
    </w:p>
    <w:p w:rsidR="008B4E7E" w:rsidRPr="00486909" w:rsidRDefault="008B4E7E" w:rsidP="008B4E7E">
      <w:pPr>
        <w:spacing w:line="240" w:lineRule="auto"/>
        <w:jc w:val="both"/>
        <w:rPr>
          <w:rFonts w:ascii="Times New Roman" w:hAnsi="Times New Roman" w:cs="Times New Roman"/>
          <w:color w:val="FF0000"/>
          <w:sz w:val="24"/>
          <w:szCs w:val="24"/>
          <w:u w:val="single"/>
        </w:rPr>
      </w:pPr>
      <w:r w:rsidRPr="00486909">
        <w:rPr>
          <w:rFonts w:ascii="Times New Roman" w:hAnsi="Times New Roman" w:cs="Times New Roman"/>
          <w:color w:val="FF0000"/>
          <w:sz w:val="24"/>
          <w:szCs w:val="24"/>
          <w:u w:val="single"/>
        </w:rPr>
        <w:t>Trump aseguró que en los</w:t>
      </w:r>
      <w:r>
        <w:rPr>
          <w:rFonts w:ascii="Times New Roman" w:hAnsi="Times New Roman" w:cs="Times New Roman"/>
          <w:color w:val="FF0000"/>
          <w:sz w:val="24"/>
          <w:szCs w:val="24"/>
          <w:u w:val="single"/>
        </w:rPr>
        <w:t xml:space="preserve"> últimos meses ha habido mucha “</w:t>
      </w:r>
      <w:r w:rsidRPr="00486909">
        <w:rPr>
          <w:rFonts w:ascii="Times New Roman" w:hAnsi="Times New Roman" w:cs="Times New Roman"/>
          <w:color w:val="FF0000"/>
          <w:sz w:val="24"/>
          <w:szCs w:val="24"/>
          <w:u w:val="single"/>
        </w:rPr>
        <w:t>fricci</w:t>
      </w:r>
      <w:r>
        <w:rPr>
          <w:rFonts w:ascii="Times New Roman" w:hAnsi="Times New Roman" w:cs="Times New Roman"/>
          <w:color w:val="FF0000"/>
          <w:sz w:val="24"/>
          <w:szCs w:val="24"/>
          <w:u w:val="single"/>
        </w:rPr>
        <w:t>ón”</w:t>
      </w:r>
      <w:r w:rsidRPr="00486909">
        <w:rPr>
          <w:rFonts w:ascii="Times New Roman" w:hAnsi="Times New Roman" w:cs="Times New Roman"/>
          <w:color w:val="FF0000"/>
          <w:sz w:val="24"/>
          <w:szCs w:val="24"/>
          <w:u w:val="single"/>
        </w:rPr>
        <w:t xml:space="preserve"> entre E</w:t>
      </w:r>
      <w:r>
        <w:rPr>
          <w:rFonts w:ascii="Times New Roman" w:hAnsi="Times New Roman" w:cs="Times New Roman"/>
          <w:color w:val="FF0000"/>
          <w:sz w:val="24"/>
          <w:szCs w:val="24"/>
          <w:u w:val="single"/>
        </w:rPr>
        <w:t>EUU y China, pero ahora hay un “festival del amor”</w:t>
      </w:r>
      <w:r w:rsidRPr="00486909">
        <w:rPr>
          <w:rFonts w:ascii="Times New Roman" w:hAnsi="Times New Roman" w:cs="Times New Roman"/>
          <w:color w:val="FF0000"/>
          <w:sz w:val="24"/>
          <w:szCs w:val="24"/>
          <w:u w:val="single"/>
        </w:rPr>
        <w:t xml:space="preserve"> entre ambas potencias.</w:t>
      </w:r>
    </w:p>
    <w:p w:rsidR="008B4E7E" w:rsidRPr="00486909" w:rsidRDefault="008B4E7E" w:rsidP="008B4E7E">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486909">
        <w:rPr>
          <w:rFonts w:ascii="Times New Roman" w:hAnsi="Times New Roman" w:cs="Times New Roman"/>
          <w:color w:val="FF0000"/>
          <w:sz w:val="24"/>
          <w:szCs w:val="24"/>
          <w:u w:val="single"/>
        </w:rPr>
        <w:t>Este es un acuerdo tan grande que lo</w:t>
      </w:r>
      <w:r>
        <w:rPr>
          <w:rFonts w:ascii="Times New Roman" w:hAnsi="Times New Roman" w:cs="Times New Roman"/>
          <w:color w:val="FF0000"/>
          <w:sz w:val="24"/>
          <w:szCs w:val="24"/>
          <w:u w:val="single"/>
        </w:rPr>
        <w:t xml:space="preserve"> estamos haciendo por secciones”</w:t>
      </w:r>
      <w:r w:rsidRPr="00486909">
        <w:rPr>
          <w:rFonts w:ascii="Times New Roman" w:hAnsi="Times New Roman" w:cs="Times New Roman"/>
          <w:color w:val="FF0000"/>
          <w:sz w:val="24"/>
          <w:szCs w:val="24"/>
          <w:u w:val="single"/>
        </w:rPr>
        <w:t xml:space="preserve">, explicó Trump, quien precisó </w:t>
      </w:r>
      <w:r>
        <w:rPr>
          <w:rFonts w:ascii="Times New Roman" w:hAnsi="Times New Roman" w:cs="Times New Roman"/>
          <w:color w:val="FF0000"/>
          <w:sz w:val="24"/>
          <w:szCs w:val="24"/>
          <w:u w:val="single"/>
        </w:rPr>
        <w:t>que se empezará a negociar una “segunda fase”</w:t>
      </w:r>
      <w:r w:rsidRPr="00486909">
        <w:rPr>
          <w:rFonts w:ascii="Times New Roman" w:hAnsi="Times New Roman" w:cs="Times New Roman"/>
          <w:color w:val="FF0000"/>
          <w:sz w:val="24"/>
          <w:szCs w:val="24"/>
          <w:u w:val="single"/>
        </w:rPr>
        <w:t xml:space="preserve"> en cuanto se firme la primera y no descartó que haya una tercera etapa.</w:t>
      </w:r>
    </w:p>
    <w:p w:rsidR="008B4E7E" w:rsidRDefault="008B4E7E" w:rsidP="008B4E7E">
      <w:pPr>
        <w:spacing w:line="240" w:lineRule="auto"/>
        <w:jc w:val="both"/>
        <w:rPr>
          <w:rFonts w:ascii="Times New Roman" w:hAnsi="Times New Roman" w:cs="Times New Roman"/>
          <w:b/>
          <w:sz w:val="24"/>
          <w:szCs w:val="24"/>
        </w:rPr>
      </w:pPr>
      <w:r w:rsidRPr="007160ED">
        <w:rPr>
          <w:rFonts w:ascii="Times New Roman" w:hAnsi="Times New Roman" w:cs="Times New Roman"/>
          <w:b/>
          <w:sz w:val="24"/>
          <w:szCs w:val="24"/>
        </w:rPr>
        <w:t>Los últimos desafíos de Trump a la UE (a</w:t>
      </w:r>
      <w:r>
        <w:rPr>
          <w:rFonts w:ascii="Times New Roman" w:hAnsi="Times New Roman" w:cs="Times New Roman"/>
          <w:b/>
          <w:sz w:val="24"/>
          <w:szCs w:val="24"/>
        </w:rPr>
        <w:t>umento de los aranceles por OMC-</w:t>
      </w:r>
      <w:r w:rsidRPr="007160ED">
        <w:rPr>
          <w:rFonts w:ascii="Times New Roman" w:hAnsi="Times New Roman" w:cs="Times New Roman"/>
          <w:b/>
          <w:sz w:val="24"/>
          <w:szCs w:val="24"/>
        </w:rPr>
        <w:t>Airbus)</w:t>
      </w:r>
    </w:p>
    <w:p w:rsidR="008B4E7E" w:rsidRPr="00E67700"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7700">
        <w:rPr>
          <w:rFonts w:ascii="Times New Roman" w:hAnsi="Times New Roman" w:cs="Times New Roman"/>
          <w:sz w:val="24"/>
          <w:szCs w:val="24"/>
          <w:u w:val="single"/>
        </w:rPr>
        <w:t>La OMC autoriza a EEUU a imponer aranceles a Europa por 7.500 millones de dólares</w:t>
      </w:r>
      <w:r>
        <w:rPr>
          <w:rFonts w:ascii="Times New Roman" w:hAnsi="Times New Roman" w:cs="Times New Roman"/>
          <w:sz w:val="24"/>
          <w:szCs w:val="24"/>
        </w:rPr>
        <w:t xml:space="preserve"> (Expansión - </w:t>
      </w:r>
      <w:r w:rsidRPr="00E67700">
        <w:rPr>
          <w:rFonts w:ascii="Times New Roman" w:hAnsi="Times New Roman" w:cs="Times New Roman"/>
          <w:b/>
          <w:sz w:val="24"/>
          <w:szCs w:val="24"/>
        </w:rPr>
        <w:t>3/10/19</w:t>
      </w:r>
      <w:r>
        <w:rPr>
          <w:rFonts w:ascii="Times New Roman" w:hAnsi="Times New Roman" w:cs="Times New Roman"/>
          <w:sz w:val="24"/>
          <w:szCs w:val="24"/>
        </w:rPr>
        <w:t>)</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(Por C. Ruiz de Gauna)</w:t>
      </w:r>
    </w:p>
    <w:p w:rsidR="008B4E7E" w:rsidRPr="00C3559C" w:rsidRDefault="008B4E7E" w:rsidP="008B4E7E">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t>Estados Unidos podrá imponer tarifas a las importaciones europeas por valor de 7.500 millones de dólares (6.874 millones de euros) en compensación por las subvenciones ilegales que ha recibido durante años el fabricante aeronáutico Airbus.</w:t>
      </w:r>
    </w:p>
    <w:p w:rsidR="008B4E7E" w:rsidRDefault="008B4E7E" w:rsidP="008B4E7E">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t>Así lo ha fallado la Organización Mundial de Comercio (OMC), que toma posiciones en una larga disputa que se prolonga desde hace quince años y cuya decisión añade nuevas incertidumbres a la guerra comercial que lleva meses desestabilizando los mercados.</w:t>
      </w:r>
    </w:p>
    <w:p w:rsidR="008B4E7E" w:rsidRPr="00E67700" w:rsidRDefault="008B4E7E" w:rsidP="008B4E7E">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t>Tasas de Europa</w:t>
      </w:r>
    </w:p>
    <w:p w:rsidR="008B4E7E" w:rsidRPr="00E67700" w:rsidRDefault="008B4E7E" w:rsidP="008B4E7E">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t xml:space="preserve">La Unión Europea ya ha asegurado que actuará en consecuencia a los aranceles de Estados Unidos. La OMC también falló a finales de marzo que los subsidios a Boeing son contrarios a la normativa internacional y decidirá a comienzos del año que viene sobre los aranceles que pretende imponer Bruselas en compensación, que se calculan en unos 10.000 millones de dólares. Estados Unidos había solicitado aranceles por 11.000 millones de dólares, pero el organismo que regula las relaciones comerciales internacionales ha </w:t>
      </w:r>
      <w:r>
        <w:rPr>
          <w:rFonts w:ascii="Times New Roman" w:hAnsi="Times New Roman" w:cs="Times New Roman"/>
          <w:sz w:val="24"/>
          <w:szCs w:val="24"/>
        </w:rPr>
        <w:t>rebajado, finalmente, la cifra.</w:t>
      </w:r>
    </w:p>
    <w:p w:rsidR="008B4E7E" w:rsidRPr="00C3559C" w:rsidRDefault="008B4E7E" w:rsidP="008B4E7E">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t>La comisaria europea de Comercio, Cecilia Malmström, ha advertido de que si Estados Unidos decide imponer la</w:t>
      </w:r>
      <w:r>
        <w:rPr>
          <w:rFonts w:ascii="Times New Roman" w:hAnsi="Times New Roman" w:cs="Times New Roman"/>
          <w:color w:val="FF0000"/>
          <w:sz w:val="24"/>
          <w:szCs w:val="24"/>
          <w:u w:val="single"/>
        </w:rPr>
        <w:t>s sanciones autorizadas, “empujará a la Unión Europea” a “hacer lo mismo”.</w:t>
      </w:r>
    </w:p>
    <w:p w:rsidR="008B4E7E" w:rsidRPr="00C3559C" w:rsidRDefault="008B4E7E" w:rsidP="008B4E7E">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t>Horas después de la decisión de la OMC y pese a las amenazas de Bruselas, Estados Unidos ha anunciado que comenzará a aplicar los aranceles a partir del 18 de octubre, aunque el 14 de octubre se reunirá con negociadores de la UE. Los gravámenes serán de un 10% para aviones y el 25% para productos agrícolas, entre otros.</w:t>
      </w:r>
    </w:p>
    <w:p w:rsidR="008B4E7E" w:rsidRPr="00A90626" w:rsidRDefault="008B4E7E" w:rsidP="008B4E7E">
      <w:pPr>
        <w:spacing w:line="240" w:lineRule="auto"/>
        <w:jc w:val="both"/>
        <w:rPr>
          <w:rFonts w:ascii="Times New Roman" w:hAnsi="Times New Roman" w:cs="Times New Roman"/>
          <w:sz w:val="24"/>
          <w:szCs w:val="24"/>
          <w:u w:val="single"/>
        </w:rPr>
      </w:pPr>
      <w:r w:rsidRPr="00A90626">
        <w:rPr>
          <w:rFonts w:ascii="Times New Roman" w:hAnsi="Times New Roman" w:cs="Times New Roman"/>
          <w:sz w:val="24"/>
          <w:szCs w:val="24"/>
          <w:u w:val="single"/>
        </w:rPr>
        <w:t>Airbus había alertado previamente de que, si Estados Un</w:t>
      </w:r>
      <w:r>
        <w:rPr>
          <w:rFonts w:ascii="Times New Roman" w:hAnsi="Times New Roman" w:cs="Times New Roman"/>
          <w:sz w:val="24"/>
          <w:szCs w:val="24"/>
          <w:u w:val="single"/>
        </w:rPr>
        <w:t>idos decide imponer aranceles, “</w:t>
      </w:r>
      <w:r w:rsidRPr="00A90626">
        <w:rPr>
          <w:rFonts w:ascii="Times New Roman" w:hAnsi="Times New Roman" w:cs="Times New Roman"/>
          <w:sz w:val="24"/>
          <w:szCs w:val="24"/>
          <w:u w:val="single"/>
        </w:rPr>
        <w:t>se creará una situación de i</w:t>
      </w:r>
      <w:r>
        <w:rPr>
          <w:rFonts w:ascii="Times New Roman" w:hAnsi="Times New Roman" w:cs="Times New Roman"/>
          <w:sz w:val="24"/>
          <w:szCs w:val="24"/>
          <w:u w:val="single"/>
        </w:rPr>
        <w:t>nseguridad”</w:t>
      </w:r>
      <w:r w:rsidRPr="00A90626">
        <w:rPr>
          <w:rFonts w:ascii="Times New Roman" w:hAnsi="Times New Roman" w:cs="Times New Roman"/>
          <w:sz w:val="24"/>
          <w:szCs w:val="24"/>
          <w:u w:val="single"/>
        </w:rPr>
        <w:t xml:space="preserve"> que afectará no sólo a la industria aeroespacial, sino al conjunto de la economía mundial. El fa</w:t>
      </w:r>
      <w:r>
        <w:rPr>
          <w:rFonts w:ascii="Times New Roman" w:hAnsi="Times New Roman" w:cs="Times New Roman"/>
          <w:sz w:val="24"/>
          <w:szCs w:val="24"/>
          <w:u w:val="single"/>
        </w:rPr>
        <w:t>bricante aeronáutico ha pedido “una solución negociada”</w:t>
      </w:r>
      <w:r w:rsidRPr="00A90626">
        <w:rPr>
          <w:rFonts w:ascii="Times New Roman" w:hAnsi="Times New Roman" w:cs="Times New Roman"/>
          <w:sz w:val="24"/>
          <w:szCs w:val="24"/>
          <w:u w:val="single"/>
        </w:rPr>
        <w:t>.</w:t>
      </w:r>
    </w:p>
    <w:p w:rsidR="008B4E7E" w:rsidRPr="00A90626" w:rsidRDefault="008B4E7E" w:rsidP="008B4E7E">
      <w:pPr>
        <w:spacing w:line="240" w:lineRule="auto"/>
        <w:jc w:val="both"/>
        <w:rPr>
          <w:rFonts w:ascii="Times New Roman" w:hAnsi="Times New Roman" w:cs="Times New Roman"/>
          <w:sz w:val="24"/>
          <w:szCs w:val="24"/>
          <w:u w:val="single"/>
        </w:rPr>
      </w:pPr>
      <w:r w:rsidRPr="00A90626">
        <w:rPr>
          <w:rFonts w:ascii="Times New Roman" w:hAnsi="Times New Roman" w:cs="Times New Roman"/>
          <w:sz w:val="24"/>
          <w:szCs w:val="24"/>
          <w:u w:val="single"/>
        </w:rPr>
        <w:t>P</w:t>
      </w:r>
      <w:r>
        <w:rPr>
          <w:rFonts w:ascii="Times New Roman" w:hAnsi="Times New Roman" w:cs="Times New Roman"/>
          <w:sz w:val="24"/>
          <w:szCs w:val="24"/>
          <w:u w:val="single"/>
        </w:rPr>
        <w:t>or su parte, Boeing afirmó que “</w:t>
      </w:r>
      <w:r w:rsidRPr="00A90626">
        <w:rPr>
          <w:rFonts w:ascii="Times New Roman" w:hAnsi="Times New Roman" w:cs="Times New Roman"/>
          <w:sz w:val="24"/>
          <w:szCs w:val="24"/>
          <w:u w:val="single"/>
        </w:rPr>
        <w:t xml:space="preserve">Europa enfrenta aranceles porque Airbus se ha negado durante años a cumplir con las decisiones de la OMC. Sin embargo, incluso hoy, Airbus todavía podría evitar por completo estas tarifas si cumple </w:t>
      </w:r>
      <w:r>
        <w:rPr>
          <w:rFonts w:ascii="Times New Roman" w:hAnsi="Times New Roman" w:cs="Times New Roman"/>
          <w:sz w:val="24"/>
          <w:szCs w:val="24"/>
          <w:u w:val="single"/>
        </w:rPr>
        <w:t>plenamente con sus obligaciones”</w:t>
      </w:r>
      <w:r w:rsidRPr="00A90626">
        <w:rPr>
          <w:rFonts w:ascii="Times New Roman" w:hAnsi="Times New Roman" w:cs="Times New Roman"/>
          <w:sz w:val="24"/>
          <w:szCs w:val="24"/>
          <w:u w:val="single"/>
        </w:rPr>
        <w:t>.</w:t>
      </w:r>
    </w:p>
    <w:p w:rsidR="008B4E7E" w:rsidRPr="00E67700" w:rsidRDefault="008B4E7E" w:rsidP="008B4E7E">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lastRenderedPageBreak/>
        <w:t>El dictamen de la OMC recuerda que las ayudas a Airbus continuaron existiendo incluso después del 1 de diciembre de 2011, para cuando la UE se había comprometido a cumplir con los requerimi</w:t>
      </w:r>
      <w:r>
        <w:rPr>
          <w:rFonts w:ascii="Times New Roman" w:hAnsi="Times New Roman" w:cs="Times New Roman"/>
          <w:sz w:val="24"/>
          <w:szCs w:val="24"/>
        </w:rPr>
        <w:t>entos del organismo.</w:t>
      </w:r>
    </w:p>
    <w:p w:rsidR="008B4E7E" w:rsidRPr="00A90626" w:rsidRDefault="008B4E7E" w:rsidP="008B4E7E">
      <w:pPr>
        <w:spacing w:line="240" w:lineRule="auto"/>
        <w:jc w:val="both"/>
        <w:rPr>
          <w:rFonts w:ascii="Times New Roman" w:hAnsi="Times New Roman" w:cs="Times New Roman"/>
          <w:sz w:val="24"/>
          <w:szCs w:val="24"/>
          <w:u w:val="single"/>
        </w:rPr>
      </w:pPr>
      <w:r w:rsidRPr="00A90626">
        <w:rPr>
          <w:rFonts w:ascii="Times New Roman" w:hAnsi="Times New Roman" w:cs="Times New Roman"/>
          <w:sz w:val="24"/>
          <w:szCs w:val="24"/>
          <w:u w:val="single"/>
        </w:rPr>
        <w:t>La medida se añade a las amenazas de Estados Unidos de sumar también aranceles a productos europeos tan estratégicos como los automóviles. La esperada réplica de Bruselas abre, además, una nueva espiral de represalias que tiñó ayer de rojo los mercados y que, previsiblemente, incrementará el ritmo de la desaceleración económica global.</w:t>
      </w:r>
    </w:p>
    <w:p w:rsidR="008B4E7E" w:rsidRPr="00E67700" w:rsidRDefault="008B4E7E" w:rsidP="008B4E7E">
      <w:pPr>
        <w:spacing w:line="240" w:lineRule="auto"/>
        <w:jc w:val="both"/>
        <w:rPr>
          <w:rFonts w:ascii="Times New Roman" w:hAnsi="Times New Roman" w:cs="Times New Roman"/>
          <w:sz w:val="24"/>
          <w:szCs w:val="24"/>
        </w:rPr>
      </w:pPr>
      <w:r w:rsidRPr="00A90626">
        <w:rPr>
          <w:rFonts w:ascii="Times New Roman" w:hAnsi="Times New Roman" w:cs="Times New Roman"/>
          <w:color w:val="FF0000"/>
          <w:sz w:val="24"/>
          <w:szCs w:val="24"/>
          <w:u w:val="single"/>
        </w:rPr>
        <w:t>La intención de Washington de imponer aranceles a la UE enrarece aún más las relacio</w:t>
      </w:r>
      <w:r>
        <w:rPr>
          <w:rFonts w:ascii="Times New Roman" w:hAnsi="Times New Roman" w:cs="Times New Roman"/>
          <w:color w:val="FF0000"/>
          <w:sz w:val="24"/>
          <w:szCs w:val="24"/>
          <w:u w:val="single"/>
        </w:rPr>
        <w:t>nes con Europa y contradice la “nueva fase”</w:t>
      </w:r>
      <w:r w:rsidRPr="00A90626">
        <w:rPr>
          <w:rFonts w:ascii="Times New Roman" w:hAnsi="Times New Roman" w:cs="Times New Roman"/>
          <w:color w:val="FF0000"/>
          <w:sz w:val="24"/>
          <w:szCs w:val="24"/>
          <w:u w:val="single"/>
        </w:rPr>
        <w:t xml:space="preserve"> que ambos pactaron en julio de 2018 para poner fin a sus disputas comerciales</w:t>
      </w:r>
      <w:r w:rsidRPr="00E67700">
        <w:rPr>
          <w:rFonts w:ascii="Times New Roman" w:hAnsi="Times New Roman" w:cs="Times New Roman"/>
          <w:sz w:val="24"/>
          <w:szCs w:val="24"/>
        </w:rPr>
        <w:t>. En el marco de aquel acuerdo, se decidió el fin de los aranceles al acero y aluminio que había aprobado Estados Unidos previamente y suspender la i</w:t>
      </w:r>
      <w:r>
        <w:rPr>
          <w:rFonts w:ascii="Times New Roman" w:hAnsi="Times New Roman" w:cs="Times New Roman"/>
          <w:sz w:val="24"/>
          <w:szCs w:val="24"/>
        </w:rPr>
        <w:t>mposición de nuevos gravámenes.</w:t>
      </w:r>
    </w:p>
    <w:p w:rsidR="008B4E7E" w:rsidRPr="00E67700" w:rsidRDefault="008B4E7E" w:rsidP="008B4E7E">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t xml:space="preserve">Como contrapartida, la UE se comprometió a comprar más soja estadounidense e importar más gas natural líquido, además de reducir algunos aranceles industriales. También dio </w:t>
      </w:r>
      <w:r>
        <w:rPr>
          <w:rFonts w:ascii="Times New Roman" w:hAnsi="Times New Roman" w:cs="Times New Roman"/>
          <w:sz w:val="24"/>
          <w:szCs w:val="24"/>
        </w:rPr>
        <w:t>marcha atrás a algunas tarifas.</w:t>
      </w:r>
    </w:p>
    <w:p w:rsidR="008B4E7E" w:rsidRDefault="008B4E7E" w:rsidP="008B4E7E">
      <w:pPr>
        <w:spacing w:line="240" w:lineRule="auto"/>
        <w:jc w:val="both"/>
        <w:rPr>
          <w:rFonts w:ascii="Times New Roman" w:hAnsi="Times New Roman" w:cs="Times New Roman"/>
          <w:sz w:val="24"/>
          <w:szCs w:val="24"/>
        </w:rPr>
      </w:pPr>
      <w:r w:rsidRPr="007553EB">
        <w:rPr>
          <w:rFonts w:ascii="Times New Roman" w:hAnsi="Times New Roman" w:cs="Times New Roman"/>
          <w:sz w:val="24"/>
          <w:szCs w:val="24"/>
        </w:rPr>
        <w:t>Este nuevo frente se abre días antes de que altos ejecutivos de Washington inicien la enésima ronda de conversaciones con Pekín para poner fin a su guerra comercial.</w:t>
      </w:r>
    </w:p>
    <w:p w:rsidR="008B4E7E" w:rsidRPr="007160ED" w:rsidRDefault="008B4E7E" w:rsidP="008B4E7E">
      <w:pPr>
        <w:spacing w:line="240" w:lineRule="auto"/>
        <w:jc w:val="both"/>
        <w:rPr>
          <w:rFonts w:ascii="Times New Roman" w:hAnsi="Times New Roman" w:cs="Times New Roman"/>
          <w:b/>
          <w:sz w:val="24"/>
          <w:szCs w:val="24"/>
        </w:rPr>
      </w:pPr>
      <w:r w:rsidRPr="00223F41">
        <w:rPr>
          <w:rFonts w:ascii="Times New Roman" w:hAnsi="Times New Roman" w:cs="Times New Roman"/>
          <w:sz w:val="24"/>
          <w:szCs w:val="24"/>
          <w:u w:val="single"/>
        </w:rPr>
        <w:t>Los nuevos aranceles de Trump a la UE amenazan con detonar la recesión</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A la hora de analizar el preocupante anuncio de aranceles que ha lanzado el gobierno de Estados Unidos, quizá lo primero que se debería hacer desde el lado europeo es reconocer que esta decisión cuenta con el respaldo de la Organización Mundial de Comercio, que ha autorizado la imposición de medidas proteccionistas como respuesta a las ayudas ilegales otorgadas por diversos países europeos al gigante aeroespacial Airbus.</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El fallo de la OMC se retrotrae a 2004, cuando Estados Unidos impuso la denuncia pertinente. Desde entonces se viene desarrollando un largo proceso que culmina ahora, con la constatación de que las ayudas públicas indebidas otorgadas a Airbus han ascendido a 6.800 millones de euros. Ahora, la organización reguladora del comercio global autoriza a Estados Unidos a imponer aranceles por un monto equivalente, lo que explica las medidas anunciadas por la Administración Trump.</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La OMC constató en 2002 que Estados Unidos había concedido ayudas fiscales indebidas a Boeing por valor de 3.700 millones de euros. Han pasado más de tres lustros y Bruselas no ha aplicado aún estas sanciones comerciales. Sin embargo, el OK de la OMC sigue encima de la mesa, de modo que el equipo negociador europeo puede amenazar con activar la “multa durmiente” si Washington no rebaja sus pretensiones.</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No hay que olvidar, además, que Boeing atraviesa un momento delicado y, de hecho, viene de cerrar el peor trimestre de su historia, con unas pérdidas de 2.700 millones de euros en su operativa de abril a junio (2019). Los accidentes de su avión 737 MAX en Indonesia y Etiopía han puesto la lupa sobre dicho modelo, cuyas ventas se han desplomado. De modo que la delegación europea puede optar por concentrar su estrategia de presión en el sector aeroespacial, que al fin y al cabo está en la raíz de este conflicto.</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 xml:space="preserve">Los juicios de la OMC se caracterizan por su lentitud, de modo que no hay manera de saber cuándo se resolverá un juicio iniciado en 2005 que debe dirimir la legalidad de las ayudas concedidas por Estados Unidos a su gigante aeroespacial Boeing. Las autoridades </w:t>
      </w:r>
      <w:r w:rsidRPr="00D47685">
        <w:rPr>
          <w:rFonts w:ascii="Times New Roman" w:hAnsi="Times New Roman" w:cs="Times New Roman"/>
          <w:sz w:val="24"/>
          <w:szCs w:val="24"/>
        </w:rPr>
        <w:lastRenderedPageBreak/>
        <w:t>comunitarias y Airbus consideran que los incentivos fiscales ofrecidos a Boeing incumplen las normas internacionales de comercio y, de momento, todo indica que su criterio prevalecerá, puesto que el Órgano de Apelación de la OMC falló el pasado mes de marzo (2019) a favor de los intereses europeos. A la espera de la sentencia definitiva, es importante recordar que Airbus estimó en su momento que estas ayudas le causaron un daño cercano a los 15.000 millones de euros.</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 xml:space="preserve">- </w:t>
      </w:r>
      <w:r w:rsidRPr="00D47685">
        <w:rPr>
          <w:rFonts w:ascii="Times New Roman" w:hAnsi="Times New Roman" w:cs="Times New Roman"/>
          <w:sz w:val="24"/>
          <w:szCs w:val="24"/>
          <w:u w:val="single"/>
        </w:rPr>
        <w:t>El comodín de 4.000 millones con el que la UE podría responder a los aranceles de Trump</w:t>
      </w:r>
      <w:r w:rsidRPr="00D47685">
        <w:rPr>
          <w:rFonts w:ascii="Times New Roman" w:hAnsi="Times New Roman" w:cs="Times New Roman"/>
          <w:sz w:val="24"/>
          <w:szCs w:val="24"/>
        </w:rPr>
        <w:t xml:space="preserve"> (El Español - </w:t>
      </w:r>
      <w:r w:rsidRPr="00D47685">
        <w:rPr>
          <w:rFonts w:ascii="Times New Roman" w:hAnsi="Times New Roman" w:cs="Times New Roman"/>
          <w:b/>
          <w:sz w:val="24"/>
          <w:szCs w:val="24"/>
        </w:rPr>
        <w:t>14/10/19</w:t>
      </w:r>
      <w:r w:rsidRPr="00D47685">
        <w:rPr>
          <w:rFonts w:ascii="Times New Roman" w:hAnsi="Times New Roman" w:cs="Times New Roman"/>
          <w:sz w:val="24"/>
          <w:szCs w:val="24"/>
        </w:rPr>
        <w:t>)</w:t>
      </w:r>
    </w:p>
    <w:p w:rsidR="008B4E7E" w:rsidRPr="00AA19D1" w:rsidRDefault="008B4E7E" w:rsidP="008B4E7E">
      <w:pPr>
        <w:spacing w:line="240" w:lineRule="auto"/>
        <w:jc w:val="both"/>
        <w:rPr>
          <w:rFonts w:ascii="Times New Roman" w:hAnsi="Times New Roman" w:cs="Times New Roman"/>
          <w:color w:val="FF0000"/>
          <w:sz w:val="24"/>
          <w:szCs w:val="24"/>
        </w:rPr>
      </w:pPr>
      <w:r w:rsidRPr="00AA19D1">
        <w:rPr>
          <w:rFonts w:ascii="Times New Roman" w:hAnsi="Times New Roman" w:cs="Times New Roman"/>
          <w:color w:val="FF0000"/>
          <w:sz w:val="24"/>
          <w:szCs w:val="24"/>
        </w:rPr>
        <w:t>Bruselas cuenta desde 2002 con la aprobación por parte de la OMC para imponer tasas a productos importados de Estados Unidos.</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 xml:space="preserve"> (Por Miguel Elizondo)</w:t>
      </w:r>
    </w:p>
    <w:p w:rsidR="008B4E7E" w:rsidRPr="00AA19D1" w:rsidRDefault="008B4E7E" w:rsidP="008B4E7E">
      <w:pPr>
        <w:spacing w:line="240" w:lineRule="auto"/>
        <w:jc w:val="both"/>
        <w:rPr>
          <w:rFonts w:ascii="Times New Roman" w:hAnsi="Times New Roman" w:cs="Times New Roman"/>
          <w:sz w:val="24"/>
          <w:szCs w:val="24"/>
          <w:u w:val="single"/>
        </w:rPr>
      </w:pPr>
      <w:r w:rsidRPr="00AA19D1">
        <w:rPr>
          <w:rFonts w:ascii="Times New Roman" w:hAnsi="Times New Roman" w:cs="Times New Roman"/>
          <w:sz w:val="24"/>
          <w:szCs w:val="24"/>
          <w:u w:val="single"/>
        </w:rPr>
        <w:t>La semana que arranca será clave para conocer cuál es el talante de la nueva clase de políticos europeos surgida de las elecciones del pasado mes de mayo. Poco después de haberse certificado los principales nombramientos de los representantes comunitarios, los responsables de defender los intereses de todos los europeos van a tener que enfrentarse a su primer gran reto de la legislatura: dar respuesta a la decisión de Estados Unidos de imponer 7.500 millones en aranceles a las importaciones de productos europeos.</w:t>
      </w:r>
    </w:p>
    <w:p w:rsidR="008B4E7E" w:rsidRPr="00AA19D1" w:rsidRDefault="008B4E7E" w:rsidP="008B4E7E">
      <w:pPr>
        <w:spacing w:line="240" w:lineRule="auto"/>
        <w:jc w:val="both"/>
        <w:rPr>
          <w:rFonts w:ascii="Times New Roman" w:hAnsi="Times New Roman" w:cs="Times New Roman"/>
          <w:color w:val="FF0000"/>
          <w:sz w:val="24"/>
          <w:szCs w:val="24"/>
          <w:u w:val="single"/>
        </w:rPr>
      </w:pPr>
      <w:r w:rsidRPr="00AA19D1">
        <w:rPr>
          <w:rFonts w:ascii="Times New Roman" w:hAnsi="Times New Roman" w:cs="Times New Roman"/>
          <w:color w:val="FF0000"/>
          <w:sz w:val="24"/>
          <w:szCs w:val="24"/>
          <w:u w:val="single"/>
        </w:rPr>
        <w:t>Si nada cambia, la Administración Trump pondrá en marcha el próximo 18 de octubre una serie de tasas que, por el momento, supondrán un sobrecoste del 10% en los aviones comerciales y un 25% en el precio de algunos productos agrícolas. Una decisión que llega después de que la Organización Mundial del Comercio (OMC) diera la razón a Estados Unidos en su reclamación contra las ayudas otorgadas por algunos países europeos a Airbus.</w:t>
      </w:r>
    </w:p>
    <w:p w:rsidR="008B4E7E" w:rsidRPr="00AA19D1" w:rsidRDefault="008B4E7E" w:rsidP="008B4E7E">
      <w:pPr>
        <w:spacing w:line="240" w:lineRule="auto"/>
        <w:jc w:val="both"/>
        <w:rPr>
          <w:rFonts w:ascii="Times New Roman" w:hAnsi="Times New Roman" w:cs="Times New Roman"/>
          <w:color w:val="FF0000"/>
          <w:sz w:val="24"/>
          <w:szCs w:val="24"/>
          <w:u w:val="single"/>
        </w:rPr>
      </w:pPr>
      <w:r w:rsidRPr="00AA19D1">
        <w:rPr>
          <w:rFonts w:ascii="Times New Roman" w:hAnsi="Times New Roman" w:cs="Times New Roman"/>
          <w:color w:val="FF0000"/>
          <w:sz w:val="24"/>
          <w:szCs w:val="24"/>
          <w:u w:val="single"/>
        </w:rPr>
        <w:t xml:space="preserve">Pese a que desde el bando europeo se pretenden agotar todas las oportunidades para negociar antes de que el próximo viernes Estados Unidos haga efectiva su decisión, la presión para que Bruselas responda de forma contundente a estas medidas es grande. Más aún cuando, desde el lado estadounidense se ha hecho oídos sordos a todo llamamiento a la negociación y se siguen dando los pasos necesarios para poner los aranceles en marcha el próximo viernes. </w:t>
      </w:r>
    </w:p>
    <w:p w:rsidR="008B4E7E" w:rsidRPr="00D21DC3" w:rsidRDefault="008B4E7E" w:rsidP="008B4E7E">
      <w:pPr>
        <w:spacing w:line="240" w:lineRule="auto"/>
        <w:jc w:val="both"/>
        <w:rPr>
          <w:rFonts w:ascii="Times New Roman" w:hAnsi="Times New Roman" w:cs="Times New Roman"/>
          <w:b/>
          <w:color w:val="FF0000"/>
          <w:sz w:val="24"/>
          <w:szCs w:val="24"/>
          <w:u w:val="single"/>
        </w:rPr>
      </w:pPr>
      <w:r w:rsidRPr="00D21DC3">
        <w:rPr>
          <w:rFonts w:ascii="Times New Roman" w:hAnsi="Times New Roman" w:cs="Times New Roman"/>
          <w:b/>
          <w:color w:val="FF0000"/>
          <w:sz w:val="24"/>
          <w:szCs w:val="24"/>
          <w:u w:val="single"/>
        </w:rPr>
        <w:t xml:space="preserve">Trump y los suyos no han mostrado intención alguna de sentarse en la mesa de negociación con Europa, por lo menos, hasta que el próximo mes de junio llegue el siguiente capítulo del enfrentamiento que Estados Unidos y Europa mantienen por las ayudas recibidas por parte de la industria aeronáutica de ambos territorios. Antes del próximo verano la OMC deberá fallar, en este caso, en favor de Europa por las ayudas recibidas por Boeing. Una reclamación que asciende a los 10.000 millones de dólares. </w:t>
      </w:r>
    </w:p>
    <w:p w:rsidR="008B4E7E" w:rsidRPr="00D47685" w:rsidRDefault="008B4E7E" w:rsidP="008B4E7E">
      <w:pPr>
        <w:spacing w:line="240" w:lineRule="auto"/>
        <w:jc w:val="both"/>
        <w:rPr>
          <w:rFonts w:ascii="Times New Roman" w:hAnsi="Times New Roman" w:cs="Times New Roman"/>
          <w:sz w:val="24"/>
          <w:szCs w:val="24"/>
        </w:rPr>
      </w:pPr>
      <w:r w:rsidRPr="00D21DC3">
        <w:rPr>
          <w:rFonts w:ascii="Times New Roman" w:hAnsi="Times New Roman" w:cs="Times New Roman"/>
          <w:color w:val="FF0000"/>
          <w:sz w:val="24"/>
          <w:szCs w:val="24"/>
          <w:u w:val="single"/>
        </w:rPr>
        <w:t>En este contexto, desde Bruselas ya se ha alertado del impacto negativo que una escalada arancelaria tendrá a ambos lados del Atlántico</w:t>
      </w:r>
      <w:r w:rsidRPr="00D47685">
        <w:rPr>
          <w:rFonts w:ascii="Times New Roman" w:hAnsi="Times New Roman" w:cs="Times New Roman"/>
          <w:sz w:val="24"/>
          <w:szCs w:val="24"/>
        </w:rPr>
        <w:t>. El pasado viernes, Cecilia Malmström, comisaria de Comercio de la UE, envió una carta a Robert Lighthinzer, responsable de Comercio de Estados Unidos, en la que incluía</w:t>
      </w:r>
      <w:r>
        <w:rPr>
          <w:rFonts w:ascii="Times New Roman" w:hAnsi="Times New Roman" w:cs="Times New Roman"/>
          <w:sz w:val="24"/>
          <w:szCs w:val="24"/>
        </w:rPr>
        <w:t xml:space="preserve"> estas advertencias, pedía una “solución justa”</w:t>
      </w:r>
      <w:r w:rsidRPr="00D47685">
        <w:rPr>
          <w:rFonts w:ascii="Times New Roman" w:hAnsi="Times New Roman" w:cs="Times New Roman"/>
          <w:sz w:val="24"/>
          <w:szCs w:val="24"/>
        </w:rPr>
        <w:t xml:space="preserve"> para este conflicto y abría la puerta a que Europa tome sus propias medidas como respuesta. </w:t>
      </w:r>
    </w:p>
    <w:p w:rsidR="008B4E7E" w:rsidRDefault="008B4E7E" w:rsidP="008B4E7E">
      <w:pPr>
        <w:spacing w:line="240" w:lineRule="auto"/>
        <w:jc w:val="both"/>
        <w:rPr>
          <w:rFonts w:ascii="Times New Roman" w:hAnsi="Times New Roman" w:cs="Times New Roman"/>
          <w:color w:val="FF0000"/>
          <w:sz w:val="24"/>
          <w:szCs w:val="24"/>
          <w:u w:val="single"/>
        </w:rPr>
      </w:pPr>
      <w:r w:rsidRPr="00D21DC3">
        <w:rPr>
          <w:rFonts w:ascii="Times New Roman" w:hAnsi="Times New Roman" w:cs="Times New Roman"/>
          <w:color w:val="FF0000"/>
          <w:sz w:val="24"/>
          <w:szCs w:val="24"/>
          <w:u w:val="single"/>
        </w:rPr>
        <w:t>Y es que, además de esperar hasta junio, Europa tiene herramientas para, si quisiera, hacer frente a la decisión tomada por la Administración Trump. Bruselas cuenta desde 2002 con la aprobación por parte de la OMC para imponer tasas a productos importados a Estados Unidos por valor de 4.000 millones de dólares.</w:t>
      </w:r>
    </w:p>
    <w:p w:rsidR="00C24670" w:rsidRPr="00D21DC3" w:rsidRDefault="00C24670" w:rsidP="008B4E7E">
      <w:pPr>
        <w:spacing w:line="240" w:lineRule="auto"/>
        <w:jc w:val="both"/>
        <w:rPr>
          <w:rFonts w:ascii="Times New Roman" w:hAnsi="Times New Roman" w:cs="Times New Roman"/>
          <w:color w:val="FF0000"/>
          <w:sz w:val="24"/>
          <w:szCs w:val="24"/>
          <w:u w:val="single"/>
        </w:rPr>
      </w:pP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lastRenderedPageBreak/>
        <w:t xml:space="preserve">Más de tres décadas de conflicto </w:t>
      </w:r>
    </w:p>
    <w:p w:rsidR="008B4E7E" w:rsidRPr="00D21DC3"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Este derecho tiene su origen en 1984. Este año Estados Unidos creó un esquema de exención de impuestos llamado “Corporación de Ventas Extranjeras” (FSC), en virtud del cual se eximió a las empresas de pagar impuestos sobre ciertas porciones de sus “ingresos por comercio exterior”.</w:t>
      </w:r>
    </w:p>
    <w:p w:rsidR="008B4E7E" w:rsidRPr="00D21DC3"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Los FSC son corporaciones creadas bajo las leyes de un país extranjero. Filiales de compañías estadounidenses a través de las cuales las empresas matrices canalizan exportaciones para aprovechar las exenciones fiscales proporcionadas por este esquema que permitía no pagar algunos impuestos.</w:t>
      </w:r>
    </w:p>
    <w:p w:rsidR="008B4E7E" w:rsidRPr="00D21DC3"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La Unión Europea impugnó el esquema de subsidio FSC en la OMC en 1997. Tras años de estudios y reclamaciones, en febrero de 2000, este organismo encontró que estas exenciones FSC eran subsidios prohibidos.</w:t>
      </w:r>
    </w:p>
    <w:p w:rsidR="008B4E7E" w:rsidRPr="00D21DC3"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Ante esta situación, en noviembre de 2000, los Estados Unidos promulgaron la Ley de derogación y exclusión de ingresos extraterritoriales del FSC, denominada como “Ley ETI”. Esta Ley derogó las medidas anteriores, pero permitió que los subsidios del FSC persistieran en ciertas circunstancias, por lo que continuó brindando ventajas fiscales a las corporaciones estadounidenses orientadas a la exportación. Al igual que con los FSC, Bruselas impugnó la Ley ETI ante la OMC. En 2002, el Órgano de Apelación de la OMC determinó que esta reglamentación también constituía una subvención prohibida.</w:t>
      </w:r>
    </w:p>
    <w:p w:rsidR="008B4E7E" w:rsidRPr="00D21DC3"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Con este dictamen, la Unión Europea solicitó autorización para tomar contramedidas y, en agosto de 2002, recibió luz verde por parte de la OMC para imponer 4.000 millones de dólares en tasas a productos estadounidenses. Bruselas decidió no tomar represalias de inmediato para dar un tiempo razonable a que Estados Unidos derogara las leyes que habían provocado este conflicto. La fecha para aplicar estos aranceles se fijó en marzo de 2004.</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 xml:space="preserve">Al llegar ese año, Estados Unidos promulgó la Ley de creación de empleos estadounidense (AJCA). Una nueva regulación que derogó parte de lo fijado por las leyes anteriores pero que aún permitía activar subsidios como los que habían originado la reclamación de la Unión Europea. </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Nueva reclamación de la UE</w:t>
      </w:r>
    </w:p>
    <w:p w:rsidR="008B4E7E" w:rsidRPr="00D21DC3" w:rsidRDefault="008B4E7E" w:rsidP="008B4E7E">
      <w:pPr>
        <w:spacing w:line="240" w:lineRule="auto"/>
        <w:jc w:val="both"/>
        <w:rPr>
          <w:rFonts w:ascii="Times New Roman" w:hAnsi="Times New Roman" w:cs="Times New Roman"/>
          <w:sz w:val="24"/>
          <w:szCs w:val="24"/>
          <w:u w:val="single"/>
        </w:rPr>
      </w:pPr>
      <w:r w:rsidRPr="00D47685">
        <w:rPr>
          <w:rFonts w:ascii="Times New Roman" w:hAnsi="Times New Roman" w:cs="Times New Roman"/>
          <w:sz w:val="24"/>
          <w:szCs w:val="24"/>
        </w:rPr>
        <w:t xml:space="preserve">Ante esta situación Bruselas también realizó una protesta sobre la ACJA ante las autoridades que regulan el comercio mundial. </w:t>
      </w:r>
      <w:r w:rsidRPr="00D21DC3">
        <w:rPr>
          <w:rFonts w:ascii="Times New Roman" w:hAnsi="Times New Roman" w:cs="Times New Roman"/>
          <w:sz w:val="24"/>
          <w:szCs w:val="24"/>
          <w:u w:val="single"/>
        </w:rPr>
        <w:t>En 2006, en el contexto de la disputa FSC, el Órgano de Apelación de la OMC acordó que Estados Unidos no había retirado los subsidios prohibidos y que las corporaciones estadounidenses continuaron aprovechándose de la regulación FSC y ETI.</w:t>
      </w:r>
    </w:p>
    <w:p w:rsidR="008B4E7E" w:rsidRPr="00D21DC3"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En respuesta a la decisión de la OMC en mayo de 2006, los Estados Unidos promulgaron la Ley de Prevención y Reconciliación del Aumento de Impuestos, conocida como TIPRA. Esta nueva regulación derogó ciertos aspectos de las exenciones de impuestos FSC y ETI a partir de los ejercicios fiscales de 2006.</w:t>
      </w:r>
    </w:p>
    <w:p w:rsidR="008B4E7E" w:rsidRPr="00D21DC3"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Ante esta nueva ley, la Unión Europea acordó condicionalmente suspender las sanciones, ya que se interpretó que TIPRA podría cumplir con las obligaciones de los Estados Unidos. Con el paso del tiempo se comprobó que esta nueva ley tampoco constituía un cumplimiento total de lo marcado por la OMC, lo que llevó a Bruselas a denunciar también esta ley.</w:t>
      </w:r>
    </w:p>
    <w:p w:rsidR="008B4E7E" w:rsidRPr="00D21DC3" w:rsidRDefault="008B4E7E" w:rsidP="008B4E7E">
      <w:pPr>
        <w:spacing w:line="240" w:lineRule="auto"/>
        <w:jc w:val="both"/>
        <w:rPr>
          <w:rFonts w:ascii="Times New Roman" w:hAnsi="Times New Roman" w:cs="Times New Roman"/>
          <w:color w:val="FF0000"/>
          <w:sz w:val="24"/>
          <w:szCs w:val="24"/>
          <w:u w:val="single"/>
        </w:rPr>
      </w:pPr>
      <w:r w:rsidRPr="00D21DC3">
        <w:rPr>
          <w:rFonts w:ascii="Times New Roman" w:hAnsi="Times New Roman" w:cs="Times New Roman"/>
          <w:color w:val="FF0000"/>
          <w:sz w:val="24"/>
          <w:szCs w:val="24"/>
          <w:u w:val="single"/>
        </w:rPr>
        <w:lastRenderedPageBreak/>
        <w:t>En marzo de 2019, el órgano de apelación de la OMC confirmó que el FSC y sus actos sucesores eran incompatibles con las normas de comercio internacional y que los Estados Unidos aún no habían derogado las ayudas fiscales que en 2002 dieron derecho a la Unión Europea a imponer tasas por valor de 4.000 millones de dólares a productos procedentes de Estados Unidos.</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Contexto económico desfavorable</w:t>
      </w:r>
    </w:p>
    <w:p w:rsidR="008B4E7E" w:rsidRPr="00D21DC3" w:rsidRDefault="008B4E7E" w:rsidP="008B4E7E">
      <w:pPr>
        <w:spacing w:line="240" w:lineRule="auto"/>
        <w:jc w:val="both"/>
        <w:rPr>
          <w:rFonts w:ascii="Times New Roman" w:hAnsi="Times New Roman" w:cs="Times New Roman"/>
          <w:b/>
          <w:color w:val="FF0000"/>
          <w:sz w:val="24"/>
          <w:szCs w:val="24"/>
          <w:u w:val="single"/>
        </w:rPr>
      </w:pPr>
      <w:r w:rsidRPr="00D21DC3">
        <w:rPr>
          <w:rFonts w:ascii="Times New Roman" w:hAnsi="Times New Roman" w:cs="Times New Roman"/>
          <w:b/>
          <w:color w:val="FF0000"/>
          <w:sz w:val="24"/>
          <w:szCs w:val="24"/>
          <w:u w:val="single"/>
        </w:rPr>
        <w:t>Bruselas tiene potestad total para utilizar este derecho como respuesta a la decisión anunciada por parte de la Administración Trump de imponer aranceles tanto a los aviones como a los productos agrícolas a partir del próximo 18 de octubre. En este caso, ¿por qué no lo hace?</w:t>
      </w:r>
    </w:p>
    <w:p w:rsidR="008B4E7E" w:rsidRPr="00D21DC3" w:rsidRDefault="008B4E7E" w:rsidP="008B4E7E">
      <w:pPr>
        <w:spacing w:line="240" w:lineRule="auto"/>
        <w:jc w:val="both"/>
        <w:rPr>
          <w:rFonts w:ascii="Times New Roman" w:hAnsi="Times New Roman" w:cs="Times New Roman"/>
          <w:color w:val="FF0000"/>
          <w:sz w:val="24"/>
          <w:szCs w:val="24"/>
          <w:u w:val="single"/>
        </w:rPr>
      </w:pPr>
      <w:r w:rsidRPr="00D21DC3">
        <w:rPr>
          <w:rFonts w:ascii="Times New Roman" w:hAnsi="Times New Roman" w:cs="Times New Roman"/>
          <w:color w:val="FF0000"/>
          <w:sz w:val="24"/>
          <w:szCs w:val="24"/>
          <w:u w:val="single"/>
        </w:rPr>
        <w:t xml:space="preserve">Desde fuentes comunitarias señalan que, en el contexto de debilidad que atraviesan gran parte de las economías europeas, una escalada comercial llegaría en un momento pésimo para los intereses de varias de las locomotoras de la UE. Existe un convencimiento total de que en junio de 2020 la OMC fallará en favor de Europa en el conflicto de las ayudas otorgadas a Boeing y de que, en ese momento, Estados Unidos aceptará sentarse en la mesa para llegar a una solución definitiva que, además, incluirá a Rusia y China, países que también están lanzando sus futuros programas aeronáuticos. </w:t>
      </w:r>
    </w:p>
    <w:p w:rsidR="008B4E7E" w:rsidRPr="00D21DC3" w:rsidRDefault="008B4E7E" w:rsidP="008B4E7E">
      <w:pPr>
        <w:spacing w:line="240" w:lineRule="auto"/>
        <w:jc w:val="both"/>
        <w:rPr>
          <w:rFonts w:ascii="Times New Roman" w:hAnsi="Times New Roman" w:cs="Times New Roman"/>
          <w:color w:val="FF0000"/>
          <w:sz w:val="24"/>
          <w:szCs w:val="24"/>
          <w:u w:val="single"/>
        </w:rPr>
      </w:pPr>
      <w:r w:rsidRPr="00D21DC3">
        <w:rPr>
          <w:rFonts w:ascii="Times New Roman" w:hAnsi="Times New Roman" w:cs="Times New Roman"/>
          <w:color w:val="FF0000"/>
          <w:sz w:val="24"/>
          <w:szCs w:val="24"/>
          <w:u w:val="single"/>
        </w:rPr>
        <w:t>Hasta ese momento, la opinión mayoritaria comunitaria apunta a poner en marcha un plan de apoyo para los productos afectados en lugar de recrudecer más las tensiones comerciales. Si la decisión de EEUU se mantiene en el 10% aplicado a los aviones y el 25% a los productos agrícolas, se considera que los daños están controlados. En cambio, una respuesta en la que Europa impusiera aranceles a importaciones estadounidenses podría tener un efecto negativamente doble.</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Tanto Estados Unidos como Europa cuentan con libertad total para imponer tasas a cualquier producto y cambiarlas en el momento que consideren oportuno. Si el conflicto queda como hasta ahora el impacto de aquí a junio será limitado. En el caso de responder, Bruselas abriría la puerta a que Estados Unidos modificara tanto la lista de productos afectados como la cuantía de las tasas actualmente impuestas. Esto impondría un punto de imprevisibilidad sobre multitud de industrias que no harían sino empeorar las actuales previsiones económicas.</w:t>
      </w:r>
    </w:p>
    <w:p w:rsidR="008B4E7E" w:rsidRDefault="008B4E7E" w:rsidP="008B4E7E">
      <w:pPr>
        <w:spacing w:line="240" w:lineRule="auto"/>
        <w:jc w:val="both"/>
        <w:rPr>
          <w:rFonts w:ascii="Times New Roman" w:hAnsi="Times New Roman" w:cs="Times New Roman"/>
          <w:sz w:val="24"/>
          <w:szCs w:val="24"/>
          <w:u w:val="single"/>
        </w:rPr>
      </w:pPr>
      <w:r w:rsidRPr="00D21DC3">
        <w:rPr>
          <w:rFonts w:ascii="Times New Roman" w:hAnsi="Times New Roman" w:cs="Times New Roman"/>
          <w:sz w:val="24"/>
          <w:szCs w:val="24"/>
          <w:u w:val="single"/>
        </w:rPr>
        <w:t>Además, la sola decisión de imponer aranceles a productos estadounidenses podría aumentar el coste de bienes que Europa necesita. Lo que aumentaría los costes de producción y afectaría a la competitividad de los productos europeos en los mercados internacionales. Algo que ya está pasando en el caso estadounidense.</w:t>
      </w:r>
    </w:p>
    <w:p w:rsidR="008B4E7E" w:rsidRPr="00D47685" w:rsidRDefault="008B4E7E" w:rsidP="008B4E7E">
      <w:pPr>
        <w:spacing w:line="240" w:lineRule="auto"/>
        <w:jc w:val="both"/>
        <w:rPr>
          <w:rFonts w:ascii="Times New Roman" w:hAnsi="Times New Roman" w:cs="Times New Roman"/>
          <w:sz w:val="24"/>
          <w:szCs w:val="24"/>
        </w:rPr>
      </w:pPr>
      <w:r w:rsidRPr="00D47685">
        <w:rPr>
          <w:rFonts w:ascii="Times New Roman" w:hAnsi="Times New Roman" w:cs="Times New Roman"/>
          <w:sz w:val="24"/>
          <w:szCs w:val="24"/>
        </w:rPr>
        <w:t>Daños colaterales en EEUU</w:t>
      </w:r>
    </w:p>
    <w:p w:rsidR="008B4E7E" w:rsidRPr="00D21DC3" w:rsidRDefault="008B4E7E" w:rsidP="008B4E7E">
      <w:pPr>
        <w:spacing w:line="240" w:lineRule="auto"/>
        <w:jc w:val="both"/>
        <w:rPr>
          <w:rFonts w:ascii="Times New Roman" w:hAnsi="Times New Roman" w:cs="Times New Roman"/>
          <w:color w:val="FF0000"/>
          <w:sz w:val="24"/>
          <w:szCs w:val="24"/>
          <w:u w:val="single"/>
        </w:rPr>
      </w:pPr>
      <w:r w:rsidRPr="00D21DC3">
        <w:rPr>
          <w:rFonts w:ascii="Times New Roman" w:hAnsi="Times New Roman" w:cs="Times New Roman"/>
          <w:color w:val="FF0000"/>
          <w:sz w:val="24"/>
          <w:szCs w:val="24"/>
          <w:u w:val="single"/>
        </w:rPr>
        <w:t>A día de hoy, las primeras víctimas de los aranceles anunciados por Trump han  sido las propias aerolíneas de Estados Unidos clientes de Airbus. Un colectivo inmerso en una importante renovación de flota que ya ha sufrido el castigo en bolsa por la decisión tomada por su propio Gobierno.</w:t>
      </w:r>
    </w:p>
    <w:p w:rsidR="008B4E7E" w:rsidRPr="00D21DC3" w:rsidRDefault="008B4E7E" w:rsidP="008B4E7E">
      <w:pPr>
        <w:spacing w:line="240" w:lineRule="auto"/>
        <w:jc w:val="both"/>
        <w:rPr>
          <w:rFonts w:ascii="Times New Roman" w:hAnsi="Times New Roman" w:cs="Times New Roman"/>
          <w:b/>
          <w:color w:val="FF0000"/>
          <w:sz w:val="24"/>
          <w:szCs w:val="24"/>
          <w:u w:val="single"/>
        </w:rPr>
      </w:pPr>
      <w:r w:rsidRPr="00D21DC3">
        <w:rPr>
          <w:rFonts w:ascii="Times New Roman" w:hAnsi="Times New Roman" w:cs="Times New Roman"/>
          <w:b/>
          <w:color w:val="FF0000"/>
          <w:sz w:val="24"/>
          <w:szCs w:val="24"/>
          <w:u w:val="single"/>
        </w:rPr>
        <w:t xml:space="preserve">A todo esto hay que sumarle un último factor: China. El pasado viernes Estados Unidos anunció un principio de acuerdo en el conflicto comercial que disputa con el gigante asiático. La solución a este enfrentamiento tendrá prioridad total tanto política como mediática. La </w:t>
      </w:r>
      <w:r w:rsidR="007D67F3" w:rsidRPr="00D21DC3">
        <w:rPr>
          <w:rFonts w:ascii="Times New Roman" w:hAnsi="Times New Roman" w:cs="Times New Roman"/>
          <w:b/>
          <w:color w:val="FF0000"/>
          <w:sz w:val="24"/>
          <w:szCs w:val="24"/>
          <w:u w:val="single"/>
        </w:rPr>
        <w:t>Administración</w:t>
      </w:r>
      <w:r w:rsidRPr="00D21DC3">
        <w:rPr>
          <w:rFonts w:ascii="Times New Roman" w:hAnsi="Times New Roman" w:cs="Times New Roman"/>
          <w:b/>
          <w:color w:val="FF0000"/>
          <w:sz w:val="24"/>
          <w:szCs w:val="24"/>
          <w:u w:val="single"/>
        </w:rPr>
        <w:t xml:space="preserve"> Trump necesita poder vender una victoria en este conflicto de cara a las elecciones presidenciales estadounidenses de 2020. </w:t>
      </w:r>
    </w:p>
    <w:p w:rsidR="008B4E7E" w:rsidRPr="00D21DC3" w:rsidRDefault="008B4E7E" w:rsidP="008B4E7E">
      <w:pPr>
        <w:spacing w:line="240" w:lineRule="auto"/>
        <w:jc w:val="both"/>
        <w:rPr>
          <w:rFonts w:ascii="Times New Roman" w:hAnsi="Times New Roman" w:cs="Times New Roman"/>
          <w:color w:val="FF0000"/>
          <w:sz w:val="24"/>
          <w:szCs w:val="24"/>
          <w:u w:val="single"/>
        </w:rPr>
      </w:pPr>
      <w:r w:rsidRPr="00D21DC3">
        <w:rPr>
          <w:rFonts w:ascii="Times New Roman" w:hAnsi="Times New Roman" w:cs="Times New Roman"/>
          <w:color w:val="FF0000"/>
          <w:sz w:val="24"/>
          <w:szCs w:val="24"/>
          <w:u w:val="single"/>
        </w:rPr>
        <w:lastRenderedPageBreak/>
        <w:t>En ese contexto, la posibilidad de que en junio Estados Unidos y Europa se sienten a negociar también encajaría totalmente con la hoja de ruta electoral del equipo republicano. Aun así, desde los sectores más beligerantes europeos se sigue presionando para que Bruselas haga algo más que esperar hasta el próximo verano. Una decisión que estará marcada por lo que ocurra a lo largo de esta semana.</w:t>
      </w:r>
    </w:p>
    <w:p w:rsidR="008B4E7E" w:rsidRDefault="008B4E7E" w:rsidP="008B4E7E">
      <w:pPr>
        <w:spacing w:line="240" w:lineRule="auto"/>
        <w:jc w:val="both"/>
        <w:rPr>
          <w:rFonts w:ascii="Times New Roman" w:hAnsi="Times New Roman" w:cs="Times New Roman"/>
          <w:sz w:val="24"/>
          <w:szCs w:val="24"/>
        </w:rPr>
      </w:pPr>
      <w:r w:rsidRPr="00D21DC3">
        <w:rPr>
          <w:rFonts w:ascii="Times New Roman" w:hAnsi="Times New Roman" w:cs="Times New Roman"/>
          <w:b/>
          <w:color w:val="FF0000"/>
          <w:sz w:val="24"/>
          <w:szCs w:val="24"/>
          <w:u w:val="single"/>
        </w:rPr>
        <w:t>La nueva clase política comunitaria tiene en este conflicto con Estados Unidos la ocasión de demostrar cuál va a ser su talante para los próximos cinco años</w:t>
      </w:r>
      <w:r w:rsidRPr="00D47685">
        <w:rPr>
          <w:rFonts w:ascii="Times New Roman" w:hAnsi="Times New Roman" w:cs="Times New Roman"/>
          <w:sz w:val="24"/>
          <w:szCs w:val="24"/>
        </w:rPr>
        <w:t xml:space="preserve">. Pese a que este enfrentamiento llega en los primeros compases del curso europeo, </w:t>
      </w:r>
      <w:r w:rsidRPr="00D21DC3">
        <w:rPr>
          <w:rFonts w:ascii="Times New Roman" w:hAnsi="Times New Roman" w:cs="Times New Roman"/>
          <w:color w:val="FF0000"/>
          <w:sz w:val="24"/>
          <w:szCs w:val="24"/>
          <w:u w:val="single"/>
        </w:rPr>
        <w:t>la actitud con la que afronte esta crisis va a marcar de forma profunda el rol que la Unión Europea jugará en los contrapesos de la geopolítica mundial</w:t>
      </w:r>
      <w:r w:rsidRPr="00D47685">
        <w:rPr>
          <w:rFonts w:ascii="Times New Roman" w:hAnsi="Times New Roman" w:cs="Times New Roman"/>
          <w:sz w:val="24"/>
          <w:szCs w:val="24"/>
        </w:rPr>
        <w:t xml:space="preserve">. Una caldera que ha llegado a temperaturas olvidadas desde hace décadas y a la que los políticos europeos deberán decidir si echan más carbón o, por el contrario, contribuyen a su enfriamiento. </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7A44">
        <w:rPr>
          <w:rFonts w:ascii="Times New Roman" w:hAnsi="Times New Roman" w:cs="Times New Roman"/>
          <w:sz w:val="24"/>
          <w:szCs w:val="24"/>
          <w:u w:val="single"/>
        </w:rPr>
        <w:t>Entran en vigor los aranceles de Trump a la Unión Europea por valor de 7.500 millones</w:t>
      </w:r>
      <w:r w:rsidRPr="00567A44">
        <w:rPr>
          <w:rFonts w:ascii="Times New Roman" w:hAnsi="Times New Roman" w:cs="Times New Roman"/>
          <w:sz w:val="24"/>
          <w:szCs w:val="24"/>
        </w:rPr>
        <w:t xml:space="preserve">(Expansión </w:t>
      </w:r>
      <w:r>
        <w:rPr>
          <w:rFonts w:ascii="Times New Roman" w:hAnsi="Times New Roman" w:cs="Times New Roman"/>
          <w:sz w:val="24"/>
          <w:szCs w:val="24"/>
        </w:rPr>
        <w:t>-</w:t>
      </w:r>
      <w:r w:rsidRPr="00567A44">
        <w:rPr>
          <w:rFonts w:ascii="Times New Roman" w:hAnsi="Times New Roman" w:cs="Times New Roman"/>
          <w:b/>
          <w:sz w:val="24"/>
          <w:szCs w:val="24"/>
        </w:rPr>
        <w:t>18/10/19</w:t>
      </w:r>
      <w:r w:rsidRPr="00567A44">
        <w:rPr>
          <w:rFonts w:ascii="Times New Roman" w:hAnsi="Times New Roman" w:cs="Times New Roman"/>
          <w:sz w:val="24"/>
          <w:szCs w:val="24"/>
        </w:rPr>
        <w:t>)</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La Administración del presidente estadounidense, Donald Trump, ha impuesto a medianoche aranceles por valor de 7.500 millones de dólares a bienes de los países de la Unión Europea (UE) que afectarán principalmente a España, Alemania, Francia y el Reino Unido.</w:t>
      </w:r>
    </w:p>
    <w:p w:rsidR="008B4E7E" w:rsidRPr="00567A44"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Estos gravámenes entra</w:t>
      </w:r>
      <w:r w:rsidRPr="00567A44">
        <w:rPr>
          <w:rFonts w:ascii="Times New Roman" w:hAnsi="Times New Roman" w:cs="Times New Roman"/>
          <w:sz w:val="24"/>
          <w:szCs w:val="24"/>
        </w:rPr>
        <w:t>ron en vigor a partir de las 00.01 hora local (04.01 hora GMT) del 18 de octubre, según la Oficina del Representante de Comercio Exterior de Estados U</w:t>
      </w:r>
      <w:r>
        <w:rPr>
          <w:rFonts w:ascii="Times New Roman" w:hAnsi="Times New Roman" w:cs="Times New Roman"/>
          <w:sz w:val="24"/>
          <w:szCs w:val="24"/>
        </w:rPr>
        <w:t>nidos (USTR, siglas en inglés).</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El castigo a las exportaciones de la UE llegó tras el fallo a principios de octubre de la Organización Mundial de Comercio (OMC) a favor de E</w:t>
      </w:r>
      <w:r>
        <w:rPr>
          <w:rFonts w:ascii="Times New Roman" w:hAnsi="Times New Roman" w:cs="Times New Roman"/>
          <w:sz w:val="24"/>
          <w:szCs w:val="24"/>
        </w:rPr>
        <w:t>EUU</w:t>
      </w:r>
      <w:r w:rsidRPr="00567A44">
        <w:rPr>
          <w:rFonts w:ascii="Times New Roman" w:hAnsi="Times New Roman" w:cs="Times New Roman"/>
          <w:sz w:val="24"/>
          <w:szCs w:val="24"/>
        </w:rPr>
        <w:t xml:space="preserve"> por los subsidios ilegales que recibió el fabricante de aviones europeo Airbus, lo que autorizó a Washington a aplicar sanciones por valor de 7.500 millones de dólares (unos 6.</w:t>
      </w:r>
      <w:r>
        <w:rPr>
          <w:rFonts w:ascii="Times New Roman" w:hAnsi="Times New Roman" w:cs="Times New Roman"/>
          <w:sz w:val="24"/>
          <w:szCs w:val="24"/>
        </w:rPr>
        <w:t>900 millones de euros) anuales.</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La UE, a su vez, está a la espera de que la OMC se pronuncie en un caso paralelo sobre las ayudas estadounidens</w:t>
      </w:r>
      <w:r>
        <w:rPr>
          <w:rFonts w:ascii="Times New Roman" w:hAnsi="Times New Roman" w:cs="Times New Roman"/>
          <w:sz w:val="24"/>
          <w:szCs w:val="24"/>
        </w:rPr>
        <w:t>es a Boeing y ha advertido a EEUU</w:t>
      </w:r>
      <w:r w:rsidRPr="00567A44">
        <w:rPr>
          <w:rFonts w:ascii="Times New Roman" w:hAnsi="Times New Roman" w:cs="Times New Roman"/>
          <w:sz w:val="24"/>
          <w:szCs w:val="24"/>
        </w:rPr>
        <w:t xml:space="preserve"> de que se verá obligada a emp</w:t>
      </w:r>
      <w:r>
        <w:rPr>
          <w:rFonts w:ascii="Times New Roman" w:hAnsi="Times New Roman" w:cs="Times New Roman"/>
          <w:sz w:val="24"/>
          <w:szCs w:val="24"/>
        </w:rPr>
        <w:t>render contramedidas similares.</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 xml:space="preserve">Los cuatro países más afectados son España, Francia, Alemania y Reino Unido, pero los </w:t>
      </w:r>
      <w:r w:rsidR="007D67F3" w:rsidRPr="00567A44">
        <w:rPr>
          <w:rFonts w:ascii="Times New Roman" w:hAnsi="Times New Roman" w:cs="Times New Roman"/>
          <w:sz w:val="24"/>
          <w:szCs w:val="24"/>
        </w:rPr>
        <w:t>gravámenes</w:t>
      </w:r>
      <w:r w:rsidRPr="00567A44">
        <w:rPr>
          <w:rFonts w:ascii="Times New Roman" w:hAnsi="Times New Roman" w:cs="Times New Roman"/>
          <w:sz w:val="24"/>
          <w:szCs w:val="24"/>
        </w:rPr>
        <w:t xml:space="preserve"> perjudicarán en menor medida al resto de las economías del mercado único europeo, lo que ha iniciado una etapa de mayor tensión entre Esta</w:t>
      </w:r>
      <w:r>
        <w:rPr>
          <w:rFonts w:ascii="Times New Roman" w:hAnsi="Times New Roman" w:cs="Times New Roman"/>
          <w:sz w:val="24"/>
          <w:szCs w:val="24"/>
        </w:rPr>
        <w:t>dos Unidos y el bloque europeo.</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De acuerdo al fallo de la OMC, los cuatro países más afectados ofrecieron a Airbus financiación a un tipo de interés más bajo que los del mercado, lo que permitió a la compañía desarrollar algunos de sus mod</w:t>
      </w:r>
      <w:r>
        <w:rPr>
          <w:rFonts w:ascii="Times New Roman" w:hAnsi="Times New Roman" w:cs="Times New Roman"/>
          <w:sz w:val="24"/>
          <w:szCs w:val="24"/>
        </w:rPr>
        <w:t>elos más recientes y avanzados.</w:t>
      </w:r>
    </w:p>
    <w:p w:rsidR="008B4E7E"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La lista de productos sujetos a derechos de importación adicionales del 25% ad valorem se centra en productos de España (queso fresco, aceitunas y el aceite de oliva, entre otros), pero también de Francia (vino, quesos), Alemania (café, galletas, gofres), Reino Unido (whisky, dulces) o Italia (quesos), a los que hay que añadir otros procedentes de más de una v</w:t>
      </w:r>
      <w:r>
        <w:rPr>
          <w:rFonts w:ascii="Times New Roman" w:hAnsi="Times New Roman" w:cs="Times New Roman"/>
          <w:sz w:val="24"/>
          <w:szCs w:val="24"/>
        </w:rPr>
        <w:t>eintena de países comunitarios.</w:t>
      </w:r>
    </w:p>
    <w:p w:rsidR="00C24670" w:rsidRDefault="00C24670" w:rsidP="008B4E7E">
      <w:pPr>
        <w:spacing w:line="240" w:lineRule="auto"/>
        <w:jc w:val="both"/>
        <w:rPr>
          <w:rFonts w:ascii="Times New Roman" w:hAnsi="Times New Roman" w:cs="Times New Roman"/>
          <w:sz w:val="24"/>
          <w:szCs w:val="24"/>
        </w:rPr>
      </w:pPr>
    </w:p>
    <w:p w:rsidR="00C24670" w:rsidRPr="00567A44" w:rsidRDefault="00C24670" w:rsidP="008B4E7E">
      <w:pPr>
        <w:spacing w:line="240" w:lineRule="auto"/>
        <w:jc w:val="both"/>
        <w:rPr>
          <w:rFonts w:ascii="Times New Roman" w:hAnsi="Times New Roman" w:cs="Times New Roman"/>
          <w:sz w:val="24"/>
          <w:szCs w:val="24"/>
        </w:rPr>
      </w:pP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lastRenderedPageBreak/>
        <w:t>Aceite, aceitunas, quesos</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Entre las partidas que afectan al sector español, destacan varios códigos arancelarios relativos al aceite de oliva, tanto virgen como de otras variedades, y a las aceitunas verdes des</w:t>
      </w:r>
      <w:r>
        <w:rPr>
          <w:rFonts w:ascii="Times New Roman" w:hAnsi="Times New Roman" w:cs="Times New Roman"/>
          <w:sz w:val="24"/>
          <w:szCs w:val="24"/>
        </w:rPr>
        <w:t>huesadas o rellenas.</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La mantequilla y, sobre todo, los quesos ocupan buena parte del listado de códigos, entre los que se encuentran los elaborados con leche de oveja y otros tipos como cheddar, provolone, reggiano, parmesano, gruyere o emmental. La carne de cerdo -que no sea jamón, paletas, ni sus cortes-, deshuesada y cocida y envasada en recipientes herméticos también es objeto del aumento arancelari</w:t>
      </w:r>
      <w:r>
        <w:rPr>
          <w:rFonts w:ascii="Times New Roman" w:hAnsi="Times New Roman" w:cs="Times New Roman"/>
          <w:sz w:val="24"/>
          <w:szCs w:val="24"/>
        </w:rPr>
        <w:t>o propuesto por Estados Unidos.</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El capítulo de bebidas se centra en una mayor carga impositiva para los vinos de menos de 14 grados embotellados, así como en el whisky de malt</w:t>
      </w:r>
      <w:r>
        <w:rPr>
          <w:rFonts w:ascii="Times New Roman" w:hAnsi="Times New Roman" w:cs="Times New Roman"/>
          <w:sz w:val="24"/>
          <w:szCs w:val="24"/>
        </w:rPr>
        <w:t>a irlandés y el whisky escocés.</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Sobre los productos del mar menciona los envíos de mejillones, almejas, navajas y otros tipos de moluscos, tan</w:t>
      </w:r>
      <w:r>
        <w:rPr>
          <w:rFonts w:ascii="Times New Roman" w:hAnsi="Times New Roman" w:cs="Times New Roman"/>
          <w:sz w:val="24"/>
          <w:szCs w:val="24"/>
        </w:rPr>
        <w:t>to preparados como en conserva.</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El impacto económico, difícil de precisar</w:t>
      </w:r>
    </w:p>
    <w:p w:rsidR="008B4E7E" w:rsidRPr="00567A44" w:rsidRDefault="008B4E7E" w:rsidP="008B4E7E">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En total, el Gobierno español ha calculado en 841 millones de dólares el impacto económico de la subida de aranceles, aunque ha precisado que las cantidades no son fáciles de precisar y pueden variar c</w:t>
      </w:r>
      <w:r>
        <w:rPr>
          <w:rFonts w:ascii="Times New Roman" w:hAnsi="Times New Roman" w:cs="Times New Roman"/>
          <w:sz w:val="24"/>
          <w:szCs w:val="24"/>
        </w:rPr>
        <w:t>on el paso de los días, al ser “complicado”</w:t>
      </w:r>
      <w:r w:rsidRPr="00567A44">
        <w:rPr>
          <w:rFonts w:ascii="Times New Roman" w:hAnsi="Times New Roman" w:cs="Times New Roman"/>
          <w:sz w:val="24"/>
          <w:szCs w:val="24"/>
        </w:rPr>
        <w:t xml:space="preserve"> porque los códigos </w:t>
      </w:r>
      <w:r>
        <w:rPr>
          <w:rFonts w:ascii="Times New Roman" w:hAnsi="Times New Roman" w:cs="Times New Roman"/>
          <w:sz w:val="24"/>
          <w:szCs w:val="24"/>
        </w:rPr>
        <w:t>arancelarios que EE.UU. aplica “no son los mismos”</w:t>
      </w:r>
      <w:r w:rsidRPr="00567A44">
        <w:rPr>
          <w:rFonts w:ascii="Times New Roman" w:hAnsi="Times New Roman" w:cs="Times New Roman"/>
          <w:sz w:val="24"/>
          <w:szCs w:val="24"/>
        </w:rPr>
        <w:t xml:space="preserve"> que los</w:t>
      </w:r>
      <w:r>
        <w:rPr>
          <w:rFonts w:ascii="Times New Roman" w:hAnsi="Times New Roman" w:cs="Times New Roman"/>
          <w:sz w:val="24"/>
          <w:szCs w:val="24"/>
        </w:rPr>
        <w:t xml:space="preserve"> de España y el resto de la UE.</w:t>
      </w:r>
    </w:p>
    <w:p w:rsidR="008B4E7E" w:rsidRPr="00922E26" w:rsidRDefault="008B4E7E" w:rsidP="008B4E7E">
      <w:pPr>
        <w:spacing w:line="240" w:lineRule="auto"/>
        <w:jc w:val="both"/>
        <w:rPr>
          <w:rFonts w:ascii="Times New Roman" w:hAnsi="Times New Roman" w:cs="Times New Roman"/>
          <w:color w:val="FF0000"/>
          <w:sz w:val="24"/>
          <w:szCs w:val="24"/>
          <w:u w:val="single"/>
        </w:rPr>
      </w:pPr>
      <w:r w:rsidRPr="00922E26">
        <w:rPr>
          <w:rFonts w:ascii="Times New Roman" w:hAnsi="Times New Roman" w:cs="Times New Roman"/>
          <w:color w:val="FF0000"/>
          <w:sz w:val="24"/>
          <w:szCs w:val="24"/>
          <w:u w:val="single"/>
        </w:rPr>
        <w:t>El propio Trump advirtió ayer que Estados Unidos “no puede perder” en una hipotética guerra comercial con la UE, tal como, según él, ha quedado demostrado en su pugna con China.</w:t>
      </w:r>
    </w:p>
    <w:p w:rsidR="008B4E7E" w:rsidRPr="00922E26" w:rsidRDefault="008B4E7E" w:rsidP="008B4E7E">
      <w:pPr>
        <w:spacing w:line="240" w:lineRule="auto"/>
        <w:jc w:val="both"/>
        <w:rPr>
          <w:rFonts w:ascii="Times New Roman" w:hAnsi="Times New Roman" w:cs="Times New Roman"/>
          <w:color w:val="FF0000"/>
          <w:sz w:val="24"/>
          <w:szCs w:val="24"/>
          <w:u w:val="single"/>
        </w:rPr>
      </w:pPr>
      <w:r w:rsidRPr="00922E26">
        <w:rPr>
          <w:rFonts w:ascii="Times New Roman" w:hAnsi="Times New Roman" w:cs="Times New Roman"/>
          <w:color w:val="FF0000"/>
          <w:sz w:val="24"/>
          <w:szCs w:val="24"/>
          <w:u w:val="single"/>
        </w:rPr>
        <w:t>“(Con China) ha quedado demostrado que no podemos perder una guerra con aranceles. (...) En el caso de la Unión Europea estamos ganando 7.500 millones. E Italia tiene un porcentaje que pagar”, dijo Trump en una rueda de prensa conjunta con su homólogo italiano, Sergio Mattarella, en la Casa Blanca.</w:t>
      </w:r>
    </w:p>
    <w:p w:rsidR="007C223F" w:rsidRDefault="007C223F" w:rsidP="007C223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¿Y cómo reacciona la </w:t>
      </w:r>
      <w:r w:rsidR="00736A16">
        <w:rPr>
          <w:rFonts w:ascii="Times New Roman" w:hAnsi="Times New Roman" w:cs="Times New Roman"/>
          <w:b/>
          <w:sz w:val="24"/>
          <w:szCs w:val="24"/>
        </w:rPr>
        <w:t>“</w:t>
      </w:r>
      <w:r>
        <w:rPr>
          <w:rFonts w:ascii="Times New Roman" w:hAnsi="Times New Roman" w:cs="Times New Roman"/>
          <w:b/>
          <w:sz w:val="24"/>
          <w:szCs w:val="24"/>
        </w:rPr>
        <w:t>heroica</w:t>
      </w:r>
      <w:r w:rsidR="00736A16">
        <w:rPr>
          <w:rFonts w:ascii="Times New Roman" w:hAnsi="Times New Roman" w:cs="Times New Roman"/>
          <w:b/>
          <w:sz w:val="24"/>
          <w:szCs w:val="24"/>
        </w:rPr>
        <w:t>”</w:t>
      </w:r>
      <w:r>
        <w:rPr>
          <w:rFonts w:ascii="Times New Roman" w:hAnsi="Times New Roman" w:cs="Times New Roman"/>
          <w:b/>
          <w:sz w:val="24"/>
          <w:szCs w:val="24"/>
        </w:rPr>
        <w:t xml:space="preserve"> Unión Europea, ante tan iracunda “Trumpada”?</w:t>
      </w:r>
    </w:p>
    <w:p w:rsidR="007C223F" w:rsidRDefault="007C223F" w:rsidP="007C223F">
      <w:pPr>
        <w:spacing w:line="240" w:lineRule="auto"/>
        <w:jc w:val="both"/>
        <w:rPr>
          <w:rFonts w:ascii="Times New Roman" w:hAnsi="Times New Roman" w:cs="Times New Roman"/>
          <w:sz w:val="24"/>
          <w:szCs w:val="24"/>
        </w:rPr>
      </w:pPr>
      <w:r w:rsidRPr="004B26FD">
        <w:rPr>
          <w:rFonts w:ascii="Times New Roman" w:hAnsi="Times New Roman" w:cs="Times New Roman"/>
          <w:sz w:val="24"/>
          <w:szCs w:val="24"/>
        </w:rPr>
        <w:t>La Unión Europea se “conforma”</w:t>
      </w:r>
      <w:r>
        <w:rPr>
          <w:rFonts w:ascii="Times New Roman" w:hAnsi="Times New Roman" w:cs="Times New Roman"/>
          <w:sz w:val="24"/>
          <w:szCs w:val="24"/>
        </w:rPr>
        <w:t>…</w:t>
      </w:r>
      <w:r w:rsidRPr="004B26FD">
        <w:rPr>
          <w:rFonts w:ascii="Times New Roman" w:hAnsi="Times New Roman" w:cs="Times New Roman"/>
          <w:sz w:val="24"/>
          <w:szCs w:val="24"/>
        </w:rPr>
        <w:t xml:space="preserve"> con que los aranceles trumpianos no vayan a más…</w:t>
      </w:r>
    </w:p>
    <w:p w:rsidR="007C223F" w:rsidRDefault="007C223F" w:rsidP="007C223F">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ser miedoso, amilanado, pusilánime, timorato, cobarde, medroso, gallina… y después, se puede ser miembro del Consejo Europeo, de la Comisión Europea, del Parlamento Europeo o del “</w:t>
      </w:r>
      <w:r w:rsidRPr="00E918ED">
        <w:rPr>
          <w:rFonts w:ascii="Times New Roman" w:hAnsi="Times New Roman" w:cs="Times New Roman"/>
          <w:sz w:val="24"/>
          <w:szCs w:val="24"/>
        </w:rPr>
        <w:t>apparatchik</w:t>
      </w:r>
      <w:r>
        <w:rPr>
          <w:rFonts w:ascii="Times New Roman" w:hAnsi="Times New Roman" w:cs="Times New Roman"/>
          <w:sz w:val="24"/>
          <w:szCs w:val="24"/>
        </w:rPr>
        <w:t xml:space="preserve">” de Bruselas. </w:t>
      </w:r>
    </w:p>
    <w:p w:rsidR="007C223F" w:rsidRDefault="007C223F" w:rsidP="007C223F">
      <w:pPr>
        <w:spacing w:line="240" w:lineRule="auto"/>
        <w:jc w:val="both"/>
        <w:rPr>
          <w:rFonts w:ascii="Times New Roman" w:hAnsi="Times New Roman" w:cs="Times New Roman"/>
          <w:sz w:val="24"/>
          <w:szCs w:val="24"/>
        </w:rPr>
      </w:pPr>
      <w:r w:rsidRPr="00E918ED">
        <w:rPr>
          <w:rFonts w:ascii="Times New Roman" w:hAnsi="Times New Roman" w:cs="Times New Roman"/>
          <w:sz w:val="24"/>
          <w:szCs w:val="24"/>
        </w:rPr>
        <w:t xml:space="preserve">Virgencita, virgencita, que me quede como estoy. Con esta coloquial expresión se podría resumir el </w:t>
      </w:r>
      <w:r>
        <w:rPr>
          <w:rFonts w:ascii="Times New Roman" w:hAnsi="Times New Roman" w:cs="Times New Roman"/>
          <w:sz w:val="24"/>
          <w:szCs w:val="24"/>
        </w:rPr>
        <w:t>sentir de las autoridades europeas</w:t>
      </w:r>
      <w:r w:rsidRPr="00E918ED">
        <w:rPr>
          <w:rFonts w:ascii="Times New Roman" w:hAnsi="Times New Roman" w:cs="Times New Roman"/>
          <w:sz w:val="24"/>
          <w:szCs w:val="24"/>
        </w:rPr>
        <w:t xml:space="preserve"> ante la pu</w:t>
      </w:r>
      <w:r>
        <w:rPr>
          <w:rFonts w:ascii="Times New Roman" w:hAnsi="Times New Roman" w:cs="Times New Roman"/>
          <w:sz w:val="24"/>
          <w:szCs w:val="24"/>
        </w:rPr>
        <w:t>esta en marcha (18/10/19)</w:t>
      </w:r>
      <w:r w:rsidRPr="00E918ED">
        <w:rPr>
          <w:rFonts w:ascii="Times New Roman" w:hAnsi="Times New Roman" w:cs="Times New Roman"/>
          <w:sz w:val="24"/>
          <w:szCs w:val="24"/>
        </w:rPr>
        <w:t xml:space="preserve"> de los nuevos aranceles que Estados Unidos va a imponer a una serie de productos europeos. Una vez hechos los cálculos del impacto que esta decisión tendrá, y pese a que de puertas a fuera se sigue presionando para activar medidas que compensen las pérdidas que estas nuevas tasas generarán, el objetivo es que la situación no vaya a más.</w:t>
      </w:r>
    </w:p>
    <w:p w:rsidR="00922E26" w:rsidRDefault="007C223F"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Unión Europea</w:t>
      </w:r>
      <w:r w:rsidRPr="00E918ED">
        <w:rPr>
          <w:rFonts w:ascii="Times New Roman" w:hAnsi="Times New Roman" w:cs="Times New Roman"/>
          <w:sz w:val="24"/>
          <w:szCs w:val="24"/>
        </w:rPr>
        <w:t xml:space="preserve"> puede hacer frente a la amenaza de la Administración Trump imponiendo tasa</w:t>
      </w:r>
      <w:r>
        <w:rPr>
          <w:rFonts w:ascii="Times New Roman" w:hAnsi="Times New Roman" w:cs="Times New Roman"/>
          <w:sz w:val="24"/>
          <w:szCs w:val="24"/>
        </w:rPr>
        <w:t xml:space="preserve">s a productos estadounidenses, dado que </w:t>
      </w:r>
      <w:r w:rsidRPr="00E918ED">
        <w:rPr>
          <w:rFonts w:ascii="Times New Roman" w:hAnsi="Times New Roman" w:cs="Times New Roman"/>
          <w:sz w:val="24"/>
          <w:szCs w:val="24"/>
        </w:rPr>
        <w:t>Bruselas cuenta con la aprobación de la Organización Mundial de Comercio para imponer tasas a productos estadounidenses por val</w:t>
      </w:r>
      <w:r>
        <w:rPr>
          <w:rFonts w:ascii="Times New Roman" w:hAnsi="Times New Roman" w:cs="Times New Roman"/>
          <w:sz w:val="24"/>
          <w:szCs w:val="24"/>
        </w:rPr>
        <w:t>or de 4.000 millones de dólares… ¿se animarán las “nuevas” autoridades comunitarias(que deberían asumir sus cargos el 1/11/19) a tomar medidas “concretas y contundentes”?</w:t>
      </w:r>
    </w:p>
    <w:p w:rsidR="008B4E7E" w:rsidRPr="00922E26" w:rsidRDefault="008B4E7E" w:rsidP="008B4E7E">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Manca finezza</w:t>
      </w:r>
      <w:r w:rsidRPr="008D4F23">
        <w:rPr>
          <w:rFonts w:ascii="Times New Roman" w:hAnsi="Times New Roman" w:cs="Times New Roman"/>
          <w:b/>
          <w:sz w:val="24"/>
          <w:szCs w:val="24"/>
        </w:rPr>
        <w:t>:</w:t>
      </w:r>
      <w:r>
        <w:rPr>
          <w:rFonts w:ascii="Times New Roman" w:hAnsi="Times New Roman" w:cs="Times New Roman"/>
          <w:b/>
          <w:sz w:val="24"/>
          <w:szCs w:val="24"/>
        </w:rPr>
        <w:t xml:space="preserve"> c</w:t>
      </w:r>
      <w:r w:rsidRPr="008D4F23">
        <w:rPr>
          <w:rFonts w:ascii="Times New Roman" w:hAnsi="Times New Roman" w:cs="Times New Roman"/>
          <w:b/>
          <w:sz w:val="24"/>
          <w:szCs w:val="24"/>
        </w:rPr>
        <w:t>ontra la</w:t>
      </w:r>
      <w:r>
        <w:rPr>
          <w:rFonts w:ascii="Times New Roman" w:hAnsi="Times New Roman" w:cs="Times New Roman"/>
          <w:b/>
          <w:sz w:val="24"/>
          <w:szCs w:val="24"/>
        </w:rPr>
        <w:t xml:space="preserve"> tradicional</w:t>
      </w:r>
      <w:r w:rsidRPr="008D4F23">
        <w:rPr>
          <w:rFonts w:ascii="Times New Roman" w:hAnsi="Times New Roman" w:cs="Times New Roman"/>
          <w:b/>
          <w:sz w:val="24"/>
          <w:szCs w:val="24"/>
        </w:rPr>
        <w:t xml:space="preserve"> costumbre bruselense de</w:t>
      </w:r>
      <w:r>
        <w:rPr>
          <w:rFonts w:ascii="Times New Roman" w:hAnsi="Times New Roman" w:cs="Times New Roman"/>
          <w:b/>
          <w:sz w:val="24"/>
          <w:szCs w:val="24"/>
        </w:rPr>
        <w:t xml:space="preserve"> claudicar(</w:t>
      </w:r>
      <w:r w:rsidRPr="008D4F23">
        <w:rPr>
          <w:rFonts w:ascii="Times New Roman" w:hAnsi="Times New Roman" w:cs="Times New Roman"/>
          <w:b/>
          <w:sz w:val="24"/>
          <w:szCs w:val="24"/>
        </w:rPr>
        <w:t>cobardear en tablas</w:t>
      </w:r>
      <w:r>
        <w:rPr>
          <w:rFonts w:ascii="Times New Roman" w:hAnsi="Times New Roman" w:cs="Times New Roman"/>
          <w:b/>
          <w:sz w:val="24"/>
          <w:szCs w:val="24"/>
        </w:rPr>
        <w:t>), “</w:t>
      </w:r>
      <w:r w:rsidRPr="008D4F23">
        <w:rPr>
          <w:rFonts w:ascii="Times New Roman" w:hAnsi="Times New Roman" w:cs="Times New Roman"/>
          <w:b/>
          <w:sz w:val="24"/>
          <w:szCs w:val="24"/>
        </w:rPr>
        <w:t>otra actitud es posible</w:t>
      </w:r>
      <w:r>
        <w:rPr>
          <w:rFonts w:ascii="Times New Roman" w:hAnsi="Times New Roman" w:cs="Times New Roman"/>
          <w:b/>
          <w:sz w:val="24"/>
          <w:szCs w:val="24"/>
        </w:rPr>
        <w:t xml:space="preserve">” - Una oportunidad fenomenal para que las “nuevas autoridades” europeas lideren el cambio: </w:t>
      </w:r>
      <w:r w:rsidRPr="008D4F23">
        <w:rPr>
          <w:rFonts w:ascii="Times New Roman" w:hAnsi="Times New Roman" w:cs="Times New Roman"/>
          <w:b/>
          <w:sz w:val="24"/>
          <w:szCs w:val="24"/>
        </w:rPr>
        <w:t>del círculo vicioso, al círculo virtuoso</w:t>
      </w: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Creo que “gracias” a los “delirios” trumpianos, (OTAN, abandono de los acuerdos internacionales, guerra comercial, desafecto manifiesto, intento de quebrar la unidad regional…), la UE no podrá seguir “poniéndose de perfil”, ejerciendo de ciego volun</w:t>
      </w:r>
      <w:r w:rsidR="00C12742">
        <w:rPr>
          <w:rFonts w:ascii="Times New Roman" w:hAnsi="Times New Roman" w:cs="Times New Roman"/>
          <w:sz w:val="24"/>
          <w:szCs w:val="24"/>
        </w:rPr>
        <w:t>tario, negando la evidencia</w:t>
      </w:r>
      <w:r>
        <w:rPr>
          <w:rFonts w:ascii="Times New Roman" w:hAnsi="Times New Roman" w:cs="Times New Roman"/>
          <w:sz w:val="24"/>
          <w:szCs w:val="24"/>
        </w:rPr>
        <w:t>,  para vender unos autitos, unos vinitos</w:t>
      </w:r>
      <w:r w:rsidR="00C12742">
        <w:rPr>
          <w:rFonts w:ascii="Times New Roman" w:hAnsi="Times New Roman" w:cs="Times New Roman"/>
          <w:sz w:val="24"/>
          <w:szCs w:val="24"/>
        </w:rPr>
        <w:t>, unos quesitos,</w:t>
      </w:r>
      <w:r>
        <w:rPr>
          <w:rFonts w:ascii="Times New Roman" w:hAnsi="Times New Roman" w:cs="Times New Roman"/>
          <w:sz w:val="24"/>
          <w:szCs w:val="24"/>
        </w:rPr>
        <w:t xml:space="preserve"> o una</w:t>
      </w:r>
      <w:r w:rsidR="00922E26">
        <w:rPr>
          <w:rFonts w:ascii="Times New Roman" w:hAnsi="Times New Roman" w:cs="Times New Roman"/>
          <w:sz w:val="24"/>
          <w:szCs w:val="24"/>
        </w:rPr>
        <w:t>s</w:t>
      </w:r>
      <w:r>
        <w:rPr>
          <w:rFonts w:ascii="Times New Roman" w:hAnsi="Times New Roman" w:cs="Times New Roman"/>
          <w:sz w:val="24"/>
          <w:szCs w:val="24"/>
        </w:rPr>
        <w:t xml:space="preserve"> aceitunitas…  Al “America First”, se le puede contestar con el “EU already”. </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Se acabaron los “paraguas” Made in USA (militar, comercial, financiero, tecnológico…), ha llegado la hora de hacer una acopio mayor de “armas” Made in EU (defensivas, comerciales, financieras, tecnológicas…), para “incitar” a futuras negociaciones. Autarquía y disuasión.</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Como mercado único de 28 países, la UE es una potencia comercial de primer orden.</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Pr="0085297A"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Más del 64% del comercio total de los países de la UE se efectúa con otros países de la UE.</w:t>
      </w:r>
    </w:p>
    <w:p w:rsidR="008B4E7E" w:rsidRPr="0085297A" w:rsidRDefault="008B4E7E" w:rsidP="008B4E7E">
      <w:pPr>
        <w:spacing w:after="0" w:line="240" w:lineRule="auto"/>
        <w:jc w:val="both"/>
        <w:textAlignment w:val="baseline"/>
        <w:rPr>
          <w:rFonts w:ascii="Times New Roman" w:hAnsi="Times New Roman" w:cs="Times New Roman"/>
          <w:sz w:val="24"/>
          <w:szCs w:val="24"/>
        </w:rPr>
      </w:pPr>
    </w:p>
    <w:p w:rsidR="008B4E7E" w:rsidRPr="0085297A"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La UE alberga solamente el 6,9% de la población mundial, pero su comercio con el resto del mundo representa aproximadamente un 15,6% de las importaciones y exportaciones mundiales.</w:t>
      </w:r>
    </w:p>
    <w:p w:rsidR="008B4E7E" w:rsidRPr="0085297A" w:rsidRDefault="008B4E7E" w:rsidP="008B4E7E">
      <w:pPr>
        <w:spacing w:after="0" w:line="240" w:lineRule="auto"/>
        <w:jc w:val="both"/>
        <w:textAlignment w:val="baseline"/>
        <w:rPr>
          <w:rFonts w:ascii="Times New Roman" w:hAnsi="Times New Roman" w:cs="Times New Roman"/>
          <w:sz w:val="24"/>
          <w:szCs w:val="24"/>
        </w:rPr>
      </w:pPr>
    </w:p>
    <w:p w:rsidR="008B4E7E" w:rsidRPr="0085297A"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Junto con Estados Unidos y China, la UE es uno de los tres mayores actores mundiales del comercio internacional.</w:t>
      </w:r>
    </w:p>
    <w:p w:rsidR="008B4E7E" w:rsidRPr="0085297A"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En 2016, los países de la UE tenían el segundo porcentaje más elevado de las exportaciones e importaciones mundiales de mercancías.</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Con un mercado interior de más de 500 millones de consumidores, y con un Producto Interior Bruto de casi 16 billones de euros, se puede “apostar” fuerte. No se necesita vivir de rodillas, ser serviles, lacayos, genuflexos, mendigar una ayudita, perpetuar el síndrome de Estocolmo, eternizar las reparaciones de guerra, o decir “si bwana” a cualquier estupidez, o coacción, que digan, o ejerzan, los jefes de gobierno de EEUU o China. </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La Unión Europea</w:t>
      </w:r>
      <w:r w:rsidRPr="002C0FFF">
        <w:rPr>
          <w:rFonts w:ascii="Times New Roman" w:hAnsi="Times New Roman" w:cs="Times New Roman"/>
          <w:sz w:val="24"/>
          <w:szCs w:val="24"/>
        </w:rPr>
        <w:t xml:space="preserve"> es el mayor proveedor mundial de ayuda al desarrollo</w:t>
      </w:r>
      <w:r>
        <w:rPr>
          <w:rFonts w:ascii="Times New Roman" w:hAnsi="Times New Roman" w:cs="Times New Roman"/>
          <w:sz w:val="24"/>
          <w:szCs w:val="24"/>
        </w:rPr>
        <w:t xml:space="preserve"> (y </w:t>
      </w:r>
      <w:r w:rsidRPr="002C0FFF">
        <w:rPr>
          <w:rFonts w:ascii="Times New Roman" w:hAnsi="Times New Roman" w:cs="Times New Roman"/>
          <w:sz w:val="24"/>
          <w:szCs w:val="24"/>
        </w:rPr>
        <w:t>proporciona m</w:t>
      </w:r>
      <w:r>
        <w:rPr>
          <w:rFonts w:ascii="Times New Roman" w:hAnsi="Times New Roman" w:cs="Times New Roman"/>
          <w:sz w:val="24"/>
          <w:szCs w:val="24"/>
        </w:rPr>
        <w:t>ás de la mitad de toda la ayuda mundial).</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341">
        <w:rPr>
          <w:rFonts w:ascii="Times New Roman" w:hAnsi="Times New Roman" w:cs="Times New Roman"/>
          <w:sz w:val="24"/>
          <w:szCs w:val="24"/>
        </w:rPr>
        <w:t>La Unión Europea lidera la acción medio</w:t>
      </w:r>
      <w:r>
        <w:rPr>
          <w:rFonts w:ascii="Times New Roman" w:hAnsi="Times New Roman" w:cs="Times New Roman"/>
          <w:sz w:val="24"/>
          <w:szCs w:val="24"/>
        </w:rPr>
        <w:t>ambiental global desde hace más de</w:t>
      </w:r>
      <w:r w:rsidRPr="00852341">
        <w:rPr>
          <w:rFonts w:ascii="Times New Roman" w:hAnsi="Times New Roman" w:cs="Times New Roman"/>
          <w:sz w:val="24"/>
          <w:szCs w:val="24"/>
        </w:rPr>
        <w:t xml:space="preserve"> cuarenta años.La Unión Europea está a la cabeza de este empeño grac</w:t>
      </w:r>
      <w:r>
        <w:rPr>
          <w:rFonts w:ascii="Times New Roman" w:hAnsi="Times New Roman" w:cs="Times New Roman"/>
          <w:sz w:val="24"/>
          <w:szCs w:val="24"/>
        </w:rPr>
        <w:t xml:space="preserve">ias a políticas como el Séptimo </w:t>
      </w:r>
      <w:r w:rsidRPr="00852341">
        <w:rPr>
          <w:rFonts w:ascii="Times New Roman" w:hAnsi="Times New Roman" w:cs="Times New Roman"/>
          <w:sz w:val="24"/>
          <w:szCs w:val="24"/>
        </w:rPr>
        <w:t>Programa de Acción en materia de Medio Ambiente; el Paquete de medidas sobre</w:t>
      </w:r>
      <w:r>
        <w:rPr>
          <w:rFonts w:ascii="Times New Roman" w:hAnsi="Times New Roman" w:cs="Times New Roman"/>
          <w:sz w:val="24"/>
          <w:szCs w:val="24"/>
        </w:rPr>
        <w:t xml:space="preserve"> clima y </w:t>
      </w:r>
      <w:r w:rsidRPr="00852341">
        <w:rPr>
          <w:rFonts w:ascii="Times New Roman" w:hAnsi="Times New Roman" w:cs="Times New Roman"/>
          <w:sz w:val="24"/>
          <w:szCs w:val="24"/>
        </w:rPr>
        <w:t>en</w:t>
      </w:r>
      <w:r>
        <w:rPr>
          <w:rFonts w:ascii="Times New Roman" w:hAnsi="Times New Roman" w:cs="Times New Roman"/>
          <w:sz w:val="24"/>
          <w:szCs w:val="24"/>
        </w:rPr>
        <w:t>ergía para 2030; la estrategia “Europa 2020”</w:t>
      </w:r>
      <w:r w:rsidRPr="00852341">
        <w:rPr>
          <w:rFonts w:ascii="Times New Roman" w:hAnsi="Times New Roman" w:cs="Times New Roman"/>
          <w:sz w:val="24"/>
          <w:szCs w:val="24"/>
        </w:rPr>
        <w:t xml:space="preserve"> y el Programa de investigación e innovaciónHorizonte 2020.</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Pr="004D5328" w:rsidRDefault="008B4E7E" w:rsidP="008B4E7E">
      <w:pPr>
        <w:spacing w:after="0" w:line="240" w:lineRule="auto"/>
        <w:jc w:val="both"/>
        <w:textAlignment w:val="baseline"/>
        <w:rPr>
          <w:rFonts w:ascii="Times New Roman" w:hAnsi="Times New Roman" w:cs="Times New Roman"/>
          <w:b/>
          <w:sz w:val="24"/>
          <w:szCs w:val="24"/>
        </w:rPr>
      </w:pPr>
      <w:r w:rsidRPr="004D5328">
        <w:rPr>
          <w:rFonts w:ascii="Times New Roman" w:hAnsi="Times New Roman" w:cs="Times New Roman"/>
          <w:b/>
          <w:sz w:val="24"/>
          <w:szCs w:val="24"/>
        </w:rPr>
        <w:t xml:space="preserve">Creo que la Unión Europea, puede (casi escribo, debe) exigir “mayor respeto” a los Estados Unidos y a China. Si no un trato de “igual a igual” (que sería deseable), al menos el de nación (región) más favorecida (que sería razonable). Pero para ello, primero debe respetarse a sí misma, y para respetarse a sí misma, antes debe creer en sí misma. </w:t>
      </w:r>
    </w:p>
    <w:p w:rsidR="00922E26" w:rsidRDefault="00922E26" w:rsidP="008B4E7E">
      <w:pPr>
        <w:spacing w:after="0" w:line="240" w:lineRule="auto"/>
        <w:jc w:val="both"/>
        <w:textAlignment w:val="baseline"/>
        <w:rPr>
          <w:rFonts w:ascii="Times New Roman" w:hAnsi="Times New Roman" w:cs="Times New Roman"/>
          <w:b/>
          <w:sz w:val="24"/>
          <w:szCs w:val="24"/>
        </w:rPr>
      </w:pPr>
    </w:p>
    <w:p w:rsidR="008B4E7E" w:rsidRPr="004D5328" w:rsidRDefault="008B4E7E" w:rsidP="008B4E7E">
      <w:pPr>
        <w:spacing w:after="0" w:line="240" w:lineRule="auto"/>
        <w:jc w:val="both"/>
        <w:textAlignment w:val="baseline"/>
        <w:rPr>
          <w:rFonts w:ascii="Times New Roman" w:hAnsi="Times New Roman" w:cs="Times New Roman"/>
          <w:b/>
          <w:sz w:val="24"/>
          <w:szCs w:val="24"/>
        </w:rPr>
      </w:pPr>
      <w:r w:rsidRPr="004D5328">
        <w:rPr>
          <w:rFonts w:ascii="Times New Roman" w:hAnsi="Times New Roman" w:cs="Times New Roman"/>
          <w:b/>
          <w:sz w:val="24"/>
          <w:szCs w:val="24"/>
        </w:rPr>
        <w:lastRenderedPageBreak/>
        <w:t>¿Posible? SI ¿Probable? Hasta la fecha, NO. Mientras siga “medio embarazada” NO. Si continua apostando por un rol de andrógino, castrati, drag queen… NO. En adelante: (con las nuevas autoridades europeas) “veremos a ver”. Puede que dejen de… “esperar a Godot”.</w:t>
      </w:r>
    </w:p>
    <w:p w:rsidR="008B4E7E" w:rsidRPr="004D5328" w:rsidRDefault="008B4E7E" w:rsidP="008B4E7E">
      <w:pPr>
        <w:spacing w:after="0" w:line="240" w:lineRule="auto"/>
        <w:jc w:val="both"/>
        <w:textAlignment w:val="baseline"/>
        <w:rPr>
          <w:rFonts w:ascii="Times New Roman" w:hAnsi="Times New Roman" w:cs="Times New Roman"/>
          <w:b/>
          <w:sz w:val="24"/>
          <w:szCs w:val="24"/>
        </w:rPr>
      </w:pPr>
    </w:p>
    <w:p w:rsidR="008B4E7E" w:rsidRPr="004D5328" w:rsidRDefault="008B4E7E" w:rsidP="008B4E7E">
      <w:pPr>
        <w:spacing w:after="0" w:line="240" w:lineRule="auto"/>
        <w:jc w:val="both"/>
        <w:textAlignment w:val="baseline"/>
        <w:rPr>
          <w:rFonts w:ascii="Times New Roman" w:hAnsi="Times New Roman" w:cs="Times New Roman"/>
          <w:b/>
          <w:sz w:val="24"/>
          <w:szCs w:val="24"/>
        </w:rPr>
      </w:pPr>
      <w:r w:rsidRPr="004D5328">
        <w:rPr>
          <w:rFonts w:ascii="Times New Roman" w:hAnsi="Times New Roman" w:cs="Times New Roman"/>
          <w:b/>
          <w:sz w:val="24"/>
          <w:szCs w:val="24"/>
        </w:rPr>
        <w:t xml:space="preserve">Tal vez, al final, habrá que darle las gracias a Donald Trump, por haber provocado la crisis que obligó a la Unión Europea a hacerse mayor. </w:t>
      </w:r>
    </w:p>
    <w:p w:rsidR="008B4E7E" w:rsidRPr="004D5328" w:rsidRDefault="008B4E7E" w:rsidP="008B4E7E">
      <w:pPr>
        <w:spacing w:after="0" w:line="240" w:lineRule="auto"/>
        <w:jc w:val="both"/>
        <w:textAlignment w:val="baseline"/>
        <w:rPr>
          <w:rFonts w:ascii="Times New Roman" w:hAnsi="Times New Roman" w:cs="Times New Roman"/>
          <w:b/>
          <w:sz w:val="24"/>
          <w:szCs w:val="24"/>
        </w:rPr>
      </w:pPr>
    </w:p>
    <w:p w:rsidR="008B4E7E" w:rsidRPr="004D5328" w:rsidRDefault="008B4E7E" w:rsidP="008B4E7E">
      <w:pPr>
        <w:spacing w:after="0" w:line="240" w:lineRule="auto"/>
        <w:jc w:val="both"/>
        <w:textAlignment w:val="baseline"/>
        <w:rPr>
          <w:rFonts w:ascii="Times New Roman" w:hAnsi="Times New Roman" w:cs="Times New Roman"/>
          <w:b/>
          <w:sz w:val="24"/>
          <w:szCs w:val="24"/>
        </w:rPr>
      </w:pPr>
      <w:r w:rsidRPr="004D5328">
        <w:rPr>
          <w:rFonts w:ascii="Times New Roman" w:hAnsi="Times New Roman" w:cs="Times New Roman"/>
          <w:b/>
          <w:sz w:val="24"/>
          <w:szCs w:val="24"/>
        </w:rPr>
        <w:t>Y que por no soñar no sea: de crisis en crisis, en una de esas, se animan a constituir los Estados Unidos de Europa. Me conformaría, con que lo puedan “vivir” mis nietos.</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Pr="00383CB4" w:rsidRDefault="008B4E7E" w:rsidP="008B4E7E">
      <w:pPr>
        <w:spacing w:line="240" w:lineRule="auto"/>
        <w:jc w:val="both"/>
        <w:rPr>
          <w:rFonts w:ascii="Times New Roman" w:hAnsi="Times New Roman" w:cs="Times New Roman"/>
          <w:b/>
          <w:sz w:val="24"/>
          <w:szCs w:val="24"/>
        </w:rPr>
      </w:pPr>
      <w:r w:rsidRPr="00383CB4">
        <w:rPr>
          <w:rFonts w:ascii="Times New Roman" w:hAnsi="Times New Roman" w:cs="Times New Roman"/>
          <w:b/>
          <w:sz w:val="24"/>
          <w:szCs w:val="24"/>
        </w:rPr>
        <w:t>El factor Von der Leyen</w:t>
      </w:r>
      <w:r>
        <w:rPr>
          <w:rFonts w:ascii="Times New Roman" w:hAnsi="Times New Roman" w:cs="Times New Roman"/>
          <w:b/>
          <w:sz w:val="24"/>
          <w:szCs w:val="24"/>
        </w:rPr>
        <w:t>,</w:t>
      </w:r>
      <w:r w:rsidRPr="00383CB4">
        <w:rPr>
          <w:rFonts w:ascii="Times New Roman" w:hAnsi="Times New Roman" w:cs="Times New Roman"/>
          <w:b/>
          <w:sz w:val="24"/>
          <w:szCs w:val="24"/>
        </w:rPr>
        <w:t xml:space="preserve"> y los “ursulinos”</w:t>
      </w:r>
    </w:p>
    <w:p w:rsidR="008B4E7E" w:rsidRPr="007553EB" w:rsidRDefault="008B4E7E" w:rsidP="008B4E7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(31-O) Asumen </w:t>
      </w:r>
      <w:r w:rsidRPr="007553EB">
        <w:rPr>
          <w:rFonts w:ascii="Times New Roman" w:hAnsi="Times New Roman" w:cs="Times New Roman"/>
          <w:b/>
          <w:sz w:val="24"/>
          <w:szCs w:val="24"/>
        </w:rPr>
        <w:t>las n</w:t>
      </w:r>
      <w:r>
        <w:rPr>
          <w:rFonts w:ascii="Times New Roman" w:hAnsi="Times New Roman" w:cs="Times New Roman"/>
          <w:b/>
          <w:sz w:val="24"/>
          <w:szCs w:val="24"/>
        </w:rPr>
        <w:t xml:space="preserve">uevas autoridades europeas: </w:t>
      </w:r>
      <w:r w:rsidRPr="007553EB">
        <w:rPr>
          <w:rFonts w:ascii="Times New Roman" w:hAnsi="Times New Roman" w:cs="Times New Roman"/>
          <w:b/>
          <w:sz w:val="24"/>
          <w:szCs w:val="24"/>
        </w:rPr>
        <w:t>escenografía</w:t>
      </w:r>
      <w:r>
        <w:rPr>
          <w:rFonts w:ascii="Times New Roman" w:hAnsi="Times New Roman" w:cs="Times New Roman"/>
          <w:b/>
          <w:sz w:val="24"/>
          <w:szCs w:val="24"/>
        </w:rPr>
        <w:t xml:space="preserve"> y coreografía</w:t>
      </w:r>
      <w:r w:rsidRPr="007553EB">
        <w:rPr>
          <w:rFonts w:ascii="Times New Roman" w:hAnsi="Times New Roman" w:cs="Times New Roman"/>
          <w:b/>
          <w:sz w:val="24"/>
          <w:szCs w:val="24"/>
        </w:rPr>
        <w:t xml:space="preserve"> de la obra </w:t>
      </w:r>
    </w:p>
    <w:p w:rsidR="008B4E7E" w:rsidRPr="00816F00"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16F00">
        <w:rPr>
          <w:rFonts w:ascii="Times New Roman" w:hAnsi="Times New Roman" w:cs="Times New Roman"/>
          <w:sz w:val="24"/>
          <w:szCs w:val="24"/>
        </w:rPr>
        <w:t>¿</w:t>
      </w:r>
      <w:r w:rsidRPr="00D10D72">
        <w:rPr>
          <w:rFonts w:ascii="Times New Roman" w:hAnsi="Times New Roman" w:cs="Times New Roman"/>
          <w:sz w:val="24"/>
          <w:szCs w:val="24"/>
          <w:u w:val="single"/>
        </w:rPr>
        <w:t>Las perspectivas económicas de Europa son más brillantes de lo que parecen</w:t>
      </w:r>
      <w:r w:rsidRPr="00816F00">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816F00">
        <w:rPr>
          <w:rFonts w:ascii="Times New Roman" w:hAnsi="Times New Roman" w:cs="Times New Roman"/>
          <w:b/>
          <w:sz w:val="24"/>
          <w:szCs w:val="24"/>
        </w:rPr>
        <w:t>1/10/19</w:t>
      </w:r>
      <w:r>
        <w:rPr>
          <w:rFonts w:ascii="Times New Roman" w:hAnsi="Times New Roman" w:cs="Times New Roman"/>
          <w:sz w:val="24"/>
          <w:szCs w:val="24"/>
        </w:rPr>
        <w:t>)</w:t>
      </w:r>
    </w:p>
    <w:p w:rsidR="008B4E7E" w:rsidRPr="009A4155" w:rsidRDefault="008B4E7E" w:rsidP="008B4E7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Pr="009A4155">
        <w:rPr>
          <w:rFonts w:ascii="Times New Roman" w:hAnsi="Times New Roman" w:cs="Times New Roman"/>
          <w:sz w:val="24"/>
          <w:szCs w:val="24"/>
          <w:u w:val="single"/>
        </w:rPr>
        <w:t>En el año transcurrido desde que el presidente norteamericano, Donald Trump, escaló la guerra comercial de Estados Unidos con China, los responsables de las políticas y los mercados financieros han estado obsesionados con los peligros para las economías de ambos países. Sin embargo, la verdadera amenaza que plantea el conflicto para la economía global reside en otra parte.</w:t>
      </w:r>
    </w:p>
    <w:p w:rsidR="008B4E7E" w:rsidRPr="009A4155" w:rsidRDefault="008B4E7E" w:rsidP="008B4E7E">
      <w:pPr>
        <w:spacing w:line="240" w:lineRule="auto"/>
        <w:jc w:val="both"/>
        <w:rPr>
          <w:rFonts w:ascii="Times New Roman" w:hAnsi="Times New Roman" w:cs="Times New Roman"/>
          <w:b/>
          <w:color w:val="FF0000"/>
          <w:sz w:val="24"/>
          <w:szCs w:val="24"/>
          <w:u w:val="single"/>
        </w:rPr>
      </w:pPr>
      <w:r w:rsidRPr="009A4155">
        <w:rPr>
          <w:rFonts w:ascii="Times New Roman" w:hAnsi="Times New Roman" w:cs="Times New Roman"/>
          <w:color w:val="FF0000"/>
          <w:sz w:val="24"/>
          <w:szCs w:val="24"/>
          <w:u w:val="single"/>
        </w:rPr>
        <w:t xml:space="preserve">A pesar de todos los titulares espeluznantes sobre que la guerra comercial puede causar una recesión en Estados Unidos o algún tipo de colapso en China y sus vecinos asiáticos, los datos económicos recientes revelan un panorama muy diferente: a las economías de Estados Unidos y China les ha ido bastante bien y están en línea con las tendencias que ya estaban bien establecidas antes de la escalada de la guerra comercial. </w:t>
      </w:r>
      <w:r w:rsidRPr="009A4155">
        <w:rPr>
          <w:rFonts w:ascii="Times New Roman" w:hAnsi="Times New Roman" w:cs="Times New Roman"/>
          <w:b/>
          <w:color w:val="FF0000"/>
          <w:sz w:val="24"/>
          <w:szCs w:val="24"/>
          <w:u w:val="single"/>
        </w:rPr>
        <w:t>La principal víctima ha sido un observador inocente: Europa.</w:t>
      </w:r>
    </w:p>
    <w:p w:rsidR="008B4E7E" w:rsidRPr="009A4155" w:rsidRDefault="008B4E7E" w:rsidP="008B4E7E">
      <w:pPr>
        <w:spacing w:line="240" w:lineRule="auto"/>
        <w:jc w:val="both"/>
        <w:rPr>
          <w:rFonts w:ascii="Times New Roman" w:hAnsi="Times New Roman" w:cs="Times New Roman"/>
          <w:sz w:val="24"/>
          <w:szCs w:val="24"/>
          <w:u w:val="single"/>
        </w:rPr>
      </w:pPr>
      <w:r w:rsidRPr="009A4155">
        <w:rPr>
          <w:rFonts w:ascii="Times New Roman" w:hAnsi="Times New Roman" w:cs="Times New Roman"/>
          <w:sz w:val="24"/>
          <w:szCs w:val="24"/>
          <w:u w:val="single"/>
        </w:rPr>
        <w:t>La distribución inesperada del daño se puede ver claramente en las revisiones trimestrales del Fondo Monetario Internacional de sus proyecciones económicas. Las últimas revisiones, publicadas a fines de julio, prevén un crecimiento global del 3,2% en 2019, comparado con 3,7% en la proyección de octubre de 2018 del FMI. Pero esta revisión a la baja no es atribuible ni a Estados Unidos ni a China. Se espera que la economía china crezca el 6,2%, exactamente la tasa prevista hace un año. El pronóstico para el crecimiento de Estados Unidos es del 2,6%, 0,1 punto porcentual más alto que hace un año. Las proyecciones para Japón y otras economías asiáticas en general tampoco se han modificado. Esto hace que Europa sea responsable de prácticamente toda la desaceleración global.</w:t>
      </w:r>
    </w:p>
    <w:p w:rsidR="008B4E7E" w:rsidRPr="009A4155" w:rsidRDefault="008B4E7E" w:rsidP="008B4E7E">
      <w:pPr>
        <w:spacing w:line="240" w:lineRule="auto"/>
        <w:jc w:val="both"/>
        <w:rPr>
          <w:rFonts w:ascii="Times New Roman" w:hAnsi="Times New Roman" w:cs="Times New Roman"/>
          <w:color w:val="FF0000"/>
          <w:sz w:val="24"/>
          <w:szCs w:val="24"/>
          <w:u w:val="single"/>
        </w:rPr>
      </w:pPr>
      <w:r w:rsidRPr="009A4155">
        <w:rPr>
          <w:rFonts w:ascii="Times New Roman" w:hAnsi="Times New Roman" w:cs="Times New Roman"/>
          <w:color w:val="FF0000"/>
          <w:sz w:val="24"/>
          <w:szCs w:val="24"/>
          <w:u w:val="single"/>
        </w:rPr>
        <w:t>El FMI ahora espera que el crecimiento de la eurozona alcance el 1,3% este año, 0,6 puntos porcentuales menos que su pronóstico de hace un año, y se espera que el crecimiento alemán represente apenas 0,7%, comparado con una tasa del 1,9% prevista hace un año. En consecuencia, si hay alguna región que pronto hará que el mundo entre en una recesión es Europa, y específicamente Alemania, no Estados unidos, China o Asia.</w:t>
      </w:r>
    </w:p>
    <w:p w:rsidR="008B4E7E" w:rsidRPr="009A4155" w:rsidRDefault="008B4E7E" w:rsidP="008B4E7E">
      <w:pPr>
        <w:spacing w:line="240" w:lineRule="auto"/>
        <w:jc w:val="both"/>
        <w:rPr>
          <w:rFonts w:ascii="Times New Roman" w:hAnsi="Times New Roman" w:cs="Times New Roman"/>
          <w:b/>
          <w:color w:val="FF0000"/>
          <w:sz w:val="24"/>
          <w:szCs w:val="24"/>
          <w:u w:val="single"/>
        </w:rPr>
      </w:pPr>
      <w:r w:rsidRPr="009A4155">
        <w:rPr>
          <w:rFonts w:ascii="Times New Roman" w:hAnsi="Times New Roman" w:cs="Times New Roman"/>
          <w:b/>
          <w:color w:val="FF0000"/>
          <w:sz w:val="24"/>
          <w:szCs w:val="24"/>
          <w:u w:val="single"/>
        </w:rPr>
        <w:t>Hay tres motivos por los cuales la economía europea ha sufrido mucho más este año que cualquiera de los beligerantes en el conflicto Estados Unidos-China. Para empezar, Europa es extremadamente vulnerable al daño colateral de una guerra comercial, porque es más dependiente del comercio. Las exportaciones representan el 28% del PIB de la eurozona, comparado con sólo el 12% para Estados Unidos y el 19% para China.</w:t>
      </w:r>
    </w:p>
    <w:p w:rsidR="008B4E7E" w:rsidRPr="009A4155" w:rsidRDefault="008B4E7E" w:rsidP="008B4E7E">
      <w:pPr>
        <w:spacing w:line="240" w:lineRule="auto"/>
        <w:jc w:val="both"/>
        <w:rPr>
          <w:rFonts w:ascii="Times New Roman" w:hAnsi="Times New Roman" w:cs="Times New Roman"/>
          <w:color w:val="FF0000"/>
          <w:sz w:val="24"/>
          <w:szCs w:val="24"/>
          <w:u w:val="single"/>
        </w:rPr>
      </w:pPr>
      <w:r w:rsidRPr="009A4155">
        <w:rPr>
          <w:rFonts w:ascii="Times New Roman" w:hAnsi="Times New Roman" w:cs="Times New Roman"/>
          <w:color w:val="FF0000"/>
          <w:sz w:val="24"/>
          <w:szCs w:val="24"/>
          <w:u w:val="single"/>
        </w:rPr>
        <w:lastRenderedPageBreak/>
        <w:t>Es más, la respuesta política de Europa a los shocks económicos casi siempre es errónea.</w:t>
      </w:r>
      <w:r w:rsidRPr="009A4155">
        <w:rPr>
          <w:rFonts w:ascii="Times New Roman" w:hAnsi="Times New Roman" w:cs="Times New Roman"/>
          <w:sz w:val="24"/>
          <w:szCs w:val="24"/>
          <w:u w:val="single"/>
        </w:rPr>
        <w:t>Cuando Estados Unidos o China experimentan un shock que amenaza con reducir el crecimiento económico, por lo general responden con un estímulo preventivo y contra-cíclico de la demanda</w:t>
      </w:r>
      <w:r w:rsidRPr="00816F00">
        <w:rPr>
          <w:rFonts w:ascii="Times New Roman" w:hAnsi="Times New Roman" w:cs="Times New Roman"/>
          <w:sz w:val="24"/>
          <w:szCs w:val="24"/>
        </w:rPr>
        <w:t xml:space="preserve">. En respuesta a la guerra comercial, la Junta de la Reserva Federal de Estados Unidos casi de inmediato revirtió el curso de su política monetaria y empezó a recortar las tasas de interés. China ha expandido sus políticas monetaria, fiscal y crediticia para garantizar que el consumo, la construcción de viviendas y el gasto en infraestructura compensen las exportaciones y la inversión privada perdidas. </w:t>
      </w:r>
      <w:r w:rsidRPr="009A4155">
        <w:rPr>
          <w:rFonts w:ascii="Times New Roman" w:hAnsi="Times New Roman" w:cs="Times New Roman"/>
          <w:color w:val="FF0000"/>
          <w:sz w:val="24"/>
          <w:szCs w:val="24"/>
          <w:u w:val="single"/>
        </w:rPr>
        <w:t>En Europa, por el contrario, la respuesta política ante una demanda débil tiende a ser pro-cíclica: cuando el crecimiento flaquea, en lugar de expandir la política fiscal, los gobiernos europeos aumentan las tasas y recortan el gasto público para “controlar” los déficits presupuestarios. Y los reguladores financieros ajustan las condiciones crediticias obligando a los bancos a aumentar su capital e incrementar sus previsiones para préstamos riesgosos.</w:t>
      </w:r>
    </w:p>
    <w:p w:rsidR="008B4E7E" w:rsidRPr="00A0545C" w:rsidRDefault="008B4E7E" w:rsidP="008B4E7E">
      <w:pPr>
        <w:spacing w:line="240" w:lineRule="auto"/>
        <w:jc w:val="both"/>
        <w:rPr>
          <w:rFonts w:ascii="Times New Roman" w:hAnsi="Times New Roman" w:cs="Times New Roman"/>
          <w:color w:val="FF0000"/>
          <w:sz w:val="24"/>
          <w:szCs w:val="24"/>
          <w:u w:val="single"/>
        </w:rPr>
      </w:pPr>
      <w:r w:rsidRPr="00A0545C">
        <w:rPr>
          <w:rFonts w:ascii="Times New Roman" w:hAnsi="Times New Roman" w:cs="Times New Roman"/>
          <w:color w:val="FF0000"/>
          <w:sz w:val="24"/>
          <w:szCs w:val="24"/>
          <w:u w:val="single"/>
        </w:rPr>
        <w:t>Tercero, Europa se ha visto perjudicada por dos sacudidas políticas internas que fueron aún más nocivas que la guerra comercial entre Estados Unidos y China. El choque presupuestario del verano pasado entre la Comisión Europea y el nuevo gobierno populista de Italia revivió los miedos de un colapso monetario y bancario aún peor que la crisis del euro que estalló hace diez años. Y en marzo, al tiempo que amainó el riesgo italiano, un Brexit sin acuerdo de repente surgió como una amenaza grave.</w:t>
      </w:r>
    </w:p>
    <w:p w:rsidR="008B4E7E" w:rsidRPr="00A0545C" w:rsidRDefault="008B4E7E" w:rsidP="008B4E7E">
      <w:pPr>
        <w:spacing w:line="240" w:lineRule="auto"/>
        <w:jc w:val="both"/>
        <w:rPr>
          <w:rFonts w:ascii="Times New Roman" w:hAnsi="Times New Roman" w:cs="Times New Roman"/>
          <w:b/>
          <w:color w:val="FF0000"/>
          <w:sz w:val="24"/>
          <w:szCs w:val="24"/>
          <w:u w:val="single"/>
        </w:rPr>
      </w:pPr>
      <w:r w:rsidRPr="00A0545C">
        <w:rPr>
          <w:rFonts w:ascii="Times New Roman" w:hAnsi="Times New Roman" w:cs="Times New Roman"/>
          <w:b/>
          <w:color w:val="FF0000"/>
          <w:sz w:val="24"/>
          <w:szCs w:val="24"/>
          <w:u w:val="single"/>
        </w:rPr>
        <w:t>Ahora pasemos a las buenas noticias. Dos de los tres motivos para el mal desempeño de Europa -políticas macroeconómicas equivocadas y un conflicto con Italia o Gran Bretaña- avanzan hacia una resolución. Y si bien la exposición excesiva al comercio global -especialmente en Alemania- continúa, al menos la excesiva dependencia de las exportaciones por parte de Europa está empezando a ser reconocida como una vulnerabilidad estructural, no una señal de “competitividad” o de salud económica fundamental.</w:t>
      </w:r>
    </w:p>
    <w:p w:rsidR="008B4E7E" w:rsidRPr="00A0545C" w:rsidRDefault="008B4E7E" w:rsidP="008B4E7E">
      <w:pPr>
        <w:spacing w:line="240" w:lineRule="auto"/>
        <w:jc w:val="both"/>
        <w:rPr>
          <w:rFonts w:ascii="Times New Roman" w:hAnsi="Times New Roman" w:cs="Times New Roman"/>
          <w:sz w:val="24"/>
          <w:szCs w:val="24"/>
          <w:u w:val="single"/>
        </w:rPr>
      </w:pPr>
      <w:r w:rsidRPr="00A0545C">
        <w:rPr>
          <w:rFonts w:ascii="Times New Roman" w:hAnsi="Times New Roman" w:cs="Times New Roman"/>
          <w:color w:val="FF0000"/>
          <w:sz w:val="24"/>
          <w:szCs w:val="24"/>
          <w:u w:val="single"/>
        </w:rPr>
        <w:t>Empezando por la macroeconomía, hoy se está debatiendo seriamente un alivio de la política fiscal en casi todos los países europeos, al interior de la nueva Comisión Europea y en el Banco Central Europeo</w:t>
      </w:r>
      <w:r w:rsidRPr="00816F00">
        <w:rPr>
          <w:rFonts w:ascii="Times New Roman" w:hAnsi="Times New Roman" w:cs="Times New Roman"/>
          <w:sz w:val="24"/>
          <w:szCs w:val="24"/>
        </w:rPr>
        <w:t xml:space="preserve">. Si bien la reticencia a cualquier expansión fiscal importante sigue siendo fuerte en Alemania, la mayor economía de la eurozona, es probable que la resistencia allí se derrumbe bajo la presión combinada de un crecimiento económico débil, el temor de los partidos populistas, las demandas de inversión verde y una crítica cada vez más aguda de la Comisión Europea y del BCE. Y aún si Alemania se aferra al recorte fiscal uno o dos años más, el resto de Europa avanzará hacia tasas más bajas y un gasto público más alto por </w:t>
      </w:r>
      <w:r w:rsidRPr="00A0545C">
        <w:rPr>
          <w:rFonts w:ascii="Times New Roman" w:hAnsi="Times New Roman" w:cs="Times New Roman"/>
          <w:sz w:val="24"/>
          <w:szCs w:val="24"/>
          <w:u w:val="single"/>
        </w:rPr>
        <w:t>una razón que no se reconoce habitualmente: la interacción entre la política monetaria y la política fiscal.</w:t>
      </w:r>
    </w:p>
    <w:p w:rsidR="008B4E7E" w:rsidRPr="00A0545C" w:rsidRDefault="008B4E7E" w:rsidP="008B4E7E">
      <w:pPr>
        <w:spacing w:line="240" w:lineRule="auto"/>
        <w:jc w:val="both"/>
        <w:rPr>
          <w:rFonts w:ascii="Times New Roman" w:hAnsi="Times New Roman" w:cs="Times New Roman"/>
          <w:sz w:val="24"/>
          <w:szCs w:val="24"/>
          <w:u w:val="single"/>
        </w:rPr>
      </w:pPr>
      <w:r w:rsidRPr="00A0545C">
        <w:rPr>
          <w:rFonts w:ascii="Times New Roman" w:hAnsi="Times New Roman" w:cs="Times New Roman"/>
          <w:sz w:val="24"/>
          <w:szCs w:val="24"/>
          <w:u w:val="single"/>
        </w:rPr>
        <w:t>La reciente decisión del BCE de reanudar el alivio cuantitativo y mantener tasas de interés negativas sin ningún límite de tiempo garantiza que los costos del servicio de la deuda caerán drásticamente para gobiernos altamente endeudados como los de Italia, España, Bélgica y Francia. Los pagos más bajos de intereses darán a estos gobiernos más margen presupuestario para recortar impuestos o aumentar el gasto público. Esto es esencialmente válido para Italia, cuyos costos por intereses actualmente superan el 3,5% del PIB.</w:t>
      </w:r>
    </w:p>
    <w:p w:rsidR="008B4E7E" w:rsidRPr="00A0545C" w:rsidRDefault="008B4E7E" w:rsidP="008B4E7E">
      <w:pPr>
        <w:spacing w:line="240" w:lineRule="auto"/>
        <w:jc w:val="both"/>
        <w:rPr>
          <w:rFonts w:ascii="Times New Roman" w:hAnsi="Times New Roman" w:cs="Times New Roman"/>
          <w:color w:val="FF0000"/>
          <w:sz w:val="24"/>
          <w:szCs w:val="24"/>
          <w:u w:val="single"/>
        </w:rPr>
      </w:pPr>
      <w:r w:rsidRPr="00A0545C">
        <w:rPr>
          <w:rFonts w:ascii="Times New Roman" w:hAnsi="Times New Roman" w:cs="Times New Roman"/>
          <w:color w:val="FF0000"/>
          <w:sz w:val="24"/>
          <w:szCs w:val="24"/>
          <w:u w:val="single"/>
        </w:rPr>
        <w:t xml:space="preserve">Este entorno fiscal más aliviado ha puesto fin a los conflictos de Italia con la UE por las reglas presupuestarias, que parecían amenazar con una disolución del euro hace unos meses. Al mismo tiempo, la decisión de la Corte Suprema del Reino Unido de revocar la suspensión </w:t>
      </w:r>
      <w:r w:rsidRPr="00A0545C">
        <w:rPr>
          <w:rFonts w:ascii="Times New Roman" w:hAnsi="Times New Roman" w:cs="Times New Roman"/>
          <w:color w:val="FF0000"/>
          <w:sz w:val="24"/>
          <w:szCs w:val="24"/>
          <w:u w:val="single"/>
        </w:rPr>
        <w:lastRenderedPageBreak/>
        <w:t>del Parlamento por parte del primer ministro Boris Johnson prácticamente ha eliminado el riesgo de un Brexit sin acuerdo.</w:t>
      </w:r>
    </w:p>
    <w:p w:rsidR="008B4E7E" w:rsidRPr="00A0545C" w:rsidRDefault="008B4E7E" w:rsidP="008B4E7E">
      <w:pPr>
        <w:spacing w:line="240" w:lineRule="auto"/>
        <w:jc w:val="both"/>
        <w:rPr>
          <w:rFonts w:ascii="Times New Roman" w:hAnsi="Times New Roman" w:cs="Times New Roman"/>
          <w:b/>
          <w:color w:val="FF0000"/>
          <w:sz w:val="24"/>
          <w:szCs w:val="24"/>
          <w:u w:val="single"/>
        </w:rPr>
      </w:pPr>
      <w:r w:rsidRPr="00A0545C">
        <w:rPr>
          <w:rFonts w:ascii="Times New Roman" w:hAnsi="Times New Roman" w:cs="Times New Roman"/>
          <w:b/>
          <w:color w:val="FF0000"/>
          <w:sz w:val="24"/>
          <w:szCs w:val="24"/>
          <w:u w:val="single"/>
        </w:rPr>
        <w:t>Si el clima político y macroeconómico mejora, Europa debería poder superar la desventaja estructural del exceso de exportaciones y evitar una recesión. Alemania puede ser menos afortunada, porque no se puede curar de su adicción a las exportaciones si no abandona su consolidación presupuestaria errada. Hasta entonces, Alemania estará atascada en su nuevo rol, poco familiar, de ser el rezagado de Europa.</w:t>
      </w:r>
    </w:p>
    <w:p w:rsidR="008B4E7E" w:rsidRPr="00A0545C" w:rsidRDefault="008B4E7E" w:rsidP="008B4E7E">
      <w:pPr>
        <w:spacing w:line="240" w:lineRule="auto"/>
        <w:jc w:val="both"/>
        <w:rPr>
          <w:rFonts w:ascii="Times New Roman" w:hAnsi="Times New Roman" w:cs="Times New Roman"/>
          <w:color w:val="FF0000"/>
          <w:sz w:val="24"/>
          <w:szCs w:val="24"/>
          <w:u w:val="single"/>
        </w:rPr>
      </w:pPr>
      <w:r w:rsidRPr="00A0545C">
        <w:rPr>
          <w:rFonts w:ascii="Times New Roman" w:hAnsi="Times New Roman" w:cs="Times New Roman"/>
          <w:color w:val="FF0000"/>
          <w:sz w:val="24"/>
          <w:szCs w:val="24"/>
          <w:u w:val="single"/>
        </w:rPr>
        <w:t>Sin embargo, para el resto del mundo, esto quizá no importe. Lo importante para la economía global es si Europa en su totalidad goza o no de una fuerte recuperación. Las posibilidades de que eso suceda son considerablemente mejores ahora que hace unos meses.</w:t>
      </w:r>
    </w:p>
    <w:p w:rsidR="004D5328" w:rsidRDefault="008B4E7E" w:rsidP="008B4E7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16F00">
        <w:rPr>
          <w:rFonts w:ascii="Times New Roman" w:hAnsi="Times New Roman" w:cs="Times New Roman"/>
          <w:sz w:val="24"/>
          <w:szCs w:val="24"/>
          <w:lang w:val="en-US"/>
        </w:rPr>
        <w:t>Anatole Kaletsky is Chief Economist and Co-Chairman of Gavekal Dragonomics. A former columnist at the Times of London, the International New York Times and the Financial Times, he is the author of Capitalism 4.0: The Birth of a New Economy in the Aftermath of Crisis, which anticipated many of the post-crisis transformations of the global economy. His 1985 book, Costs of Default, became an influential primer for Latin American and Asian governments negotiating debt defaults and restru</w:t>
      </w:r>
      <w:r>
        <w:rPr>
          <w:rFonts w:ascii="Times New Roman" w:hAnsi="Times New Roman" w:cs="Times New Roman"/>
          <w:sz w:val="24"/>
          <w:szCs w:val="24"/>
          <w:lang w:val="en-US"/>
        </w:rPr>
        <w:t>cturings with banks and the IMF)</w:t>
      </w:r>
    </w:p>
    <w:p w:rsidR="008B4E7E" w:rsidRPr="007D67F3" w:rsidRDefault="008B4E7E" w:rsidP="008B4E7E">
      <w:pPr>
        <w:spacing w:line="240" w:lineRule="auto"/>
        <w:jc w:val="both"/>
        <w:rPr>
          <w:rFonts w:ascii="Times New Roman" w:hAnsi="Times New Roman" w:cs="Times New Roman"/>
          <w:sz w:val="24"/>
          <w:szCs w:val="24"/>
        </w:rPr>
      </w:pPr>
      <w:r>
        <w:rPr>
          <w:rFonts w:ascii="Times New Roman" w:hAnsi="Times New Roman" w:cs="Times New Roman"/>
          <w:b/>
          <w:sz w:val="24"/>
          <w:szCs w:val="24"/>
        </w:rPr>
        <w:t>N</w:t>
      </w:r>
      <w:r w:rsidRPr="0038308B">
        <w:rPr>
          <w:rFonts w:ascii="Times New Roman" w:hAnsi="Times New Roman" w:cs="Times New Roman"/>
          <w:b/>
          <w:sz w:val="24"/>
          <w:szCs w:val="24"/>
        </w:rPr>
        <w:t>uevos miembros de la Comisión Europea</w:t>
      </w:r>
      <w:r>
        <w:rPr>
          <w:rFonts w:ascii="Times New Roman" w:hAnsi="Times New Roman" w:cs="Times New Roman"/>
          <w:b/>
          <w:sz w:val="24"/>
          <w:szCs w:val="24"/>
        </w:rPr>
        <w:t>: l</w:t>
      </w:r>
      <w:r w:rsidRPr="0038308B">
        <w:rPr>
          <w:rFonts w:ascii="Times New Roman" w:hAnsi="Times New Roman" w:cs="Times New Roman"/>
          <w:b/>
          <w:sz w:val="24"/>
          <w:szCs w:val="24"/>
        </w:rPr>
        <w:t>os “ursulinos”</w:t>
      </w:r>
      <w:r w:rsidR="00F1176B">
        <w:rPr>
          <w:rFonts w:ascii="Times New Roman" w:hAnsi="Times New Roman" w:cs="Times New Roman"/>
          <w:b/>
          <w:sz w:val="24"/>
          <w:szCs w:val="24"/>
        </w:rPr>
        <w:t xml:space="preserve"> (</w:t>
      </w:r>
      <w:r w:rsidR="00C12742">
        <w:rPr>
          <w:rFonts w:ascii="Times New Roman" w:hAnsi="Times New Roman" w:cs="Times New Roman"/>
          <w:b/>
          <w:sz w:val="24"/>
          <w:szCs w:val="24"/>
        </w:rPr>
        <w:t>niños del coro)</w:t>
      </w:r>
    </w:p>
    <w:p w:rsidR="008B4E7E"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La nueva presidenta de la Comisión Europea, Ursula von der</w:t>
      </w:r>
      <w:r>
        <w:rPr>
          <w:rFonts w:ascii="Times New Roman" w:hAnsi="Times New Roman" w:cs="Times New Roman"/>
          <w:sz w:val="24"/>
          <w:szCs w:val="24"/>
        </w:rPr>
        <w:t xml:space="preserve"> Leyen, ha desvelado el 10 de septiembre (2019)</w:t>
      </w:r>
      <w:r w:rsidRPr="0038308B">
        <w:rPr>
          <w:rFonts w:ascii="Times New Roman" w:hAnsi="Times New Roman" w:cs="Times New Roman"/>
          <w:sz w:val="24"/>
          <w:szCs w:val="24"/>
        </w:rPr>
        <w:t xml:space="preserve"> su nuevo equipo de Gobierno. El Ejecutivo contará con tres vicepresidentes ejecutivos con las competencias directas sobre cambio climático, entorno digital y economía. Habrá ocho vicepresidentes, entre ellos el socialista español Josep Borrell, en torno a los que se crearán varios equipos de comisarios. Esta es la lista de los mie</w:t>
      </w:r>
      <w:r>
        <w:rPr>
          <w:rFonts w:ascii="Times New Roman" w:hAnsi="Times New Roman" w:cs="Times New Roman"/>
          <w:sz w:val="24"/>
          <w:szCs w:val="24"/>
        </w:rPr>
        <w:t xml:space="preserve">mbros de la Comisión, que </w:t>
      </w:r>
      <w:r w:rsidRPr="0038308B">
        <w:rPr>
          <w:rFonts w:ascii="Times New Roman" w:hAnsi="Times New Roman" w:cs="Times New Roman"/>
          <w:sz w:val="24"/>
          <w:szCs w:val="24"/>
        </w:rPr>
        <w:t>deberán pasar su audiencia en el Parlamento Europeo:</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Frans Timmermans (Países Bajos). Vicepresidencia primera para un Pacto Verde Europeo</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Margrethe Vestager (Dinamarca). Vicepresidencia segunda para la Era Digital y comisaria de Competencia</w:t>
      </w:r>
    </w:p>
    <w:p w:rsidR="00544A66"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Valdis Dombrovskis (Letonia). Vicepresidencia tercera para Economía</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Josep Borrell (España). Vicepresidente y Alto Representante de Política Exterior</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Margaritis Schinas (Grecia). Vicepresidente para la Protección del European Way of Life</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Dubravka Šuica (Croacia). Vicepresidenta para Democracia y Demografía</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Vera Jourova (República Checa). Vicepresidenta para Valores y Transparencia</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Maroš Šefčovič (Eslovaquia). Vicepresidente para Relaciones Interinstitucionales</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Paolo Gentiloni (Italia). Economía</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Sylvie Goulard (Francia). Mercado interior</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Didier Reynders (Bélgica). Justicia</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Johannes Hahn (Austria). Presupuesto</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László Trócsányi (Hungría). Vecindad y ampliación</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lastRenderedPageBreak/>
        <w:t>Elisa Ferreira (Portugal). Cohesión y reformas</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Mariya Gabriel (Bulgaria). Innovación y Juventud</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Jutta Urpilainen (Finlandia). Asociaciones internacionales</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Janusz Wojciechowski (Polonia). Agricultura</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Kadri Simson (Estonia). Energía</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Phil Hogan (Irlanda). Comercio</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Virginijus Sinkevičius (Lituania). Medio ambiente y océanos</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Nicolas Schmit (Luxemburgo). Trabajo</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Helena Dalli (Malta). Igualdad</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Janez Lenarčič (Eslovenia). Gestión de crisis</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Rovana Plumb (Rumania). Transporte</w:t>
      </w:r>
    </w:p>
    <w:p w:rsidR="008B4E7E" w:rsidRPr="0038308B"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Yiva Johansson (Suecia). Interior</w:t>
      </w:r>
    </w:p>
    <w:p w:rsidR="008B4E7E" w:rsidRDefault="008B4E7E" w:rsidP="008B4E7E">
      <w:pPr>
        <w:spacing w:line="240" w:lineRule="auto"/>
        <w:jc w:val="both"/>
        <w:rPr>
          <w:rFonts w:ascii="Times New Roman" w:hAnsi="Times New Roman" w:cs="Times New Roman"/>
          <w:sz w:val="24"/>
          <w:szCs w:val="24"/>
        </w:rPr>
      </w:pPr>
      <w:r w:rsidRPr="0038308B">
        <w:rPr>
          <w:rFonts w:ascii="Times New Roman" w:hAnsi="Times New Roman" w:cs="Times New Roman"/>
          <w:sz w:val="24"/>
          <w:szCs w:val="24"/>
        </w:rPr>
        <w:t>Stella Kydiakides (Chipre). Salud</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(30/9/19) El Parlamento Europeo tumba a los comisarios de Rumanía y Hungría: declara “no aptos” a los candidatos, forzando a Ursula von der Leyen a buscar alternativa.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(10/10)19) El Parlamento Europeo tumba a la candidata francesa como comisaria de la UE: Sylvie Goulard no logra convencer a los eurodiputados sobre una investigación que tiene abierta en Francia.</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Quedan por resolverse las tres candidaturas rechazadas, y su aprobación por el Parlamento.</w:t>
      </w:r>
    </w:p>
    <w:p w:rsidR="008B4E7E" w:rsidRPr="00812D47" w:rsidRDefault="008B4E7E" w:rsidP="008B4E7E">
      <w:pPr>
        <w:spacing w:line="240" w:lineRule="auto"/>
        <w:jc w:val="both"/>
        <w:rPr>
          <w:rFonts w:ascii="Times New Roman" w:hAnsi="Times New Roman" w:cs="Times New Roman"/>
          <w:sz w:val="24"/>
          <w:szCs w:val="24"/>
        </w:rPr>
      </w:pPr>
      <w:r w:rsidRPr="00812D47">
        <w:rPr>
          <w:rFonts w:ascii="Times New Roman" w:hAnsi="Times New Roman" w:cs="Times New Roman"/>
          <w:sz w:val="24"/>
          <w:szCs w:val="24"/>
        </w:rPr>
        <w:t>(17/10/19) Y en esas estamos</w:t>
      </w:r>
      <w:r w:rsidR="00C12742" w:rsidRPr="00812D47">
        <w:rPr>
          <w:rFonts w:ascii="Times New Roman" w:hAnsi="Times New Roman" w:cs="Times New Roman"/>
          <w:sz w:val="24"/>
          <w:szCs w:val="24"/>
        </w:rPr>
        <w:t>…</w:t>
      </w:r>
      <w:r w:rsidRPr="00812D47">
        <w:rPr>
          <w:rFonts w:ascii="Times New Roman" w:hAnsi="Times New Roman" w:cs="Times New Roman"/>
          <w:sz w:val="24"/>
          <w:szCs w:val="24"/>
        </w:rPr>
        <w:t xml:space="preserve"> Nadie sabe si el 1/11/19 entrará en funciones la nueva CE.</w:t>
      </w:r>
    </w:p>
    <w:p w:rsidR="00812D47" w:rsidRDefault="008B4E7E" w:rsidP="008B4E7E">
      <w:pPr>
        <w:spacing w:line="240" w:lineRule="auto"/>
        <w:jc w:val="both"/>
        <w:rPr>
          <w:rFonts w:ascii="Times New Roman" w:hAnsi="Times New Roman" w:cs="Times New Roman"/>
          <w:b/>
          <w:sz w:val="24"/>
          <w:szCs w:val="24"/>
        </w:rPr>
      </w:pPr>
      <w:r w:rsidRPr="004D5328">
        <w:rPr>
          <w:rFonts w:ascii="Times New Roman" w:hAnsi="Times New Roman" w:cs="Times New Roman"/>
          <w:b/>
          <w:sz w:val="24"/>
          <w:szCs w:val="24"/>
        </w:rPr>
        <w:t>Con esta “sopa” de nacionalidades, partidos políticos, ideologías, filias y fobias…sería casi “milagroso” que transformaran</w:t>
      </w:r>
      <w:r w:rsidR="004D5328">
        <w:rPr>
          <w:rFonts w:ascii="Times New Roman" w:hAnsi="Times New Roman" w:cs="Times New Roman"/>
          <w:b/>
          <w:sz w:val="24"/>
          <w:szCs w:val="24"/>
        </w:rPr>
        <w:t>,</w:t>
      </w:r>
      <w:r w:rsidRPr="004D5328">
        <w:rPr>
          <w:rFonts w:ascii="Times New Roman" w:hAnsi="Times New Roman" w:cs="Times New Roman"/>
          <w:b/>
          <w:sz w:val="24"/>
          <w:szCs w:val="24"/>
        </w:rPr>
        <w:t xml:space="preserve"> un periodo alucinógeno, en una etapa de pulsiones creativas. Parecería razonable esperar (desear) que, al menos, no “e</w:t>
      </w:r>
      <w:r w:rsidR="004D5328">
        <w:rPr>
          <w:rFonts w:ascii="Times New Roman" w:hAnsi="Times New Roman" w:cs="Times New Roman"/>
          <w:b/>
          <w:sz w:val="24"/>
          <w:szCs w:val="24"/>
        </w:rPr>
        <w:t>mpollen” nuevos “cisnes negros”</w:t>
      </w:r>
      <w:r w:rsidRPr="004D5328">
        <w:rPr>
          <w:rFonts w:ascii="Times New Roman" w:hAnsi="Times New Roman" w:cs="Times New Roman"/>
          <w:b/>
          <w:sz w:val="24"/>
          <w:szCs w:val="24"/>
        </w:rPr>
        <w:t xml:space="preserve"> y</w:t>
      </w:r>
      <w:r w:rsidR="004D5328">
        <w:rPr>
          <w:rFonts w:ascii="Times New Roman" w:hAnsi="Times New Roman" w:cs="Times New Roman"/>
          <w:b/>
          <w:sz w:val="24"/>
          <w:szCs w:val="24"/>
        </w:rPr>
        <w:t>,</w:t>
      </w:r>
      <w:r w:rsidRPr="004D5328">
        <w:rPr>
          <w:rFonts w:ascii="Times New Roman" w:hAnsi="Times New Roman" w:cs="Times New Roman"/>
          <w:b/>
          <w:sz w:val="24"/>
          <w:szCs w:val="24"/>
        </w:rPr>
        <w:t xml:space="preserve"> urgente y necesario</w:t>
      </w:r>
      <w:r w:rsidR="004D5328">
        <w:rPr>
          <w:rFonts w:ascii="Times New Roman" w:hAnsi="Times New Roman" w:cs="Times New Roman"/>
          <w:b/>
          <w:sz w:val="24"/>
          <w:szCs w:val="24"/>
        </w:rPr>
        <w:t>,</w:t>
      </w:r>
      <w:r w:rsidR="00C12742">
        <w:rPr>
          <w:rFonts w:ascii="Times New Roman" w:hAnsi="Times New Roman" w:cs="Times New Roman"/>
          <w:b/>
          <w:sz w:val="24"/>
          <w:szCs w:val="24"/>
        </w:rPr>
        <w:t xml:space="preserve"> pedir (rogar) que “sobre todo, no hagan daño”; que dejen</w:t>
      </w:r>
      <w:r w:rsidRPr="004D5328">
        <w:rPr>
          <w:rFonts w:ascii="Times New Roman" w:hAnsi="Times New Roman" w:cs="Times New Roman"/>
          <w:b/>
          <w:sz w:val="24"/>
          <w:szCs w:val="24"/>
        </w:rPr>
        <w:t xml:space="preserve"> algo para romper (deteriorar/perjudicar) a las próximas generaciones. </w:t>
      </w:r>
    </w:p>
    <w:p w:rsidR="00177DBB" w:rsidRDefault="00812D47" w:rsidP="00177DBB">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t>Ni la Pax de Mambrú (USA</w:t>
      </w:r>
      <w:r w:rsidRPr="00812D47">
        <w:rPr>
          <w:rFonts w:ascii="Times New Roman" w:hAnsi="Times New Roman" w:cs="Times New Roman"/>
          <w:b/>
          <w:sz w:val="24"/>
          <w:szCs w:val="24"/>
        </w:rPr>
        <w:t xml:space="preserve"> vs. China), ni el divorcio del Brexit, ni siquiera la constitución de la  Comisión Europea, nada de nada, para llevarse a la boca durante el mes de octubre. Menos mal que el líder de Estado Islámico, Abú Bakr al-</w:t>
      </w:r>
      <w:r w:rsidR="005C6D86">
        <w:rPr>
          <w:rFonts w:ascii="Times New Roman" w:hAnsi="Times New Roman" w:cs="Times New Roman"/>
          <w:b/>
          <w:sz w:val="24"/>
          <w:szCs w:val="24"/>
        </w:rPr>
        <w:t xml:space="preserve">Baghdadi, se “voló” a la mierda, para regocijo de POTUS. Triste, solitario y final: </w:t>
      </w:r>
      <w:r w:rsidR="005C6D86" w:rsidRPr="005C6D86">
        <w:rPr>
          <w:rFonts w:ascii="Times New Roman" w:hAnsi="Times New Roman" w:cs="Times New Roman"/>
          <w:b/>
          <w:sz w:val="24"/>
          <w:szCs w:val="24"/>
        </w:rPr>
        <w:t>l</w:t>
      </w:r>
      <w:r w:rsidR="00177DBB" w:rsidRPr="005C6D86">
        <w:rPr>
          <w:rFonts w:ascii="Times New Roman" w:hAnsi="Times New Roman" w:cs="Times New Roman"/>
          <w:b/>
          <w:sz w:val="24"/>
          <w:szCs w:val="24"/>
        </w:rPr>
        <w:t xml:space="preserve">amento tener que decir, una vez recorrida la </w:t>
      </w:r>
      <w:r w:rsidR="005C6D86">
        <w:rPr>
          <w:rFonts w:ascii="Times New Roman" w:hAnsi="Times New Roman" w:cs="Times New Roman"/>
          <w:b/>
          <w:sz w:val="24"/>
          <w:szCs w:val="24"/>
        </w:rPr>
        <w:t>“maldita” hemeroteca de octubre 2019</w:t>
      </w:r>
      <w:r w:rsidR="00177DBB" w:rsidRPr="005C6D86">
        <w:rPr>
          <w:rFonts w:ascii="Times New Roman" w:hAnsi="Times New Roman" w:cs="Times New Roman"/>
          <w:b/>
          <w:sz w:val="24"/>
          <w:szCs w:val="24"/>
        </w:rPr>
        <w:t>: “que hoy es ayer”…</w:t>
      </w:r>
    </w:p>
    <w:p w:rsidR="00812D47" w:rsidRPr="00812D47" w:rsidRDefault="00812D47" w:rsidP="00812D47">
      <w:pPr>
        <w:spacing w:line="240" w:lineRule="auto"/>
        <w:jc w:val="both"/>
        <w:rPr>
          <w:rFonts w:ascii="Times New Roman" w:hAnsi="Times New Roman" w:cs="Times New Roman"/>
          <w:b/>
          <w:sz w:val="24"/>
          <w:szCs w:val="24"/>
        </w:rPr>
      </w:pPr>
      <w:r w:rsidRPr="00812D47">
        <w:rPr>
          <w:rFonts w:ascii="Times New Roman" w:hAnsi="Times New Roman" w:cs="Times New Roman"/>
          <w:b/>
          <w:sz w:val="24"/>
          <w:szCs w:val="24"/>
        </w:rPr>
        <w:t>Lamento haber esperado un mes para cerrar el Paper, donde el único hecho relevante ha sido la confirmación del encefalograma plano de los países avanzados (ahora</w:t>
      </w:r>
      <w:r>
        <w:rPr>
          <w:rFonts w:ascii="Times New Roman" w:hAnsi="Times New Roman" w:cs="Times New Roman"/>
          <w:b/>
          <w:sz w:val="24"/>
          <w:szCs w:val="24"/>
        </w:rPr>
        <w:t>,</w:t>
      </w:r>
      <w:r w:rsidRPr="00812D47">
        <w:rPr>
          <w:rFonts w:ascii="Times New Roman" w:hAnsi="Times New Roman" w:cs="Times New Roman"/>
          <w:b/>
          <w:sz w:val="24"/>
          <w:szCs w:val="24"/>
        </w:rPr>
        <w:t xml:space="preserve"> en vías de subdesarroll</w:t>
      </w:r>
      <w:r w:rsidR="0009075E">
        <w:rPr>
          <w:rFonts w:ascii="Times New Roman" w:hAnsi="Times New Roman" w:cs="Times New Roman"/>
          <w:b/>
          <w:sz w:val="24"/>
          <w:szCs w:val="24"/>
        </w:rPr>
        <w:t>o). Por el momento, f</w:t>
      </w:r>
      <w:r w:rsidRPr="00812D47">
        <w:rPr>
          <w:rFonts w:ascii="Times New Roman" w:hAnsi="Times New Roman" w:cs="Times New Roman"/>
          <w:b/>
          <w:sz w:val="24"/>
          <w:szCs w:val="24"/>
        </w:rPr>
        <w:t>alta saber si es un coma inducido o una muerte cerebral irreversible.</w:t>
      </w:r>
      <w:r w:rsidR="0009075E">
        <w:rPr>
          <w:rFonts w:ascii="Times New Roman" w:hAnsi="Times New Roman" w:cs="Times New Roman"/>
          <w:b/>
          <w:sz w:val="24"/>
          <w:szCs w:val="24"/>
        </w:rPr>
        <w:t xml:space="preserve"> Se aceptan diagnósticos…</w:t>
      </w:r>
    </w:p>
    <w:p w:rsidR="0009075E" w:rsidRDefault="0009075E" w:rsidP="008B4E7E">
      <w:pPr>
        <w:spacing w:line="240" w:lineRule="auto"/>
        <w:jc w:val="both"/>
        <w:rPr>
          <w:rFonts w:ascii="Times New Roman" w:hAnsi="Times New Roman" w:cs="Times New Roman"/>
          <w:b/>
          <w:sz w:val="24"/>
          <w:szCs w:val="24"/>
        </w:rPr>
      </w:pPr>
    </w:p>
    <w:p w:rsidR="008B4E7E" w:rsidRPr="008D4F23" w:rsidRDefault="008B4E7E" w:rsidP="008B4E7E">
      <w:pPr>
        <w:spacing w:line="240" w:lineRule="auto"/>
        <w:jc w:val="both"/>
        <w:rPr>
          <w:rFonts w:ascii="Times New Roman" w:hAnsi="Times New Roman" w:cs="Times New Roman"/>
          <w:b/>
          <w:sz w:val="24"/>
          <w:szCs w:val="24"/>
        </w:rPr>
      </w:pPr>
      <w:r w:rsidRPr="008D4F23">
        <w:rPr>
          <w:rFonts w:ascii="Times New Roman" w:hAnsi="Times New Roman" w:cs="Times New Roman"/>
          <w:b/>
          <w:sz w:val="24"/>
          <w:szCs w:val="24"/>
        </w:rPr>
        <w:lastRenderedPageBreak/>
        <w:t>Aquellos “buenos tiempos”</w:t>
      </w:r>
      <w:r>
        <w:rPr>
          <w:rFonts w:ascii="Times New Roman" w:hAnsi="Times New Roman" w:cs="Times New Roman"/>
          <w:b/>
          <w:sz w:val="24"/>
          <w:szCs w:val="24"/>
        </w:rPr>
        <w:t>,</w:t>
      </w:r>
      <w:r w:rsidRPr="008D4F23">
        <w:rPr>
          <w:rFonts w:ascii="Times New Roman" w:hAnsi="Times New Roman" w:cs="Times New Roman"/>
          <w:b/>
          <w:sz w:val="24"/>
          <w:szCs w:val="24"/>
        </w:rPr>
        <w:t xml:space="preserve"> quedaron atrás…</w:t>
      </w: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Los teóricos de la “nueva economía” (algunos, charlatanes. y bastantes, incompetentes) imaginaron un futuro de innovaciones ininterrumpidas y crecimiento infinito.</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peligro de la ignorancia: “a las resultas” de la nueva economía, un viento de pánico y la demagogia pueden interrumpir o anular todo el proyecto de la Unión Europea o de la Eurozona. Desdichadamente en tiempos de crisis, a menudo resurge el pensamiento mágico y acaba con la razón adquirida.</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¿Cuándo los “hechos” (falta de crecimiento, desempleo, precariedad laboral, reducción de los ingresos, conflictividad social…), serán más persuasivos que los “mitos” (globalización, librecambio, financierización, desregulación, privatización, deslocalización…)?</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Si por ideología, por ignorancia, o por interés personal, se sigue impulsando el “multirateralismo” (globalización, librecambio), que al menos se implanten los mecanismos para administrar las transiciones penosas de los actores sociales que se ven afectados por los oficios invalidados.</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Según los liberales “integristas”, la globalización ya no es una elección: es un hecho. Aunque no fuera posible negar ninguna de las dos cosas, al menos deberían aceptar la desestabilización de las actividades económicas, el menor ritmo de crecimiento en los países avanzados, la destrucción de empleo, y la angustia social que provoca en las clases menos privilegiadas.</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Aunque no se quiera negar el hecho de la globalización, nadie puede negar que la globalización perturba a la sociedad de los países avanzados, redistribuye los poderes, crea desigualdades nuevas, y despoja a los gobiernos del poder de defenderse contra la invasión de los productos extranjeros.</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Dicen los partidarios de la “destrucción creadora” que la añoranza es mala consejera. También sostienen que los europeos son más nostálgicos que los estadounidenses (¿recuerdan cuando Kagan dijo que: “los europeos son de Venus y los americanos de Marte”?), y que lo pagan con el estancamiento: “en Europa las empresas dominantes son casi todas antiguas y hasta muy antiguas” (sic). “En cambio, los EEUU son un cementerio de empresas desaparecidas o en vías de desaparición” (sic). </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A diferencia del mercado europeo, el norteamericano está dominado por las empresas de la “nueva economía” -Google, Amazon, Facebook, Apple- que hace veinte años no existían y que no tiene equivalentes fuera de los Estados Unidos.</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Lo antedicho solo describe la “nueva economía”, vale decir, la producción de riquezas materiales y su crecimiento concebible. Algunos pueden preferir los valores no cuantificables, como la solidaridad social o la cultura nacional, suponiendo que esos valores inmateriales no tuvieran ninguna necesidad de un fundamento material.</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Lo que resulta incoherente es buscar el crecimiento siguiendo un camino que no conduce a él. Esta es la enseñanza principal que puede dejar la nueva economía, economía disruptiva, gig-economy, economía de plataformas, robotización, inteligencia artificial, </w:t>
      </w:r>
      <w:r w:rsidRPr="005938D1">
        <w:rPr>
          <w:rFonts w:ascii="Times New Roman" w:hAnsi="Times New Roman" w:cs="Times New Roman"/>
          <w:sz w:val="24"/>
          <w:szCs w:val="24"/>
        </w:rPr>
        <w:t xml:space="preserve">los algoritmos que </w:t>
      </w:r>
      <w:r w:rsidRPr="005938D1">
        <w:rPr>
          <w:rFonts w:ascii="Times New Roman" w:hAnsi="Times New Roman" w:cs="Times New Roman"/>
          <w:sz w:val="24"/>
          <w:szCs w:val="24"/>
        </w:rPr>
        <w:lastRenderedPageBreak/>
        <w:t>permiten a las empresas obtener ganancias provenientes del registro de comportamiento pasado, presente y futuro de los usuarios (excedente de comportamiento)</w:t>
      </w:r>
      <w:r>
        <w:rPr>
          <w:rFonts w:ascii="Times New Roman" w:hAnsi="Times New Roman" w:cs="Times New Roman"/>
          <w:sz w:val="24"/>
          <w:szCs w:val="24"/>
        </w:rPr>
        <w:t>, a la vieja Europa.</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¿Estarán dispuestas las nuevas autoridades europeas a cambiar las reglas de juego? ¿Sabrán elegir las mejores alternativas de desarrollo y competitividad posibles? ¿Podrán </w:t>
      </w:r>
      <w:r w:rsidRPr="005938D1">
        <w:rPr>
          <w:rFonts w:ascii="Times New Roman" w:hAnsi="Times New Roman" w:cs="Times New Roman"/>
          <w:sz w:val="24"/>
          <w:szCs w:val="24"/>
        </w:rPr>
        <w:t>Von der Leyen y los “ursulinos”</w:t>
      </w:r>
      <w:r>
        <w:rPr>
          <w:rFonts w:ascii="Times New Roman" w:hAnsi="Times New Roman" w:cs="Times New Roman"/>
          <w:sz w:val="24"/>
          <w:szCs w:val="24"/>
        </w:rPr>
        <w:t>, vertebrar una Unión Europea, autónoma y libre? ¿Se animará la Comisión Europea a pasar de las palabras a los hechos, de la expresión a la acción, de la intención a la ejecución? ¿Abandonaran el estado de relativización permanente?</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¿Dejará el Consejo Europeo de perder oportunidades? ¿Volverá la Unión Europea a recuperar el afecto de los países amigos, y el respeto de los países competidores? ¿Acertarán </w:t>
      </w:r>
      <w:r w:rsidRPr="005938D1">
        <w:rPr>
          <w:rFonts w:ascii="Times New Roman" w:hAnsi="Times New Roman" w:cs="Times New Roman"/>
          <w:sz w:val="24"/>
          <w:szCs w:val="24"/>
        </w:rPr>
        <w:t>Von der Leyen y los “ursulinos”</w:t>
      </w:r>
      <w:r>
        <w:rPr>
          <w:rFonts w:ascii="Times New Roman" w:hAnsi="Times New Roman" w:cs="Times New Roman"/>
          <w:sz w:val="24"/>
          <w:szCs w:val="24"/>
        </w:rPr>
        <w:t xml:space="preserve">, en pasar de una economía “extractiva” a una economía “inclusiva”? </w:t>
      </w:r>
    </w:p>
    <w:p w:rsidR="008B4E7E" w:rsidRDefault="008B4E7E" w:rsidP="008B4E7E">
      <w:pPr>
        <w:spacing w:line="240" w:lineRule="auto"/>
        <w:jc w:val="both"/>
        <w:rPr>
          <w:rFonts w:ascii="Times New Roman" w:hAnsi="Times New Roman" w:cs="Times New Roman"/>
          <w:sz w:val="24"/>
          <w:szCs w:val="24"/>
        </w:rPr>
      </w:pPr>
      <w:r w:rsidRPr="00486F10">
        <w:rPr>
          <w:rFonts w:ascii="Times New Roman" w:hAnsi="Times New Roman" w:cs="Times New Roman"/>
          <w:sz w:val="24"/>
          <w:szCs w:val="24"/>
        </w:rPr>
        <w:t>Es una situación de extrema fragilidad de las instituciones europeas muy poco alentadoras (pérdida de confianza de los ciudadanos, carencia de liderazgo, intereses enfrentados, dificultades para alcanzar acuerdos consensuados, falta de emprendimientos estratégicos</w:t>
      </w:r>
      <w:r>
        <w:rPr>
          <w:rFonts w:ascii="Times New Roman" w:hAnsi="Times New Roman" w:cs="Times New Roman"/>
          <w:sz w:val="24"/>
          <w:szCs w:val="24"/>
        </w:rPr>
        <w:t>, incumplimiento de las metas y planes a largo plazo</w:t>
      </w:r>
      <w:r w:rsidRPr="00486F10">
        <w:rPr>
          <w:rFonts w:ascii="Times New Roman" w:hAnsi="Times New Roman" w:cs="Times New Roman"/>
          <w:sz w:val="24"/>
          <w:szCs w:val="24"/>
        </w:rPr>
        <w:t>…), en un tiempo en que la democracia y la economía parecen amenazadas incluso en partes del mundo donde se creía que había echado raíces para siempre, las posibilidades de estancamiento, parálisis, retroceso o desintegración de la Unión Europea o la Eurozona, son muy altas. Pero ser conscientes de la fragilidad de la democracia y la economía, europeas, tal vez pueda librarla de la indolencia que nace de dar por sentado el éxito del proyecto.</w:t>
      </w:r>
    </w:p>
    <w:p w:rsidR="008B4E7E" w:rsidRPr="000B43C3" w:rsidRDefault="008B4E7E" w:rsidP="008B4E7E">
      <w:pPr>
        <w:spacing w:line="240" w:lineRule="auto"/>
        <w:jc w:val="both"/>
        <w:rPr>
          <w:rFonts w:ascii="Times New Roman" w:hAnsi="Times New Roman" w:cs="Times New Roman"/>
          <w:b/>
          <w:sz w:val="24"/>
          <w:szCs w:val="24"/>
        </w:rPr>
      </w:pPr>
      <w:r w:rsidRPr="000B43C3">
        <w:rPr>
          <w:rFonts w:ascii="Times New Roman" w:hAnsi="Times New Roman" w:cs="Times New Roman"/>
          <w:b/>
          <w:sz w:val="24"/>
          <w:szCs w:val="24"/>
        </w:rPr>
        <w:t>Realidades (re</w:t>
      </w:r>
      <w:r w:rsidR="00922E26">
        <w:rPr>
          <w:rFonts w:ascii="Times New Roman" w:hAnsi="Times New Roman" w:cs="Times New Roman"/>
          <w:b/>
          <w:sz w:val="24"/>
          <w:szCs w:val="24"/>
        </w:rPr>
        <w:t>sultados) vs. I</w:t>
      </w:r>
      <w:r>
        <w:rPr>
          <w:rFonts w:ascii="Times New Roman" w:hAnsi="Times New Roman" w:cs="Times New Roman"/>
          <w:b/>
          <w:sz w:val="24"/>
          <w:szCs w:val="24"/>
        </w:rPr>
        <w:t>deología (mitos)</w:t>
      </w:r>
    </w:p>
    <w:p w:rsidR="008B4E7E" w:rsidRPr="008D4F23" w:rsidRDefault="008B4E7E" w:rsidP="008B4E7E">
      <w:pPr>
        <w:spacing w:line="240" w:lineRule="auto"/>
        <w:jc w:val="both"/>
        <w:rPr>
          <w:rFonts w:ascii="Times New Roman" w:hAnsi="Times New Roman" w:cs="Times New Roman"/>
          <w:b/>
          <w:sz w:val="24"/>
          <w:szCs w:val="24"/>
        </w:rPr>
      </w:pPr>
      <w:r w:rsidRPr="008D4F23">
        <w:rPr>
          <w:rFonts w:ascii="Times New Roman" w:hAnsi="Times New Roman" w:cs="Times New Roman"/>
          <w:b/>
          <w:sz w:val="24"/>
          <w:szCs w:val="24"/>
        </w:rPr>
        <w:t>Algo huele a podrido en los principales países globalistas: aumentan las desigualdades</w:t>
      </w:r>
    </w:p>
    <w:p w:rsidR="008B4E7E" w:rsidRPr="00AC4F22" w:rsidRDefault="008B4E7E" w:rsidP="008B4E7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pensionistas becarios, riders o minijobers: un gran éxito de la “nueva economía” </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0989">
        <w:rPr>
          <w:rFonts w:ascii="Times New Roman" w:hAnsi="Times New Roman" w:cs="Times New Roman"/>
          <w:sz w:val="24"/>
          <w:szCs w:val="24"/>
          <w:u w:val="single"/>
        </w:rPr>
        <w:t>La jubilación, en vía de extinción en EEUU: el 20% de los trabajadores mayores de 65 años no se pueden permitir dejar de trabajar</w:t>
      </w:r>
      <w:r>
        <w:rPr>
          <w:rFonts w:ascii="Times New Roman" w:hAnsi="Times New Roman" w:cs="Times New Roman"/>
          <w:sz w:val="24"/>
          <w:szCs w:val="24"/>
        </w:rPr>
        <w:t xml:space="preserve"> (El Economista - </w:t>
      </w:r>
      <w:r w:rsidRPr="000B0989">
        <w:rPr>
          <w:rFonts w:ascii="Times New Roman" w:hAnsi="Times New Roman" w:cs="Times New Roman"/>
          <w:b/>
          <w:sz w:val="24"/>
          <w:szCs w:val="24"/>
        </w:rPr>
        <w:t>22/4/19</w:t>
      </w:r>
      <w:r>
        <w:rPr>
          <w:rFonts w:ascii="Times New Roman" w:hAnsi="Times New Roman" w:cs="Times New Roman"/>
          <w:sz w:val="24"/>
          <w:szCs w:val="24"/>
        </w:rPr>
        <w:t>)</w:t>
      </w:r>
    </w:p>
    <w:p w:rsidR="008B4E7E" w:rsidRDefault="008B4E7E" w:rsidP="008B4E7E">
      <w:pPr>
        <w:spacing w:line="240" w:lineRule="auto"/>
        <w:jc w:val="both"/>
        <w:rPr>
          <w:rFonts w:ascii="Times New Roman" w:hAnsi="Times New Roman" w:cs="Times New Roman"/>
          <w:sz w:val="24"/>
          <w:szCs w:val="24"/>
        </w:rPr>
      </w:pPr>
      <w:r w:rsidRPr="000B0989">
        <w:rPr>
          <w:rFonts w:ascii="Times New Roman" w:hAnsi="Times New Roman" w:cs="Times New Roman"/>
          <w:sz w:val="24"/>
          <w:szCs w:val="24"/>
        </w:rPr>
        <w:t>La pensión pública solo alcanza entre el 40 y 50% del último salario</w:t>
      </w:r>
    </w:p>
    <w:p w:rsidR="008B4E7E" w:rsidRDefault="008B4E7E" w:rsidP="008B4E7E">
      <w:pPr>
        <w:spacing w:line="240" w:lineRule="auto"/>
        <w:jc w:val="both"/>
        <w:rPr>
          <w:rFonts w:ascii="Times New Roman" w:hAnsi="Times New Roman" w:cs="Times New Roman"/>
          <w:sz w:val="24"/>
          <w:szCs w:val="24"/>
        </w:rPr>
      </w:pPr>
      <w:r w:rsidRPr="000B0989">
        <w:rPr>
          <w:rFonts w:ascii="Times New Roman" w:hAnsi="Times New Roman" w:cs="Times New Roman"/>
          <w:sz w:val="24"/>
          <w:szCs w:val="24"/>
        </w:rPr>
        <w:t>Los inadecuados planes privados de ahorro y el creciente coste de la sanidad en EEUU están amenazando la jubilación de muchos trabajadores. Por primera vez en 57 años, la población activa mayor de 65 años supera el 20%, según un informe de la gestora de planes priva</w:t>
      </w:r>
      <w:r>
        <w:rPr>
          <w:rFonts w:ascii="Times New Roman" w:hAnsi="Times New Roman" w:cs="Times New Roman"/>
          <w:sz w:val="24"/>
          <w:szCs w:val="24"/>
        </w:rPr>
        <w:t>dos de pensiones United Income.</w:t>
      </w:r>
    </w:p>
    <w:p w:rsidR="0009075E" w:rsidRPr="000B0989" w:rsidRDefault="0009075E" w:rsidP="008B4E7E">
      <w:pPr>
        <w:spacing w:line="240" w:lineRule="auto"/>
        <w:jc w:val="both"/>
        <w:rPr>
          <w:rFonts w:ascii="Times New Roman" w:hAnsi="Times New Roman" w:cs="Times New Roman"/>
          <w:sz w:val="24"/>
          <w:szCs w:val="24"/>
        </w:rPr>
      </w:pPr>
      <w:r>
        <w:rPr>
          <w:noProof/>
          <w:lang w:val="en-GB" w:eastAsia="en-GB"/>
        </w:rPr>
        <w:drawing>
          <wp:inline distT="0" distB="0" distL="0" distR="0">
            <wp:extent cx="5731253" cy="2225488"/>
            <wp:effectExtent l="0" t="0" r="3175" b="3810"/>
            <wp:docPr id="27" name="Imagen 27" descr="https://assets.bwbx.io/images/users/iqjWHBFdfxIU/i7CnaY908sXI/v1/-1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ssets.bwbx.io/images/users/iqjWHBFdfxIU/i7CnaY908sXI/v1/-1x-1.pn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225588"/>
                    </a:xfrm>
                    <a:prstGeom prst="rect">
                      <a:avLst/>
                    </a:prstGeom>
                    <a:noFill/>
                    <a:ln>
                      <a:noFill/>
                    </a:ln>
                  </pic:spPr>
                </pic:pic>
              </a:graphicData>
            </a:graphic>
          </wp:inline>
        </w:drawing>
      </w:r>
    </w:p>
    <w:p w:rsidR="008B4E7E" w:rsidRPr="000B0989" w:rsidRDefault="008B4E7E" w:rsidP="008B4E7E">
      <w:pPr>
        <w:spacing w:line="240" w:lineRule="auto"/>
        <w:jc w:val="both"/>
        <w:rPr>
          <w:rFonts w:ascii="Times New Roman" w:hAnsi="Times New Roman" w:cs="Times New Roman"/>
          <w:sz w:val="24"/>
          <w:szCs w:val="24"/>
        </w:rPr>
      </w:pPr>
      <w:r w:rsidRPr="000B0989">
        <w:rPr>
          <w:rFonts w:ascii="Times New Roman" w:hAnsi="Times New Roman" w:cs="Times New Roman"/>
          <w:sz w:val="24"/>
          <w:szCs w:val="24"/>
        </w:rPr>
        <w:lastRenderedPageBreak/>
        <w:t>A final de siglo, desaparecieron las familias americanas que vivían con un solo sueldo, por la caída de los salarios y aumento del coste de la vida. Y ahora en el comienzo del siglo XXI el paradigma está cambiando para la parte de la población más mayor. En 35 años, los trabajadores mayores de 65 años que buscan empleo o lo tienen se han duplicado, al pasar la tasa de actividad del 10% al 20%.</w:t>
      </w:r>
    </w:p>
    <w:p w:rsidR="008B4E7E" w:rsidRPr="000B0989" w:rsidRDefault="008B4E7E" w:rsidP="008B4E7E">
      <w:pPr>
        <w:spacing w:line="240" w:lineRule="auto"/>
        <w:jc w:val="both"/>
        <w:rPr>
          <w:rFonts w:ascii="Times New Roman" w:hAnsi="Times New Roman" w:cs="Times New Roman"/>
          <w:sz w:val="24"/>
          <w:szCs w:val="24"/>
        </w:rPr>
      </w:pPr>
      <w:r w:rsidRPr="000B0989">
        <w:rPr>
          <w:rFonts w:ascii="Times New Roman" w:hAnsi="Times New Roman" w:cs="Times New Roman"/>
          <w:sz w:val="24"/>
          <w:szCs w:val="24"/>
        </w:rPr>
        <w:t>EEUU cuenta con un sistema de pensiones público al que se tiene acceso a partir de los 62 años, pero aunque el trabajador apure hasta los 67 años, edad para cobrar el máximo de pensión, solo cubre una parte mínima de las necesidades económicas para mantener el nivel de vida. Teresa Ghilarducci, profesora de economía de la New School for Social Research, estima que el retiro público solo reemplaza entre el 40 y el 50% de los ingresos previos a la jubilación. La norma básica en EEUU dicta que los jubilados deben mantener el 80% de los ingresos para no empobrecerse.</w:t>
      </w:r>
    </w:p>
    <w:p w:rsidR="008B4E7E" w:rsidRPr="000B0989" w:rsidRDefault="008B4E7E" w:rsidP="008B4E7E">
      <w:pPr>
        <w:spacing w:line="240" w:lineRule="auto"/>
        <w:jc w:val="both"/>
        <w:rPr>
          <w:rFonts w:ascii="Times New Roman" w:hAnsi="Times New Roman" w:cs="Times New Roman"/>
          <w:sz w:val="24"/>
          <w:szCs w:val="24"/>
        </w:rPr>
      </w:pPr>
      <w:r w:rsidRPr="000B0989">
        <w:rPr>
          <w:rFonts w:ascii="Times New Roman" w:hAnsi="Times New Roman" w:cs="Times New Roman"/>
          <w:sz w:val="24"/>
          <w:szCs w:val="24"/>
        </w:rPr>
        <w:t>Por este motivo, los trabajadores tienen que recurrir a planes de pensiones, fomentado por las propias empresas como el famoso plan 401 o planes de pensiones tradicionales para completar la pensión de jubilación. Sin embargo, para muchos empleos esto exige un esfuerzo titánico alcanzar el 80% en la tasa de reemplazo, porcentaje entre el último salarios y la paga media de jubilación. Los expertos calculan que un trabajador estadounidense debe haber acumulado en pensión complementaria un</w:t>
      </w:r>
      <w:r>
        <w:rPr>
          <w:rFonts w:ascii="Times New Roman" w:hAnsi="Times New Roman" w:cs="Times New Roman"/>
          <w:sz w:val="24"/>
          <w:szCs w:val="24"/>
        </w:rPr>
        <w:t>as ocho veces su salario anual.</w:t>
      </w:r>
    </w:p>
    <w:p w:rsidR="008B4E7E" w:rsidRPr="000B0989" w:rsidRDefault="008B4E7E" w:rsidP="008B4E7E">
      <w:pPr>
        <w:spacing w:line="240" w:lineRule="auto"/>
        <w:jc w:val="both"/>
        <w:rPr>
          <w:rFonts w:ascii="Times New Roman" w:hAnsi="Times New Roman" w:cs="Times New Roman"/>
          <w:sz w:val="24"/>
          <w:szCs w:val="24"/>
        </w:rPr>
      </w:pPr>
      <w:r w:rsidRPr="000B0989">
        <w:rPr>
          <w:rFonts w:ascii="Times New Roman" w:hAnsi="Times New Roman" w:cs="Times New Roman"/>
          <w:sz w:val="24"/>
          <w:szCs w:val="24"/>
        </w:rPr>
        <w:t>El trabajador medio, que gana menos de 40.000 dólares al año, no consigue ahorrar para la jubilación, según el estudio de Ghilarducci para United Income. Para los empleados con un sueldo medio entre 40.000 dólares anuales y 115.000 dólares, logran ahorrar 60.000 dólares, insuficiente para alcanzar el 80% de los ingresos de cuando se está trabajando. Incluso, los trabajadores que se sitúan en el percentil más alto de salarios, por encima de 105.000 dólares, no llegan a la capacidad de ahorro óptimo. Solo alcanzan los 200.000 dólares, aunque según detalla el estudio no suelen contabilizarse inversiones en activos inmobiliarios.</w:t>
      </w:r>
    </w:p>
    <w:p w:rsidR="008B4E7E" w:rsidRPr="000B0989" w:rsidRDefault="008B4E7E" w:rsidP="008B4E7E">
      <w:pPr>
        <w:spacing w:line="240" w:lineRule="auto"/>
        <w:jc w:val="both"/>
        <w:rPr>
          <w:rFonts w:ascii="Times New Roman" w:hAnsi="Times New Roman" w:cs="Times New Roman"/>
          <w:sz w:val="24"/>
          <w:szCs w:val="24"/>
        </w:rPr>
      </w:pPr>
      <w:r>
        <w:rPr>
          <w:noProof/>
          <w:lang w:val="en-GB" w:eastAsia="en-GB"/>
        </w:rPr>
        <w:drawing>
          <wp:inline distT="0" distB="0" distL="0" distR="0">
            <wp:extent cx="5732437" cy="2541494"/>
            <wp:effectExtent l="0" t="0" r="1905" b="0"/>
            <wp:docPr id="10" name="Imagen 10" descr="https://assets.bwbx.io/images/users/iqjWHBFdfxIU/iMZORo0JrsEE/v1/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ssets.bwbx.io/images/users/iqjWHBFdfxIU/iMZORo0JrsEE/v1/800x-1.pn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41083"/>
                    </a:xfrm>
                    <a:prstGeom prst="rect">
                      <a:avLst/>
                    </a:prstGeom>
                    <a:noFill/>
                    <a:ln>
                      <a:noFill/>
                    </a:ln>
                  </pic:spPr>
                </pic:pic>
              </a:graphicData>
            </a:graphic>
          </wp:inline>
        </w:drawing>
      </w:r>
    </w:p>
    <w:p w:rsidR="008B4E7E" w:rsidRPr="00721997" w:rsidRDefault="008B4E7E" w:rsidP="008B4E7E">
      <w:pPr>
        <w:spacing w:line="240" w:lineRule="auto"/>
        <w:jc w:val="both"/>
        <w:rPr>
          <w:rFonts w:ascii="Times New Roman" w:hAnsi="Times New Roman" w:cs="Times New Roman"/>
          <w:sz w:val="24"/>
          <w:szCs w:val="24"/>
        </w:rPr>
      </w:pPr>
      <w:r w:rsidRPr="000B0989">
        <w:rPr>
          <w:rFonts w:ascii="Times New Roman" w:hAnsi="Times New Roman" w:cs="Times New Roman"/>
          <w:sz w:val="24"/>
          <w:szCs w:val="24"/>
        </w:rPr>
        <w:t xml:space="preserve">Este cambio estructural no está golpeando a los estratos más bajos, sino a las clases medias. El mayor aumento en el empleo de personas de mayores de 65 años ha sido para los que tienen educación universitaria, que suelen tener mejores salarios; la proporción de todos los empleados de 65 años o más con al menos un título universitario es ahora del 53%, en </w:t>
      </w:r>
      <w:r>
        <w:rPr>
          <w:rFonts w:ascii="Times New Roman" w:hAnsi="Times New Roman" w:cs="Times New Roman"/>
          <w:sz w:val="24"/>
          <w:szCs w:val="24"/>
        </w:rPr>
        <w:t>comparación con el 25% en 1985.</w:t>
      </w:r>
    </w:p>
    <w:p w:rsidR="008B4E7E" w:rsidRDefault="008B4E7E" w:rsidP="008B4E7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Y en Alemania, otro exitazo:</w:t>
      </w:r>
      <w:r w:rsidRPr="008D4F23">
        <w:rPr>
          <w:rFonts w:ascii="Times New Roman" w:hAnsi="Times New Roman" w:cs="Times New Roman"/>
          <w:b/>
          <w:sz w:val="24"/>
          <w:szCs w:val="24"/>
        </w:rPr>
        <w:t xml:space="preserve"> los jubilados son “minijobers”, porque su pensión no les alcanza para vivir</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3313">
        <w:rPr>
          <w:rFonts w:ascii="Times New Roman" w:hAnsi="Times New Roman" w:cs="Times New Roman"/>
          <w:sz w:val="24"/>
          <w:szCs w:val="24"/>
          <w:u w:val="single"/>
        </w:rPr>
        <w:t>La mitad de los jubilados alemanes compagina la pensión con un “minijob”</w:t>
      </w:r>
      <w:r>
        <w:rPr>
          <w:rFonts w:ascii="Times New Roman" w:hAnsi="Times New Roman" w:cs="Times New Roman"/>
          <w:sz w:val="24"/>
          <w:szCs w:val="24"/>
        </w:rPr>
        <w:t xml:space="preserve"> (El Economista - </w:t>
      </w:r>
      <w:r w:rsidRPr="008D4F23">
        <w:rPr>
          <w:rFonts w:ascii="Times New Roman" w:hAnsi="Times New Roman" w:cs="Times New Roman"/>
          <w:b/>
          <w:sz w:val="24"/>
          <w:szCs w:val="24"/>
        </w:rPr>
        <w:t>9/4/18</w:t>
      </w:r>
      <w:r>
        <w:rPr>
          <w:rFonts w:ascii="Times New Roman" w:hAnsi="Times New Roman" w:cs="Times New Roman"/>
          <w:sz w:val="24"/>
          <w:szCs w:val="24"/>
        </w:rPr>
        <w:t>)</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D4F23">
        <w:rPr>
          <w:rFonts w:ascii="Times New Roman" w:hAnsi="Times New Roman" w:cs="Times New Roman"/>
          <w:sz w:val="24"/>
          <w:szCs w:val="24"/>
        </w:rPr>
        <w:t>Rubén Gómez del Barrio</w:t>
      </w:r>
      <w:r>
        <w:rPr>
          <w:rFonts w:ascii="Times New Roman" w:hAnsi="Times New Roman" w:cs="Times New Roman"/>
          <w:sz w:val="24"/>
          <w:szCs w:val="24"/>
        </w:rPr>
        <w:t>)</w:t>
      </w:r>
    </w:p>
    <w:p w:rsidR="008B4E7E" w:rsidRPr="002F60EA" w:rsidRDefault="008B4E7E" w:rsidP="008B4E7E">
      <w:pPr>
        <w:spacing w:line="240" w:lineRule="auto"/>
        <w:jc w:val="both"/>
        <w:rPr>
          <w:rFonts w:ascii="Times New Roman" w:hAnsi="Times New Roman" w:cs="Times New Roman"/>
          <w:sz w:val="24"/>
          <w:szCs w:val="24"/>
        </w:rPr>
      </w:pPr>
      <w:r w:rsidRPr="002F60EA">
        <w:rPr>
          <w:rFonts w:ascii="Times New Roman" w:hAnsi="Times New Roman" w:cs="Times New Roman"/>
          <w:sz w:val="24"/>
          <w:szCs w:val="24"/>
        </w:rPr>
        <w:t>Mercedes-Benz registró el mejor trimestre de ventas de su historia al tiempo que Doris, una berlinesa de 68 años, comenzaba su turno como cajera de supermercado. Según la automovilística alemana, con la venta de más de 237.000 vehículos en marzo, se alcanzó el mejor mes de todos los tiempos y el mejor trimestre de la historia. Doris co</w:t>
      </w:r>
      <w:r>
        <w:rPr>
          <w:rFonts w:ascii="Times New Roman" w:hAnsi="Times New Roman" w:cs="Times New Roman"/>
          <w:sz w:val="24"/>
          <w:szCs w:val="24"/>
        </w:rPr>
        <w:t>brará 450 euros a final de mes.</w:t>
      </w:r>
    </w:p>
    <w:p w:rsidR="008B4E7E" w:rsidRPr="002F60EA" w:rsidRDefault="008B4E7E" w:rsidP="008B4E7E">
      <w:pPr>
        <w:spacing w:line="240" w:lineRule="auto"/>
        <w:jc w:val="both"/>
        <w:rPr>
          <w:rFonts w:ascii="Times New Roman" w:hAnsi="Times New Roman" w:cs="Times New Roman"/>
          <w:sz w:val="24"/>
          <w:szCs w:val="24"/>
          <w:u w:val="single"/>
        </w:rPr>
      </w:pPr>
      <w:r w:rsidRPr="002F60EA">
        <w:rPr>
          <w:rFonts w:ascii="Times New Roman" w:hAnsi="Times New Roman" w:cs="Times New Roman"/>
          <w:sz w:val="24"/>
          <w:szCs w:val="24"/>
          <w:u w:val="single"/>
        </w:rPr>
        <w:t>Ni siquiera dos décadas después de que el periódico británico The Economist describiera a Alemania como el “hombre enfermo de Europa”, la primera potencia europea vive un estado de milagro económico que, según la canciller Angela Merkel, “ha llevado al pueblo alemán a vivir su mejor momento”.</w:t>
      </w:r>
    </w:p>
    <w:p w:rsidR="008B4E7E" w:rsidRPr="002F60EA" w:rsidRDefault="008B4E7E" w:rsidP="008B4E7E">
      <w:pPr>
        <w:spacing w:line="240" w:lineRule="auto"/>
        <w:jc w:val="both"/>
        <w:rPr>
          <w:rFonts w:ascii="Times New Roman" w:hAnsi="Times New Roman" w:cs="Times New Roman"/>
          <w:sz w:val="24"/>
          <w:szCs w:val="24"/>
          <w:u w:val="single"/>
        </w:rPr>
      </w:pPr>
      <w:r w:rsidRPr="002F60EA">
        <w:rPr>
          <w:rFonts w:ascii="Times New Roman" w:hAnsi="Times New Roman" w:cs="Times New Roman"/>
          <w:sz w:val="24"/>
          <w:szCs w:val="24"/>
          <w:u w:val="single"/>
        </w:rPr>
        <w:t>El superávit comercial se sitúa en 280.000 millones de euros anuales y el mercado laboral, que desterró hace tiempo tasas de paro de dos dígitos, experimenta uno de los auges mayores de su historia. Pero no todo brilla de la misma forma.</w:t>
      </w:r>
    </w:p>
    <w:p w:rsidR="008B4E7E" w:rsidRPr="002F60EA" w:rsidRDefault="008B4E7E" w:rsidP="008B4E7E">
      <w:pPr>
        <w:spacing w:line="240" w:lineRule="auto"/>
        <w:jc w:val="both"/>
        <w:rPr>
          <w:rFonts w:ascii="Times New Roman" w:hAnsi="Times New Roman" w:cs="Times New Roman"/>
          <w:color w:val="FF0000"/>
          <w:sz w:val="24"/>
          <w:szCs w:val="24"/>
          <w:u w:val="single"/>
        </w:rPr>
      </w:pPr>
      <w:r w:rsidRPr="002F60EA">
        <w:rPr>
          <w:rFonts w:ascii="Times New Roman" w:hAnsi="Times New Roman" w:cs="Times New Roman"/>
          <w:color w:val="FF0000"/>
          <w:sz w:val="24"/>
          <w:szCs w:val="24"/>
          <w:u w:val="single"/>
        </w:rPr>
        <w:t>“Yo no entiendo de cifras -asegura Doris a elEconomista-. Solo sé que con mi pensión y a mi edad tengo que seguir trabajando si quiero llegar a final de mes”. No es la única. Casi la mitad de los pensionistas en activo -un 47,5%,- tenía en 2016 un minijob; un empleo que tiene un límite de remuneración, que no está sujeto al pago de cotizaciones y que e</w:t>
      </w:r>
      <w:r>
        <w:rPr>
          <w:rFonts w:ascii="Times New Roman" w:hAnsi="Times New Roman" w:cs="Times New Roman"/>
          <w:color w:val="FF0000"/>
          <w:sz w:val="24"/>
          <w:szCs w:val="24"/>
          <w:u w:val="single"/>
        </w:rPr>
        <w:t>stá fijado en 450 euros al mes.</w:t>
      </w:r>
    </w:p>
    <w:p w:rsidR="008B4E7E" w:rsidRPr="002F60EA" w:rsidRDefault="008B4E7E" w:rsidP="008B4E7E">
      <w:pPr>
        <w:spacing w:line="240" w:lineRule="auto"/>
        <w:jc w:val="both"/>
        <w:rPr>
          <w:rFonts w:ascii="Times New Roman" w:hAnsi="Times New Roman" w:cs="Times New Roman"/>
          <w:color w:val="FF0000"/>
          <w:sz w:val="24"/>
          <w:szCs w:val="24"/>
          <w:u w:val="single"/>
        </w:rPr>
      </w:pPr>
      <w:r w:rsidRPr="002F60EA">
        <w:rPr>
          <w:rFonts w:ascii="Times New Roman" w:hAnsi="Times New Roman" w:cs="Times New Roman"/>
          <w:color w:val="FF0000"/>
          <w:sz w:val="24"/>
          <w:szCs w:val="24"/>
          <w:u w:val="single"/>
        </w:rPr>
        <w:t>Solo en 2016, últimos datos disponibles, un millón y medio de pensionistas se incorporaron a un puesto de trabajo, según datos del Ministerio de Trabajo alemán. En 2000, esta cifra era de 539.000, según se desprende de una declaración del Gobierno alemán en respuesta a un requerimiento del partido Los Verdes. Todo en un país cada vez más envejecido, y que ya cuenta con 21 millones de jubilados.</w:t>
      </w:r>
    </w:p>
    <w:p w:rsidR="008B4E7E" w:rsidRPr="002F60EA" w:rsidRDefault="008B4E7E" w:rsidP="008B4E7E">
      <w:pPr>
        <w:spacing w:line="240" w:lineRule="auto"/>
        <w:jc w:val="both"/>
        <w:rPr>
          <w:rFonts w:ascii="Times New Roman" w:hAnsi="Times New Roman" w:cs="Times New Roman"/>
          <w:sz w:val="24"/>
          <w:szCs w:val="24"/>
        </w:rPr>
      </w:pPr>
      <w:r w:rsidRPr="002F60EA">
        <w:rPr>
          <w:rFonts w:ascii="Times New Roman" w:hAnsi="Times New Roman" w:cs="Times New Roman"/>
          <w:sz w:val="24"/>
          <w:szCs w:val="24"/>
        </w:rPr>
        <w:t>Modalidad de 2003</w:t>
      </w:r>
    </w:p>
    <w:p w:rsidR="008B4E7E" w:rsidRPr="002F60EA" w:rsidRDefault="008B4E7E" w:rsidP="008B4E7E">
      <w:pPr>
        <w:spacing w:line="240" w:lineRule="auto"/>
        <w:jc w:val="both"/>
        <w:rPr>
          <w:rFonts w:ascii="Times New Roman" w:hAnsi="Times New Roman" w:cs="Times New Roman"/>
          <w:color w:val="FF0000"/>
          <w:sz w:val="24"/>
          <w:szCs w:val="24"/>
          <w:u w:val="single"/>
        </w:rPr>
      </w:pPr>
      <w:r w:rsidRPr="002F60EA">
        <w:rPr>
          <w:rFonts w:ascii="Times New Roman" w:hAnsi="Times New Roman" w:cs="Times New Roman"/>
          <w:color w:val="FF0000"/>
          <w:sz w:val="24"/>
          <w:szCs w:val="24"/>
          <w:u w:val="single"/>
        </w:rPr>
        <w:t>Esta modalidad laboral, que nació en 2003 bajo el mandato de Gerhard Schröder, es para muchos un incentivo a la pobreza y la marginalidad laboral. En el último Informe de pobreza, un 15,4% de la población alemana (12,5 millones de personas) vive en esa condición, de los que 3,4 millones son mayores de 65 años. De hecho, en Alemania se alerta de que esta dramática situación irá a peor con la reducción de las pensiones y el envejecimiento poblacional.</w:t>
      </w:r>
    </w:p>
    <w:p w:rsidR="008B4E7E" w:rsidRPr="002F60EA" w:rsidRDefault="008B4E7E" w:rsidP="008B4E7E">
      <w:pPr>
        <w:spacing w:line="240" w:lineRule="auto"/>
        <w:jc w:val="both"/>
        <w:rPr>
          <w:rFonts w:ascii="Times New Roman" w:hAnsi="Times New Roman" w:cs="Times New Roman"/>
          <w:sz w:val="24"/>
          <w:szCs w:val="24"/>
        </w:rPr>
      </w:pPr>
      <w:r w:rsidRPr="002F60EA">
        <w:rPr>
          <w:rFonts w:ascii="Times New Roman" w:hAnsi="Times New Roman" w:cs="Times New Roman"/>
          <w:b/>
          <w:color w:val="FF0000"/>
          <w:sz w:val="24"/>
          <w:szCs w:val="24"/>
          <w:u w:val="single"/>
        </w:rPr>
        <w:t>Muchos alemanes viven con el drama de no sobrevivir con su pensión, como una paradoja de ser pobres en una de las mayores economías del mundo</w:t>
      </w:r>
      <w:r w:rsidRPr="002F60EA">
        <w:rPr>
          <w:rFonts w:ascii="Times New Roman" w:hAnsi="Times New Roman" w:cs="Times New Roman"/>
          <w:sz w:val="24"/>
          <w:szCs w:val="24"/>
        </w:rPr>
        <w:t>. En esa línea, un 24,8% de los jubilados con trabajo eran anteriormente autónomos. Asimismo, el porcentaje de jubilados con empleo que estaban obligados a cotizar en la Seguridad Social era similar. Una circunstancia que ha llamado la atención de los expertos del Instituto Alemán de Investigación Económica (DIW) que reclaman que los empleados en edad de jubilación puedan suscrib</w:t>
      </w:r>
      <w:r>
        <w:rPr>
          <w:rFonts w:ascii="Times New Roman" w:hAnsi="Times New Roman" w:cs="Times New Roman"/>
          <w:sz w:val="24"/>
          <w:szCs w:val="24"/>
        </w:rPr>
        <w:t>ir contratos sin restricciones.</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2F60EA">
        <w:rPr>
          <w:rFonts w:ascii="Times New Roman" w:hAnsi="Times New Roman" w:cs="Times New Roman"/>
          <w:sz w:val="24"/>
          <w:szCs w:val="24"/>
        </w:rPr>
        <w:t xml:space="preserve">Al contratar a empleados que tienen derecho a una pensión indefinida, no debería haber ningún límite máximo respecto a la duración y al </w:t>
      </w:r>
      <w:r>
        <w:rPr>
          <w:rFonts w:ascii="Times New Roman" w:hAnsi="Times New Roman" w:cs="Times New Roman"/>
          <w:sz w:val="24"/>
          <w:szCs w:val="24"/>
        </w:rPr>
        <w:t>número de posibles limitaciones”</w:t>
      </w:r>
      <w:r w:rsidRPr="002F60EA">
        <w:rPr>
          <w:rFonts w:ascii="Times New Roman" w:hAnsi="Times New Roman" w:cs="Times New Roman"/>
          <w:sz w:val="24"/>
          <w:szCs w:val="24"/>
        </w:rPr>
        <w:t>, señalaron Gert Wagner y Cornelius Richter, expertos del ins</w:t>
      </w:r>
      <w:r>
        <w:rPr>
          <w:rFonts w:ascii="Times New Roman" w:hAnsi="Times New Roman" w:cs="Times New Roman"/>
          <w:sz w:val="24"/>
          <w:szCs w:val="24"/>
        </w:rPr>
        <w:t>tituto alemán de investigación</w:t>
      </w:r>
      <w:r w:rsidRPr="002F60EA">
        <w:rPr>
          <w:rFonts w:ascii="Times New Roman" w:hAnsi="Times New Roman" w:cs="Times New Roman"/>
          <w:sz w:val="24"/>
          <w:szCs w:val="24"/>
        </w:rPr>
        <w:t>, en un artículo publicado por el diario Tagesspiegel.</w:t>
      </w:r>
    </w:p>
    <w:p w:rsidR="008B4E7E" w:rsidRPr="00994DD1" w:rsidRDefault="008B4E7E" w:rsidP="008B4E7E">
      <w:pPr>
        <w:pStyle w:val="NormalWeb"/>
        <w:shd w:val="clear" w:color="auto" w:fill="FFFFFF"/>
        <w:spacing w:after="0"/>
        <w:jc w:val="both"/>
        <w:textAlignment w:val="baseline"/>
        <w:rPr>
          <w:b/>
        </w:rPr>
      </w:pPr>
      <w:r w:rsidRPr="00994DD1">
        <w:rPr>
          <w:b/>
        </w:rPr>
        <w:t>Eurobarómetro: el perfil de la pobreza</w:t>
      </w:r>
      <w:r>
        <w:rPr>
          <w:b/>
        </w:rPr>
        <w:t xml:space="preserve"> (ya abarca tres generaciones)</w:t>
      </w:r>
    </w:p>
    <w:p w:rsidR="008B4E7E" w:rsidRDefault="008B4E7E" w:rsidP="008B4E7E">
      <w:pPr>
        <w:pStyle w:val="NormalWeb"/>
        <w:shd w:val="clear" w:color="auto" w:fill="FFFFFF"/>
        <w:spacing w:after="0"/>
        <w:jc w:val="both"/>
        <w:textAlignment w:val="baseline"/>
      </w:pPr>
      <w:r>
        <w:t xml:space="preserve">- </w:t>
      </w:r>
      <w:r w:rsidRPr="00567A44">
        <w:rPr>
          <w:u w:val="single"/>
        </w:rPr>
        <w:t>Más de un cuarto de los españoles sigue en riesgo de exclusión pese a la recuperación</w:t>
      </w:r>
      <w:r>
        <w:t xml:space="preserve"> (Cinco Días - </w:t>
      </w:r>
      <w:r w:rsidRPr="00567A44">
        <w:rPr>
          <w:b/>
        </w:rPr>
        <w:t>16/10/19</w:t>
      </w:r>
      <w:r>
        <w:t>)</w:t>
      </w:r>
    </w:p>
    <w:p w:rsidR="008B4E7E" w:rsidRDefault="008B4E7E" w:rsidP="008B4E7E">
      <w:pPr>
        <w:pStyle w:val="NormalWeb"/>
        <w:shd w:val="clear" w:color="auto" w:fill="FFFFFF"/>
        <w:spacing w:after="0"/>
        <w:jc w:val="both"/>
        <w:textAlignment w:val="baseline"/>
      </w:pPr>
      <w:r w:rsidRPr="00994DD1">
        <w:rPr>
          <w:color w:val="FF0000"/>
          <w:u w:val="single"/>
        </w:rPr>
        <w:t>En un momento en el que los vientos de un cambio de ciclo económico empiezan a soplar con más fuerza temiéndose la llegada de una próxima recesión, existen todavía grandes segmentos de la población que no se han repuesto de la última crisis</w:t>
      </w:r>
      <w:r>
        <w:t>. Según los datos publicados este miércoles por Eurostat, España es uno de los países de la Unión Europea donde más ha crecido la pobreza. En concreto, más de uno de cada cuatro españoles (un 26,1%) todavía se encontraba en 2018 en riesgo de pobreza y exclusión social, 2,3 puntos porcentuales más que hace una década.</w:t>
      </w:r>
    </w:p>
    <w:p w:rsidR="008B4E7E" w:rsidRPr="00994DD1" w:rsidRDefault="008B4E7E" w:rsidP="008B4E7E">
      <w:pPr>
        <w:pStyle w:val="NormalWeb"/>
        <w:shd w:val="clear" w:color="auto" w:fill="FFFFFF"/>
        <w:spacing w:after="0"/>
        <w:jc w:val="both"/>
        <w:textAlignment w:val="baseline"/>
        <w:rPr>
          <w:u w:val="single"/>
        </w:rPr>
      </w:pPr>
      <w:r w:rsidRPr="00994DD1">
        <w:rPr>
          <w:u w:val="single"/>
        </w:rPr>
        <w:t>Únicamente otros tres países de los veintiocho que forman el bloque comunitario han visto crecer el riesgo de exclusión desde la Gran Recesión. Luxemburgo es que sale peor parado en la comparativa con 2008: allí la proporción de personas en riesgo de exclusión ha crecido 6,4 puntos, pasando del 15,5% al 21,9% de la población. Le sigue Grecia, donde la tasa de vulnerabilidad ha crecido 3,7 puntos en una década, hasta afectar al 31,7% de la sociedad helena y, por último, Estonia, que pasa del 21,8% de hace diez años al 24,4% de 2018, 2,6 puntos más.</w:t>
      </w:r>
    </w:p>
    <w:p w:rsidR="008B4E7E" w:rsidRDefault="008B4E7E" w:rsidP="008B4E7E">
      <w:pPr>
        <w:pStyle w:val="NormalWeb"/>
        <w:shd w:val="clear" w:color="auto" w:fill="FFFFFF"/>
        <w:spacing w:after="0"/>
        <w:jc w:val="both"/>
        <w:textAlignment w:val="baseline"/>
      </w:pPr>
      <w:r w:rsidRPr="00567A44">
        <w:rPr>
          <w:noProof/>
          <w:lang w:val="en-GB" w:eastAsia="en-GB"/>
        </w:rPr>
        <w:drawing>
          <wp:inline distT="0" distB="0" distL="0" distR="0">
            <wp:extent cx="5728447" cy="3879476"/>
            <wp:effectExtent l="0" t="0" r="5715" b="69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881550"/>
                    </a:xfrm>
                    <a:prstGeom prst="rect">
                      <a:avLst/>
                    </a:prstGeom>
                  </pic:spPr>
                </pic:pic>
              </a:graphicData>
            </a:graphic>
          </wp:inline>
        </w:drawing>
      </w:r>
    </w:p>
    <w:p w:rsidR="008B4E7E" w:rsidRPr="00994DD1" w:rsidRDefault="008B4E7E" w:rsidP="008B4E7E">
      <w:pPr>
        <w:pStyle w:val="NormalWeb"/>
        <w:shd w:val="clear" w:color="auto" w:fill="FFFFFF"/>
        <w:spacing w:after="0"/>
        <w:jc w:val="both"/>
        <w:textAlignment w:val="baseline"/>
        <w:rPr>
          <w:color w:val="FF0000"/>
          <w:u w:val="single"/>
        </w:rPr>
      </w:pPr>
      <w:r w:rsidRPr="00994DD1">
        <w:rPr>
          <w:color w:val="FF0000"/>
          <w:u w:val="single"/>
        </w:rPr>
        <w:lastRenderedPageBreak/>
        <w:t>Con un 26,1% de la población en riesgo de exclusión -cerca de 12,2 millones de personas-, España se situó en 2018 como el séptimo país de la UE con mayor tasa de pobreza, por detrás de Bulgaria (32,8%), Rumanía (32,5%) -aunque ambas la han reducido en 12 puntos en la última década-, Grecia (31,7%), Letonia y Lituania, las dos en torno al 28%, e Italia (27,3%).</w:t>
      </w:r>
    </w:p>
    <w:p w:rsidR="008B4E7E" w:rsidRPr="00994DD1" w:rsidRDefault="008B4E7E" w:rsidP="008B4E7E">
      <w:pPr>
        <w:pStyle w:val="NormalWeb"/>
        <w:shd w:val="clear" w:color="auto" w:fill="FFFFFF"/>
        <w:spacing w:after="0"/>
        <w:jc w:val="both"/>
        <w:textAlignment w:val="baseline"/>
        <w:rPr>
          <w:color w:val="FF0000"/>
          <w:u w:val="single"/>
        </w:rPr>
      </w:pPr>
      <w:r w:rsidRPr="00994DD1">
        <w:rPr>
          <w:color w:val="FF0000"/>
          <w:u w:val="single"/>
        </w:rPr>
        <w:t>En total, 13 de los 28 estados miembros registran una tasa de pobreza por encima de la media comunitaria, del 21,7% (dos puntos menos que en 2008, pero un total de 109 millones de ciudadanos), mientras que otros 15 se sitúan por debajo, entre ellos Portugal (21,6% y un descenso de 4,4 puntos en una década), Alemania (18,7%; -1,4 puntos), Francia (17,4%; -1,1) o, en último puesto, la República Checa, donde tan solo un 12,2% de su población se encuentra en situación de vulnerabilidad.</w:t>
      </w:r>
    </w:p>
    <w:p w:rsidR="008B4E7E" w:rsidRDefault="008B4E7E" w:rsidP="008B4E7E">
      <w:pPr>
        <w:pStyle w:val="NormalWeb"/>
        <w:shd w:val="clear" w:color="auto" w:fill="FFFFFF"/>
        <w:spacing w:after="0"/>
        <w:jc w:val="both"/>
        <w:textAlignment w:val="baseline"/>
      </w:pPr>
      <w:r w:rsidRPr="00567A44">
        <w:rPr>
          <w:noProof/>
          <w:lang w:val="en-GB" w:eastAsia="en-GB"/>
        </w:rPr>
        <w:drawing>
          <wp:inline distT="0" distB="0" distL="0" distR="0">
            <wp:extent cx="5731674" cy="2951629"/>
            <wp:effectExtent l="0" t="0" r="2540" b="127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951545"/>
                    </a:xfrm>
                    <a:prstGeom prst="rect">
                      <a:avLst/>
                    </a:prstGeom>
                  </pic:spPr>
                </pic:pic>
              </a:graphicData>
            </a:graphic>
          </wp:inline>
        </w:drawing>
      </w:r>
    </w:p>
    <w:p w:rsidR="008B4E7E" w:rsidRPr="00D5294A" w:rsidRDefault="008B4E7E" w:rsidP="008B4E7E">
      <w:pPr>
        <w:pStyle w:val="NormalWeb"/>
        <w:shd w:val="clear" w:color="auto" w:fill="FFFFFF"/>
        <w:spacing w:after="0"/>
        <w:jc w:val="both"/>
        <w:textAlignment w:val="baseline"/>
        <w:rPr>
          <w:color w:val="FF0000"/>
          <w:u w:val="single"/>
        </w:rPr>
      </w:pPr>
      <w:r>
        <w:t xml:space="preserve">El punto crítico para España se registró en 2014, cuando cerca de un tercio de la población (29,2%) se situaba en riesgo de caer en la pobreza y, desde entonces, la proporción ha ido cayendo ligeramente año tras año. </w:t>
      </w:r>
      <w:r w:rsidRPr="00D5294A">
        <w:rPr>
          <w:color w:val="FF0000"/>
          <w:u w:val="single"/>
        </w:rPr>
        <w:t>El punto negro para la UE se registró en cambio dos años antes, en 2012, cuando la tasa de exclusión a nivel comunitario alcanzó el 24,7%, desde entonces, 8,2 millones de ciudadanos comunitarios han salido de la vulnerabilidad.</w:t>
      </w:r>
    </w:p>
    <w:p w:rsidR="008B4E7E" w:rsidRPr="002F60EA" w:rsidRDefault="008B4E7E" w:rsidP="008B4E7E">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futuro ya no es lo que era</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La injusticia de los injustos no caduca. Al contrario. Se renueva constantemente porque de ella se nutren quienes la perpetran.</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 xml:space="preserve">Realidades (resultados) vs. </w:t>
      </w:r>
      <w:r w:rsidR="00AD0A69" w:rsidRPr="00BB1398">
        <w:rPr>
          <w:rFonts w:ascii="Times New Roman" w:hAnsi="Times New Roman" w:cs="Times New Roman"/>
          <w:sz w:val="24"/>
          <w:szCs w:val="24"/>
        </w:rPr>
        <w:t>Ideología</w:t>
      </w:r>
      <w:r w:rsidRPr="00BB1398">
        <w:rPr>
          <w:rFonts w:ascii="Times New Roman" w:hAnsi="Times New Roman" w:cs="Times New Roman"/>
          <w:sz w:val="24"/>
          <w:szCs w:val="24"/>
        </w:rPr>
        <w:t xml:space="preserve"> (mitos): ¿Cuál es la “verdad” de la milanesa? ¿Cuál ha sido el beneficio de la globalización? ¿Para qué ha servido la economía de las plataformas? ¿Quiénes mejoran su posición social relativa con la economía disruptiva? ¿Es este el mundo en que queríamos vivir? ¿Se puede permanecer impasible ante tal inconsistencia, insostenibilidad, y coacción económica?</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¿Le interesa a la Unión Europea (o mejor dicho, a los ciudadanos europeos), seguir la es</w:t>
      </w:r>
      <w:r>
        <w:rPr>
          <w:rFonts w:ascii="Times New Roman" w:hAnsi="Times New Roman" w:cs="Times New Roman"/>
          <w:sz w:val="24"/>
          <w:szCs w:val="24"/>
        </w:rPr>
        <w:t>tela de los “illuminatis” de la</w:t>
      </w:r>
      <w:r w:rsidRPr="00BB1398">
        <w:rPr>
          <w:rFonts w:ascii="Times New Roman" w:hAnsi="Times New Roman" w:cs="Times New Roman"/>
          <w:sz w:val="24"/>
          <w:szCs w:val="24"/>
        </w:rPr>
        <w:t xml:space="preserve"> “hight technology” y la “economía disruptiva” (Facebook, Google, Amazon, Apple, Netflix, Youtube, Twitter, Instagram, Snapchat</w:t>
      </w:r>
      <w:r>
        <w:rPr>
          <w:rFonts w:ascii="Times New Roman" w:hAnsi="Times New Roman" w:cs="Times New Roman"/>
          <w:sz w:val="24"/>
          <w:szCs w:val="24"/>
        </w:rPr>
        <w:t>, Spotify,</w:t>
      </w:r>
      <w:r w:rsidRPr="00BB1398">
        <w:rPr>
          <w:rFonts w:ascii="Times New Roman" w:hAnsi="Times New Roman" w:cs="Times New Roman"/>
          <w:sz w:val="24"/>
          <w:szCs w:val="24"/>
        </w:rPr>
        <w:t xml:space="preserve"> Uber, Airbnb, Coinbase, Bitcoin, Life…) cuyo objetivo principal es crear una er</w:t>
      </w:r>
      <w:r>
        <w:rPr>
          <w:rFonts w:ascii="Times New Roman" w:hAnsi="Times New Roman" w:cs="Times New Roman"/>
          <w:sz w:val="24"/>
          <w:szCs w:val="24"/>
        </w:rPr>
        <w:t xml:space="preserve">a de insignificancias, vaciar </w:t>
      </w:r>
      <w:r>
        <w:rPr>
          <w:rFonts w:ascii="Times New Roman" w:hAnsi="Times New Roman" w:cs="Times New Roman"/>
          <w:sz w:val="24"/>
          <w:szCs w:val="24"/>
        </w:rPr>
        <w:lastRenderedPageBreak/>
        <w:t>de pensamiento al</w:t>
      </w:r>
      <w:r w:rsidRPr="00BB1398">
        <w:rPr>
          <w:rFonts w:ascii="Times New Roman" w:hAnsi="Times New Roman" w:cs="Times New Roman"/>
          <w:sz w:val="24"/>
          <w:szCs w:val="24"/>
        </w:rPr>
        <w:t xml:space="preserve"> usuario,  generar adicción y dependencia, traficar con los datos personales, espiar, manipular, intoxicar, abusar de la situación de alegalidad,  evitar el costo fiscal, explotar la codicia de los demandantes, exprimir la miseria de l</w:t>
      </w:r>
      <w:r>
        <w:rPr>
          <w:rFonts w:ascii="Times New Roman" w:hAnsi="Times New Roman" w:cs="Times New Roman"/>
          <w:sz w:val="24"/>
          <w:szCs w:val="24"/>
        </w:rPr>
        <w:t>os oferentes… (y podría seguir)?</w:t>
      </w:r>
      <w:r w:rsidRPr="00BB1398">
        <w:rPr>
          <w:rFonts w:ascii="Times New Roman" w:hAnsi="Times New Roman" w:cs="Times New Roman"/>
          <w:sz w:val="24"/>
          <w:szCs w:val="24"/>
        </w:rPr>
        <w:t xml:space="preserve"> Un Himalaya de mentiras. Una ofensa a la inteligencia. Una fábrica de pobreza. </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El pulpo silencioso llega a to</w:t>
      </w:r>
      <w:r>
        <w:rPr>
          <w:rFonts w:ascii="Times New Roman" w:hAnsi="Times New Roman" w:cs="Times New Roman"/>
          <w:sz w:val="24"/>
          <w:szCs w:val="24"/>
        </w:rPr>
        <w:t>das partes, cambia de estratagema</w:t>
      </w:r>
      <w:r w:rsidRPr="00BB1398">
        <w:rPr>
          <w:rFonts w:ascii="Times New Roman" w:hAnsi="Times New Roman" w:cs="Times New Roman"/>
          <w:sz w:val="24"/>
          <w:szCs w:val="24"/>
        </w:rPr>
        <w:t xml:space="preserve">, escenario, tipología y sobre todo estrategia. Tanta ignominia económica, crimen social, sacrilegio político, obliga a los ciegos (voluntarios) a ver, a los sordos (voluntarios) a oír, a los mudos (voluntarios) a hablar. </w:t>
      </w:r>
    </w:p>
    <w:p w:rsidR="008B4E7E" w:rsidRPr="00BB1398" w:rsidRDefault="008B4E7E" w:rsidP="008B4E7E">
      <w:pPr>
        <w:spacing w:line="240" w:lineRule="auto"/>
        <w:jc w:val="both"/>
        <w:rPr>
          <w:rFonts w:ascii="Times New Roman" w:hAnsi="Times New Roman" w:cs="Times New Roman"/>
          <w:sz w:val="24"/>
          <w:szCs w:val="24"/>
          <w:shd w:val="clear" w:color="auto" w:fill="FFFFFF"/>
        </w:rPr>
      </w:pPr>
      <w:r w:rsidRPr="00BB1398">
        <w:rPr>
          <w:rFonts w:ascii="Times New Roman" w:hAnsi="Times New Roman" w:cs="Times New Roman"/>
          <w:sz w:val="24"/>
          <w:szCs w:val="24"/>
          <w:shd w:val="clear" w:color="auto" w:fill="FFFFFF"/>
        </w:rPr>
        <w:t>El daño, en todo caso, está hecho, más allá del </w:t>
      </w:r>
      <w:r w:rsidRPr="00BB1398">
        <w:rPr>
          <w:rStyle w:val="Textoennegrita"/>
          <w:rFonts w:ascii="Times New Roman" w:hAnsi="Times New Roman" w:cs="Times New Roman"/>
          <w:b w:val="0"/>
          <w:sz w:val="24"/>
          <w:szCs w:val="24"/>
          <w:bdr w:val="none" w:sz="0" w:space="0" w:color="auto" w:frame="1"/>
          <w:shd w:val="clear" w:color="auto" w:fill="FFFFFF"/>
        </w:rPr>
        <w:t>coste de oportunidad</w:t>
      </w:r>
      <w:r w:rsidRPr="00BB1398">
        <w:rPr>
          <w:rFonts w:ascii="Times New Roman" w:hAnsi="Times New Roman" w:cs="Times New Roman"/>
          <w:sz w:val="24"/>
          <w:szCs w:val="24"/>
          <w:shd w:val="clear" w:color="auto" w:fill="FFFFFF"/>
        </w:rPr>
        <w:t> que supone para la Unión Europea haber entrado en un largo periodo de incertidumbre política, precisamente, por la pérdida de crecimiento productivo y distribución de los ingresos, que se le debe exigir a todo sistema económico, con el riesgo implícito (o explícito, en varios países) a irse a los extremos populistas, demagógicos o supremacistas, de tristes recuerdos y funestas consecuencias.</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Se trata, por lo tanto, de un fenómeno que no tiene nada de pasajero, sino que ha venido para quedarse. El desorden global, el inicio de una nueva fase de recesión en la economía mundial, las incertidumbres que pesan sobre la Unión Europa, seguirán favoreciendo las tendencias disgregantes, los repliegues sectarios, los planteos irracionales, la anomia y el descontrol.</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¿Habrá tiempo para que se haga la luz de la verdad o continuará prevaleciendo la ceguera de la mentira?  ¿Cómo se pueden mirar los sucesos económicos a través de modelos económicos (algoritmos) cuando todo a su alrededor es horrible? ¿Qué modelo económico se ocupa de la gente que sufre? ¿Cómo se puede continuar negando la evidencia? ¿Quién escribirá la historia de los perdedores? ¿Pueden ser considerados apenas</w:t>
      </w:r>
      <w:r>
        <w:rPr>
          <w:rFonts w:ascii="Times New Roman" w:hAnsi="Times New Roman" w:cs="Times New Roman"/>
          <w:sz w:val="24"/>
          <w:szCs w:val="24"/>
        </w:rPr>
        <w:t>,</w:t>
      </w:r>
      <w:r w:rsidRPr="00BB1398">
        <w:rPr>
          <w:rFonts w:ascii="Times New Roman" w:hAnsi="Times New Roman" w:cs="Times New Roman"/>
          <w:sz w:val="24"/>
          <w:szCs w:val="24"/>
        </w:rPr>
        <w:t xml:space="preserve"> unos “daños colaterales”? Lo único que espero (y deseo) es que alguna vez sus “autores” y sus “cómplices necesarios”, sepan cuanto ha costado todo esto. ¿Será mucho aspirar</w:t>
      </w:r>
      <w:r>
        <w:rPr>
          <w:rFonts w:ascii="Times New Roman" w:hAnsi="Times New Roman" w:cs="Times New Roman"/>
          <w:sz w:val="24"/>
          <w:szCs w:val="24"/>
        </w:rPr>
        <w:t>,</w:t>
      </w:r>
      <w:r w:rsidRPr="00BB1398">
        <w:rPr>
          <w:rFonts w:ascii="Times New Roman" w:hAnsi="Times New Roman" w:cs="Times New Roman"/>
          <w:sz w:val="24"/>
          <w:szCs w:val="24"/>
        </w:rPr>
        <w:t xml:space="preserve"> a ser tratados como ciudadanos, no como imbéciles? ¿Será mucho pedir</w:t>
      </w:r>
      <w:r>
        <w:rPr>
          <w:rFonts w:ascii="Times New Roman" w:hAnsi="Times New Roman" w:cs="Times New Roman"/>
          <w:sz w:val="24"/>
          <w:szCs w:val="24"/>
        </w:rPr>
        <w:t>,</w:t>
      </w:r>
      <w:r w:rsidRPr="00BB1398">
        <w:rPr>
          <w:rFonts w:ascii="Times New Roman" w:hAnsi="Times New Roman" w:cs="Times New Roman"/>
          <w:sz w:val="24"/>
          <w:szCs w:val="24"/>
        </w:rPr>
        <w:t xml:space="preserve"> que dejen de ofender nuestra inteligencia? ¿Será demasiado reclamar</w:t>
      </w:r>
      <w:r>
        <w:rPr>
          <w:rFonts w:ascii="Times New Roman" w:hAnsi="Times New Roman" w:cs="Times New Roman"/>
          <w:sz w:val="24"/>
          <w:szCs w:val="24"/>
        </w:rPr>
        <w:t>,</w:t>
      </w:r>
      <w:r w:rsidRPr="00BB1398">
        <w:rPr>
          <w:rFonts w:ascii="Times New Roman" w:hAnsi="Times New Roman" w:cs="Times New Roman"/>
          <w:sz w:val="24"/>
          <w:szCs w:val="24"/>
        </w:rPr>
        <w:t xml:space="preserve"> que el estado de derecho no se transforme en un estado de desecho?</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Aunque la cobardía de la clase dirigente europea no conoce límites, sigo insistiendo en que la Unión Europea debe adoptar su “propio” modelo económico (¿qué tal</w:t>
      </w:r>
      <w:r>
        <w:rPr>
          <w:rFonts w:ascii="Times New Roman" w:hAnsi="Times New Roman" w:cs="Times New Roman"/>
          <w:sz w:val="24"/>
          <w:szCs w:val="24"/>
        </w:rPr>
        <w:t>,</w:t>
      </w:r>
      <w:r w:rsidRPr="00BB1398">
        <w:rPr>
          <w:rFonts w:ascii="Times New Roman" w:hAnsi="Times New Roman" w:cs="Times New Roman"/>
          <w:sz w:val="24"/>
          <w:szCs w:val="24"/>
        </w:rPr>
        <w:t xml:space="preserve"> volver al modelo renano?), que le permita mantener su propio “estilo” de vida (estado de bienestar, sanidad pública, educación pública,</w:t>
      </w:r>
      <w:r>
        <w:rPr>
          <w:rFonts w:ascii="Times New Roman" w:hAnsi="Times New Roman" w:cs="Times New Roman"/>
          <w:sz w:val="24"/>
          <w:szCs w:val="24"/>
        </w:rPr>
        <w:t xml:space="preserve"> servicios sociales,</w:t>
      </w:r>
      <w:r w:rsidRPr="00BB1398">
        <w:rPr>
          <w:rFonts w:ascii="Times New Roman" w:hAnsi="Times New Roman" w:cs="Times New Roman"/>
          <w:sz w:val="24"/>
          <w:szCs w:val="24"/>
        </w:rPr>
        <w:t xml:space="preserve"> pensiones, empleo, distribución de los ingresos…) antes de que sea demasiado tarde. Los terceros países (EEUU, China, Japón, Reino Unido, Rusia, India…) “nunca” nos ayudarán a ayudarnos. La Unión Europea está </w:t>
      </w:r>
      <w:r>
        <w:rPr>
          <w:rFonts w:ascii="Times New Roman" w:hAnsi="Times New Roman" w:cs="Times New Roman"/>
          <w:sz w:val="24"/>
          <w:szCs w:val="24"/>
        </w:rPr>
        <w:t>ante el dilema del prisionero. Aunque lo duro es “despertar”,</w:t>
      </w:r>
      <w:r w:rsidRPr="00BB1398">
        <w:rPr>
          <w:rFonts w:ascii="Times New Roman" w:hAnsi="Times New Roman" w:cs="Times New Roman"/>
          <w:sz w:val="24"/>
          <w:szCs w:val="24"/>
        </w:rPr>
        <w:t xml:space="preserve"> hay que regresar a la casa del padre.</w:t>
      </w:r>
    </w:p>
    <w:p w:rsidR="008B4E7E" w:rsidRPr="00BB1398"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 xml:space="preserve">Previamente habrá que reclamar  un examen de conciencia, después autocrítica, y finalmente una cierta voluntad de regeneración sobre la base de nuevos liderazgos y nuevos postulados ideológicos de indiscutible talante independiente y autárquico. ¿Lo harán Von der Leyen y los “ursulinos”? ¿Querrán, sabrán, podrán, regresar a la casa del padre (modelo renano)? ¿Ejercerán el poder con plenitud, o solo ocuparán el cargo cómo estafermos? ¿Podrán reestablecer la confianza en el futuro? ¿Tendrán la polivalencia política y económica para volver a (re)unir a la (des)Unión Europea? ¿Quedará alguna huella numérica de su paso? ¿Serán capaces de “producir” historia, en vez de “consumir” historia? </w:t>
      </w:r>
    </w:p>
    <w:p w:rsidR="008B4E7E" w:rsidRPr="00BB1398" w:rsidRDefault="008B4E7E" w:rsidP="008B4E7E">
      <w:pPr>
        <w:spacing w:after="0" w:line="240" w:lineRule="auto"/>
        <w:jc w:val="both"/>
        <w:textAlignment w:val="baseline"/>
        <w:rPr>
          <w:rFonts w:ascii="Times New Roman" w:hAnsi="Times New Roman" w:cs="Times New Roman"/>
          <w:sz w:val="24"/>
          <w:szCs w:val="24"/>
        </w:rPr>
      </w:pPr>
      <w:r w:rsidRPr="00BB1398">
        <w:rPr>
          <w:rFonts w:ascii="Times New Roman" w:hAnsi="Times New Roman" w:cs="Times New Roman"/>
          <w:b/>
          <w:sz w:val="24"/>
          <w:szCs w:val="24"/>
        </w:rPr>
        <w:t>Intentando no caer en el rechazo fácil</w:t>
      </w:r>
      <w:r>
        <w:rPr>
          <w:rFonts w:ascii="Times New Roman" w:hAnsi="Times New Roman" w:cs="Times New Roman"/>
          <w:b/>
          <w:sz w:val="24"/>
          <w:szCs w:val="24"/>
        </w:rPr>
        <w:t>,</w:t>
      </w:r>
      <w:r w:rsidRPr="00BB1398">
        <w:rPr>
          <w:rFonts w:ascii="Times New Roman" w:hAnsi="Times New Roman" w:cs="Times New Roman"/>
          <w:b/>
          <w:sz w:val="24"/>
          <w:szCs w:val="24"/>
        </w:rPr>
        <w:t xml:space="preserve"> ni el ludismo </w:t>
      </w:r>
      <w:r w:rsidR="00C12742">
        <w:rPr>
          <w:rFonts w:ascii="Times New Roman" w:hAnsi="Times New Roman" w:cs="Times New Roman"/>
          <w:b/>
          <w:sz w:val="24"/>
          <w:szCs w:val="24"/>
        </w:rPr>
        <w:t>cavernícola</w:t>
      </w:r>
    </w:p>
    <w:p w:rsidR="008B4E7E" w:rsidRPr="00BB1398" w:rsidRDefault="008B4E7E" w:rsidP="008B4E7E">
      <w:pPr>
        <w:spacing w:after="0" w:line="240" w:lineRule="auto"/>
        <w:jc w:val="both"/>
        <w:textAlignment w:val="baseline"/>
        <w:rPr>
          <w:rFonts w:ascii="Times New Roman" w:hAnsi="Times New Roman" w:cs="Times New Roman"/>
          <w:sz w:val="24"/>
          <w:szCs w:val="24"/>
          <w:u w:val="single"/>
        </w:rPr>
      </w:pPr>
    </w:p>
    <w:p w:rsidR="008B4E7E" w:rsidRDefault="008B4E7E" w:rsidP="008B4E7E">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Tras una década de optimismo tecnológico ciego, auge de los medios sociales, big data, etc., los recientes escándalos de hace dos años (desde Uber hasta Facebook) han marcado un giro del péndulo, y ahora lo que interesa a la sociedad es entender el lado oscuro de la tecnología.</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Aunque uno intente no caer en el rechazo fácil, ni el “ludismo” retrógrado, cuando uno (después de haber vivido tantos años de promesas incumplidas e ilusiones asaltadas), observa tanto “boludismo” tecnológico, tiene ganas de tirar el móvil (si lo tiene) por la ventana, no comprar otro producto de Apple, no navegar más por Internet, no hacer búsquedas por Google, intentar que sus familiares y amigos no se den de alta en las redes sociales (Facebook, Twitter, Instagram, Youtube…), no utilizar Uber, no alojarse por Airbnb, no hacer pedidos de delivery con riders autónomos, no comprar criptomonedas, no jugar al Pokemon, prescindir de la economía disruptiva… y por favor, no comprarse un “patinete”.</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 ser que la Europa que parió a B</w:t>
      </w:r>
      <w:r w:rsidRPr="0023067F">
        <w:rPr>
          <w:rFonts w:ascii="Times New Roman" w:hAnsi="Times New Roman" w:cs="Times New Roman"/>
          <w:sz w:val="24"/>
          <w:szCs w:val="24"/>
        </w:rPr>
        <w:t>eethoven</w:t>
      </w:r>
      <w:r>
        <w:rPr>
          <w:rFonts w:ascii="Times New Roman" w:hAnsi="Times New Roman" w:cs="Times New Roman"/>
          <w:sz w:val="24"/>
          <w:szCs w:val="24"/>
        </w:rPr>
        <w:t>, S</w:t>
      </w:r>
      <w:r w:rsidRPr="0023067F">
        <w:rPr>
          <w:rFonts w:ascii="Times New Roman" w:hAnsi="Times New Roman" w:cs="Times New Roman"/>
          <w:sz w:val="24"/>
          <w:szCs w:val="24"/>
        </w:rPr>
        <w:t>hakespeare</w:t>
      </w:r>
      <w:r>
        <w:rPr>
          <w:rFonts w:ascii="Times New Roman" w:hAnsi="Times New Roman" w:cs="Times New Roman"/>
          <w:sz w:val="24"/>
          <w:szCs w:val="24"/>
        </w:rPr>
        <w:t xml:space="preserve">, Bach, Cervantes, Mozart, Leonardo, Handel, Michelangelo, Tchaikovsky, Rembrandt, Hayden, Velázquez,  Schubert,  van Gogh , Rachmaninoff, Cezanne, Austen, Renoir, Lope de Vega, Monet, Pérez Galdós, Balzac, </w:t>
      </w:r>
      <w:r w:rsidRPr="0050664D">
        <w:rPr>
          <w:rFonts w:ascii="Times New Roman" w:hAnsi="Times New Roman" w:cs="Times New Roman"/>
          <w:sz w:val="24"/>
          <w:szCs w:val="24"/>
        </w:rPr>
        <w:t>D</w:t>
      </w:r>
      <w:r>
        <w:rPr>
          <w:rFonts w:ascii="Times New Roman" w:hAnsi="Times New Roman" w:cs="Times New Roman"/>
          <w:sz w:val="24"/>
          <w:szCs w:val="24"/>
        </w:rPr>
        <w:t xml:space="preserve">ante, </w:t>
      </w:r>
      <w:r w:rsidRPr="0050664D">
        <w:rPr>
          <w:rFonts w:ascii="Times New Roman" w:hAnsi="Times New Roman" w:cs="Times New Roman"/>
          <w:sz w:val="24"/>
          <w:szCs w:val="24"/>
        </w:rPr>
        <w:t>Goethe, Go</w:t>
      </w:r>
      <w:r>
        <w:rPr>
          <w:rFonts w:ascii="Times New Roman" w:hAnsi="Times New Roman" w:cs="Times New Roman"/>
          <w:sz w:val="24"/>
          <w:szCs w:val="24"/>
        </w:rPr>
        <w:t xml:space="preserve">ldoni, Hugo, Joyce, Kafka, Kleist, Molière, Proust, </w:t>
      </w:r>
      <w:r w:rsidRPr="0050664D">
        <w:rPr>
          <w:rFonts w:ascii="Times New Roman" w:hAnsi="Times New Roman" w:cs="Times New Roman"/>
          <w:sz w:val="24"/>
          <w:szCs w:val="24"/>
        </w:rPr>
        <w:t>Rac</w:t>
      </w:r>
      <w:r>
        <w:rPr>
          <w:rFonts w:ascii="Times New Roman" w:hAnsi="Times New Roman" w:cs="Times New Roman"/>
          <w:sz w:val="24"/>
          <w:szCs w:val="24"/>
        </w:rPr>
        <w:t xml:space="preserve">ine, Petrarca, Pirandello, </w:t>
      </w:r>
      <w:r w:rsidRPr="0050664D">
        <w:rPr>
          <w:rFonts w:ascii="Times New Roman" w:hAnsi="Times New Roman" w:cs="Times New Roman"/>
          <w:sz w:val="24"/>
          <w:szCs w:val="24"/>
        </w:rPr>
        <w:t>Sten</w:t>
      </w:r>
      <w:r>
        <w:rPr>
          <w:rFonts w:ascii="Times New Roman" w:hAnsi="Times New Roman" w:cs="Times New Roman"/>
          <w:sz w:val="24"/>
          <w:szCs w:val="24"/>
        </w:rPr>
        <w:t xml:space="preserve">dhal, Voltaire y… tantos otros gigantes del arte, la música, las letras, y las ciencias (que también)… ahora se “postre” encantada, abducida, fascinada, seducida, hechizada, extasiada, maravillada, ante una banda de alquimistas, hechiceros, hipnotizadores, brujos, magos, embusteros, abrazafarolas, trileros, farsantes, estafadores, tramposos, timadores, mentirosos, arrogantes, fatuos, codiciosos, avaros… como la que representan: Bezos, Zuckerberg, Page, Cook, </w:t>
      </w:r>
      <w:r w:rsidRPr="00546804">
        <w:rPr>
          <w:rFonts w:ascii="Times New Roman" w:hAnsi="Times New Roman" w:cs="Times New Roman"/>
          <w:sz w:val="24"/>
          <w:szCs w:val="24"/>
        </w:rPr>
        <w:t>Kalanick</w:t>
      </w:r>
      <w:r>
        <w:rPr>
          <w:rFonts w:ascii="Times New Roman" w:hAnsi="Times New Roman" w:cs="Times New Roman"/>
          <w:sz w:val="24"/>
          <w:szCs w:val="24"/>
        </w:rPr>
        <w:t xml:space="preserve">, </w:t>
      </w:r>
      <w:r w:rsidRPr="00546804">
        <w:rPr>
          <w:rFonts w:ascii="Times New Roman" w:hAnsi="Times New Roman" w:cs="Times New Roman"/>
          <w:sz w:val="24"/>
          <w:szCs w:val="24"/>
        </w:rPr>
        <w:t>Gebbia,</w:t>
      </w:r>
      <w:r>
        <w:rPr>
          <w:rFonts w:ascii="Times New Roman" w:hAnsi="Times New Roman" w:cs="Times New Roman"/>
          <w:sz w:val="24"/>
          <w:szCs w:val="24"/>
        </w:rPr>
        <w:t xml:space="preserve"> y otros tantos “cantamañanas”(*), con mucha cara,</w:t>
      </w:r>
      <w:r w:rsidR="00C12742">
        <w:rPr>
          <w:rFonts w:ascii="Times New Roman" w:hAnsi="Times New Roman" w:cs="Times New Roman"/>
          <w:sz w:val="24"/>
          <w:szCs w:val="24"/>
        </w:rPr>
        <w:t xml:space="preserve"> pocos escrúpulos, ambición ilimitada, </w:t>
      </w:r>
      <w:r>
        <w:rPr>
          <w:rFonts w:ascii="Times New Roman" w:hAnsi="Times New Roman" w:cs="Times New Roman"/>
          <w:sz w:val="24"/>
          <w:szCs w:val="24"/>
        </w:rPr>
        <w:t>irresponsabilidad m</w:t>
      </w:r>
      <w:r w:rsidR="00C12742">
        <w:rPr>
          <w:rFonts w:ascii="Times New Roman" w:hAnsi="Times New Roman" w:cs="Times New Roman"/>
          <w:sz w:val="24"/>
          <w:szCs w:val="24"/>
        </w:rPr>
        <w:t>anifiesta,</w:t>
      </w:r>
      <w:r w:rsidR="00903D67">
        <w:rPr>
          <w:rFonts w:ascii="Times New Roman" w:hAnsi="Times New Roman" w:cs="Times New Roman"/>
          <w:sz w:val="24"/>
          <w:szCs w:val="24"/>
        </w:rPr>
        <w:t xml:space="preserve"> vanidad,</w:t>
      </w:r>
      <w:r w:rsidR="00C12742">
        <w:rPr>
          <w:rFonts w:ascii="Times New Roman" w:hAnsi="Times New Roman" w:cs="Times New Roman"/>
          <w:sz w:val="24"/>
          <w:szCs w:val="24"/>
        </w:rPr>
        <w:t xml:space="preserve"> superioridad moral, soberbia, fatuidad,</w:t>
      </w:r>
      <w:r w:rsidR="00903D67">
        <w:rPr>
          <w:rFonts w:ascii="Times New Roman" w:hAnsi="Times New Roman" w:cs="Times New Roman"/>
          <w:sz w:val="24"/>
          <w:szCs w:val="24"/>
        </w:rPr>
        <w:t xml:space="preserve"> petulancia y necedad.</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Un“</w:t>
      </w:r>
      <w:r w:rsidRPr="00451DA7">
        <w:rPr>
          <w:rFonts w:ascii="Times New Roman" w:hAnsi="Times New Roman" w:cs="Times New Roman"/>
          <w:sz w:val="24"/>
          <w:szCs w:val="24"/>
        </w:rPr>
        <w:t>cantamañanas</w:t>
      </w:r>
      <w:r>
        <w:rPr>
          <w:rFonts w:ascii="Times New Roman" w:hAnsi="Times New Roman" w:cs="Times New Roman"/>
          <w:sz w:val="24"/>
          <w:szCs w:val="24"/>
        </w:rPr>
        <w:t>” es</w:t>
      </w:r>
      <w:r w:rsidRPr="00451DA7">
        <w:rPr>
          <w:rFonts w:ascii="Times New Roman" w:hAnsi="Times New Roman" w:cs="Times New Roman"/>
          <w:sz w:val="24"/>
          <w:szCs w:val="24"/>
        </w:rPr>
        <w:t xml:space="preserve"> la persona que, llevada por la inconsciencia, se compromete a hacer cosas que es incapaz de realizar. Se utiliza, también, con el significado de “ser fantasioso, informal, indigno de crédito” como indica la RAE.</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¿Tan bajo ha caído Europa para idolatrar e hincarse ante el becerro de oro de Silicon Valley?</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¿No se ha dado cuenta todavía, la “vieja” Europa, que son unos vendedores de “crece pelo”?</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¿Cuándo descubrirá que lo que quieren es sacarle la camisa con la chaqueta puesta?</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Al final, cuando se marchen de regreso (a Cupertino), dejarán a la niña “medio embarazada” y le darán unos cuantos “bitcoins”, para que se pague el aborto.</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Si los “listillos” de Wall Street le contagiaron el “sida” de la crisis financiera de las hipotecas subprime, provocando la mayor depresión en Europa desde finales de la II Guerra Mundial, ahora, los “alquimistas” de Silicon Valley, le quieren “robar el alma” (inteligencia) a más de la cartera, con espejitos de colores, selfies, apps, gadgets, y otras pendejadas jibarizantes.</w:t>
      </w:r>
    </w:p>
    <w:p w:rsidR="008B4E7E" w:rsidRDefault="008B4E7E" w:rsidP="008B4E7E">
      <w:pPr>
        <w:spacing w:line="240" w:lineRule="auto"/>
        <w:jc w:val="both"/>
        <w:rPr>
          <w:rFonts w:ascii="Times New Roman" w:hAnsi="Times New Roman" w:cs="Times New Roman"/>
          <w:sz w:val="24"/>
          <w:szCs w:val="24"/>
        </w:rPr>
      </w:pPr>
      <w:r w:rsidRPr="00AD35B0">
        <w:rPr>
          <w:rFonts w:ascii="Times New Roman" w:hAnsi="Times New Roman" w:cs="Times New Roman"/>
          <w:sz w:val="24"/>
          <w:szCs w:val="24"/>
        </w:rPr>
        <w:t>Después del “shadow banking system” (</w:t>
      </w:r>
      <w:r>
        <w:rPr>
          <w:rFonts w:ascii="Times New Roman" w:hAnsi="Times New Roman" w:cs="Times New Roman"/>
          <w:sz w:val="24"/>
          <w:szCs w:val="24"/>
        </w:rPr>
        <w:t>los fondos de inversión de</w:t>
      </w:r>
      <w:r w:rsidRPr="00AD35B0">
        <w:rPr>
          <w:rFonts w:ascii="Times New Roman" w:hAnsi="Times New Roman" w:cs="Times New Roman"/>
          <w:sz w:val="24"/>
          <w:szCs w:val="24"/>
        </w:rPr>
        <w:t xml:space="preserve"> Wall Street)</w:t>
      </w:r>
      <w:r>
        <w:rPr>
          <w:rFonts w:ascii="Times New Roman" w:hAnsi="Times New Roman" w:cs="Times New Roman"/>
          <w:sz w:val="24"/>
          <w:szCs w:val="24"/>
        </w:rPr>
        <w:t>: deuda encubierta, deuda que se paga con deuda, tecnología especulativa de alto riesgo (armas financieras de destrucción masiva)</w:t>
      </w:r>
      <w:r w:rsidRPr="00AD35B0">
        <w:rPr>
          <w:rFonts w:ascii="Times New Roman" w:hAnsi="Times New Roman" w:cs="Times New Roman"/>
          <w:sz w:val="24"/>
          <w:szCs w:val="24"/>
        </w:rPr>
        <w:t>, viene el “deep learning” (</w:t>
      </w:r>
      <w:r>
        <w:rPr>
          <w:rFonts w:ascii="Times New Roman" w:hAnsi="Times New Roman" w:cs="Times New Roman"/>
          <w:sz w:val="24"/>
          <w:szCs w:val="24"/>
        </w:rPr>
        <w:t xml:space="preserve">el </w:t>
      </w:r>
      <w:r w:rsidRPr="008F31C0">
        <w:rPr>
          <w:rFonts w:ascii="Times New Roman" w:hAnsi="Times New Roman" w:cs="Times New Roman"/>
          <w:sz w:val="24"/>
          <w:szCs w:val="24"/>
        </w:rPr>
        <w:t xml:space="preserve">despliegue de algoritmos </w:t>
      </w:r>
      <w:r>
        <w:rPr>
          <w:rFonts w:ascii="Times New Roman" w:hAnsi="Times New Roman" w:cs="Times New Roman"/>
          <w:sz w:val="24"/>
          <w:szCs w:val="24"/>
        </w:rPr>
        <w:t xml:space="preserve">de </w:t>
      </w:r>
      <w:r w:rsidRPr="00AD35B0">
        <w:rPr>
          <w:rFonts w:ascii="Times New Roman" w:hAnsi="Times New Roman" w:cs="Times New Roman"/>
          <w:sz w:val="24"/>
          <w:szCs w:val="24"/>
        </w:rPr>
        <w:t>Silicon Valley</w:t>
      </w:r>
      <w:r>
        <w:rPr>
          <w:rFonts w:ascii="Times New Roman" w:hAnsi="Times New Roman" w:cs="Times New Roman"/>
          <w:sz w:val="24"/>
          <w:szCs w:val="24"/>
        </w:rPr>
        <w:t xml:space="preserve">): espionaje, geolocalización, tráfico de datos, manipulación, intoxicación, amenaza a la privacidad y los derechos humanos. </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la “titulización de la deuda” (envolver la mierda financiera en paquetes y venderla por todo el mundo mundial) vino las crisis de las hipotecas subprime (y el rescate de los bancos con el dinero de los contribuyentes)…</w:t>
      </w:r>
    </w:p>
    <w:p w:rsidR="008B4E7E" w:rsidRPr="00DF7004" w:rsidRDefault="008B4E7E" w:rsidP="008B4E7E">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 xml:space="preserve">Después de la “primavera de IA que se aproxima” (sic), ¿qué vendrá? El invierno, el diluvio, la glaciación… ¿that is the question? Un anticipo de </w:t>
      </w:r>
      <w:r>
        <w:rPr>
          <w:rFonts w:ascii="Times New Roman" w:hAnsi="Times New Roman" w:cs="Times New Roman"/>
          <w:sz w:val="24"/>
          <w:szCs w:val="24"/>
        </w:rPr>
        <w:t>“</w:t>
      </w:r>
      <w:r w:rsidRPr="00DF7004">
        <w:rPr>
          <w:rFonts w:ascii="Times New Roman" w:hAnsi="Times New Roman" w:cs="Times New Roman"/>
          <w:sz w:val="24"/>
          <w:szCs w:val="24"/>
        </w:rPr>
        <w:t>fenómenos meteorológicos</w:t>
      </w:r>
      <w:r>
        <w:rPr>
          <w:rFonts w:ascii="Times New Roman" w:hAnsi="Times New Roman" w:cs="Times New Roman"/>
          <w:sz w:val="24"/>
          <w:szCs w:val="24"/>
        </w:rPr>
        <w:t>”</w:t>
      </w:r>
      <w:r w:rsidRPr="00DF7004">
        <w:rPr>
          <w:rFonts w:ascii="Times New Roman" w:hAnsi="Times New Roman" w:cs="Times New Roman"/>
          <w:sz w:val="24"/>
          <w:szCs w:val="24"/>
        </w:rPr>
        <w:t xml:space="preserve"> pueden ser la privacidad de los datos y el uso de información personal, la ciberseguridad y los deep fakes </w:t>
      </w:r>
      <w:r w:rsidRPr="00DF7004">
        <w:rPr>
          <w:rFonts w:ascii="Times New Roman" w:hAnsi="Times New Roman" w:cs="Times New Roman"/>
          <w:sz w:val="24"/>
          <w:szCs w:val="24"/>
        </w:rPr>
        <w:lastRenderedPageBreak/>
        <w:t>(“engaños profundos”) que se podrían usar para manipular resultados electorales o perpetrar fraudes a gran escala</w:t>
      </w:r>
      <w:r>
        <w:rPr>
          <w:rFonts w:ascii="Times New Roman" w:hAnsi="Times New Roman" w:cs="Times New Roman"/>
          <w:sz w:val="24"/>
          <w:szCs w:val="24"/>
        </w:rPr>
        <w:t>…</w:t>
      </w:r>
    </w:p>
    <w:p w:rsidR="008B4E7E" w:rsidRPr="00DF7004" w:rsidRDefault="008B4E7E" w:rsidP="008B4E7E">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“La propagación de la IA también dará origen a difíciles dilemas éticos, algunos de los cuales se relacionan con el uso y potencial abuso de la tecnología en áreas como las aplicaciones militares y de vigilancia, las redes sociales y la política. Los algoritmos y los datos que se usan para entrenarlos pueden introducir nuevos sesgos, o perpetuar e institucionalizar los actuales” (sic). Estos dilemas (éticos), pueden estar seguidos de largas rachas de desilusión (“los inviernos de IA”), cuando la tecnología no esté a la altura de las expectativas.</w:t>
      </w:r>
    </w:p>
    <w:p w:rsidR="008B4E7E" w:rsidRPr="00DF7004" w:rsidRDefault="008B4E7E" w:rsidP="008B4E7E">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Más allá del evento meteorológico extremo, lo único seguro</w:t>
      </w:r>
      <w:r>
        <w:rPr>
          <w:rFonts w:ascii="Times New Roman" w:hAnsi="Times New Roman" w:cs="Times New Roman"/>
          <w:sz w:val="24"/>
          <w:szCs w:val="24"/>
        </w:rPr>
        <w:t xml:space="preserve"> es que el “siniestro” </w:t>
      </w:r>
      <w:r w:rsidRPr="00DF7004">
        <w:rPr>
          <w:rFonts w:ascii="Times New Roman" w:hAnsi="Times New Roman" w:cs="Times New Roman"/>
          <w:sz w:val="24"/>
          <w:szCs w:val="24"/>
        </w:rPr>
        <w:t>lo pagarán (volverán a pagar) los mismos contribuyentes, en forma de rescate o en forma de emp</w:t>
      </w:r>
      <w:r w:rsidR="00922E26">
        <w:rPr>
          <w:rFonts w:ascii="Times New Roman" w:hAnsi="Times New Roman" w:cs="Times New Roman"/>
          <w:sz w:val="24"/>
          <w:szCs w:val="24"/>
        </w:rPr>
        <w:t xml:space="preserve">leos (o las dos cosas juntas). </w:t>
      </w:r>
      <w:r w:rsidRPr="00DF7004">
        <w:rPr>
          <w:rFonts w:ascii="Times New Roman" w:hAnsi="Times New Roman" w:cs="Times New Roman"/>
          <w:sz w:val="24"/>
          <w:szCs w:val="24"/>
        </w:rPr>
        <w:t>Por lo pronto los “profetas” de la IA ya nos dicen que “también creará algunas externalidades negativas y costes de transición, pero se compensarán con sus beneficios” (sic).</w:t>
      </w:r>
    </w:p>
    <w:p w:rsidR="008B4E7E" w:rsidRPr="00DF7004" w:rsidRDefault="008B4E7E" w:rsidP="008B4E7E">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Au</w:t>
      </w:r>
      <w:r>
        <w:rPr>
          <w:rFonts w:ascii="Times New Roman" w:hAnsi="Times New Roman" w:cs="Times New Roman"/>
          <w:sz w:val="24"/>
          <w:szCs w:val="24"/>
        </w:rPr>
        <w:t>n</w:t>
      </w:r>
      <w:r w:rsidRPr="00DF7004">
        <w:rPr>
          <w:rFonts w:ascii="Times New Roman" w:hAnsi="Times New Roman" w:cs="Times New Roman"/>
          <w:sz w:val="24"/>
          <w:szCs w:val="24"/>
        </w:rPr>
        <w:t>que no dejan de señalar que “los últimos avances en las técnicas y algoritmos de IA, combinados con un enorme aumento de la potencia informática y una explosión en la cantidad de datos disponibles, producen avances significativos y tangibles que prometen generar valor para las personas, las empresas y la sociedad en su conjunto. Un área crucial de preocupación es el impacto de la IA y la automatización sobre el trabajo” (sic).</w:t>
      </w:r>
    </w:p>
    <w:p w:rsidR="008B4E7E" w:rsidRPr="00DF7004" w:rsidRDefault="008B4E7E" w:rsidP="008B4E7E">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“En el escenario de adopción más rápida, hasta 375 millones de trabajadores en todo el mundo deberán cambiar de categorías ocupacionales para 2030, mientras unos 75 millones se verán afectados en un escenario intermedio. La naturaleza de casi todos los empleos cambiará, a medida que las personas interactúen más estrechamente con máquinas inteligentes en el lugar de trabajo. Para ello serán necesarias nuevas habilidades que plantearán a las empresas y autoridades el gran desafío de formar y volver a capacitar a gran escala a la fuerza de trabajo. Y a medida que crezca la demanda de empleos de alta cualificación, los trabajadores con habilidades más básicas podrían quedar atrás, lo que empeoraría la brecha de desigualdad de los ingresos y los salarios” (sic).</w:t>
      </w:r>
    </w:p>
    <w:p w:rsidR="008B4E7E" w:rsidRPr="00DF7004" w:rsidRDefault="008B4E7E" w:rsidP="008B4E7E">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“A pesar de estos retos, la IA puede generar un inmenso valor para todos nosotros, si las autoridades y las empresas actúan con rapidez e inteligencia para aprovechar sus beneficios y mitigar sus inevitables riesgos”. La largamente esperada “primavera de la IA” puede estar llegando finalmente, pero debemos estar preparados para manejar su inicio con cuidado”, nos prometen, aseguran, garantizan,</w:t>
      </w:r>
      <w:r>
        <w:rPr>
          <w:rFonts w:ascii="Times New Roman" w:hAnsi="Times New Roman" w:cs="Times New Roman"/>
          <w:sz w:val="24"/>
          <w:szCs w:val="24"/>
        </w:rPr>
        <w:t xml:space="preserve"> los autores de los “(sic)”:</w:t>
      </w:r>
      <w:r w:rsidRPr="00DF7004">
        <w:rPr>
          <w:rFonts w:ascii="Times New Roman" w:hAnsi="Times New Roman" w:cs="Times New Roman"/>
          <w:sz w:val="24"/>
          <w:szCs w:val="24"/>
        </w:rPr>
        <w:t xml:space="preserve"> James Manyika, Chairman of the McKinsey Global Institute and a senior partner in McKinsey &amp; Company’s San Francisco Office and Jacques Bughin, a director of the McKinsey Global Institute and a McKinsey s</w:t>
      </w:r>
      <w:r w:rsidR="00922E26">
        <w:rPr>
          <w:rFonts w:ascii="Times New Roman" w:hAnsi="Times New Roman" w:cs="Times New Roman"/>
          <w:sz w:val="24"/>
          <w:szCs w:val="24"/>
        </w:rPr>
        <w:t>enior partner based in Brussels,</w:t>
      </w:r>
      <w:r w:rsidRPr="00DF7004">
        <w:rPr>
          <w:rFonts w:ascii="Times New Roman" w:hAnsi="Times New Roman" w:cs="Times New Roman"/>
          <w:sz w:val="24"/>
          <w:szCs w:val="24"/>
        </w:rPr>
        <w:t xml:space="preserve"> en un artículo publicado en Project Syndicate - </w:t>
      </w:r>
      <w:r>
        <w:rPr>
          <w:rFonts w:ascii="Times New Roman" w:hAnsi="Times New Roman" w:cs="Times New Roman"/>
          <w:b/>
          <w:sz w:val="24"/>
          <w:szCs w:val="24"/>
        </w:rPr>
        <w:t>14/10/19: “</w:t>
      </w:r>
      <w:r w:rsidRPr="00DF7004">
        <w:rPr>
          <w:rFonts w:ascii="Times New Roman" w:hAnsi="Times New Roman" w:cs="Times New Roman"/>
          <w:sz w:val="24"/>
          <w:szCs w:val="24"/>
        </w:rPr>
        <w:t>La primavera de IA que se aproxima”</w:t>
      </w:r>
      <w:r>
        <w:rPr>
          <w:rFonts w:ascii="Times New Roman" w:hAnsi="Times New Roman" w:cs="Times New Roman"/>
          <w:sz w:val="24"/>
          <w:szCs w:val="24"/>
        </w:rPr>
        <w:t>.</w:t>
      </w:r>
    </w:p>
    <w:p w:rsidR="008B4E7E" w:rsidRPr="00903D67" w:rsidRDefault="008B4E7E" w:rsidP="008B4E7E">
      <w:pPr>
        <w:spacing w:after="0" w:line="240" w:lineRule="auto"/>
        <w:jc w:val="both"/>
        <w:textAlignment w:val="baseline"/>
        <w:rPr>
          <w:rFonts w:ascii="Times New Roman" w:hAnsi="Times New Roman" w:cs="Times New Roman"/>
          <w:sz w:val="24"/>
          <w:szCs w:val="24"/>
        </w:rPr>
      </w:pPr>
      <w:r w:rsidRPr="00903D67">
        <w:rPr>
          <w:rFonts w:ascii="Times New Roman" w:hAnsi="Times New Roman" w:cs="Times New Roman"/>
          <w:sz w:val="24"/>
          <w:szCs w:val="24"/>
        </w:rPr>
        <w:t>Lo que los psicólogos como Albert Bandura llaman desentendimiento moral es el proceso por el que los humanos dejan de experimentar una reacción negativa al contravenir sus propias normas morales. Se da frecuentemente a resultas de una percepción de injusticia: cuando alguien se siente injustamente tratado por la empresa, justifica más fácilmente comportamientos como el maltrato a otros, bien sea subordinados o clientes.</w:t>
      </w:r>
    </w:p>
    <w:p w:rsidR="008B4E7E" w:rsidRPr="00903D67" w:rsidRDefault="008B4E7E" w:rsidP="008B4E7E">
      <w:pPr>
        <w:spacing w:after="0" w:line="240" w:lineRule="auto"/>
        <w:jc w:val="both"/>
        <w:textAlignment w:val="baseline"/>
        <w:rPr>
          <w:rFonts w:ascii="Times New Roman" w:hAnsi="Times New Roman" w:cs="Times New Roman"/>
          <w:sz w:val="24"/>
          <w:szCs w:val="24"/>
        </w:rPr>
      </w:pPr>
    </w:p>
    <w:p w:rsidR="008B4E7E" w:rsidRPr="00903D67" w:rsidRDefault="008B4E7E" w:rsidP="008B4E7E">
      <w:pPr>
        <w:spacing w:after="0" w:line="240" w:lineRule="auto"/>
        <w:jc w:val="both"/>
        <w:textAlignment w:val="baseline"/>
        <w:rPr>
          <w:rFonts w:ascii="Times New Roman" w:hAnsi="Times New Roman" w:cs="Times New Roman"/>
          <w:sz w:val="24"/>
          <w:szCs w:val="24"/>
        </w:rPr>
      </w:pPr>
      <w:r w:rsidRPr="00903D67">
        <w:rPr>
          <w:rFonts w:ascii="Times New Roman" w:hAnsi="Times New Roman" w:cs="Times New Roman"/>
          <w:sz w:val="24"/>
          <w:szCs w:val="24"/>
        </w:rPr>
        <w:t xml:space="preserve">Cuando alguien es cliente de un “trader” moralmente desentendido, corre un mayor riesgo de sufrir pérdidas, ya que se enfrenta a alguien que persigue sus intereses sin las restricciones morales que otros humanos normalmente tienen. Para la sociedad en su conjunto, el desentendimiento moral de los “traders” genera un peligro de colapso financiero, ya que </w:t>
      </w:r>
      <w:r w:rsidRPr="00903D67">
        <w:rPr>
          <w:rFonts w:ascii="Times New Roman" w:hAnsi="Times New Roman" w:cs="Times New Roman"/>
          <w:sz w:val="24"/>
          <w:szCs w:val="24"/>
        </w:rPr>
        <w:lastRenderedPageBreak/>
        <w:t>dicho desentendimiento puede llevar a los “traders” a hacer operaciones ruinosas para el banco, como ya pasó en el 2008.</w:t>
      </w:r>
    </w:p>
    <w:p w:rsidR="008B4E7E" w:rsidRDefault="008B4E7E" w:rsidP="008B4E7E">
      <w:pPr>
        <w:spacing w:after="0" w:line="240" w:lineRule="auto"/>
        <w:jc w:val="both"/>
        <w:textAlignment w:val="baseline"/>
        <w:rPr>
          <w:rFonts w:ascii="Times New Roman" w:hAnsi="Times New Roman" w:cs="Times New Roman"/>
          <w:color w:val="FF0000"/>
          <w:sz w:val="24"/>
          <w:szCs w:val="24"/>
          <w:u w:val="single"/>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Como</w:t>
      </w:r>
      <w:r w:rsidRPr="002B09DB">
        <w:rPr>
          <w:rFonts w:ascii="Times New Roman" w:hAnsi="Times New Roman" w:cs="Times New Roman"/>
          <w:sz w:val="24"/>
          <w:szCs w:val="24"/>
        </w:rPr>
        <w:t xml:space="preserve"> dijo</w:t>
      </w:r>
      <w:r w:rsidR="00903D67">
        <w:rPr>
          <w:rFonts w:ascii="Times New Roman" w:hAnsi="Times New Roman" w:cs="Times New Roman"/>
          <w:sz w:val="24"/>
          <w:szCs w:val="24"/>
        </w:rPr>
        <w:t xml:space="preserve"> Carlo</w:t>
      </w:r>
      <w:r w:rsidRPr="002B09DB">
        <w:rPr>
          <w:rFonts w:ascii="Times New Roman" w:hAnsi="Times New Roman" w:cs="Times New Roman"/>
          <w:sz w:val="24"/>
          <w:szCs w:val="24"/>
        </w:rPr>
        <w:t xml:space="preserve"> Cipolla: “El estúpido es el individuo más peligroso del mundo. De hecho, los estúpidos (UE) son mucho más peligrosos que los malvados (EEUU)”. La asignación de roles, es de mi responsabilidad</w:t>
      </w:r>
      <w:r>
        <w:rPr>
          <w:rFonts w:ascii="Times New Roman" w:hAnsi="Times New Roman" w:cs="Times New Roman"/>
          <w:sz w:val="24"/>
          <w:szCs w:val="24"/>
        </w:rPr>
        <w:t xml:space="preserve">. </w:t>
      </w:r>
    </w:p>
    <w:p w:rsidR="008B4E7E" w:rsidRPr="002B09DB"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Como escribió Francis Bacon: “E</w:t>
      </w:r>
      <w:r w:rsidRPr="002B09DB">
        <w:rPr>
          <w:rFonts w:ascii="Times New Roman" w:hAnsi="Times New Roman" w:cs="Times New Roman"/>
          <w:sz w:val="24"/>
          <w:szCs w:val="24"/>
        </w:rPr>
        <w:t>l que no aplica nuevos remedios (UE) debe esperar nuevos males (EEUU), porque el tiempo es el máximo innovador</w:t>
      </w:r>
      <w:r>
        <w:rPr>
          <w:rFonts w:ascii="Times New Roman" w:hAnsi="Times New Roman" w:cs="Times New Roman"/>
          <w:sz w:val="24"/>
          <w:szCs w:val="24"/>
        </w:rPr>
        <w:t xml:space="preserve"> (Wall Street +</w:t>
      </w:r>
      <w:r w:rsidRPr="002B09DB">
        <w:rPr>
          <w:rFonts w:ascii="Times New Roman" w:hAnsi="Times New Roman" w:cs="Times New Roman"/>
          <w:sz w:val="24"/>
          <w:szCs w:val="24"/>
        </w:rPr>
        <w:t xml:space="preserve"> Silicon Valley)” La asignación de roles, sigue siendo de mi responsabilidad.</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Pr="002B09DB"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(Gracias Jesús Cacho -Voxpópuli-, por “rescatar” las citas)</w:t>
      </w:r>
    </w:p>
    <w:p w:rsidR="008B4E7E" w:rsidRPr="002B09DB" w:rsidRDefault="008B4E7E" w:rsidP="008B4E7E">
      <w:pPr>
        <w:spacing w:after="0" w:line="240" w:lineRule="auto"/>
        <w:jc w:val="both"/>
        <w:textAlignment w:val="baseline"/>
        <w:rPr>
          <w:rFonts w:ascii="Times New Roman" w:hAnsi="Times New Roman" w:cs="Times New Roman"/>
          <w:sz w:val="24"/>
          <w:szCs w:val="24"/>
        </w:rPr>
      </w:pPr>
    </w:p>
    <w:p w:rsidR="008B4E7E" w:rsidRPr="002B09DB" w:rsidRDefault="008B4E7E" w:rsidP="008B4E7E">
      <w:pPr>
        <w:spacing w:after="0" w:line="240" w:lineRule="auto"/>
        <w:jc w:val="both"/>
        <w:textAlignment w:val="baseline"/>
        <w:rPr>
          <w:rFonts w:ascii="Times New Roman" w:hAnsi="Times New Roman" w:cs="Times New Roman"/>
          <w:sz w:val="24"/>
          <w:szCs w:val="24"/>
        </w:rPr>
      </w:pPr>
      <w:r w:rsidRPr="002B09DB">
        <w:rPr>
          <w:rFonts w:ascii="Times New Roman" w:hAnsi="Times New Roman" w:cs="Times New Roman"/>
          <w:sz w:val="24"/>
          <w:szCs w:val="24"/>
        </w:rPr>
        <w:t>Mientras la Europa “multilateralista” repita en su defensa, que Wall Street (crisis financiera 2008) y Silico</w:t>
      </w:r>
      <w:r>
        <w:rPr>
          <w:rFonts w:ascii="Times New Roman" w:hAnsi="Times New Roman" w:cs="Times New Roman"/>
          <w:sz w:val="24"/>
          <w:szCs w:val="24"/>
        </w:rPr>
        <w:t>n Valley (feudalismo digital</w:t>
      </w:r>
      <w:r w:rsidRPr="002B09DB">
        <w:rPr>
          <w:rFonts w:ascii="Times New Roman" w:hAnsi="Times New Roman" w:cs="Times New Roman"/>
          <w:sz w:val="24"/>
          <w:szCs w:val="24"/>
        </w:rPr>
        <w:t>)</w:t>
      </w:r>
      <w:r>
        <w:rPr>
          <w:rFonts w:ascii="Times New Roman" w:hAnsi="Times New Roman" w:cs="Times New Roman"/>
          <w:sz w:val="24"/>
          <w:szCs w:val="24"/>
        </w:rPr>
        <w:t xml:space="preserve">, no </w:t>
      </w:r>
      <w:r w:rsidRPr="002B09DB">
        <w:rPr>
          <w:rFonts w:ascii="Times New Roman" w:hAnsi="Times New Roman" w:cs="Times New Roman"/>
          <w:sz w:val="24"/>
          <w:szCs w:val="24"/>
        </w:rPr>
        <w:t>hicieron “nada”, los “sospechosos habituales” (America First)  se armarán de valor para proclamar “lo volveremos a hacer”.</w:t>
      </w:r>
    </w:p>
    <w:p w:rsidR="008B4E7E" w:rsidRPr="002B09DB" w:rsidRDefault="008B4E7E" w:rsidP="008B4E7E">
      <w:pPr>
        <w:spacing w:after="0" w:line="240" w:lineRule="auto"/>
        <w:jc w:val="both"/>
        <w:textAlignment w:val="baseline"/>
        <w:rPr>
          <w:rFonts w:ascii="Times New Roman" w:hAnsi="Times New Roman" w:cs="Times New Roman"/>
          <w:sz w:val="24"/>
          <w:szCs w:val="24"/>
        </w:rPr>
      </w:pPr>
    </w:p>
    <w:p w:rsidR="008B4E7E" w:rsidRPr="00E46AA6" w:rsidRDefault="008B4E7E" w:rsidP="008B4E7E">
      <w:pPr>
        <w:spacing w:after="0" w:line="240" w:lineRule="auto"/>
        <w:jc w:val="both"/>
        <w:textAlignment w:val="baseline"/>
        <w:rPr>
          <w:rFonts w:ascii="Times New Roman" w:hAnsi="Times New Roman" w:cs="Times New Roman"/>
          <w:sz w:val="24"/>
          <w:szCs w:val="24"/>
        </w:rPr>
      </w:pPr>
      <w:r w:rsidRPr="002B09DB">
        <w:rPr>
          <w:rFonts w:ascii="Times New Roman" w:hAnsi="Times New Roman" w:cs="Times New Roman"/>
          <w:sz w:val="24"/>
          <w:szCs w:val="24"/>
        </w:rPr>
        <w:t>Mientras la Europa, cobarde, pastueña, acomplejada, siga de rodillas, poniendo la otra mejilla, le seguirán llenando la cara de dedos. Aunque los burócratas de Bruselas, digan que “solo”</w:t>
      </w:r>
      <w:r>
        <w:rPr>
          <w:rFonts w:ascii="Times New Roman" w:hAnsi="Times New Roman" w:cs="Times New Roman"/>
          <w:sz w:val="24"/>
          <w:szCs w:val="24"/>
        </w:rPr>
        <w:t xml:space="preserve"> se</w:t>
      </w:r>
      <w:r w:rsidRPr="002B09DB">
        <w:rPr>
          <w:rFonts w:ascii="Times New Roman" w:hAnsi="Times New Roman" w:cs="Times New Roman"/>
          <w:sz w:val="24"/>
          <w:szCs w:val="24"/>
        </w:rPr>
        <w:t xml:space="preserve"> han llenado los dedos de cara. </w:t>
      </w:r>
      <w:r>
        <w:rPr>
          <w:rFonts w:ascii="Times New Roman" w:hAnsi="Times New Roman" w:cs="Times New Roman"/>
          <w:sz w:val="24"/>
          <w:szCs w:val="24"/>
        </w:rPr>
        <w:t>Por temer, le temen hasta a la ley de la gravedad.</w:t>
      </w:r>
    </w:p>
    <w:p w:rsidR="008B4E7E" w:rsidRPr="002B09DB"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sidRPr="002B09DB">
        <w:rPr>
          <w:rFonts w:ascii="Times New Roman" w:hAnsi="Times New Roman" w:cs="Times New Roman"/>
          <w:sz w:val="24"/>
          <w:szCs w:val="24"/>
        </w:rPr>
        <w:t xml:space="preserve">Es lo que tiene querer sorber y soplar a la vez. </w:t>
      </w:r>
      <w:r>
        <w:rPr>
          <w:rFonts w:ascii="Times New Roman" w:hAnsi="Times New Roman" w:cs="Times New Roman"/>
          <w:sz w:val="24"/>
          <w:szCs w:val="24"/>
        </w:rPr>
        <w:t>Por aceptar “</w:t>
      </w:r>
      <w:r w:rsidRPr="00E46AA6">
        <w:rPr>
          <w:rFonts w:ascii="Times New Roman" w:hAnsi="Times New Roman" w:cs="Times New Roman"/>
          <w:sz w:val="24"/>
          <w:szCs w:val="24"/>
        </w:rPr>
        <w:t>barcos</w:t>
      </w:r>
      <w:r>
        <w:rPr>
          <w:rFonts w:ascii="Times New Roman" w:hAnsi="Times New Roman" w:cs="Times New Roman"/>
          <w:sz w:val="24"/>
          <w:szCs w:val="24"/>
        </w:rPr>
        <w:t xml:space="preserve">” (globalización, librecambio) sin “honra” (bilateralismo, intercambio compensado, autarquía). Se han quedado “sin honra” y “sin barcos”… haciendo la “plancha” en el Mar Muerto. </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Ya no hay tiempo (¡Muchas gracias Donald Trump!) para aplicar la habitual (endeble, débil, tímida, cobarde, pusilánime) </w:t>
      </w:r>
      <w:r w:rsidRPr="00D3045A">
        <w:rPr>
          <w:rFonts w:ascii="Times New Roman" w:hAnsi="Times New Roman" w:cs="Times New Roman"/>
          <w:sz w:val="24"/>
          <w:szCs w:val="24"/>
        </w:rPr>
        <w:t>retórica del victimismo</w:t>
      </w:r>
      <w:r>
        <w:rPr>
          <w:rFonts w:ascii="Times New Roman" w:hAnsi="Times New Roman" w:cs="Times New Roman"/>
          <w:sz w:val="24"/>
          <w:szCs w:val="24"/>
        </w:rPr>
        <w:t xml:space="preserve">, o de realizar </w:t>
      </w:r>
      <w:r w:rsidRPr="00D3045A">
        <w:rPr>
          <w:rFonts w:ascii="Times New Roman" w:hAnsi="Times New Roman" w:cs="Times New Roman"/>
          <w:sz w:val="24"/>
          <w:szCs w:val="24"/>
        </w:rPr>
        <w:t>amenaza</w:t>
      </w:r>
      <w:r>
        <w:rPr>
          <w:rFonts w:ascii="Times New Roman" w:hAnsi="Times New Roman" w:cs="Times New Roman"/>
          <w:sz w:val="24"/>
          <w:szCs w:val="24"/>
        </w:rPr>
        <w:t xml:space="preserve">s con la </w:t>
      </w:r>
      <w:r w:rsidRPr="00D3045A">
        <w:rPr>
          <w:rFonts w:ascii="Times New Roman" w:hAnsi="Times New Roman" w:cs="Times New Roman"/>
          <w:sz w:val="24"/>
          <w:szCs w:val="24"/>
        </w:rPr>
        <w:t xml:space="preserve"> ambigüedad calculada en aras de </w:t>
      </w:r>
      <w:r>
        <w:rPr>
          <w:rFonts w:ascii="Times New Roman" w:hAnsi="Times New Roman" w:cs="Times New Roman"/>
          <w:sz w:val="24"/>
          <w:szCs w:val="24"/>
        </w:rPr>
        <w:t>ahorrarse represalias políticas o económicas, por parte del poder dominante (Washington S.A.): “L</w:t>
      </w:r>
      <w:r w:rsidRPr="009E0A68">
        <w:rPr>
          <w:rFonts w:ascii="Times New Roman" w:hAnsi="Times New Roman" w:cs="Times New Roman"/>
          <w:sz w:val="24"/>
          <w:szCs w:val="24"/>
        </w:rPr>
        <w:t>a ley de la gravedad no es na</w:t>
      </w:r>
      <w:r>
        <w:rPr>
          <w:rFonts w:ascii="Times New Roman" w:hAnsi="Times New Roman" w:cs="Times New Roman"/>
          <w:sz w:val="24"/>
          <w:szCs w:val="24"/>
        </w:rPr>
        <w:t>da en comparación con lo que les espera” (sic).</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Ante todos los grandes bonetes, vacas sagradas, santones de la modernidad, gurús mediáticos (varios Nobeles, y unos cuantos “noveleros”, todo hay que decirlo) que pronostican que la primavera de IA </w:t>
      </w:r>
      <w:r w:rsidRPr="009F46E0">
        <w:rPr>
          <w:rFonts w:ascii="Times New Roman" w:hAnsi="Times New Roman" w:cs="Times New Roman"/>
          <w:sz w:val="24"/>
          <w:szCs w:val="24"/>
        </w:rPr>
        <w:t>se aproxima</w:t>
      </w:r>
      <w:r>
        <w:rPr>
          <w:rFonts w:ascii="Times New Roman" w:hAnsi="Times New Roman" w:cs="Times New Roman"/>
          <w:sz w:val="24"/>
          <w:szCs w:val="24"/>
        </w:rPr>
        <w:t xml:space="preserve">… qué importancia puede tener que este humilde corresponsal económico, con su poca voz, les trasmita su sensación térmica, les hable de oscuros nubarrones, les sugiera que lleven el paraguas, o que tengan el abrigo a mano. Así y todo, por si les sirve, quedan avisados: hay que estar prevenidos ante el feudalismo digital. </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Por la suerte que nos trae, todos estos asuntos (globalización, librecambio, financierización, banca en la sombra, multilateralismo, bilateralismo, intercambio compensado, región más favorecida, autarquía, inteligencia artificial, robótica, redes sociales, algoritmos, tráfico de datos, economía disruptiva, feudalismo digital, sectores económicos que aprovechan el vacío legal, sectores económicos que no tributan por sus operaciones regionales…)  deberían estar en la agenda de la nueva Comisión Europea. </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Default="008B4E7E" w:rsidP="00922E26">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Unión Europea debe crear su “propio” modelo de crecimiento. La Unión Europea debe, y puede, evitar ser </w:t>
      </w:r>
      <w:r w:rsidRPr="00812EE1">
        <w:rPr>
          <w:rFonts w:ascii="Times New Roman" w:hAnsi="Times New Roman" w:cs="Times New Roman"/>
          <w:sz w:val="24"/>
          <w:szCs w:val="24"/>
        </w:rPr>
        <w:t>captur</w:t>
      </w:r>
      <w:r>
        <w:rPr>
          <w:rFonts w:ascii="Times New Roman" w:hAnsi="Times New Roman" w:cs="Times New Roman"/>
          <w:sz w:val="24"/>
          <w:szCs w:val="24"/>
        </w:rPr>
        <w:t>ada por sectores extractivos(</w:t>
      </w:r>
      <w:r w:rsidRPr="00812EE1">
        <w:rPr>
          <w:rFonts w:ascii="Times New Roman" w:hAnsi="Times New Roman" w:cs="Times New Roman"/>
          <w:sz w:val="24"/>
          <w:szCs w:val="24"/>
        </w:rPr>
        <w:t xml:space="preserve">que dan poder a </w:t>
      </w:r>
      <w:r>
        <w:rPr>
          <w:rFonts w:ascii="Times New Roman" w:hAnsi="Times New Roman" w:cs="Times New Roman"/>
          <w:sz w:val="24"/>
          <w:szCs w:val="24"/>
        </w:rPr>
        <w:t>una parte del mercado</w:t>
      </w:r>
      <w:r w:rsidRPr="00812EE1">
        <w:rPr>
          <w:rFonts w:ascii="Times New Roman" w:hAnsi="Times New Roman" w:cs="Times New Roman"/>
          <w:sz w:val="24"/>
          <w:szCs w:val="24"/>
        </w:rPr>
        <w:t xml:space="preserve"> y dejan a</w:t>
      </w:r>
      <w:r>
        <w:rPr>
          <w:rFonts w:ascii="Times New Roman" w:hAnsi="Times New Roman" w:cs="Times New Roman"/>
          <w:sz w:val="24"/>
          <w:szCs w:val="24"/>
        </w:rPr>
        <w:t>l resto privado de posibilidades de desarrollo). La Unión Europea debe, y puede, nivelar</w:t>
      </w:r>
      <w:r w:rsidRPr="00812EE1">
        <w:rPr>
          <w:rFonts w:ascii="Times New Roman" w:hAnsi="Times New Roman" w:cs="Times New Roman"/>
          <w:sz w:val="24"/>
          <w:szCs w:val="24"/>
        </w:rPr>
        <w:t xml:space="preserve"> el campo de juego económico, </w:t>
      </w:r>
      <w:r>
        <w:rPr>
          <w:rFonts w:ascii="Times New Roman" w:hAnsi="Times New Roman" w:cs="Times New Roman"/>
          <w:sz w:val="24"/>
          <w:szCs w:val="24"/>
        </w:rPr>
        <w:t>para alentar</w:t>
      </w:r>
      <w:r w:rsidRPr="00812EE1">
        <w:rPr>
          <w:rFonts w:ascii="Times New Roman" w:hAnsi="Times New Roman" w:cs="Times New Roman"/>
          <w:sz w:val="24"/>
          <w:szCs w:val="24"/>
        </w:rPr>
        <w:t xml:space="preserve"> la inversión y la innovación que se necesitan para un crecimiento sos</w:t>
      </w:r>
      <w:r>
        <w:rPr>
          <w:rFonts w:ascii="Times New Roman" w:hAnsi="Times New Roman" w:cs="Times New Roman"/>
          <w:sz w:val="24"/>
          <w:szCs w:val="24"/>
        </w:rPr>
        <w:t>tenido.La Unión Europea debe, y puede, i</w:t>
      </w:r>
      <w:r w:rsidRPr="00773694">
        <w:rPr>
          <w:rFonts w:ascii="Times New Roman" w:hAnsi="Times New Roman" w:cs="Times New Roman"/>
          <w:sz w:val="24"/>
          <w:szCs w:val="24"/>
        </w:rPr>
        <w:t>r más allá</w:t>
      </w:r>
      <w:r>
        <w:rPr>
          <w:rFonts w:ascii="Times New Roman" w:hAnsi="Times New Roman" w:cs="Times New Roman"/>
          <w:sz w:val="24"/>
          <w:szCs w:val="24"/>
        </w:rPr>
        <w:t>,</w:t>
      </w:r>
      <w:r w:rsidRPr="00773694">
        <w:rPr>
          <w:rFonts w:ascii="Times New Roman" w:hAnsi="Times New Roman" w:cs="Times New Roman"/>
          <w:sz w:val="24"/>
          <w:szCs w:val="24"/>
        </w:rPr>
        <w:t xml:space="preserve"> y </w:t>
      </w:r>
      <w:r w:rsidRPr="00773694">
        <w:rPr>
          <w:rFonts w:ascii="Times New Roman" w:hAnsi="Times New Roman" w:cs="Times New Roman"/>
          <w:sz w:val="24"/>
          <w:szCs w:val="24"/>
        </w:rPr>
        <w:lastRenderedPageBreak/>
        <w:t>transformar esencialmente su modelo de crecimiento para garantizar la generación de un mayor crecimiento del ingreso dentro de su mercado doméstico. En consecuencia, un incremento marcado y sustentable de la demanda doméstica es clave.</w:t>
      </w:r>
    </w:p>
    <w:p w:rsidR="00922E26" w:rsidRDefault="00922E26" w:rsidP="00922E26">
      <w:pPr>
        <w:spacing w:after="0" w:line="240" w:lineRule="auto"/>
        <w:jc w:val="both"/>
        <w:textAlignment w:val="baseline"/>
        <w:rPr>
          <w:rFonts w:ascii="Times New Roman" w:hAnsi="Times New Roman" w:cs="Times New Roman"/>
          <w:sz w:val="24"/>
          <w:szCs w:val="24"/>
        </w:rPr>
      </w:pPr>
    </w:p>
    <w:p w:rsidR="008B4E7E" w:rsidRPr="00812EE1" w:rsidRDefault="008B4E7E" w:rsidP="008B4E7E">
      <w:pPr>
        <w:spacing w:line="240" w:lineRule="auto"/>
        <w:jc w:val="both"/>
        <w:rPr>
          <w:rFonts w:ascii="Times New Roman" w:hAnsi="Times New Roman" w:cs="Times New Roman"/>
          <w:sz w:val="24"/>
          <w:szCs w:val="24"/>
        </w:rPr>
      </w:pPr>
      <w:r w:rsidRPr="00812EE1">
        <w:rPr>
          <w:rFonts w:ascii="Times New Roman" w:hAnsi="Times New Roman" w:cs="Times New Roman"/>
          <w:sz w:val="24"/>
          <w:szCs w:val="24"/>
        </w:rPr>
        <w:t>En resumidas c</w:t>
      </w:r>
      <w:r>
        <w:rPr>
          <w:rFonts w:ascii="Times New Roman" w:hAnsi="Times New Roman" w:cs="Times New Roman"/>
          <w:sz w:val="24"/>
          <w:szCs w:val="24"/>
        </w:rPr>
        <w:t>uentas, la Unión Europea</w:t>
      </w:r>
      <w:r w:rsidRPr="00812EE1">
        <w:rPr>
          <w:rFonts w:ascii="Times New Roman" w:hAnsi="Times New Roman" w:cs="Times New Roman"/>
          <w:sz w:val="24"/>
          <w:szCs w:val="24"/>
        </w:rPr>
        <w:t xml:space="preserve"> debe transformar su tamaño considerable en una fuen</w:t>
      </w:r>
      <w:r>
        <w:rPr>
          <w:rFonts w:ascii="Times New Roman" w:hAnsi="Times New Roman" w:cs="Times New Roman"/>
          <w:sz w:val="24"/>
          <w:szCs w:val="24"/>
        </w:rPr>
        <w:t>te de crecimiento. T</w:t>
      </w:r>
      <w:r w:rsidRPr="00812EE1">
        <w:rPr>
          <w:rFonts w:ascii="Times New Roman" w:hAnsi="Times New Roman" w:cs="Times New Roman"/>
          <w:sz w:val="24"/>
          <w:szCs w:val="24"/>
        </w:rPr>
        <w:t>ambién necesita asegurar una competencia doméstica justa, revirtiendo así la caída de la confianza privada en la inversión en los últimos diez años</w:t>
      </w:r>
      <w:r>
        <w:rPr>
          <w:rFonts w:ascii="Times New Roman" w:hAnsi="Times New Roman" w:cs="Times New Roman"/>
          <w:sz w:val="24"/>
          <w:szCs w:val="24"/>
        </w:rPr>
        <w:t>,</w:t>
      </w:r>
      <w:r w:rsidRPr="00812EE1">
        <w:rPr>
          <w:rFonts w:ascii="Times New Roman" w:hAnsi="Times New Roman" w:cs="Times New Roman"/>
          <w:sz w:val="24"/>
          <w:szCs w:val="24"/>
        </w:rPr>
        <w:t xml:space="preserve"> y mejorando el crecimiento general de l</w:t>
      </w:r>
      <w:r>
        <w:rPr>
          <w:rFonts w:ascii="Times New Roman" w:hAnsi="Times New Roman" w:cs="Times New Roman"/>
          <w:sz w:val="24"/>
          <w:szCs w:val="24"/>
        </w:rPr>
        <w:t>a productividad de la economía.</w:t>
      </w:r>
    </w:p>
    <w:p w:rsidR="008B4E7E" w:rsidRDefault="008B4E7E" w:rsidP="008B4E7E">
      <w:pPr>
        <w:spacing w:line="240" w:lineRule="auto"/>
        <w:jc w:val="both"/>
        <w:rPr>
          <w:rFonts w:ascii="Times New Roman" w:hAnsi="Times New Roman" w:cs="Times New Roman"/>
          <w:sz w:val="24"/>
          <w:szCs w:val="24"/>
        </w:rPr>
      </w:pPr>
      <w:r w:rsidRPr="00812EE1">
        <w:rPr>
          <w:rFonts w:ascii="Times New Roman" w:hAnsi="Times New Roman" w:cs="Times New Roman"/>
          <w:sz w:val="24"/>
          <w:szCs w:val="24"/>
        </w:rPr>
        <w:t xml:space="preserve">El foco en las exportaciones sin </w:t>
      </w:r>
      <w:r>
        <w:rPr>
          <w:rFonts w:ascii="Times New Roman" w:hAnsi="Times New Roman" w:cs="Times New Roman"/>
          <w:sz w:val="24"/>
          <w:szCs w:val="24"/>
        </w:rPr>
        <w:t xml:space="preserve">duda ha favorecido mucho a la Unión Europea en los años posteriores a su creación. Pero, en los próximos </w:t>
      </w:r>
      <w:r w:rsidRPr="00812EE1">
        <w:rPr>
          <w:rFonts w:ascii="Times New Roman" w:hAnsi="Times New Roman" w:cs="Times New Roman"/>
          <w:sz w:val="24"/>
          <w:szCs w:val="24"/>
        </w:rPr>
        <w:t>años</w:t>
      </w:r>
      <w:r>
        <w:rPr>
          <w:rFonts w:ascii="Times New Roman" w:hAnsi="Times New Roman" w:cs="Times New Roman"/>
          <w:sz w:val="24"/>
          <w:szCs w:val="24"/>
        </w:rPr>
        <w:t xml:space="preserve"> (décadas, tal vez)</w:t>
      </w:r>
      <w:r w:rsidRPr="00812EE1">
        <w:rPr>
          <w:rFonts w:ascii="Times New Roman" w:hAnsi="Times New Roman" w:cs="Times New Roman"/>
          <w:sz w:val="24"/>
          <w:szCs w:val="24"/>
        </w:rPr>
        <w:t>, la clave para el éxito residirá en liberar el enorme potencial del m</w:t>
      </w:r>
      <w:r>
        <w:rPr>
          <w:rFonts w:ascii="Times New Roman" w:hAnsi="Times New Roman" w:cs="Times New Roman"/>
          <w:sz w:val="24"/>
          <w:szCs w:val="24"/>
        </w:rPr>
        <w:t xml:space="preserve">ercado doméstico, </w:t>
      </w:r>
      <w:r w:rsidRPr="00812EE1">
        <w:rPr>
          <w:rFonts w:ascii="Times New Roman" w:hAnsi="Times New Roman" w:cs="Times New Roman"/>
          <w:sz w:val="24"/>
          <w:szCs w:val="24"/>
        </w:rPr>
        <w:t>especialmente elimina</w:t>
      </w:r>
      <w:r>
        <w:rPr>
          <w:rFonts w:ascii="Times New Roman" w:hAnsi="Times New Roman" w:cs="Times New Roman"/>
          <w:sz w:val="24"/>
          <w:szCs w:val="24"/>
        </w:rPr>
        <w:t>ndo las barreras internas, y los competidores extracomunitarios en situación de privilegio,</w:t>
      </w:r>
      <w:r w:rsidRPr="00812EE1">
        <w:rPr>
          <w:rFonts w:ascii="Times New Roman" w:hAnsi="Times New Roman" w:cs="Times New Roman"/>
          <w:sz w:val="24"/>
          <w:szCs w:val="24"/>
        </w:rPr>
        <w:t xml:space="preserve"> que impiden la expansión de la creatividad de las empresas</w:t>
      </w:r>
      <w:r>
        <w:rPr>
          <w:rFonts w:ascii="Times New Roman" w:hAnsi="Times New Roman" w:cs="Times New Roman"/>
          <w:sz w:val="24"/>
          <w:szCs w:val="24"/>
        </w:rPr>
        <w:t xml:space="preserve"> privadas regionales. </w:t>
      </w:r>
    </w:p>
    <w:p w:rsidR="008B4E7E" w:rsidRPr="00812EE1"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Recién entonces, la Unión Europea podrá dejar de “claudicar” ante, </w:t>
      </w:r>
      <w:r w:rsidRPr="00812EE1">
        <w:rPr>
          <w:rFonts w:ascii="Times New Roman" w:hAnsi="Times New Roman" w:cs="Times New Roman"/>
          <w:sz w:val="24"/>
          <w:szCs w:val="24"/>
        </w:rPr>
        <w:t>sus pares</w:t>
      </w:r>
      <w:r>
        <w:rPr>
          <w:rFonts w:ascii="Times New Roman" w:hAnsi="Times New Roman" w:cs="Times New Roman"/>
          <w:sz w:val="24"/>
          <w:szCs w:val="24"/>
        </w:rPr>
        <w:t xml:space="preserve"> (EEUU, China)</w:t>
      </w:r>
      <w:r w:rsidRPr="00812EE1">
        <w:rPr>
          <w:rFonts w:ascii="Times New Roman" w:hAnsi="Times New Roman" w:cs="Times New Roman"/>
          <w:sz w:val="24"/>
          <w:szCs w:val="24"/>
        </w:rPr>
        <w:t xml:space="preserve"> más des</w:t>
      </w:r>
      <w:r>
        <w:rPr>
          <w:rFonts w:ascii="Times New Roman" w:hAnsi="Times New Roman" w:cs="Times New Roman"/>
          <w:sz w:val="24"/>
          <w:szCs w:val="24"/>
        </w:rPr>
        <w:t>arrollados, para discutir de “tú a tú”</w:t>
      </w:r>
      <w:r w:rsidRPr="00812EE1">
        <w:rPr>
          <w:rFonts w:ascii="Times New Roman" w:hAnsi="Times New Roman" w:cs="Times New Roman"/>
          <w:sz w:val="24"/>
          <w:szCs w:val="24"/>
        </w:rPr>
        <w:t xml:space="preserve"> en materia</w:t>
      </w:r>
      <w:r>
        <w:rPr>
          <w:rFonts w:ascii="Times New Roman" w:hAnsi="Times New Roman" w:cs="Times New Roman"/>
          <w:sz w:val="24"/>
          <w:szCs w:val="24"/>
        </w:rPr>
        <w:t xml:space="preserve"> de innovación, comercio, sostenibilidad, y límites del desarrollo (</w:t>
      </w:r>
      <w:r w:rsidRPr="008F31C0">
        <w:rPr>
          <w:rFonts w:ascii="Times New Roman" w:hAnsi="Times New Roman" w:cs="Times New Roman"/>
          <w:sz w:val="24"/>
          <w:szCs w:val="24"/>
        </w:rPr>
        <w:t>en términos de calidad</w:t>
      </w:r>
      <w:r>
        <w:rPr>
          <w:rFonts w:ascii="Times New Roman" w:hAnsi="Times New Roman" w:cs="Times New Roman"/>
          <w:sz w:val="24"/>
          <w:szCs w:val="24"/>
        </w:rPr>
        <w:t xml:space="preserve"> de vida y crecimiento).</w:t>
      </w:r>
    </w:p>
    <w:p w:rsidR="008B4E7E" w:rsidRPr="005154D0" w:rsidRDefault="008B4E7E" w:rsidP="008B4E7E">
      <w:pPr>
        <w:spacing w:line="240" w:lineRule="auto"/>
        <w:jc w:val="both"/>
        <w:rPr>
          <w:rFonts w:ascii="Times New Roman" w:hAnsi="Times New Roman" w:cs="Times New Roman"/>
          <w:sz w:val="24"/>
          <w:szCs w:val="24"/>
        </w:rPr>
      </w:pPr>
      <w:r w:rsidRPr="005154D0">
        <w:rPr>
          <w:rFonts w:ascii="Times New Roman" w:hAnsi="Times New Roman" w:cs="Times New Roman"/>
          <w:sz w:val="24"/>
          <w:szCs w:val="24"/>
        </w:rPr>
        <w:t>¿Es todavía factible una movilización de toda la sociedad europea en un proyecto común, consensuado y participativo, después de haber perdido tanto tiempo y causado tanto sufrimiento? La respuesta corta es “sí”. Aún “sí”. Pero hay que despertar, aunque duela.</w:t>
      </w:r>
    </w:p>
    <w:p w:rsidR="008B4E7E" w:rsidRDefault="008B4E7E" w:rsidP="008B4E7E">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futuro de la Unión Europea, de la Eurozona, de Europa, y por sobretodo de los ciudadanos europeos (cultura, estilo de vida, estado del bienestar, trabajo, distribución de los ingresos, servicios sociales, educación, sanidad, pensiones, empleo juvenil…), está en juego.</w:t>
      </w:r>
    </w:p>
    <w:p w:rsidR="008B4E7E" w:rsidRDefault="008B4E7E" w:rsidP="008B4E7E">
      <w:pPr>
        <w:spacing w:after="0" w:line="240" w:lineRule="auto"/>
        <w:jc w:val="both"/>
        <w:textAlignment w:val="baseline"/>
        <w:rPr>
          <w:rFonts w:ascii="Times New Roman" w:hAnsi="Times New Roman" w:cs="Times New Roman"/>
          <w:sz w:val="24"/>
          <w:szCs w:val="24"/>
        </w:rPr>
      </w:pPr>
    </w:p>
    <w:p w:rsidR="008B4E7E" w:rsidRPr="00654A82" w:rsidRDefault="008B4E7E" w:rsidP="008B4E7E">
      <w:pPr>
        <w:spacing w:line="240" w:lineRule="auto"/>
        <w:jc w:val="both"/>
        <w:rPr>
          <w:rFonts w:ascii="Times New Roman" w:hAnsi="Times New Roman" w:cs="Times New Roman"/>
          <w:color w:val="FF0000"/>
          <w:sz w:val="24"/>
          <w:szCs w:val="24"/>
        </w:rPr>
      </w:pPr>
      <w:r w:rsidRPr="00AD0A69">
        <w:rPr>
          <w:rFonts w:ascii="Times New Roman" w:hAnsi="Times New Roman" w:cs="Times New Roman"/>
          <w:sz w:val="24"/>
          <w:szCs w:val="24"/>
        </w:rPr>
        <w:t xml:space="preserve">“Son tiempos frágiles. Algo de eso refleja en parte la oleada de nacionalismo populista que se extiende por los países de altos ingresos. Pero también refleja una ortodoxia estéril. Una moderada desaceleración es una cosa. Pero una fuerte ralentización que nos negamos a abordar, por estupidez, sería otra cosa completamente distinta. Como expone Georgieva (FMI), necesitamos un “compromiso renovado con la cooperación internacional”. Hoy, sin embargo, eso podría resultar demasiado ambicioso. Pero al menos podríamos dejar de hacer estupideces”... </w:t>
      </w:r>
      <w:r w:rsidRPr="006A7E31">
        <w:rPr>
          <w:rFonts w:ascii="Times New Roman" w:hAnsi="Times New Roman" w:cs="Times New Roman"/>
          <w:sz w:val="24"/>
          <w:szCs w:val="24"/>
          <w:u w:val="single"/>
        </w:rPr>
        <w:t>Los líderes de la economía global juegan con fuego</w:t>
      </w:r>
      <w:r>
        <w:rPr>
          <w:rFonts w:ascii="Times New Roman" w:hAnsi="Times New Roman" w:cs="Times New Roman"/>
          <w:sz w:val="24"/>
          <w:szCs w:val="24"/>
        </w:rPr>
        <w:t xml:space="preserve"> (Martin Wolf - Financial Times - 17/10/19)</w:t>
      </w:r>
    </w:p>
    <w:p w:rsidR="008B4E7E" w:rsidRDefault="008B4E7E" w:rsidP="008B4E7E">
      <w:pPr>
        <w:spacing w:line="240" w:lineRule="auto"/>
        <w:jc w:val="both"/>
        <w:rPr>
          <w:rFonts w:ascii="Times New Roman" w:hAnsi="Times New Roman" w:cs="Times New Roman"/>
          <w:sz w:val="24"/>
          <w:szCs w:val="24"/>
        </w:rPr>
      </w:pPr>
      <w:r w:rsidRPr="00902815">
        <w:rPr>
          <w:rFonts w:ascii="Times New Roman" w:hAnsi="Times New Roman" w:cs="Times New Roman"/>
          <w:sz w:val="24"/>
          <w:szCs w:val="24"/>
        </w:rPr>
        <w:t>En ese magna desordenado</w:t>
      </w:r>
      <w:r>
        <w:rPr>
          <w:rFonts w:ascii="Times New Roman" w:hAnsi="Times New Roman" w:cs="Times New Roman"/>
          <w:sz w:val="24"/>
          <w:szCs w:val="24"/>
        </w:rPr>
        <w:t xml:space="preserve"> es</w:t>
      </w:r>
      <w:r w:rsidRPr="00902815">
        <w:rPr>
          <w:rFonts w:ascii="Times New Roman" w:hAnsi="Times New Roman" w:cs="Times New Roman"/>
          <w:sz w:val="24"/>
          <w:szCs w:val="24"/>
        </w:rPr>
        <w:t xml:space="preserve"> en el que impera </w:t>
      </w:r>
      <w:r>
        <w:rPr>
          <w:rFonts w:ascii="Times New Roman" w:hAnsi="Times New Roman" w:cs="Times New Roman"/>
          <w:sz w:val="24"/>
          <w:szCs w:val="24"/>
        </w:rPr>
        <w:t>la idiocia política, de una dirigencia menor pero nefasta que en este momento rige (¿pastorea?) los destinos de 500 millones de europeos.</w:t>
      </w:r>
    </w:p>
    <w:p w:rsidR="008B4E7E" w:rsidRDefault="008B4E7E" w:rsidP="008B4E7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Connivencia económica (vender unos autitos más…) que se lleva por delante a la burguesía europea, mientras los estrategas de Bruselas, intentan hacernos tragar, una y otra vez, </w:t>
      </w:r>
      <w:r w:rsidRPr="00902815">
        <w:rPr>
          <w:rFonts w:ascii="Times New Roman" w:hAnsi="Times New Roman" w:cs="Times New Roman"/>
          <w:sz w:val="24"/>
          <w:szCs w:val="24"/>
        </w:rPr>
        <w:t>ese oxímoron inacep</w:t>
      </w:r>
      <w:r>
        <w:rPr>
          <w:rFonts w:ascii="Times New Roman" w:hAnsi="Times New Roman" w:cs="Times New Roman"/>
          <w:sz w:val="24"/>
          <w:szCs w:val="24"/>
        </w:rPr>
        <w:t xml:space="preserve">table, del “socio preferente” (cuando en los negocios internacionales, solo hay “intereses”, y las “amistades”, duran (lo que duran), mientras se puedan preservar esos “intereses”. Se agradecería, que nos aclararan si cuando dicen: “socio preferente”, debemos interpretarlo como: “miedo paralizante”. Estaría bien, de paso, que explicaran porque dicen “cooperación”, cuando quieren decir “demolición”. </w:t>
      </w:r>
    </w:p>
    <w:p w:rsidR="00F1176B" w:rsidRDefault="008B4E7E" w:rsidP="00922E26">
      <w:pPr>
        <w:spacing w:line="240" w:lineRule="auto"/>
        <w:jc w:val="both"/>
        <w:rPr>
          <w:rFonts w:ascii="Times New Roman" w:hAnsi="Times New Roman" w:cs="Times New Roman"/>
          <w:sz w:val="24"/>
          <w:szCs w:val="24"/>
        </w:rPr>
      </w:pPr>
      <w:r w:rsidRPr="00902815">
        <w:rPr>
          <w:rFonts w:ascii="Times New Roman" w:hAnsi="Times New Roman" w:cs="Times New Roman"/>
          <w:sz w:val="24"/>
          <w:szCs w:val="24"/>
        </w:rPr>
        <w:t>De nue</w:t>
      </w:r>
      <w:r>
        <w:rPr>
          <w:rFonts w:ascii="Times New Roman" w:hAnsi="Times New Roman" w:cs="Times New Roman"/>
          <w:sz w:val="24"/>
          <w:szCs w:val="24"/>
        </w:rPr>
        <w:t>vo, como si Sísifo fuese europeo, cualquier</w:t>
      </w:r>
      <w:r w:rsidRPr="00902815">
        <w:rPr>
          <w:rFonts w:ascii="Times New Roman" w:hAnsi="Times New Roman" w:cs="Times New Roman"/>
          <w:sz w:val="24"/>
          <w:szCs w:val="24"/>
        </w:rPr>
        <w:t xml:space="preserve"> logro se despilfarra co</w:t>
      </w:r>
      <w:r>
        <w:rPr>
          <w:rFonts w:ascii="Times New Roman" w:hAnsi="Times New Roman" w:cs="Times New Roman"/>
          <w:sz w:val="24"/>
          <w:szCs w:val="24"/>
        </w:rPr>
        <w:t xml:space="preserve">nsumándose esta “nueva economía” </w:t>
      </w:r>
      <w:r w:rsidRPr="00902815">
        <w:rPr>
          <w:rFonts w:ascii="Times New Roman" w:hAnsi="Times New Roman" w:cs="Times New Roman"/>
          <w:sz w:val="24"/>
          <w:szCs w:val="24"/>
        </w:rPr>
        <w:t>posmode</w:t>
      </w:r>
      <w:r>
        <w:rPr>
          <w:rFonts w:ascii="Times New Roman" w:hAnsi="Times New Roman" w:cs="Times New Roman"/>
          <w:sz w:val="24"/>
          <w:szCs w:val="24"/>
        </w:rPr>
        <w:t xml:space="preserve">rna, réplica sísmica de un </w:t>
      </w:r>
      <w:r w:rsidRPr="00902815">
        <w:rPr>
          <w:rFonts w:ascii="Times New Roman" w:hAnsi="Times New Roman" w:cs="Times New Roman"/>
          <w:sz w:val="24"/>
          <w:szCs w:val="24"/>
        </w:rPr>
        <w:t>pueblo</w:t>
      </w:r>
      <w:r>
        <w:rPr>
          <w:rFonts w:ascii="Times New Roman" w:hAnsi="Times New Roman" w:cs="Times New Roman"/>
          <w:sz w:val="24"/>
          <w:szCs w:val="24"/>
        </w:rPr>
        <w:t xml:space="preserve"> trabajador, respetuoso y progresista, </w:t>
      </w:r>
      <w:r w:rsidRPr="00902815">
        <w:rPr>
          <w:rFonts w:ascii="Times New Roman" w:hAnsi="Times New Roman" w:cs="Times New Roman"/>
          <w:sz w:val="24"/>
          <w:szCs w:val="24"/>
        </w:rPr>
        <w:t>con la pésima suerte de contar con dirigentes inadecuados en los momentos cruciales de su historia.</w:t>
      </w:r>
      <w:r>
        <w:rPr>
          <w:rFonts w:ascii="Times New Roman" w:hAnsi="Times New Roman" w:cs="Times New Roman"/>
          <w:sz w:val="24"/>
          <w:szCs w:val="24"/>
        </w:rPr>
        <w:t xml:space="preserve"> ¿Buenas ideas mal comunicadas? ¿Soplar y sorber?</w:t>
      </w:r>
    </w:p>
    <w:p w:rsidR="00994458" w:rsidRDefault="00723CD7" w:rsidP="00922E2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Al servicio de la leva</w:t>
      </w:r>
    </w:p>
    <w:p w:rsidR="00395911" w:rsidRPr="0009075E" w:rsidRDefault="00994458" w:rsidP="00922E26">
      <w:pPr>
        <w:spacing w:line="240" w:lineRule="auto"/>
        <w:jc w:val="both"/>
        <w:rPr>
          <w:rFonts w:ascii="Times New Roman" w:hAnsi="Times New Roman" w:cs="Times New Roman"/>
          <w:b/>
          <w:sz w:val="24"/>
          <w:szCs w:val="24"/>
        </w:rPr>
      </w:pPr>
      <w:r w:rsidRPr="0009075E">
        <w:rPr>
          <w:rFonts w:ascii="Times New Roman" w:hAnsi="Times New Roman" w:cs="Times New Roman"/>
          <w:b/>
          <w:sz w:val="24"/>
          <w:szCs w:val="24"/>
        </w:rPr>
        <w:t xml:space="preserve">Los economistas de la “convergencia” sostienen que la </w:t>
      </w:r>
      <w:r w:rsidR="00736A16" w:rsidRPr="0009075E">
        <w:rPr>
          <w:rFonts w:ascii="Times New Roman" w:hAnsi="Times New Roman" w:cs="Times New Roman"/>
          <w:b/>
          <w:sz w:val="24"/>
          <w:szCs w:val="24"/>
        </w:rPr>
        <w:t>pobreza</w:t>
      </w:r>
      <w:r w:rsidRPr="0009075E">
        <w:rPr>
          <w:rFonts w:ascii="Times New Roman" w:hAnsi="Times New Roman" w:cs="Times New Roman"/>
          <w:b/>
          <w:sz w:val="24"/>
          <w:szCs w:val="24"/>
        </w:rPr>
        <w:t xml:space="preserve"> absoluta está desde 1970 en vías de </w:t>
      </w:r>
      <w:r w:rsidR="00736A16" w:rsidRPr="0009075E">
        <w:rPr>
          <w:rFonts w:ascii="Times New Roman" w:hAnsi="Times New Roman" w:cs="Times New Roman"/>
          <w:b/>
          <w:sz w:val="24"/>
          <w:szCs w:val="24"/>
        </w:rPr>
        <w:t>regresión</w:t>
      </w:r>
      <w:r w:rsidRPr="0009075E">
        <w:rPr>
          <w:rFonts w:ascii="Times New Roman" w:hAnsi="Times New Roman" w:cs="Times New Roman"/>
          <w:b/>
          <w:sz w:val="24"/>
          <w:szCs w:val="24"/>
        </w:rPr>
        <w:t xml:space="preserve"> absoluta. A ese fenómeno lo llaman la convergencia general de las naciones. Según estos académicos, en el origen de esta felicidad económica se encuentran la globalización alcanzada a través del comercio</w:t>
      </w:r>
      <w:r w:rsidR="00395911" w:rsidRPr="0009075E">
        <w:rPr>
          <w:rFonts w:ascii="Times New Roman" w:hAnsi="Times New Roman" w:cs="Times New Roman"/>
          <w:b/>
          <w:sz w:val="24"/>
          <w:szCs w:val="24"/>
        </w:rPr>
        <w:t xml:space="preserve"> y la generalización de la economía de mercado; ent</w:t>
      </w:r>
      <w:r w:rsidR="00736A16" w:rsidRPr="0009075E">
        <w:rPr>
          <w:rFonts w:ascii="Times New Roman" w:hAnsi="Times New Roman" w:cs="Times New Roman"/>
          <w:b/>
          <w:sz w:val="24"/>
          <w:szCs w:val="24"/>
        </w:rPr>
        <w:t>re ambas operaron la metamorfosi</w:t>
      </w:r>
      <w:r w:rsidR="00395911" w:rsidRPr="0009075E">
        <w:rPr>
          <w:rFonts w:ascii="Times New Roman" w:hAnsi="Times New Roman" w:cs="Times New Roman"/>
          <w:b/>
          <w:sz w:val="24"/>
          <w:szCs w:val="24"/>
        </w:rPr>
        <w:t>s de civilizaciones que nunca habían conocido otra cosa que la indigencia,</w:t>
      </w:r>
    </w:p>
    <w:p w:rsidR="00395911" w:rsidRPr="0009075E" w:rsidRDefault="00395911" w:rsidP="00922E26">
      <w:pPr>
        <w:spacing w:line="240" w:lineRule="auto"/>
        <w:jc w:val="both"/>
        <w:rPr>
          <w:rFonts w:ascii="Times New Roman" w:hAnsi="Times New Roman" w:cs="Times New Roman"/>
          <w:b/>
          <w:sz w:val="24"/>
          <w:szCs w:val="24"/>
        </w:rPr>
      </w:pPr>
      <w:r w:rsidRPr="0009075E">
        <w:rPr>
          <w:rFonts w:ascii="Times New Roman" w:hAnsi="Times New Roman" w:cs="Times New Roman"/>
          <w:b/>
          <w:sz w:val="24"/>
          <w:szCs w:val="24"/>
        </w:rPr>
        <w:t>¿Alcanzarán los pobres finalmente a los ricos? Es concebible, porque la imitación cuesta menos que la innovación; este costo menor explica cómo ciertos países pobres progresan más rápidamente que los ricos y así se acercan a éstos. Pero a medida que se hace menos rentable copiarlo el crecimiento de los países pobres se vuelve más lento y se alinea con el de los países ricos. Esto permite llegar a la conclusión de que, en el largo plazo, todas las economías en desarrollo progresarán al mismo ritmo que los países que lideran la innovación; los países menos desarrollados quedarán rezagados respecto de aquellos, salvo que se conviertan a su vez en pioneros de la innovación.</w:t>
      </w:r>
    </w:p>
    <w:p w:rsidR="00D14C8F" w:rsidRPr="0009075E" w:rsidRDefault="00395911" w:rsidP="00922E26">
      <w:pPr>
        <w:spacing w:line="240" w:lineRule="auto"/>
        <w:jc w:val="both"/>
        <w:rPr>
          <w:rFonts w:ascii="Times New Roman" w:hAnsi="Times New Roman" w:cs="Times New Roman"/>
          <w:b/>
          <w:sz w:val="24"/>
          <w:szCs w:val="24"/>
        </w:rPr>
      </w:pPr>
      <w:r w:rsidRPr="0009075E">
        <w:rPr>
          <w:rFonts w:ascii="Times New Roman" w:hAnsi="Times New Roman" w:cs="Times New Roman"/>
          <w:b/>
          <w:sz w:val="24"/>
          <w:szCs w:val="24"/>
        </w:rPr>
        <w:t>Esto les permite llegar a la conclusión, a los economistas de la convergencia que</w:t>
      </w:r>
      <w:r w:rsidR="00D14C8F" w:rsidRPr="0009075E">
        <w:rPr>
          <w:rFonts w:ascii="Times New Roman" w:hAnsi="Times New Roman" w:cs="Times New Roman"/>
          <w:b/>
          <w:sz w:val="24"/>
          <w:szCs w:val="24"/>
        </w:rPr>
        <w:t xml:space="preserve"> los países pobres no se vuelven cada vez más pobres y los ricos, cada vez más ricos. Los ricos continúan enriqueciéndose, pero los pobres son cada vez menos pobres y convergen hacia los ricos.</w:t>
      </w:r>
    </w:p>
    <w:p w:rsidR="00D14C8F" w:rsidRPr="0009075E" w:rsidRDefault="00D14C8F" w:rsidP="00922E26">
      <w:pPr>
        <w:spacing w:line="240" w:lineRule="auto"/>
        <w:jc w:val="both"/>
        <w:rPr>
          <w:rFonts w:ascii="Times New Roman" w:hAnsi="Times New Roman" w:cs="Times New Roman"/>
          <w:b/>
          <w:sz w:val="24"/>
          <w:szCs w:val="24"/>
        </w:rPr>
      </w:pPr>
      <w:r w:rsidRPr="0009075E">
        <w:rPr>
          <w:rFonts w:ascii="Times New Roman" w:hAnsi="Times New Roman" w:cs="Times New Roman"/>
          <w:b/>
          <w:sz w:val="24"/>
          <w:szCs w:val="24"/>
        </w:rPr>
        <w:t>Otros economistas llegan a conclusiones opuestas, sosteniendo la tesis de la divergencia. Son hostiles a la globalización porque consideran que banaliza las civilizaciones, aumenta el desempleo y reduce los ingresos de las familias, de los países avanzados.</w:t>
      </w:r>
    </w:p>
    <w:p w:rsidR="00736A16" w:rsidRDefault="00D14C8F" w:rsidP="00922E26">
      <w:pPr>
        <w:spacing w:line="240" w:lineRule="auto"/>
        <w:jc w:val="both"/>
        <w:rPr>
          <w:rFonts w:ascii="Times New Roman" w:hAnsi="Times New Roman" w:cs="Times New Roman"/>
          <w:b/>
          <w:sz w:val="24"/>
          <w:szCs w:val="24"/>
        </w:rPr>
      </w:pPr>
      <w:r w:rsidRPr="0009075E">
        <w:rPr>
          <w:rFonts w:ascii="Times New Roman" w:hAnsi="Times New Roman" w:cs="Times New Roman"/>
          <w:b/>
          <w:sz w:val="24"/>
          <w:szCs w:val="24"/>
        </w:rPr>
        <w:t>Aunque las disputas de los economistas no escapan a la ideología,</w:t>
      </w:r>
      <w:r w:rsidR="00736A16" w:rsidRPr="0009075E">
        <w:rPr>
          <w:rFonts w:ascii="Times New Roman" w:hAnsi="Times New Roman" w:cs="Times New Roman"/>
          <w:b/>
          <w:sz w:val="24"/>
          <w:szCs w:val="24"/>
        </w:rPr>
        <w:t xml:space="preserve"> creo que la realidad social de las últimas décadas permite constatar que la “convergencia” de los países emergentes, se ha hecho sobre la base (penosa y lamentable) de la “divergencia” en los países avanzados.</w:t>
      </w:r>
    </w:p>
    <w:p w:rsidR="006627A6" w:rsidRPr="006627A6" w:rsidRDefault="006627A6" w:rsidP="006627A6">
      <w:pPr>
        <w:spacing w:line="240" w:lineRule="auto"/>
        <w:jc w:val="both"/>
        <w:rPr>
          <w:rFonts w:ascii="Times New Roman" w:hAnsi="Times New Roman" w:cs="Times New Roman"/>
          <w:b/>
          <w:sz w:val="24"/>
          <w:szCs w:val="24"/>
        </w:rPr>
      </w:pPr>
      <w:r>
        <w:rPr>
          <w:rFonts w:ascii="Times New Roman" w:hAnsi="Times New Roman" w:cs="Times New Roman"/>
          <w:b/>
          <w:sz w:val="24"/>
          <w:szCs w:val="24"/>
        </w:rPr>
        <w:t>PD.: en lo queunos y otros podemos</w:t>
      </w:r>
      <w:r w:rsidRPr="006627A6">
        <w:rPr>
          <w:rFonts w:ascii="Times New Roman" w:hAnsi="Times New Roman" w:cs="Times New Roman"/>
          <w:b/>
          <w:sz w:val="24"/>
          <w:szCs w:val="24"/>
        </w:rPr>
        <w:t xml:space="preserve"> coincidir</w:t>
      </w:r>
      <w:r>
        <w:rPr>
          <w:rFonts w:ascii="Times New Roman" w:hAnsi="Times New Roman" w:cs="Times New Roman"/>
          <w:b/>
          <w:sz w:val="24"/>
          <w:szCs w:val="24"/>
        </w:rPr>
        <w:t>,</w:t>
      </w:r>
      <w:r w:rsidRPr="006627A6">
        <w:rPr>
          <w:rFonts w:ascii="Times New Roman" w:hAnsi="Times New Roman" w:cs="Times New Roman"/>
          <w:b/>
          <w:sz w:val="24"/>
          <w:szCs w:val="24"/>
        </w:rPr>
        <w:t xml:space="preserve"> es la “convergencia”</w:t>
      </w:r>
      <w:r>
        <w:rPr>
          <w:rFonts w:ascii="Times New Roman" w:hAnsi="Times New Roman" w:cs="Times New Roman"/>
          <w:b/>
          <w:sz w:val="24"/>
          <w:szCs w:val="24"/>
        </w:rPr>
        <w:t xml:space="preserve"> de la estupidez</w:t>
      </w:r>
    </w:p>
    <w:p w:rsidR="006627A6" w:rsidRPr="00D819C4" w:rsidRDefault="006627A6" w:rsidP="006627A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19C4">
        <w:rPr>
          <w:rFonts w:ascii="Times New Roman" w:hAnsi="Times New Roman" w:cs="Times New Roman"/>
          <w:sz w:val="24"/>
          <w:szCs w:val="24"/>
          <w:u w:val="single"/>
        </w:rPr>
        <w:t>El Vaticano pone a la venta un rosario tecnológico para millennials</w:t>
      </w:r>
      <w:r>
        <w:rPr>
          <w:rFonts w:ascii="Times New Roman" w:hAnsi="Times New Roman" w:cs="Times New Roman"/>
          <w:sz w:val="24"/>
          <w:szCs w:val="24"/>
        </w:rPr>
        <w:t xml:space="preserve"> (Libertad Digital - </w:t>
      </w:r>
      <w:r w:rsidRPr="00D819C4">
        <w:rPr>
          <w:rFonts w:ascii="Times New Roman" w:hAnsi="Times New Roman" w:cs="Times New Roman"/>
          <w:b/>
          <w:sz w:val="24"/>
          <w:szCs w:val="24"/>
        </w:rPr>
        <w:t>29/10/19</w:t>
      </w:r>
      <w:r>
        <w:rPr>
          <w:rFonts w:ascii="Times New Roman" w:hAnsi="Times New Roman" w:cs="Times New Roman"/>
          <w:sz w:val="24"/>
          <w:szCs w:val="24"/>
        </w:rPr>
        <w:t>)</w:t>
      </w:r>
    </w:p>
    <w:p w:rsidR="006627A6" w:rsidRDefault="006627A6" w:rsidP="006627A6">
      <w:pPr>
        <w:spacing w:line="240" w:lineRule="auto"/>
        <w:jc w:val="both"/>
        <w:rPr>
          <w:rFonts w:ascii="Times New Roman" w:hAnsi="Times New Roman" w:cs="Times New Roman"/>
          <w:sz w:val="24"/>
          <w:szCs w:val="24"/>
        </w:rPr>
      </w:pPr>
      <w:r w:rsidRPr="00D819C4">
        <w:rPr>
          <w:rFonts w:ascii="Times New Roman" w:hAnsi="Times New Roman" w:cs="Times New Roman"/>
          <w:sz w:val="24"/>
          <w:szCs w:val="24"/>
        </w:rPr>
        <w:t>La Iglesia católica quiere reconectar con los jóvenes y para eso han sacado al mercado un nuevo rosario llamado eRosary, que se activa con una aplicación telefónica. En la práctica funciona como una pulsera inteligente, que cuenta con 10 cuentas de rosario</w:t>
      </w:r>
      <w:r>
        <w:rPr>
          <w:rFonts w:ascii="Times New Roman" w:hAnsi="Times New Roman" w:cs="Times New Roman"/>
          <w:sz w:val="24"/>
          <w:szCs w:val="24"/>
        </w:rPr>
        <w:t xml:space="preserve"> y una “cruz inteligente”</w:t>
      </w:r>
      <w:r w:rsidRPr="00D819C4">
        <w:rPr>
          <w:rFonts w:ascii="Times New Roman" w:hAnsi="Times New Roman" w:cs="Times New Roman"/>
          <w:sz w:val="24"/>
          <w:szCs w:val="24"/>
        </w:rPr>
        <w:t xml:space="preserve"> que almacena los datos. De hecho, para acceder a la aplicación basta con hacer la señal de la cruz.El feligrés elegirá entre rezar el rosario estándar, el rosario contemplativo o un rosario temático.</w:t>
      </w:r>
      <w:r w:rsidRPr="009B067D">
        <w:rPr>
          <w:rFonts w:ascii="Times New Roman" w:hAnsi="Times New Roman" w:cs="Times New Roman"/>
          <w:sz w:val="24"/>
          <w:szCs w:val="24"/>
        </w:rPr>
        <w:t>El eRosary sirve además como smartband ya que mide el número de pasos diarios, las calorías quemadas y el ritmo cardíaco, entre otras cosas.</w:t>
      </w:r>
    </w:p>
    <w:p w:rsidR="006627A6" w:rsidRDefault="006627A6" w:rsidP="006627A6">
      <w:pPr>
        <w:spacing w:line="240" w:lineRule="auto"/>
        <w:jc w:val="both"/>
        <w:rPr>
          <w:rFonts w:ascii="Times New Roman" w:hAnsi="Times New Roman" w:cs="Times New Roman"/>
          <w:sz w:val="24"/>
          <w:szCs w:val="24"/>
        </w:rPr>
      </w:pPr>
      <w:r w:rsidRPr="009B067D">
        <w:rPr>
          <w:rFonts w:ascii="Times New Roman" w:hAnsi="Times New Roman" w:cs="Times New Roman"/>
          <w:sz w:val="24"/>
          <w:szCs w:val="24"/>
        </w:rPr>
        <w:t>Sin embargo, la seguridad de la aplicación Click to Pray eRosary ya ha sido hackeada. Algo peligroso para el usuario, ya que esta app registra datos personales como el correo electrónico, el nombre o la ubicación. Baptiste Robert, un investigador francés de ciberseguridad, tardó sólo 15 minutos en encontrar una vulnerabilidad en el dispositivo que le permitiera acceder a los datos de usuario. Desde el Vaticano ya anunciaron que están trabajando para enmendar los fallos.</w:t>
      </w:r>
    </w:p>
    <w:p w:rsidR="006627A6" w:rsidRDefault="006627A6" w:rsidP="00922E26">
      <w:pPr>
        <w:spacing w:line="240" w:lineRule="auto"/>
        <w:jc w:val="both"/>
        <w:rPr>
          <w:rFonts w:ascii="Times New Roman" w:hAnsi="Times New Roman" w:cs="Times New Roman"/>
          <w:b/>
          <w:sz w:val="24"/>
          <w:szCs w:val="24"/>
        </w:rPr>
      </w:pPr>
      <w:r w:rsidRPr="006627A6">
        <w:rPr>
          <w:rFonts w:ascii="Times New Roman" w:hAnsi="Times New Roman" w:cs="Times New Roman"/>
          <w:b/>
          <w:sz w:val="24"/>
          <w:szCs w:val="24"/>
        </w:rPr>
        <w:t>Espero que al menos, el Papa Francisco no nombre obispo a Mark Zuckerberg…</w:t>
      </w:r>
    </w:p>
    <w:p w:rsidR="00922E26" w:rsidRPr="006627A6" w:rsidRDefault="00C53DA2" w:rsidP="00922E2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D37537" w:rsidRPr="009827AD">
        <w:rPr>
          <w:rFonts w:ascii="Times New Roman" w:hAnsi="Times New Roman" w:cs="Times New Roman"/>
          <w:b/>
          <w:sz w:val="24"/>
          <w:szCs w:val="24"/>
        </w:rPr>
        <w:t xml:space="preserve">Antes de antes… </w:t>
      </w:r>
      <w:r w:rsidR="009827AD">
        <w:rPr>
          <w:rFonts w:ascii="Times New Roman" w:hAnsi="Times New Roman" w:cs="Times New Roman"/>
          <w:b/>
          <w:sz w:val="24"/>
          <w:szCs w:val="24"/>
        </w:rPr>
        <w:t>(decíamos ayer)</w:t>
      </w:r>
    </w:p>
    <w:p w:rsidR="00C53DA2" w:rsidRDefault="00C53DA2" w:rsidP="009827AD">
      <w:pPr>
        <w:spacing w:line="240" w:lineRule="auto"/>
        <w:jc w:val="both"/>
        <w:rPr>
          <w:rFonts w:ascii="Times New Roman" w:hAnsi="Times New Roman" w:cs="Times New Roman"/>
          <w:b/>
          <w:sz w:val="24"/>
          <w:szCs w:val="24"/>
        </w:rPr>
      </w:pPr>
      <w:r>
        <w:rPr>
          <w:noProof/>
          <w:lang w:val="en-GB" w:eastAsia="en-GB"/>
        </w:rPr>
        <w:drawing>
          <wp:inline distT="0" distB="0" distL="0" distR="0">
            <wp:extent cx="5725584" cy="2711450"/>
            <wp:effectExtent l="0" t="0" r="8890" b="0"/>
            <wp:docPr id="4" name="Imagen 4" descr="Cita clave del BCE: el plan de Draghi del shock y pavor para no defrau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ta clave del BCE: el plan de Draghi del shock y pavor para no defraudar"/>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14256"/>
                    </a:xfrm>
                    <a:prstGeom prst="rect">
                      <a:avLst/>
                    </a:prstGeom>
                    <a:noFill/>
                    <a:ln>
                      <a:noFill/>
                    </a:ln>
                  </pic:spPr>
                </pic:pic>
              </a:graphicData>
            </a:graphic>
          </wp:inline>
        </w:drawing>
      </w:r>
    </w:p>
    <w:p w:rsidR="00D37537" w:rsidRPr="0004590A" w:rsidRDefault="009121B0" w:rsidP="009827AD">
      <w:pPr>
        <w:spacing w:line="240" w:lineRule="auto"/>
        <w:jc w:val="both"/>
        <w:rPr>
          <w:rFonts w:ascii="Times New Roman" w:hAnsi="Times New Roman" w:cs="Times New Roman"/>
          <w:sz w:val="24"/>
          <w:szCs w:val="24"/>
        </w:rPr>
      </w:pPr>
      <w:r w:rsidRPr="0004590A">
        <w:rPr>
          <w:rFonts w:ascii="Times New Roman" w:hAnsi="Times New Roman" w:cs="Times New Roman"/>
          <w:sz w:val="24"/>
          <w:szCs w:val="24"/>
        </w:rPr>
        <w:t>A continuación presento un listado de los</w:t>
      </w:r>
      <w:r w:rsidR="00D37537" w:rsidRPr="0004590A">
        <w:rPr>
          <w:rFonts w:ascii="Times New Roman" w:hAnsi="Times New Roman" w:cs="Times New Roman"/>
          <w:b/>
          <w:sz w:val="24"/>
          <w:szCs w:val="24"/>
        </w:rPr>
        <w:t>Ensayos</w:t>
      </w:r>
      <w:r w:rsidR="00D37537" w:rsidRPr="0004590A">
        <w:rPr>
          <w:rFonts w:ascii="Times New Roman" w:hAnsi="Times New Roman" w:cs="Times New Roman"/>
          <w:sz w:val="24"/>
          <w:szCs w:val="24"/>
        </w:rPr>
        <w:t xml:space="preserve"> o </w:t>
      </w:r>
      <w:r w:rsidR="00D37537" w:rsidRPr="0004590A">
        <w:rPr>
          <w:rFonts w:ascii="Times New Roman" w:hAnsi="Times New Roman" w:cs="Times New Roman"/>
          <w:b/>
          <w:sz w:val="24"/>
          <w:szCs w:val="24"/>
        </w:rPr>
        <w:t>Papers</w:t>
      </w:r>
      <w:r w:rsidR="00D37537" w:rsidRPr="0004590A">
        <w:rPr>
          <w:rFonts w:ascii="Times New Roman" w:hAnsi="Times New Roman" w:cs="Times New Roman"/>
          <w:sz w:val="24"/>
          <w:szCs w:val="24"/>
        </w:rPr>
        <w:t>, publica</w:t>
      </w:r>
      <w:r w:rsidR="00801615" w:rsidRPr="0004590A">
        <w:rPr>
          <w:rFonts w:ascii="Times New Roman" w:hAnsi="Times New Roman" w:cs="Times New Roman"/>
          <w:sz w:val="24"/>
          <w:szCs w:val="24"/>
        </w:rPr>
        <w:t>dos con anterioridad,</w:t>
      </w:r>
      <w:r w:rsidRPr="0004590A">
        <w:rPr>
          <w:rFonts w:ascii="Times New Roman" w:hAnsi="Times New Roman" w:cs="Times New Roman"/>
          <w:sz w:val="24"/>
          <w:szCs w:val="24"/>
        </w:rPr>
        <w:t xml:space="preserve"> v</w:t>
      </w:r>
      <w:r w:rsidR="00F1176B">
        <w:rPr>
          <w:rFonts w:ascii="Times New Roman" w:hAnsi="Times New Roman" w:cs="Times New Roman"/>
          <w:sz w:val="24"/>
          <w:szCs w:val="24"/>
        </w:rPr>
        <w:t>inculados (de un modo u otro) con el</w:t>
      </w:r>
      <w:r w:rsidRPr="0004590A">
        <w:rPr>
          <w:rFonts w:ascii="Times New Roman" w:hAnsi="Times New Roman" w:cs="Times New Roman"/>
          <w:sz w:val="24"/>
          <w:szCs w:val="24"/>
        </w:rPr>
        <w:t xml:space="preserve"> tema en cuestión. Lo hago, para dejar señaladas</w:t>
      </w:r>
      <w:r w:rsidR="00001438">
        <w:rPr>
          <w:rFonts w:ascii="Times New Roman" w:hAnsi="Times New Roman" w:cs="Times New Roman"/>
          <w:sz w:val="24"/>
          <w:szCs w:val="24"/>
        </w:rPr>
        <w:t xml:space="preserve"> algunas</w:t>
      </w:r>
      <w:r w:rsidR="00801615" w:rsidRPr="0004590A">
        <w:rPr>
          <w:rFonts w:ascii="Times New Roman" w:hAnsi="Times New Roman" w:cs="Times New Roman"/>
          <w:sz w:val="24"/>
          <w:szCs w:val="24"/>
        </w:rPr>
        <w:t xml:space="preserve"> “verdades incómodas”</w:t>
      </w:r>
      <w:r w:rsidR="00D37537" w:rsidRPr="0004590A">
        <w:rPr>
          <w:rFonts w:ascii="Times New Roman" w:hAnsi="Times New Roman" w:cs="Times New Roman"/>
          <w:sz w:val="24"/>
          <w:szCs w:val="24"/>
        </w:rPr>
        <w:t xml:space="preserve"> (viejas y queridas causas perdidas, o la amargura de la victoria)</w:t>
      </w:r>
      <w:r w:rsidR="00801615" w:rsidRPr="0004590A">
        <w:rPr>
          <w:rFonts w:ascii="Times New Roman" w:hAnsi="Times New Roman" w:cs="Times New Roman"/>
          <w:sz w:val="24"/>
          <w:szCs w:val="24"/>
        </w:rPr>
        <w:t xml:space="preserve"> “políticamente incorrectas”</w:t>
      </w:r>
      <w:r w:rsidRPr="0004590A">
        <w:rPr>
          <w:rFonts w:ascii="Times New Roman" w:hAnsi="Times New Roman" w:cs="Times New Roman"/>
          <w:sz w:val="24"/>
          <w:szCs w:val="24"/>
        </w:rPr>
        <w:t xml:space="preserve">. Ese </w:t>
      </w:r>
      <w:r w:rsidR="00D37537" w:rsidRPr="0004590A">
        <w:rPr>
          <w:rFonts w:ascii="Times New Roman" w:hAnsi="Times New Roman" w:cs="Times New Roman"/>
          <w:sz w:val="24"/>
          <w:szCs w:val="24"/>
        </w:rPr>
        <w:t>material, queda a dispo</w:t>
      </w:r>
      <w:r w:rsidR="008F062A" w:rsidRPr="0004590A">
        <w:rPr>
          <w:rFonts w:ascii="Times New Roman" w:hAnsi="Times New Roman" w:cs="Times New Roman"/>
          <w:sz w:val="24"/>
          <w:szCs w:val="24"/>
        </w:rPr>
        <w:t>sición</w:t>
      </w:r>
      <w:r w:rsidRPr="0004590A">
        <w:rPr>
          <w:rFonts w:ascii="Times New Roman" w:hAnsi="Times New Roman" w:cs="Times New Roman"/>
          <w:sz w:val="24"/>
          <w:szCs w:val="24"/>
        </w:rPr>
        <w:t xml:space="preserve">, del </w:t>
      </w:r>
      <w:r w:rsidR="0004590A">
        <w:rPr>
          <w:rFonts w:ascii="Times New Roman" w:hAnsi="Times New Roman" w:cs="Times New Roman"/>
          <w:sz w:val="24"/>
          <w:szCs w:val="24"/>
        </w:rPr>
        <w:t>lector interesado</w:t>
      </w:r>
      <w:r w:rsidR="0004590A" w:rsidRPr="0004590A">
        <w:rPr>
          <w:rFonts w:ascii="Times New Roman" w:hAnsi="Times New Roman" w:cs="Times New Roman"/>
          <w:sz w:val="24"/>
          <w:szCs w:val="24"/>
        </w:rPr>
        <w:t xml:space="preserve"> o</w:t>
      </w:r>
      <w:r w:rsidR="0004590A">
        <w:rPr>
          <w:rFonts w:ascii="Times New Roman" w:hAnsi="Times New Roman" w:cs="Times New Roman"/>
          <w:sz w:val="24"/>
          <w:szCs w:val="24"/>
        </w:rPr>
        <w:t>,</w:t>
      </w:r>
      <w:r w:rsidR="0004590A" w:rsidRPr="0004590A">
        <w:rPr>
          <w:rFonts w:ascii="Times New Roman" w:hAnsi="Times New Roman" w:cs="Times New Roman"/>
          <w:sz w:val="24"/>
          <w:szCs w:val="24"/>
        </w:rPr>
        <w:t xml:space="preserve"> “si </w:t>
      </w:r>
      <w:r w:rsidR="00001438">
        <w:rPr>
          <w:rFonts w:ascii="Times New Roman" w:hAnsi="Times New Roman" w:cs="Times New Roman"/>
          <w:sz w:val="24"/>
          <w:szCs w:val="24"/>
        </w:rPr>
        <w:t xml:space="preserve">el caso lo </w:t>
      </w:r>
      <w:r w:rsidR="0004590A" w:rsidRPr="0004590A">
        <w:rPr>
          <w:rFonts w:ascii="Times New Roman" w:hAnsi="Times New Roman" w:cs="Times New Roman"/>
          <w:sz w:val="24"/>
          <w:szCs w:val="24"/>
        </w:rPr>
        <w:t>amerita”, de</w:t>
      </w:r>
      <w:r w:rsidR="00001438">
        <w:rPr>
          <w:rFonts w:ascii="Times New Roman" w:hAnsi="Times New Roman" w:cs="Times New Roman"/>
          <w:sz w:val="24"/>
          <w:szCs w:val="24"/>
        </w:rPr>
        <w:t xml:space="preserve"> los “espeleólogos” o “arqueólogos”</w:t>
      </w:r>
      <w:r w:rsidR="008F062A" w:rsidRPr="0004590A">
        <w:rPr>
          <w:rFonts w:ascii="Times New Roman" w:hAnsi="Times New Roman" w:cs="Times New Roman"/>
          <w:sz w:val="24"/>
          <w:szCs w:val="24"/>
        </w:rPr>
        <w:t>,</w:t>
      </w:r>
      <w:r w:rsidR="00D37537" w:rsidRPr="0004590A">
        <w:rPr>
          <w:rFonts w:ascii="Times New Roman" w:hAnsi="Times New Roman" w:cs="Times New Roman"/>
          <w:sz w:val="24"/>
          <w:szCs w:val="24"/>
        </w:rPr>
        <w:t xml:space="preserve"> de la economía.</w:t>
      </w:r>
      <w:r w:rsidR="00592665">
        <w:rPr>
          <w:rFonts w:ascii="Times New Roman" w:hAnsi="Times New Roman" w:cs="Times New Roman"/>
          <w:sz w:val="24"/>
          <w:szCs w:val="24"/>
        </w:rPr>
        <w:t>Tal vez, sirvan para constatar cómo, “d</w:t>
      </w:r>
      <w:r w:rsidR="0004590A">
        <w:rPr>
          <w:rFonts w:ascii="Times New Roman" w:hAnsi="Times New Roman" w:cs="Times New Roman"/>
          <w:sz w:val="24"/>
          <w:szCs w:val="24"/>
        </w:rPr>
        <w:t>e aquellos polvos,</w:t>
      </w:r>
      <w:r w:rsidR="00592665">
        <w:rPr>
          <w:rFonts w:ascii="Times New Roman" w:hAnsi="Times New Roman" w:cs="Times New Roman"/>
          <w:sz w:val="24"/>
          <w:szCs w:val="24"/>
        </w:rPr>
        <w:t xml:space="preserve"> (vinieron)</w:t>
      </w:r>
      <w:r w:rsidR="0004590A">
        <w:rPr>
          <w:rFonts w:ascii="Times New Roman" w:hAnsi="Times New Roman" w:cs="Times New Roman"/>
          <w:sz w:val="24"/>
          <w:szCs w:val="24"/>
        </w:rPr>
        <w:t xml:space="preserve"> estos lodos</w:t>
      </w:r>
      <w:r w:rsidR="00592665">
        <w:rPr>
          <w:rFonts w:ascii="Times New Roman" w:hAnsi="Times New Roman" w:cs="Times New Roman"/>
          <w:sz w:val="24"/>
          <w:szCs w:val="24"/>
        </w:rPr>
        <w:t>”</w:t>
      </w:r>
      <w:r w:rsidR="0004590A">
        <w:rPr>
          <w:rFonts w:ascii="Times New Roman" w:hAnsi="Times New Roman" w:cs="Times New Roman"/>
          <w:sz w:val="24"/>
          <w:szCs w:val="24"/>
        </w:rPr>
        <w:t>…</w:t>
      </w:r>
    </w:p>
    <w:p w:rsidR="005F534D" w:rsidRPr="002F7D22" w:rsidRDefault="005F534D" w:rsidP="009827AD">
      <w:pPr>
        <w:spacing w:line="240" w:lineRule="auto"/>
        <w:jc w:val="both"/>
        <w:rPr>
          <w:rFonts w:ascii="Times New Roman" w:hAnsi="Times New Roman" w:cs="Times New Roman"/>
          <w:b/>
          <w:color w:val="FF0000"/>
          <w:sz w:val="24"/>
          <w:szCs w:val="24"/>
        </w:rPr>
      </w:pPr>
      <w:r w:rsidRPr="002F7D22">
        <w:rPr>
          <w:rFonts w:ascii="Times New Roman" w:hAnsi="Times New Roman" w:cs="Times New Roman"/>
          <w:b/>
          <w:color w:val="FF0000"/>
          <w:sz w:val="24"/>
          <w:szCs w:val="24"/>
        </w:rPr>
        <w:t>Ensayos publicados</w:t>
      </w:r>
      <w:r w:rsidR="00801615" w:rsidRPr="002F7D22">
        <w:rPr>
          <w:rFonts w:ascii="Times New Roman" w:hAnsi="Times New Roman" w:cs="Times New Roman"/>
          <w:b/>
          <w:color w:val="FF0000"/>
          <w:sz w:val="24"/>
          <w:szCs w:val="24"/>
        </w:rPr>
        <w:t xml:space="preserve"> (vinculados a las causas de la “distopía” europea)</w:t>
      </w:r>
    </w:p>
    <w:p w:rsidR="005F534D" w:rsidRPr="0004590A" w:rsidRDefault="00D37537"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Abril, 2002 </w:t>
      </w:r>
      <w:r w:rsidR="005F534D" w:rsidRPr="0004590A">
        <w:rPr>
          <w:rFonts w:ascii="Times New Roman" w:hAnsi="Times New Roman" w:cs="Times New Roman"/>
          <w:b/>
          <w:sz w:val="24"/>
          <w:szCs w:val="24"/>
        </w:rPr>
        <w:t>Los daños ocultos del librecambio - La doble vida de la economía global (Unión Europea: Apertura y Vulnerabilidad - ¿Es posible imaginar un futuro diferente al pasado reciente?) (¿Puede la economía salir del armario?)</w:t>
      </w:r>
    </w:p>
    <w:p w:rsidR="005F534D" w:rsidRPr="0004590A" w:rsidRDefault="00D37537"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Dic., 2004 </w:t>
      </w:r>
      <w:r w:rsidR="005F534D" w:rsidRPr="0004590A">
        <w:rPr>
          <w:rFonts w:ascii="Times New Roman" w:hAnsi="Times New Roman" w:cs="Times New Roman"/>
          <w:b/>
          <w:sz w:val="24"/>
          <w:szCs w:val="24"/>
        </w:rPr>
        <w:t xml:space="preserve">El "alma" de Europa </w:t>
      </w:r>
    </w:p>
    <w:p w:rsidR="005F534D" w:rsidRPr="009827AD" w:rsidRDefault="00D37537"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Enero, 2006 </w:t>
      </w:r>
      <w:r w:rsidR="005F534D" w:rsidRPr="0004590A">
        <w:rPr>
          <w:rFonts w:ascii="Times New Roman" w:hAnsi="Times New Roman" w:cs="Times New Roman"/>
          <w:b/>
          <w:sz w:val="24"/>
          <w:szCs w:val="24"/>
        </w:rPr>
        <w:t>Sans Papiers - La esquizofrenia migratoria (Algunas historias nómadas de la economía subterránea)</w:t>
      </w:r>
    </w:p>
    <w:p w:rsidR="005F534D" w:rsidRPr="0004590A" w:rsidRDefault="005F534D"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Octubre, 2006</w:t>
      </w:r>
      <w:r w:rsidR="00801615" w:rsidRPr="0004590A">
        <w:rPr>
          <w:rFonts w:ascii="Times New Roman" w:hAnsi="Times New Roman" w:cs="Times New Roman"/>
          <w:b/>
          <w:sz w:val="24"/>
          <w:szCs w:val="24"/>
        </w:rPr>
        <w:t>China - India - Rusia -</w:t>
      </w:r>
      <w:r w:rsidRPr="0004590A">
        <w:rPr>
          <w:rFonts w:ascii="Times New Roman" w:hAnsi="Times New Roman" w:cs="Times New Roman"/>
          <w:b/>
          <w:sz w:val="24"/>
          <w:szCs w:val="24"/>
        </w:rPr>
        <w:t xml:space="preserve"> Brasil - ¿Potencias económicas del siglo XXI - ¿Banderas de conveniencia? - ¿BRICs - à - brac? (cosas baratas) (Algunas dudas y ciertas percepciones…)</w:t>
      </w:r>
    </w:p>
    <w:p w:rsidR="005F534D" w:rsidRPr="0004590A" w:rsidRDefault="005F534D"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Diciembre</w:t>
      </w:r>
      <w:r w:rsidR="00D37537" w:rsidRPr="009827AD">
        <w:rPr>
          <w:rFonts w:ascii="Times New Roman" w:hAnsi="Times New Roman" w:cs="Times New Roman"/>
          <w:sz w:val="24"/>
          <w:szCs w:val="24"/>
        </w:rPr>
        <w:t xml:space="preserve">, 2007 </w:t>
      </w:r>
      <w:r w:rsidRPr="0004590A">
        <w:rPr>
          <w:rFonts w:ascii="Times New Roman" w:hAnsi="Times New Roman" w:cs="Times New Roman"/>
          <w:b/>
          <w:sz w:val="24"/>
          <w:szCs w:val="24"/>
        </w:rPr>
        <w:t>Crisis de las hipotecas "subprime": burbujas y… algo más</w:t>
      </w:r>
    </w:p>
    <w:p w:rsidR="005F534D" w:rsidRPr="009827AD" w:rsidRDefault="00D37537"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Abril, 2008 </w:t>
      </w:r>
      <w:r w:rsidR="005F534D" w:rsidRPr="0004590A">
        <w:rPr>
          <w:rFonts w:ascii="Times New Roman" w:hAnsi="Times New Roman" w:cs="Times New Roman"/>
          <w:b/>
          <w:sz w:val="24"/>
          <w:szCs w:val="24"/>
        </w:rPr>
        <w:t>Globalización y desigualdad: el "dogma" que no fue (Caricaturas del mercado: 20 años no es nada)</w:t>
      </w:r>
      <w:r w:rsidR="005F534D" w:rsidRPr="0004590A">
        <w:rPr>
          <w:rFonts w:ascii="Times New Roman" w:hAnsi="Times New Roman" w:cs="Times New Roman"/>
          <w:b/>
          <w:sz w:val="24"/>
          <w:szCs w:val="24"/>
        </w:rPr>
        <w:tab/>
      </w:r>
    </w:p>
    <w:p w:rsidR="005F534D" w:rsidRPr="0004590A" w:rsidRDefault="00D37537"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Enero, 2009 </w:t>
      </w:r>
      <w:r w:rsidR="005F534D" w:rsidRPr="0004590A">
        <w:rPr>
          <w:rFonts w:ascii="Times New Roman" w:hAnsi="Times New Roman" w:cs="Times New Roman"/>
          <w:b/>
          <w:sz w:val="24"/>
          <w:szCs w:val="24"/>
        </w:rPr>
        <w:t>La codicia de los mercados (el virus mutante) De la crisis de crédito a la crisis del descrédito</w:t>
      </w:r>
    </w:p>
    <w:p w:rsidR="005F534D" w:rsidRPr="0004590A" w:rsidRDefault="005F534D"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Octubre, 2010</w:t>
      </w:r>
      <w:r w:rsidRPr="009827AD">
        <w:rPr>
          <w:rFonts w:ascii="Times New Roman" w:hAnsi="Times New Roman" w:cs="Times New Roman"/>
          <w:sz w:val="24"/>
          <w:szCs w:val="24"/>
        </w:rPr>
        <w:tab/>
      </w:r>
      <w:r w:rsidRPr="0004590A">
        <w:rPr>
          <w:rFonts w:ascii="Times New Roman" w:hAnsi="Times New Roman" w:cs="Times New Roman"/>
          <w:b/>
          <w:sz w:val="24"/>
          <w:szCs w:val="24"/>
        </w:rPr>
        <w:t>Los riesgos de China: cierta duda razonable (y algunas "incongruencias") ¿Puede existir un libre mercado de planificación central? ¿Y un socialismo de mercado?</w:t>
      </w:r>
    </w:p>
    <w:p w:rsidR="005F534D" w:rsidRPr="0004590A" w:rsidRDefault="005F534D"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Octubre, 2012</w:t>
      </w:r>
      <w:r w:rsidRPr="009827AD">
        <w:rPr>
          <w:rFonts w:ascii="Times New Roman" w:hAnsi="Times New Roman" w:cs="Times New Roman"/>
          <w:sz w:val="24"/>
          <w:szCs w:val="24"/>
        </w:rPr>
        <w:tab/>
      </w:r>
      <w:r w:rsidRPr="0004590A">
        <w:rPr>
          <w:rFonts w:ascii="Times New Roman" w:hAnsi="Times New Roman" w:cs="Times New Roman"/>
          <w:b/>
          <w:sz w:val="24"/>
          <w:szCs w:val="24"/>
        </w:rPr>
        <w:t>Economías Fallidas (Variaciones sobre la "danza macabra" entre los "cándidos" adictos al crédito y los "pícaros" traficantes de dinero)</w:t>
      </w:r>
    </w:p>
    <w:p w:rsidR="005F534D" w:rsidRPr="0004590A" w:rsidRDefault="005F534D"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lastRenderedPageBreak/>
        <w:t>Octubre, 2014</w:t>
      </w:r>
      <w:r w:rsidRPr="009827AD">
        <w:rPr>
          <w:rFonts w:ascii="Times New Roman" w:hAnsi="Times New Roman" w:cs="Times New Roman"/>
          <w:sz w:val="24"/>
          <w:szCs w:val="24"/>
        </w:rPr>
        <w:tab/>
      </w:r>
      <w:r w:rsidRPr="0004590A">
        <w:rPr>
          <w:rFonts w:ascii="Times New Roman" w:hAnsi="Times New Roman" w:cs="Times New Roman"/>
          <w:b/>
          <w:sz w:val="24"/>
          <w:szCs w:val="24"/>
        </w:rPr>
        <w:t>El adiós europeo al Estado del Bienestar: la "sociedad participativa", el "gasto social privado", la "gran sociedad", y demás experimentos de laboratorio (¿otra vez el triunfo de la ideología sobre la razón?)</w:t>
      </w:r>
    </w:p>
    <w:p w:rsidR="003D5506" w:rsidRPr="0004590A"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Octubre, 2015</w:t>
      </w:r>
      <w:r w:rsidRPr="009827AD">
        <w:rPr>
          <w:rFonts w:ascii="Times New Roman" w:hAnsi="Times New Roman" w:cs="Times New Roman"/>
          <w:sz w:val="24"/>
          <w:szCs w:val="24"/>
        </w:rPr>
        <w:tab/>
      </w:r>
      <w:r w:rsidRPr="0004590A">
        <w:rPr>
          <w:rFonts w:ascii="Times New Roman" w:hAnsi="Times New Roman" w:cs="Times New Roman"/>
          <w:b/>
          <w:sz w:val="24"/>
          <w:szCs w:val="24"/>
        </w:rPr>
        <w:t>Entre la hipocresía y el complejo de culpa, la Unión Europea hace frente (tarde, mal o nunca) al drama de la inmigración (R.I.P. in Mare Nostrum)</w:t>
      </w:r>
    </w:p>
    <w:p w:rsidR="003D5506" w:rsidRPr="0004590A"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Octubre, 2017</w:t>
      </w:r>
      <w:r w:rsidRPr="009827AD">
        <w:rPr>
          <w:rFonts w:ascii="Times New Roman" w:hAnsi="Times New Roman" w:cs="Times New Roman"/>
          <w:sz w:val="24"/>
          <w:szCs w:val="24"/>
        </w:rPr>
        <w:tab/>
      </w:r>
      <w:r w:rsidRPr="0004590A">
        <w:rPr>
          <w:rFonts w:ascii="Times New Roman" w:hAnsi="Times New Roman" w:cs="Times New Roman"/>
          <w:b/>
          <w:sz w:val="24"/>
          <w:szCs w:val="24"/>
        </w:rPr>
        <w:t>Multilateralismo vs. Bilateralismo: Trump "reabre" el debate ("no llores por mí, librecambio")</w:t>
      </w:r>
    </w:p>
    <w:p w:rsidR="003D5506" w:rsidRPr="0004590A"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Noviembre, 2018 </w:t>
      </w:r>
      <w:r w:rsidRPr="0004590A">
        <w:rPr>
          <w:rFonts w:ascii="Times New Roman" w:hAnsi="Times New Roman" w:cs="Times New Roman"/>
          <w:b/>
          <w:sz w:val="24"/>
          <w:szCs w:val="24"/>
        </w:rPr>
        <w:t>Un análisis costo/beneficio (y ciertos daños colaterales) de la inmigración en los principales países miembro de la Unión Europea (durante el período 2012-2017), con estimación para el conjunto de la Unión (28-EU)</w:t>
      </w:r>
    </w:p>
    <w:p w:rsidR="003D5506" w:rsidRPr="0004590A"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May, 2019 </w:t>
      </w:r>
      <w:r w:rsidRPr="0004590A">
        <w:rPr>
          <w:rFonts w:ascii="Times New Roman" w:hAnsi="Times New Roman" w:cs="Times New Roman"/>
          <w:b/>
          <w:sz w:val="24"/>
          <w:szCs w:val="24"/>
        </w:rPr>
        <w:t>Unión Europea: "ser o no ser" (enfrentado una era de creciente estupidez)</w:t>
      </w:r>
    </w:p>
    <w:p w:rsidR="003D5506" w:rsidRPr="002F7D22" w:rsidRDefault="003D5506" w:rsidP="009827AD">
      <w:pPr>
        <w:spacing w:line="240" w:lineRule="auto"/>
        <w:jc w:val="both"/>
        <w:rPr>
          <w:rFonts w:ascii="Times New Roman" w:hAnsi="Times New Roman" w:cs="Times New Roman"/>
          <w:b/>
          <w:color w:val="FF0000"/>
          <w:sz w:val="24"/>
          <w:szCs w:val="24"/>
        </w:rPr>
      </w:pPr>
      <w:r w:rsidRPr="002F7D22">
        <w:rPr>
          <w:rFonts w:ascii="Times New Roman" w:hAnsi="Times New Roman" w:cs="Times New Roman"/>
          <w:b/>
          <w:color w:val="FF0000"/>
          <w:sz w:val="24"/>
          <w:szCs w:val="24"/>
        </w:rPr>
        <w:t>Papers publicados</w:t>
      </w:r>
      <w:r w:rsidR="00801615" w:rsidRPr="002F7D22">
        <w:rPr>
          <w:rFonts w:ascii="Times New Roman" w:hAnsi="Times New Roman" w:cs="Times New Roman"/>
          <w:b/>
          <w:color w:val="FF0000"/>
          <w:sz w:val="24"/>
          <w:szCs w:val="24"/>
        </w:rPr>
        <w:t xml:space="preserve"> (vinculados a las causas de la “distopía” europea)</w:t>
      </w:r>
    </w:p>
    <w:p w:rsidR="00B612A8" w:rsidRPr="0004590A" w:rsidRDefault="00B612A8"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28-5-2004 </w:t>
      </w:r>
      <w:r w:rsidRPr="0004590A">
        <w:rPr>
          <w:rFonts w:ascii="Times New Roman" w:hAnsi="Times New Roman" w:cs="Times New Roman"/>
          <w:b/>
          <w:sz w:val="24"/>
          <w:szCs w:val="24"/>
        </w:rPr>
        <w:t>Aufwiedersehen Berlin - Título alternativo: El Amtrak europeo</w:t>
      </w:r>
    </w:p>
    <w:p w:rsidR="00B612A8" w:rsidRPr="0004590A" w:rsidRDefault="00B612A8"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11-6-2004 </w:t>
      </w:r>
      <w:r w:rsidRPr="0004590A">
        <w:rPr>
          <w:rFonts w:ascii="Times New Roman" w:hAnsi="Times New Roman" w:cs="Times New Roman"/>
          <w:b/>
          <w:sz w:val="24"/>
          <w:szCs w:val="24"/>
        </w:rPr>
        <w:t>Inmigración: la guerra de los pobres (El hambre no cotiza en Wall Street, pero "vota" con los pies)</w:t>
      </w:r>
    </w:p>
    <w:p w:rsidR="009827AD" w:rsidRPr="0004590A" w:rsidRDefault="009827AD"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1-2-2005 </w:t>
      </w:r>
      <w:r w:rsidRPr="0004590A">
        <w:rPr>
          <w:rFonts w:ascii="Times New Roman" w:hAnsi="Times New Roman" w:cs="Times New Roman"/>
          <w:b/>
          <w:sz w:val="24"/>
          <w:szCs w:val="24"/>
        </w:rPr>
        <w:t>El "fusilamiento" del Estado del Bienestar</w:t>
      </w:r>
    </w:p>
    <w:p w:rsidR="00B612A8" w:rsidRPr="0004590A" w:rsidRDefault="00B612A8"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17-4-2006 </w:t>
      </w:r>
      <w:r w:rsidRPr="0004590A">
        <w:rPr>
          <w:rFonts w:ascii="Times New Roman" w:hAnsi="Times New Roman" w:cs="Times New Roman"/>
          <w:b/>
          <w:sz w:val="24"/>
          <w:szCs w:val="24"/>
        </w:rPr>
        <w:t>Egalité, fraternité y… "globalité" (Contrato de Precariedad Eterna - La teoría de la "flexiseguridad")</w:t>
      </w:r>
    </w:p>
    <w:p w:rsidR="00B612A8" w:rsidRPr="0004590A" w:rsidRDefault="00B612A8"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13-1-2007 </w:t>
      </w:r>
      <w:r w:rsidRPr="0004590A">
        <w:rPr>
          <w:rFonts w:ascii="Times New Roman" w:hAnsi="Times New Roman" w:cs="Times New Roman"/>
          <w:b/>
          <w:sz w:val="24"/>
          <w:szCs w:val="24"/>
        </w:rPr>
        <w:t>De repente un "extraño" - ¿Multiculturalismo o integración? (La crisis de los modelos actuales)</w:t>
      </w:r>
    </w:p>
    <w:p w:rsidR="00B612A8" w:rsidRPr="0004590A" w:rsidRDefault="00B612A8"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15-8-2007 </w:t>
      </w:r>
      <w:r w:rsidRPr="0004590A">
        <w:rPr>
          <w:rFonts w:ascii="Times New Roman" w:hAnsi="Times New Roman" w:cs="Times New Roman"/>
          <w:b/>
          <w:sz w:val="24"/>
          <w:szCs w:val="24"/>
        </w:rPr>
        <w:t>La clase media y su proceso de movilidad social descendente - Parte I: De "clase media" a "nuevos pobres"</w:t>
      </w:r>
    </w:p>
    <w:p w:rsidR="00B612A8" w:rsidRPr="009827AD" w:rsidRDefault="00B612A8"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15-9-2007 </w:t>
      </w:r>
      <w:r w:rsidRPr="0004590A">
        <w:rPr>
          <w:rFonts w:ascii="Times New Roman" w:hAnsi="Times New Roman" w:cs="Times New Roman"/>
          <w:b/>
          <w:sz w:val="24"/>
          <w:szCs w:val="24"/>
        </w:rPr>
        <w:t>La clase media y su proceso de movilidad social descendente - Parte II: El fin de la era de las expectativas crecientes</w:t>
      </w:r>
    </w:p>
    <w:p w:rsidR="00B612A8" w:rsidRPr="0004590A" w:rsidRDefault="00B612A8"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15-3-2008 </w:t>
      </w:r>
      <w:r w:rsidRPr="0004590A">
        <w:rPr>
          <w:rFonts w:ascii="Times New Roman" w:hAnsi="Times New Roman" w:cs="Times New Roman"/>
          <w:b/>
          <w:sz w:val="24"/>
          <w:szCs w:val="24"/>
        </w:rPr>
        <w:t>Tendencias del pasado en la economía actual (Digresiones sobre la "Nueva" Edad Media)</w:t>
      </w:r>
    </w:p>
    <w:p w:rsidR="00FD1ECA" w:rsidRPr="0004590A" w:rsidRDefault="00FD1ECA"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15-8-2008 </w:t>
      </w:r>
      <w:r w:rsidRPr="0004590A">
        <w:rPr>
          <w:rFonts w:ascii="Times New Roman" w:hAnsi="Times New Roman" w:cs="Times New Roman"/>
          <w:b/>
          <w:sz w:val="24"/>
          <w:szCs w:val="24"/>
        </w:rPr>
        <w:t>La "Unión" (Europea) que no quiere ser "Jack": "British go home" (and God save the Queen) - ¿Es imaginable una Unión Europea sin el Reino Unido?</w:t>
      </w:r>
    </w:p>
    <w:p w:rsidR="00FD1ECA" w:rsidRPr="0004590A" w:rsidRDefault="00FD1ECA"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15-9-2008 </w:t>
      </w:r>
      <w:r w:rsidRPr="0004590A">
        <w:rPr>
          <w:rFonts w:ascii="Times New Roman" w:hAnsi="Times New Roman" w:cs="Times New Roman"/>
          <w:b/>
          <w:sz w:val="24"/>
          <w:szCs w:val="24"/>
        </w:rPr>
        <w:t>El "suicidio médico" asistido del Modelo Renano (Eutanasia activa: entre todos lo mataron y él solito se murió)</w:t>
      </w:r>
    </w:p>
    <w:p w:rsidR="00FD1ECA" w:rsidRPr="009827AD" w:rsidRDefault="00FD1ECA"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15-5-2010 </w:t>
      </w:r>
      <w:r w:rsidRPr="0004590A">
        <w:rPr>
          <w:rFonts w:ascii="Times New Roman" w:hAnsi="Times New Roman" w:cs="Times New Roman"/>
          <w:b/>
          <w:sz w:val="24"/>
          <w:szCs w:val="24"/>
        </w:rPr>
        <w:t>La Unión Europea llama a "revisión" al Euro: "la casa está en llamas" (Partes I y II) (Cuando los PIGS bailan el tango: los primeros países subprime) - Marzo de 2010</w:t>
      </w:r>
    </w:p>
    <w:p w:rsidR="00FD1ECA" w:rsidRPr="0004590A" w:rsidRDefault="00D37537"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15-3-2011 </w:t>
      </w:r>
      <w:r w:rsidR="00FD1ECA" w:rsidRPr="0004590A">
        <w:rPr>
          <w:rFonts w:ascii="Times New Roman" w:hAnsi="Times New Roman" w:cs="Times New Roman"/>
          <w:b/>
          <w:sz w:val="24"/>
          <w:szCs w:val="24"/>
        </w:rPr>
        <w:t>Desnudos en la Red… Del Planeta Web, a agarrados por los Web… ¿El muro de Internet? Gobiernos, operadores y empresas ponen en peligro la "neutralidad" de la red de redes -  Bienvenidos a Zombieland (La era de la explotación digital. Los "streappers" caseros: siervos voluntarios de la comunicación irrelevante y la amistad caníbal)</w:t>
      </w:r>
    </w:p>
    <w:p w:rsidR="00FD1ECA" w:rsidRPr="0004590A" w:rsidRDefault="00FD1ECA"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lastRenderedPageBreak/>
        <w:t xml:space="preserve">15-5-2011 </w:t>
      </w:r>
      <w:r w:rsidRPr="0004590A">
        <w:rPr>
          <w:rFonts w:ascii="Times New Roman" w:hAnsi="Times New Roman" w:cs="Times New Roman"/>
          <w:b/>
          <w:sz w:val="24"/>
          <w:szCs w:val="24"/>
        </w:rPr>
        <w:t>Del desempleo estructural al conflicto intergeneracional (los jóvenes, en vez de rebelarse contra la "dictadura de los mercados" -dejando impune un sistema financiero deshonesto e ineficiente-, terminarán haciéndolo contra los adultos) - Al final del desconcierto y el miedo, "ni estudiarán ni trabajaran… ni pensarán" (tolerando la injusticia y renunciando al futuro)</w:t>
      </w:r>
    </w:p>
    <w:p w:rsidR="00FD1ECA" w:rsidRPr="009827AD" w:rsidRDefault="00FD1ECA"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lang w:val="en-US"/>
        </w:rPr>
        <w:t xml:space="preserve">14-1-2012 </w:t>
      </w:r>
      <w:r w:rsidRPr="0004590A">
        <w:rPr>
          <w:rFonts w:ascii="Times New Roman" w:hAnsi="Times New Roman" w:cs="Times New Roman"/>
          <w:b/>
          <w:sz w:val="24"/>
          <w:szCs w:val="24"/>
          <w:lang w:val="en-US"/>
        </w:rPr>
        <w:t xml:space="preserve">United Kingdom: "come back home" (Europe: "go to hell") ¿Última traición de la City a Bruselas? </w:t>
      </w:r>
      <w:r w:rsidRPr="0004590A">
        <w:rPr>
          <w:rFonts w:ascii="Times New Roman" w:hAnsi="Times New Roman" w:cs="Times New Roman"/>
          <w:b/>
          <w:sz w:val="24"/>
          <w:szCs w:val="24"/>
        </w:rPr>
        <w:t>(algunos comentarios sobre la permanente deslealtad y la reiterativa insolidaridad de los "mercaderes" británicos con la Unión Europea)</w:t>
      </w:r>
    </w:p>
    <w:p w:rsidR="00D74D99" w:rsidRPr="0004590A" w:rsidRDefault="00FD1ECA"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15-9-2012 </w:t>
      </w:r>
      <w:r w:rsidR="00D74D99" w:rsidRPr="0004590A">
        <w:rPr>
          <w:rFonts w:ascii="Times New Roman" w:hAnsi="Times New Roman" w:cs="Times New Roman"/>
          <w:b/>
          <w:sz w:val="24"/>
          <w:szCs w:val="24"/>
        </w:rPr>
        <w:t>Apadrinemos a un niño del… "Primer Mundo" (Otra forma de mirar la pobreza)</w:t>
      </w:r>
    </w:p>
    <w:p w:rsidR="00D74D99" w:rsidRPr="0004590A" w:rsidRDefault="00D37537"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15-11-2012 </w:t>
      </w:r>
      <w:r w:rsidR="00D74D99" w:rsidRPr="0004590A">
        <w:rPr>
          <w:rFonts w:ascii="Times New Roman" w:hAnsi="Times New Roman" w:cs="Times New Roman"/>
          <w:b/>
          <w:sz w:val="24"/>
          <w:szCs w:val="24"/>
        </w:rPr>
        <w:t>La crisis económica de la Unión Europea: ¿Complejo de Saturno o Síndrome de Estocolmo? Parte I - Europa y sus propios problemas</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15-12-2012 </w:t>
      </w:r>
      <w:r w:rsidRPr="0004590A">
        <w:rPr>
          <w:rFonts w:ascii="Times New Roman" w:hAnsi="Times New Roman" w:cs="Times New Roman"/>
          <w:b/>
          <w:sz w:val="24"/>
          <w:szCs w:val="24"/>
        </w:rPr>
        <w:t>La crisis económica de la Unión Europea: ¿Complejo de Saturno o Síndrome de Estocolmo? Parte II - Europa y la batalla de la triple A (los problemas que le crean, o desean, otros países - las profecías autocumplidas)</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15-2-2013 </w:t>
      </w:r>
      <w:r w:rsidRPr="0004590A">
        <w:rPr>
          <w:rFonts w:ascii="Times New Roman" w:hAnsi="Times New Roman" w:cs="Times New Roman"/>
          <w:b/>
          <w:sz w:val="24"/>
          <w:szCs w:val="24"/>
        </w:rPr>
        <w:t>La economía del entretenimiento (la civilización del espectáculo y el pastel de las redes sociales)</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15-5-2013 </w:t>
      </w:r>
      <w:r w:rsidRPr="0004590A">
        <w:rPr>
          <w:rFonts w:ascii="Times New Roman" w:hAnsi="Times New Roman" w:cs="Times New Roman"/>
          <w:b/>
          <w:sz w:val="24"/>
          <w:szCs w:val="24"/>
        </w:rPr>
        <w:t>Las pensiones con depresión (¿hay que enviar a los jubilados al Campo de Exterminio?)</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15-7-2013 </w:t>
      </w:r>
      <w:r w:rsidRPr="0004590A">
        <w:rPr>
          <w:rFonts w:ascii="Times New Roman" w:hAnsi="Times New Roman" w:cs="Times New Roman"/>
          <w:b/>
          <w:sz w:val="24"/>
          <w:szCs w:val="24"/>
        </w:rPr>
        <w:t>Desigualdades en la distribución de la renta en los países desarrollados, durante la crisis financiera (¿un "daño colateral" de la depresión, o un "proyecto inconfesado" de exclusión social?) (Partes I, II, y III)</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15-10-2013 </w:t>
      </w:r>
      <w:r w:rsidRPr="0004590A">
        <w:rPr>
          <w:rFonts w:ascii="Times New Roman" w:hAnsi="Times New Roman" w:cs="Times New Roman"/>
          <w:b/>
          <w:sz w:val="24"/>
          <w:szCs w:val="24"/>
        </w:rPr>
        <w:t>La guerra de las divisas… (Primera parte)</w:t>
      </w:r>
    </w:p>
    <w:p w:rsidR="00D74D99" w:rsidRPr="009827AD" w:rsidRDefault="00D37537"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15-11-2013 </w:t>
      </w:r>
      <w:r w:rsidRPr="0004590A">
        <w:rPr>
          <w:rFonts w:ascii="Times New Roman" w:hAnsi="Times New Roman" w:cs="Times New Roman"/>
          <w:b/>
          <w:sz w:val="24"/>
          <w:szCs w:val="24"/>
        </w:rPr>
        <w:t>…</w:t>
      </w:r>
      <w:r w:rsidR="00D74D99" w:rsidRPr="0004590A">
        <w:rPr>
          <w:rFonts w:ascii="Times New Roman" w:hAnsi="Times New Roman" w:cs="Times New Roman"/>
          <w:b/>
          <w:sz w:val="24"/>
          <w:szCs w:val="24"/>
        </w:rPr>
        <w:t>Y la batalla de la triple A (La guerra de las divisas - Segunda parte)</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15-4-2014 </w:t>
      </w:r>
      <w:r w:rsidRPr="0004590A">
        <w:rPr>
          <w:rFonts w:ascii="Times New Roman" w:hAnsi="Times New Roman" w:cs="Times New Roman"/>
          <w:b/>
          <w:sz w:val="24"/>
          <w:szCs w:val="24"/>
        </w:rPr>
        <w:t>La crisis del empleo de los jóvenes (una generación -tal vez, dos- entre paréntesis) (Partes I y II)</w:t>
      </w:r>
    </w:p>
    <w:p w:rsidR="00D74D99" w:rsidRPr="009827AD" w:rsidRDefault="00D74D99"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15-11-2014 </w:t>
      </w:r>
      <w:r w:rsidRPr="0004590A">
        <w:rPr>
          <w:rFonts w:ascii="Times New Roman" w:hAnsi="Times New Roman" w:cs="Times New Roman"/>
          <w:b/>
          <w:sz w:val="24"/>
          <w:szCs w:val="24"/>
        </w:rPr>
        <w:t>El desencanto de Europa (impotencia, melancolía y suicidio económico)</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15-12-2014 </w:t>
      </w:r>
      <w:r w:rsidRPr="0004590A">
        <w:rPr>
          <w:rFonts w:ascii="Times New Roman" w:hAnsi="Times New Roman" w:cs="Times New Roman"/>
          <w:b/>
          <w:sz w:val="24"/>
          <w:szCs w:val="24"/>
        </w:rPr>
        <w:t xml:space="preserve">La era de la desigualdad (¿consecuencia directa </w:t>
      </w:r>
      <w:r w:rsidR="0004590A">
        <w:rPr>
          <w:rFonts w:ascii="Times New Roman" w:hAnsi="Times New Roman" w:cs="Times New Roman"/>
          <w:b/>
          <w:sz w:val="24"/>
          <w:szCs w:val="24"/>
        </w:rPr>
        <w:t>del "imperialismo monetario"?) -</w:t>
      </w:r>
      <w:r w:rsidRPr="0004590A">
        <w:rPr>
          <w:rFonts w:ascii="Times New Roman" w:hAnsi="Times New Roman" w:cs="Times New Roman"/>
          <w:b/>
          <w:sz w:val="24"/>
          <w:szCs w:val="24"/>
        </w:rPr>
        <w:t xml:space="preserve"> (Partes I, II, y III)</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15-3-2015 </w:t>
      </w:r>
      <w:r w:rsidRPr="0004590A">
        <w:rPr>
          <w:rFonts w:ascii="Times New Roman" w:hAnsi="Times New Roman" w:cs="Times New Roman"/>
          <w:b/>
          <w:sz w:val="24"/>
          <w:szCs w:val="24"/>
        </w:rPr>
        <w:t>El "fracaso" de los mercados: "el liberalismo que no fue" (un "análisis crítico" de la crisis financiera en el período 2007-2014, realizado en base al estudio de los informes económicos, rectificaciones, actualizaciones… y "vuelta a contar la misma historia", de "prestigiosos" Organismos Internacionales) -(Parte I: 2007/10)</w:t>
      </w:r>
    </w:p>
    <w:p w:rsidR="00D74D99" w:rsidRPr="0004590A" w:rsidRDefault="00D74D99"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15-4-2015 </w:t>
      </w:r>
      <w:r w:rsidRPr="0004590A">
        <w:rPr>
          <w:rFonts w:ascii="Times New Roman" w:hAnsi="Times New Roman" w:cs="Times New Roman"/>
          <w:b/>
          <w:sz w:val="24"/>
          <w:szCs w:val="24"/>
        </w:rPr>
        <w:t>El "fracaso" de los mercados: "el liberalismo que no fue" (un "análisis crítico" de la crisis financiera en el período 2007-2014, realizado en base al estudio de los informes económicos, rectificaciones, actualizaciones… y "vuelta a contar la misma historia", de "prestigiosos" Organismos Internacionales) -(Parte II: 2011/14)</w:t>
      </w:r>
    </w:p>
    <w:p w:rsidR="00D74D99" w:rsidRPr="009827AD" w:rsidRDefault="00D74D99"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15-5-2015 </w:t>
      </w:r>
      <w:r w:rsidRPr="0004590A">
        <w:rPr>
          <w:rFonts w:ascii="Times New Roman" w:hAnsi="Times New Roman" w:cs="Times New Roman"/>
          <w:b/>
          <w:sz w:val="24"/>
          <w:szCs w:val="24"/>
        </w:rPr>
        <w:t>Europa pierde la III Guerra Mundial (una batalla económico-financiera)</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lastRenderedPageBreak/>
        <w:t xml:space="preserve">15-6-2015 </w:t>
      </w:r>
      <w:r w:rsidRPr="0004590A">
        <w:rPr>
          <w:rFonts w:ascii="Times New Roman" w:hAnsi="Times New Roman" w:cs="Times New Roman"/>
          <w:b/>
          <w:sz w:val="24"/>
          <w:szCs w:val="24"/>
        </w:rPr>
        <w:t>Análisis crítico del Tratado Transatlántico de Comercio e Inversiones entre la Unión Europea y Estados Unidos (TTIP) - (Parte</w:t>
      </w:r>
      <w:r w:rsidR="00D74D99" w:rsidRPr="0004590A">
        <w:rPr>
          <w:rFonts w:ascii="Times New Roman" w:hAnsi="Times New Roman" w:cs="Times New Roman"/>
          <w:b/>
          <w:sz w:val="24"/>
          <w:szCs w:val="24"/>
        </w:rPr>
        <w:t>s</w:t>
      </w:r>
      <w:r w:rsidRPr="0004590A">
        <w:rPr>
          <w:rFonts w:ascii="Times New Roman" w:hAnsi="Times New Roman" w:cs="Times New Roman"/>
          <w:b/>
          <w:sz w:val="24"/>
          <w:szCs w:val="24"/>
        </w:rPr>
        <w:t xml:space="preserve"> I</w:t>
      </w:r>
      <w:r w:rsidR="00D74D99" w:rsidRPr="0004590A">
        <w:rPr>
          <w:rFonts w:ascii="Times New Roman" w:hAnsi="Times New Roman" w:cs="Times New Roman"/>
          <w:b/>
          <w:sz w:val="24"/>
          <w:szCs w:val="24"/>
        </w:rPr>
        <w:t xml:space="preserve"> y II</w:t>
      </w:r>
      <w:r w:rsidRPr="0004590A">
        <w:rPr>
          <w:rFonts w:ascii="Times New Roman" w:hAnsi="Times New Roman" w:cs="Times New Roman"/>
          <w:b/>
          <w:sz w:val="24"/>
          <w:szCs w:val="24"/>
        </w:rPr>
        <w:t>)</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15-11-2015 </w:t>
      </w:r>
      <w:r w:rsidRPr="0004590A">
        <w:rPr>
          <w:rFonts w:ascii="Times New Roman" w:hAnsi="Times New Roman" w:cs="Times New Roman"/>
          <w:b/>
          <w:sz w:val="24"/>
          <w:szCs w:val="24"/>
        </w:rPr>
        <w:t>Los hijos del umbral de la pobreza (la niñez indigente en los países ricos) (Partes I y II)</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15-1-2016 </w:t>
      </w:r>
      <w:r w:rsidRPr="0004590A">
        <w:rPr>
          <w:rFonts w:ascii="Times New Roman" w:hAnsi="Times New Roman" w:cs="Times New Roman"/>
          <w:b/>
          <w:sz w:val="24"/>
          <w:szCs w:val="24"/>
        </w:rPr>
        <w:t>"Crecimiento vs. Desigualdad": ¿un falso debate? (Partes I y II)</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15-2-2016 </w:t>
      </w:r>
      <w:r w:rsidRPr="0004590A">
        <w:rPr>
          <w:rFonts w:ascii="Times New Roman" w:hAnsi="Times New Roman" w:cs="Times New Roman"/>
          <w:b/>
          <w:sz w:val="24"/>
          <w:szCs w:val="24"/>
        </w:rPr>
        <w:t>To Brexit or not to Brexit: that is the question (la batalla de los "egos") - Algunos escenarios "imaginables" y la teoría de la "sospecha"</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15-4-2016 </w:t>
      </w:r>
      <w:r w:rsidRPr="0004590A">
        <w:rPr>
          <w:rFonts w:ascii="Times New Roman" w:hAnsi="Times New Roman" w:cs="Times New Roman"/>
          <w:b/>
          <w:sz w:val="24"/>
          <w:szCs w:val="24"/>
        </w:rPr>
        <w:t>Los daños causados por la crisis ya abarcan "tres generaciones" (abuelos -pensionistas, padres-trabajadores o parados, e hijos-empobrecidos y sin futuro) (Partes I y II)</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15-5-2016 </w:t>
      </w:r>
      <w:r w:rsidRPr="0004590A">
        <w:rPr>
          <w:rFonts w:ascii="Times New Roman" w:hAnsi="Times New Roman" w:cs="Times New Roman"/>
          <w:b/>
          <w:sz w:val="24"/>
          <w:szCs w:val="24"/>
        </w:rPr>
        <w:t>La economía bipolar (la "nueva normalidad" que la crisis nos legó) (Partes I y II)</w:t>
      </w:r>
    </w:p>
    <w:p w:rsidR="00921F0C" w:rsidRPr="009827AD" w:rsidRDefault="00921F0C"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15-6-2016 </w:t>
      </w:r>
      <w:r w:rsidRPr="0004590A">
        <w:rPr>
          <w:rFonts w:ascii="Times New Roman" w:hAnsi="Times New Roman" w:cs="Times New Roman"/>
          <w:b/>
          <w:sz w:val="24"/>
          <w:szCs w:val="24"/>
        </w:rPr>
        <w:t>¿Se ha perdido la confianza en la "economía de mercado", en los países avanzados? (el costo de la desigualdad y la falta de oportunidades) (Partes I y II)</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15-7-2016 </w:t>
      </w:r>
      <w:r w:rsidRPr="0004590A">
        <w:rPr>
          <w:rFonts w:ascii="Times New Roman" w:hAnsi="Times New Roman" w:cs="Times New Roman"/>
          <w:b/>
          <w:sz w:val="24"/>
          <w:szCs w:val="24"/>
        </w:rPr>
        <w:t>La nueva normalidad: una economía desigual, dominada por la pobreza, la exclusión social y la marginalidad (Partes I y II)</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18-8-2016 </w:t>
      </w:r>
      <w:r w:rsidRPr="0004590A">
        <w:rPr>
          <w:rFonts w:ascii="Times New Roman" w:hAnsi="Times New Roman" w:cs="Times New Roman"/>
          <w:b/>
          <w:sz w:val="24"/>
          <w:szCs w:val="24"/>
        </w:rPr>
        <w:t>De la "histeria" del desempleo a la "histéresis" del fin del trabajo (too "insignificant" to fail?) (Partes I y II)</w:t>
      </w:r>
    </w:p>
    <w:p w:rsidR="00921F0C" w:rsidRPr="009827AD" w:rsidRDefault="00921F0C"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15-9-2016 </w:t>
      </w:r>
      <w:r w:rsidRPr="0004590A">
        <w:rPr>
          <w:rFonts w:ascii="Times New Roman" w:hAnsi="Times New Roman" w:cs="Times New Roman"/>
          <w:b/>
          <w:sz w:val="24"/>
          <w:szCs w:val="24"/>
        </w:rPr>
        <w:t>De la economía del "entretenimiento" a la economía de la "estupidez" (la era del "low cost" -competencia desleal- y los "web yonquis"-colapso por sobredosis-) - El internet de las "cosas" y los "(mo)cosos": una creación deliberada de la ignorancia (agnotología)</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15-11-2016 </w:t>
      </w:r>
      <w:r w:rsidRPr="0004590A">
        <w:rPr>
          <w:rFonts w:ascii="Times New Roman" w:hAnsi="Times New Roman" w:cs="Times New Roman"/>
          <w:b/>
          <w:sz w:val="24"/>
          <w:szCs w:val="24"/>
        </w:rPr>
        <w:t>El gran malestar: una era de expectativas limitadas (Análisis de los tres factores principales de la desigualdad: ingreso, riqueza y oportunidades) (Partes I y II)</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15-12-2016 </w:t>
      </w:r>
      <w:r w:rsidRPr="0004590A">
        <w:rPr>
          <w:rFonts w:ascii="Times New Roman" w:hAnsi="Times New Roman" w:cs="Times New Roman"/>
          <w:b/>
          <w:sz w:val="24"/>
          <w:szCs w:val="24"/>
        </w:rPr>
        <w:t>Fintech: los gigantes tecnológicos amenazan a la banca (Silicon Valley vs. Wall Street)</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17-1-2017 </w:t>
      </w:r>
      <w:r w:rsidRPr="0004590A">
        <w:rPr>
          <w:rFonts w:ascii="Times New Roman" w:hAnsi="Times New Roman" w:cs="Times New Roman"/>
          <w:b/>
          <w:sz w:val="24"/>
          <w:szCs w:val="24"/>
        </w:rPr>
        <w:t>El "legado vital" de la globalización: del malestar económico al populismo emocional e irreflexivo (de aquellos polvos, estos lodos) (Partes I y II)</w:t>
      </w:r>
    </w:p>
    <w:p w:rsidR="00921F0C"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15-2-2017 </w:t>
      </w:r>
      <w:r w:rsidRPr="0004590A">
        <w:rPr>
          <w:rFonts w:ascii="Times New Roman" w:hAnsi="Times New Roman" w:cs="Times New Roman"/>
          <w:b/>
          <w:sz w:val="24"/>
          <w:szCs w:val="24"/>
        </w:rPr>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otras "disrupciones" fraudulentas) (Partes I y II)</w:t>
      </w:r>
    </w:p>
    <w:p w:rsidR="00966326" w:rsidRPr="0004590A" w:rsidRDefault="00921F0C"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15-3-2017 </w:t>
      </w:r>
      <w:r w:rsidR="00966326" w:rsidRPr="0004590A">
        <w:rPr>
          <w:rFonts w:ascii="Times New Roman" w:hAnsi="Times New Roman" w:cs="Times New Roman"/>
          <w:b/>
          <w:sz w:val="24"/>
          <w:szCs w:val="24"/>
        </w:rPr>
        <w:t>La "década perdida" de la Unión Europea (una Europa "desnortada", después de 10 años de crisis económica, política, y -esencialmente- de valores) (Parte</w:t>
      </w:r>
      <w:r w:rsidRPr="0004590A">
        <w:rPr>
          <w:rFonts w:ascii="Times New Roman" w:hAnsi="Times New Roman" w:cs="Times New Roman"/>
          <w:b/>
          <w:sz w:val="24"/>
          <w:szCs w:val="24"/>
        </w:rPr>
        <w:t>s</w:t>
      </w:r>
      <w:r w:rsidR="00966326" w:rsidRPr="0004590A">
        <w:rPr>
          <w:rFonts w:ascii="Times New Roman" w:hAnsi="Times New Roman" w:cs="Times New Roman"/>
          <w:b/>
          <w:sz w:val="24"/>
          <w:szCs w:val="24"/>
        </w:rPr>
        <w:t xml:space="preserve"> I</w:t>
      </w:r>
      <w:r w:rsidRPr="0004590A">
        <w:rPr>
          <w:rFonts w:ascii="Times New Roman" w:hAnsi="Times New Roman" w:cs="Times New Roman"/>
          <w:b/>
          <w:sz w:val="24"/>
          <w:szCs w:val="24"/>
        </w:rPr>
        <w:t xml:space="preserve"> y II</w:t>
      </w:r>
      <w:r w:rsidR="00966326" w:rsidRPr="0004590A">
        <w:rPr>
          <w:rFonts w:ascii="Times New Roman" w:hAnsi="Times New Roman" w:cs="Times New Roman"/>
          <w:b/>
          <w:sz w:val="24"/>
          <w:szCs w:val="24"/>
        </w:rPr>
        <w:t>)</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lastRenderedPageBreak/>
        <w:t xml:space="preserve">15-5-2017 </w:t>
      </w:r>
      <w:r w:rsidRPr="0004590A">
        <w:rPr>
          <w:rFonts w:ascii="Times New Roman" w:hAnsi="Times New Roman" w:cs="Times New Roman"/>
          <w:b/>
          <w:sz w:val="24"/>
          <w:szCs w:val="24"/>
        </w:rPr>
        <w:t>El abandono del progreso (posibilidades económicas para nuestros nietos) El peligroso sendero del año 2017 (al borde del abismo), puede hacer bueno al 2016</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15-6-2017 </w:t>
      </w:r>
      <w:r w:rsidRPr="0004590A">
        <w:rPr>
          <w:rFonts w:ascii="Times New Roman" w:hAnsi="Times New Roman" w:cs="Times New Roman"/>
          <w:b/>
          <w:sz w:val="24"/>
          <w:szCs w:val="24"/>
        </w:rPr>
        <w:t>Euro-visión (15 años del Euro: ¿festejo o funeral?)</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15-8-2017 </w:t>
      </w:r>
      <w:r w:rsidRPr="0004590A">
        <w:rPr>
          <w:rFonts w:ascii="Times New Roman" w:hAnsi="Times New Roman" w:cs="Times New Roman"/>
          <w:b/>
          <w:sz w:val="24"/>
          <w:szCs w:val="24"/>
        </w:rPr>
        <w:t>¿Las políticas de Trump perjudican o benefician a la Unión Europea? (¿Pueden los "ratones" -dirigentes de plastilina- hacer "meditación"?) (Partes I y II)</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15-10-2017 </w:t>
      </w:r>
      <w:r w:rsidRPr="0004590A">
        <w:rPr>
          <w:rFonts w:ascii="Times New Roman" w:hAnsi="Times New Roman" w:cs="Times New Roman"/>
          <w:b/>
          <w:sz w:val="24"/>
          <w:szCs w:val="24"/>
        </w:rPr>
        <w:t>¿Un "Uber" para casi todo? (la "involución" disruptiva)</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15-11-2017 </w:t>
      </w:r>
      <w:r w:rsidRPr="0004590A">
        <w:rPr>
          <w:rFonts w:ascii="Times New Roman" w:hAnsi="Times New Roman" w:cs="Times New Roman"/>
          <w:b/>
          <w:sz w:val="24"/>
          <w:szCs w:val="24"/>
        </w:rPr>
        <w:t>Un cálculo (aproximado) sobre la pérdida de capital social en la Unión Europea (¿qué hubiera pasado si la crisis financiera no hubiera causado un desempleo extremo?)</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15-12-2017 </w:t>
      </w:r>
      <w:r w:rsidRPr="0004590A">
        <w:rPr>
          <w:rFonts w:ascii="Times New Roman" w:hAnsi="Times New Roman" w:cs="Times New Roman"/>
          <w:b/>
          <w:sz w:val="24"/>
          <w:szCs w:val="24"/>
        </w:rPr>
        <w:t>La crisis migratoria en Europa: tras casi tres años de "banal" humanismo</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15-1-2018 </w:t>
      </w:r>
      <w:r w:rsidRPr="0004590A">
        <w:rPr>
          <w:rFonts w:ascii="Times New Roman" w:hAnsi="Times New Roman" w:cs="Times New Roman"/>
          <w:b/>
          <w:sz w:val="24"/>
          <w:szCs w:val="24"/>
        </w:rPr>
        <w:t>Brexit "conundrum" (como diría el ex-Maestro Greenspan: "si han entendido lo que hemos hecho (he dicho), es que lo (me) han interpretado mal")</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15-2-2018 </w:t>
      </w:r>
      <w:r w:rsidRPr="0004590A">
        <w:rPr>
          <w:rFonts w:ascii="Times New Roman" w:hAnsi="Times New Roman" w:cs="Times New Roman"/>
          <w:b/>
          <w:sz w:val="24"/>
          <w:szCs w:val="24"/>
        </w:rPr>
        <w:t>¿En qué se empleó el dinero público durante la crisis 2007-2017? ¿En cuánto aumentó la deuda soberana?</w:t>
      </w:r>
    </w:p>
    <w:p w:rsidR="00966326" w:rsidRPr="009827AD" w:rsidRDefault="00966326"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15-3-2018 </w:t>
      </w:r>
      <w:r w:rsidRPr="0004590A">
        <w:rPr>
          <w:rFonts w:ascii="Times New Roman" w:hAnsi="Times New Roman" w:cs="Times New Roman"/>
          <w:b/>
          <w:sz w:val="24"/>
          <w:szCs w:val="24"/>
        </w:rPr>
        <w:t>¿Es la economía "disruptiva" una fábrica de "camareros"? (El lado oscuro de la economía "colaborativa")</w:t>
      </w:r>
    </w:p>
    <w:p w:rsidR="00966326" w:rsidRPr="009827AD" w:rsidRDefault="00966326"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15-4-2018 </w:t>
      </w:r>
      <w:r w:rsidRPr="0004590A">
        <w:rPr>
          <w:rFonts w:ascii="Times New Roman" w:hAnsi="Times New Roman" w:cs="Times New Roman"/>
          <w:b/>
          <w:sz w:val="24"/>
          <w:szCs w:val="24"/>
        </w:rPr>
        <w:t>Inteligencia Artificial (una "orgía digital", entre robots y supercomputadoras)</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15-5-2018 </w:t>
      </w:r>
      <w:r w:rsidRPr="0004590A">
        <w:rPr>
          <w:rFonts w:ascii="Times New Roman" w:hAnsi="Times New Roman" w:cs="Times New Roman"/>
          <w:b/>
          <w:sz w:val="24"/>
          <w:szCs w:val="24"/>
        </w:rPr>
        <w:t>Desigualdad económica extrema (período 2007-2017): la "globalización del malestar" (del "daño coyuntural" al "alzamiento de bienes" estructural)</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15-6-2018 </w:t>
      </w:r>
      <w:r w:rsidRPr="0004590A">
        <w:rPr>
          <w:rFonts w:ascii="Times New Roman" w:hAnsi="Times New Roman" w:cs="Times New Roman"/>
          <w:b/>
          <w:sz w:val="24"/>
          <w:szCs w:val="24"/>
        </w:rPr>
        <w:t>El futuro del trabajo (entre la hipocresía y el desaliento)</w:t>
      </w:r>
    </w:p>
    <w:p w:rsidR="00966326" w:rsidRPr="0004590A"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15-8-2018 </w:t>
      </w:r>
      <w:r w:rsidRPr="0004590A">
        <w:rPr>
          <w:rFonts w:ascii="Times New Roman" w:hAnsi="Times New Roman" w:cs="Times New Roman"/>
          <w:b/>
          <w:sz w:val="24"/>
          <w:szCs w:val="24"/>
        </w:rPr>
        <w:t>La economía del "Big Data" y la intimidad monitorizada (el "negocio" de la libertad)</w:t>
      </w:r>
    </w:p>
    <w:p w:rsidR="00966326" w:rsidRPr="008C0F36"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15-10-2018 </w:t>
      </w:r>
      <w:r w:rsidRPr="008C0F36">
        <w:rPr>
          <w:rFonts w:ascii="Times New Roman" w:hAnsi="Times New Roman" w:cs="Times New Roman"/>
          <w:b/>
          <w:sz w:val="24"/>
          <w:szCs w:val="24"/>
        </w:rPr>
        <w:t>"Disparen contra el Euro" (el deporte de moda entre antieuropeístas, populistas de "todo a cien", y exégetas de la autonomía monetaria)</w:t>
      </w:r>
    </w:p>
    <w:p w:rsidR="00C53DA2" w:rsidRPr="008C0F36" w:rsidRDefault="0096632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12-11-2018 </w:t>
      </w:r>
      <w:r w:rsidRPr="008C0F36">
        <w:rPr>
          <w:rFonts w:ascii="Times New Roman" w:hAnsi="Times New Roman" w:cs="Times New Roman"/>
          <w:b/>
          <w:sz w:val="24"/>
          <w:szCs w:val="24"/>
        </w:rPr>
        <w:t>Guerra comercial EEUU-China-UE-Japón (¿s</w:t>
      </w:r>
      <w:r w:rsidR="00C53DA2" w:rsidRPr="008C0F36">
        <w:rPr>
          <w:rFonts w:ascii="Times New Roman" w:hAnsi="Times New Roman" w:cs="Times New Roman"/>
          <w:b/>
          <w:sz w:val="24"/>
          <w:szCs w:val="24"/>
        </w:rPr>
        <w:t>erá cierto que "todos" pierden?</w:t>
      </w:r>
    </w:p>
    <w:p w:rsidR="00922E26" w:rsidRDefault="00966326"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16-12-2018 </w:t>
      </w:r>
      <w:r w:rsidRPr="008C0F36">
        <w:rPr>
          <w:rFonts w:ascii="Times New Roman" w:hAnsi="Times New Roman" w:cs="Times New Roman"/>
          <w:b/>
          <w:sz w:val="24"/>
          <w:szCs w:val="24"/>
        </w:rPr>
        <w:t>La era de la distribución "regresiva" de la renta (2008-2018: una "década infame", de ilusiones perdidas): el ascensor social está "fuera de servicio" (¿se pueden reparar las averías del "viejo" modelo, o hay que cambiarlo por un "nuevo" modelo</w:t>
      </w:r>
      <w:r w:rsidR="00922E26">
        <w:rPr>
          <w:rFonts w:ascii="Times New Roman" w:hAnsi="Times New Roman" w:cs="Times New Roman"/>
          <w:b/>
          <w:sz w:val="24"/>
          <w:szCs w:val="24"/>
        </w:rPr>
        <w:t>?)</w:t>
      </w:r>
      <w:r w:rsidRPr="008C0F36">
        <w:rPr>
          <w:rFonts w:ascii="Times New Roman" w:hAnsi="Times New Roman" w:cs="Times New Roman"/>
          <w:b/>
          <w:sz w:val="24"/>
          <w:szCs w:val="24"/>
        </w:rPr>
        <w:tab/>
      </w:r>
    </w:p>
    <w:p w:rsidR="00966326" w:rsidRPr="00922E26" w:rsidRDefault="00966326"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15-1-2019 </w:t>
      </w:r>
      <w:r w:rsidRPr="008C0F36">
        <w:rPr>
          <w:rFonts w:ascii="Times New Roman" w:hAnsi="Times New Roman" w:cs="Times New Roman"/>
          <w:b/>
          <w:sz w:val="24"/>
          <w:szCs w:val="24"/>
        </w:rPr>
        <w:t>Sobre la próxima recesión (¿qué herramientas -monetarias y fiscales- le quedan al Banco Central Europeo y al Sector Público, de los países miembro de la euro-zona, para hacerle frente? ¿alcanzará el "gas de la risa", para mantener el "índice de alegría"?)</w:t>
      </w:r>
      <w:r w:rsidRPr="008C0F36">
        <w:rPr>
          <w:rFonts w:ascii="Times New Roman" w:hAnsi="Times New Roman" w:cs="Times New Roman"/>
          <w:b/>
          <w:sz w:val="24"/>
          <w:szCs w:val="24"/>
        </w:rPr>
        <w:tab/>
      </w:r>
    </w:p>
    <w:p w:rsidR="003D5506" w:rsidRPr="008C0F36"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15-2-2019 </w:t>
      </w:r>
      <w:r w:rsidRPr="008C0F36">
        <w:rPr>
          <w:rFonts w:ascii="Times New Roman" w:hAnsi="Times New Roman" w:cs="Times New Roman"/>
          <w:b/>
          <w:sz w:val="24"/>
          <w:szCs w:val="24"/>
        </w:rPr>
        <w:t>Los escasos avances en la "productividad" laboral: ¿el discreto encanto del fracaso, o la insoportable levedad, de la "economía disruptiva"?</w:t>
      </w:r>
      <w:r w:rsidRPr="008C0F36">
        <w:rPr>
          <w:rFonts w:ascii="Times New Roman" w:hAnsi="Times New Roman" w:cs="Times New Roman"/>
          <w:b/>
          <w:sz w:val="24"/>
          <w:szCs w:val="24"/>
        </w:rPr>
        <w:tab/>
      </w:r>
    </w:p>
    <w:p w:rsidR="003D5506" w:rsidRPr="009827AD" w:rsidRDefault="003D5506"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lastRenderedPageBreak/>
        <w:t xml:space="preserve">16-3-2019 </w:t>
      </w:r>
      <w:r w:rsidRPr="008C0F36">
        <w:rPr>
          <w:rFonts w:ascii="Times New Roman" w:hAnsi="Times New Roman" w:cs="Times New Roman"/>
          <w:b/>
          <w:sz w:val="24"/>
          <w:szCs w:val="24"/>
        </w:rPr>
        <w:t>La "mala economía" y el disfrute del momento sin confiar en el mañana</w:t>
      </w:r>
    </w:p>
    <w:p w:rsidR="003D5506" w:rsidRPr="008C0F36"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15-5-2019 </w:t>
      </w:r>
      <w:r w:rsidRPr="008C0F36">
        <w:rPr>
          <w:rFonts w:ascii="Times New Roman" w:hAnsi="Times New Roman" w:cs="Times New Roman"/>
          <w:b/>
          <w:sz w:val="24"/>
          <w:szCs w:val="24"/>
        </w:rPr>
        <w:t>Economía Disruptiva vs. Democracia "cuando la libertad da miedo" (¿al mercado le "gustan" los dictadores? ¿hay vida más allá de Wall Street y Silicon Valley?)</w:t>
      </w:r>
    </w:p>
    <w:p w:rsidR="003D5506" w:rsidRPr="008C0F36"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15-6-2019 </w:t>
      </w:r>
      <w:r w:rsidRPr="008C0F36">
        <w:rPr>
          <w:rFonts w:ascii="Times New Roman" w:hAnsi="Times New Roman" w:cs="Times New Roman"/>
          <w:b/>
          <w:sz w:val="24"/>
          <w:szCs w:val="24"/>
        </w:rPr>
        <w:t>Descapitalización humana: cómo se propagan las desigualdades económicas de los padres, a las oportunidades educativas de sus hijos ("heredaras mi pobreza y también… mi ignorancia")</w:t>
      </w:r>
    </w:p>
    <w:p w:rsidR="003D5506" w:rsidRPr="009827AD" w:rsidRDefault="003D5506" w:rsidP="009827AD">
      <w:pPr>
        <w:spacing w:line="240" w:lineRule="auto"/>
        <w:jc w:val="both"/>
        <w:rPr>
          <w:rFonts w:ascii="Times New Roman" w:hAnsi="Times New Roman" w:cs="Times New Roman"/>
          <w:sz w:val="24"/>
          <w:szCs w:val="24"/>
        </w:rPr>
      </w:pPr>
      <w:r w:rsidRPr="009827AD">
        <w:rPr>
          <w:rFonts w:ascii="Times New Roman" w:hAnsi="Times New Roman" w:cs="Times New Roman"/>
          <w:sz w:val="24"/>
          <w:szCs w:val="24"/>
        </w:rPr>
        <w:t xml:space="preserve">15-8-2019 </w:t>
      </w:r>
      <w:r w:rsidRPr="008C0F36">
        <w:rPr>
          <w:rFonts w:ascii="Times New Roman" w:hAnsi="Times New Roman" w:cs="Times New Roman"/>
          <w:b/>
          <w:sz w:val="24"/>
          <w:szCs w:val="24"/>
        </w:rPr>
        <w:t>La ‘deslocalización’ de la clase media (un caso surrealista de desarrollo inverso)</w:t>
      </w:r>
    </w:p>
    <w:p w:rsidR="003D5506" w:rsidRPr="008C0F36" w:rsidRDefault="003D5506" w:rsidP="009827AD">
      <w:pPr>
        <w:spacing w:line="240" w:lineRule="auto"/>
        <w:jc w:val="both"/>
        <w:rPr>
          <w:rFonts w:ascii="Times New Roman" w:hAnsi="Times New Roman" w:cs="Times New Roman"/>
          <w:b/>
          <w:sz w:val="24"/>
          <w:szCs w:val="24"/>
        </w:rPr>
      </w:pPr>
      <w:r w:rsidRPr="009827AD">
        <w:rPr>
          <w:rFonts w:ascii="Times New Roman" w:hAnsi="Times New Roman" w:cs="Times New Roman"/>
          <w:sz w:val="24"/>
          <w:szCs w:val="24"/>
        </w:rPr>
        <w:t xml:space="preserve">15-9-2019 </w:t>
      </w:r>
      <w:r w:rsidRPr="008C0F36">
        <w:rPr>
          <w:rFonts w:ascii="Times New Roman" w:hAnsi="Times New Roman" w:cs="Times New Roman"/>
          <w:b/>
          <w:sz w:val="24"/>
          <w:szCs w:val="24"/>
        </w:rPr>
        <w:t>El suicidio del capitalismo (¿una muerte por sobre-éxito?)</w:t>
      </w:r>
    </w:p>
    <w:p w:rsidR="005F534D" w:rsidRPr="008C0F36" w:rsidRDefault="00774A8A" w:rsidP="009827AD">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15-11-2019 </w:t>
      </w:r>
      <w:r w:rsidRPr="008C0F36">
        <w:rPr>
          <w:rFonts w:ascii="Times New Roman" w:hAnsi="Times New Roman" w:cs="Times New Roman"/>
          <w:b/>
          <w:sz w:val="24"/>
          <w:szCs w:val="24"/>
        </w:rPr>
        <w:t>Libra: el asalto frontal de Facebook a las finanzas</w:t>
      </w:r>
    </w:p>
    <w:p w:rsidR="00774A8A" w:rsidRDefault="00774A8A" w:rsidP="0098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15-12-2019 </w:t>
      </w:r>
      <w:r w:rsidRPr="008C0F36">
        <w:rPr>
          <w:rFonts w:ascii="Times New Roman" w:hAnsi="Times New Roman" w:cs="Times New Roman"/>
          <w:b/>
          <w:sz w:val="24"/>
          <w:szCs w:val="24"/>
        </w:rPr>
        <w:t>El “caso” del Deutsche Bank - Una “metáfora” sobre Alemania -en su “replica” absurda del modelo anglosajón-, que condiciona el futuro de la Unión Europea</w:t>
      </w:r>
    </w:p>
    <w:p w:rsidR="00774A8A" w:rsidRPr="008C0F36" w:rsidRDefault="00774A8A" w:rsidP="009827AD">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15-1-2020 </w:t>
      </w:r>
      <w:r w:rsidRPr="008C0F36">
        <w:rPr>
          <w:rFonts w:ascii="Times New Roman" w:hAnsi="Times New Roman" w:cs="Times New Roman"/>
          <w:b/>
          <w:sz w:val="24"/>
          <w:szCs w:val="24"/>
        </w:rPr>
        <w:t>¿Qué se oculta tras el ‘veto’ americano a HUAWEI? ¿Daño colateral, u objetivo estratégico, en la batalla tecnológica USA/CHINA? ¿Cuál es la mano que mece la cuna?</w:t>
      </w:r>
    </w:p>
    <w:p w:rsidR="00774A8A" w:rsidRPr="008C0F36" w:rsidRDefault="00774A8A" w:rsidP="009827AD">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15-2-2020 </w:t>
      </w:r>
      <w:r w:rsidRPr="008C0F36">
        <w:rPr>
          <w:rFonts w:ascii="Times New Roman" w:hAnsi="Times New Roman" w:cs="Times New Roman"/>
          <w:b/>
          <w:sz w:val="24"/>
          <w:szCs w:val="24"/>
        </w:rPr>
        <w:t>MENAS (Menores Extranjeros No Acompañados): un “forensic” al problema  (con la “secreta esperanza” que las “nuevas” autoridades europeas afronten el conflicto migratorio, con realismo y sin complejos)</w:t>
      </w:r>
    </w:p>
    <w:p w:rsidR="00774A8A" w:rsidRPr="008C0F36" w:rsidRDefault="00774A8A" w:rsidP="009827AD">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15-3-2020 </w:t>
      </w:r>
      <w:r w:rsidRPr="008C0F36">
        <w:rPr>
          <w:rFonts w:ascii="Times New Roman" w:hAnsi="Times New Roman" w:cs="Times New Roman"/>
          <w:b/>
          <w:sz w:val="24"/>
          <w:szCs w:val="24"/>
        </w:rPr>
        <w:t>La guerra del yuan (renminbi): ¿es justo y razonable, acusar a China de ser un “manipulador monetario”?</w:t>
      </w:r>
    </w:p>
    <w:p w:rsidR="00774A8A" w:rsidRDefault="00550AB2" w:rsidP="009827AD">
      <w:pPr>
        <w:spacing w:line="240" w:lineRule="auto"/>
        <w:jc w:val="both"/>
        <w:rPr>
          <w:rFonts w:ascii="Times New Roman" w:hAnsi="Times New Roman" w:cs="Times New Roman"/>
          <w:sz w:val="24"/>
          <w:szCs w:val="24"/>
        </w:rPr>
      </w:pPr>
      <w:r>
        <w:rPr>
          <w:rFonts w:ascii="Times New Roman" w:hAnsi="Times New Roman" w:cs="Times New Roman"/>
          <w:sz w:val="24"/>
          <w:szCs w:val="24"/>
        </w:rPr>
        <w:t>Y</w:t>
      </w:r>
      <w:r w:rsidR="008F062A">
        <w:rPr>
          <w:rFonts w:ascii="Times New Roman" w:hAnsi="Times New Roman" w:cs="Times New Roman"/>
          <w:sz w:val="24"/>
          <w:szCs w:val="24"/>
        </w:rPr>
        <w:t xml:space="preserve"> si alguna </w:t>
      </w:r>
      <w:r w:rsidR="008F062A" w:rsidRPr="002F7D22">
        <w:rPr>
          <w:rFonts w:ascii="Times New Roman" w:hAnsi="Times New Roman" w:cs="Times New Roman"/>
          <w:b/>
          <w:sz w:val="24"/>
          <w:szCs w:val="24"/>
        </w:rPr>
        <w:t>“duda chica”</w:t>
      </w:r>
      <w:r w:rsidR="008F062A">
        <w:rPr>
          <w:rFonts w:ascii="Times New Roman" w:hAnsi="Times New Roman" w:cs="Times New Roman"/>
          <w:sz w:val="24"/>
          <w:szCs w:val="24"/>
        </w:rPr>
        <w:t xml:space="preserve"> (políticamente incorrecta) sin querer, se me ha olvidado… hay más documentación en mi página web: </w:t>
      </w:r>
      <w:hyperlink r:id="rId49" w:history="1">
        <w:r w:rsidR="008F062A" w:rsidRPr="009C0D45">
          <w:rPr>
            <w:rStyle w:val="Hipervnculo"/>
            <w:rFonts w:ascii="Times New Roman" w:hAnsi="Times New Roman" w:cs="Times New Roman"/>
            <w:color w:val="auto"/>
            <w:sz w:val="24"/>
            <w:szCs w:val="24"/>
            <w:u w:val="none"/>
          </w:rPr>
          <w:t>www.realidadeconomica.com</w:t>
        </w:r>
      </w:hyperlink>
      <w:r w:rsidR="008F062A">
        <w:rPr>
          <w:rFonts w:ascii="Times New Roman" w:hAnsi="Times New Roman" w:cs="Times New Roman"/>
          <w:sz w:val="24"/>
          <w:szCs w:val="24"/>
        </w:rPr>
        <w:t>(de acceso libre y gratuito).</w:t>
      </w:r>
    </w:p>
    <w:p w:rsidR="00774A8A" w:rsidRPr="008C0F36" w:rsidRDefault="008C0F36" w:rsidP="009827AD">
      <w:pPr>
        <w:spacing w:line="240" w:lineRule="auto"/>
        <w:jc w:val="both"/>
        <w:rPr>
          <w:rFonts w:ascii="Times New Roman" w:hAnsi="Times New Roman" w:cs="Times New Roman"/>
          <w:b/>
          <w:sz w:val="24"/>
          <w:szCs w:val="24"/>
        </w:rPr>
      </w:pPr>
      <w:r w:rsidRPr="008C0F36">
        <w:rPr>
          <w:rFonts w:ascii="Times New Roman" w:hAnsi="Times New Roman" w:cs="Times New Roman"/>
          <w:b/>
          <w:sz w:val="24"/>
          <w:szCs w:val="24"/>
        </w:rPr>
        <w:t>¿Esta vez será diferent</w:t>
      </w:r>
      <w:r w:rsidR="00550AB2">
        <w:rPr>
          <w:rFonts w:ascii="Times New Roman" w:hAnsi="Times New Roman" w:cs="Times New Roman"/>
          <w:b/>
          <w:sz w:val="24"/>
          <w:szCs w:val="24"/>
        </w:rPr>
        <w:t>e? (solo para dejar testimonio</w:t>
      </w:r>
      <w:r w:rsidRPr="008C0F36">
        <w:rPr>
          <w:rFonts w:ascii="Times New Roman" w:hAnsi="Times New Roman" w:cs="Times New Roman"/>
          <w:b/>
          <w:sz w:val="24"/>
          <w:szCs w:val="24"/>
        </w:rPr>
        <w:t>):</w:t>
      </w:r>
    </w:p>
    <w:p w:rsidR="002100F7" w:rsidRDefault="008C0F36" w:rsidP="009827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el año 1998 escribo en contra de la globalización. Desde el año 2000 escribo sobre el vacilar </w:t>
      </w:r>
      <w:r w:rsidR="007D67F3">
        <w:rPr>
          <w:rFonts w:ascii="Times New Roman" w:hAnsi="Times New Roman" w:cs="Times New Roman"/>
          <w:sz w:val="24"/>
          <w:szCs w:val="24"/>
        </w:rPr>
        <w:t>europeo</w:t>
      </w:r>
      <w:r>
        <w:rPr>
          <w:rFonts w:ascii="Times New Roman" w:hAnsi="Times New Roman" w:cs="Times New Roman"/>
          <w:sz w:val="24"/>
          <w:szCs w:val="24"/>
        </w:rPr>
        <w:t>. Desde el año 2004 escribo sobre la economía de los hipócritas. En el año 2005 escribí una amplia crítica sobre Alan Greenspan. En el año 2006 comencé a escribir sobre el problema de la inmigración en Europa.</w:t>
      </w:r>
      <w:r w:rsidR="00833E1A">
        <w:rPr>
          <w:rFonts w:ascii="Times New Roman" w:hAnsi="Times New Roman" w:cs="Times New Roman"/>
          <w:sz w:val="24"/>
          <w:szCs w:val="24"/>
        </w:rPr>
        <w:t xml:space="preserve"> En el año 2006 escribí sobre</w:t>
      </w:r>
      <w:r w:rsidR="002F7D22">
        <w:rPr>
          <w:rFonts w:ascii="Times New Roman" w:hAnsi="Times New Roman" w:cs="Times New Roman"/>
          <w:sz w:val="24"/>
          <w:szCs w:val="24"/>
        </w:rPr>
        <w:t xml:space="preserve"> la falacia</w:t>
      </w:r>
      <w:r w:rsidR="00592665">
        <w:rPr>
          <w:rFonts w:ascii="Times New Roman" w:hAnsi="Times New Roman" w:cs="Times New Roman"/>
          <w:sz w:val="24"/>
          <w:szCs w:val="24"/>
        </w:rPr>
        <w:t xml:space="preserve"> de</w:t>
      </w:r>
      <w:r w:rsidR="00833E1A">
        <w:rPr>
          <w:rFonts w:ascii="Times New Roman" w:hAnsi="Times New Roman" w:cs="Times New Roman"/>
          <w:sz w:val="24"/>
          <w:szCs w:val="24"/>
        </w:rPr>
        <w:t xml:space="preserve"> los BRICS. En el año 2007 (dic.) comencé a tratar el problema de las hipotecas subprime. En el año 2008 escribí sobre globalización y desigualdad. En el año 2009 escribí sobre la codicia de los mercados. En el año 2010 escribí sobre el problema laboral de los jóvenes. En el año 2010 escribí sobre los riesgos de China. En el año 2012 escribí sobre las economías fallidas. En el año 2013 escribí una amplia crítica sobre Ben Bernanke. En el año 2014 escr</w:t>
      </w:r>
      <w:r w:rsidR="002F7D22">
        <w:rPr>
          <w:rFonts w:ascii="Times New Roman" w:hAnsi="Times New Roman" w:cs="Times New Roman"/>
          <w:sz w:val="24"/>
          <w:szCs w:val="24"/>
        </w:rPr>
        <w:t>i</w:t>
      </w:r>
      <w:r w:rsidR="00833E1A">
        <w:rPr>
          <w:rFonts w:ascii="Times New Roman" w:hAnsi="Times New Roman" w:cs="Times New Roman"/>
          <w:sz w:val="24"/>
          <w:szCs w:val="24"/>
        </w:rPr>
        <w:t xml:space="preserve">bí sobre el adiós europeo al estado de bienestar. </w:t>
      </w:r>
      <w:r w:rsidR="002100F7">
        <w:rPr>
          <w:rFonts w:ascii="Times New Roman" w:hAnsi="Times New Roman" w:cs="Times New Roman"/>
          <w:sz w:val="24"/>
          <w:szCs w:val="24"/>
        </w:rPr>
        <w:t>En el año 2017 escribí sobre multilateralismo vs</w:t>
      </w:r>
      <w:r w:rsidR="00592665">
        <w:rPr>
          <w:rFonts w:ascii="Times New Roman" w:hAnsi="Times New Roman" w:cs="Times New Roman"/>
          <w:sz w:val="24"/>
          <w:szCs w:val="24"/>
        </w:rPr>
        <w:t>.</w:t>
      </w:r>
      <w:r w:rsidR="002100F7">
        <w:rPr>
          <w:rFonts w:ascii="Times New Roman" w:hAnsi="Times New Roman" w:cs="Times New Roman"/>
          <w:sz w:val="24"/>
          <w:szCs w:val="24"/>
        </w:rPr>
        <w:t xml:space="preserve"> bilateralis</w:t>
      </w:r>
      <w:r w:rsidR="00592665">
        <w:rPr>
          <w:rFonts w:ascii="Times New Roman" w:hAnsi="Times New Roman" w:cs="Times New Roman"/>
          <w:sz w:val="24"/>
          <w:szCs w:val="24"/>
        </w:rPr>
        <w:t>mo. En 2018 y 2019, vuelvo a mis</w:t>
      </w:r>
      <w:r w:rsidR="002100F7">
        <w:rPr>
          <w:rFonts w:ascii="Times New Roman" w:hAnsi="Times New Roman" w:cs="Times New Roman"/>
          <w:sz w:val="24"/>
          <w:szCs w:val="24"/>
        </w:rPr>
        <w:t xml:space="preserve"> viejas y queridas causas perdidas: el problema de la inmigración en Europa y el problema de la Unión Europea (ser o no ser). </w:t>
      </w:r>
    </w:p>
    <w:p w:rsidR="005C2B71" w:rsidRDefault="00592665" w:rsidP="009827AD">
      <w:pPr>
        <w:spacing w:line="240" w:lineRule="auto"/>
        <w:jc w:val="both"/>
        <w:rPr>
          <w:rFonts w:ascii="Times New Roman" w:hAnsi="Times New Roman" w:cs="Times New Roman"/>
          <w:sz w:val="24"/>
          <w:szCs w:val="24"/>
        </w:rPr>
      </w:pPr>
      <w:r>
        <w:rPr>
          <w:rFonts w:ascii="Times New Roman" w:hAnsi="Times New Roman" w:cs="Times New Roman"/>
          <w:sz w:val="24"/>
          <w:szCs w:val="24"/>
        </w:rPr>
        <w:t>Por material para el</w:t>
      </w:r>
      <w:r w:rsidR="00001438">
        <w:rPr>
          <w:rFonts w:ascii="Times New Roman" w:hAnsi="Times New Roman" w:cs="Times New Roman"/>
          <w:sz w:val="24"/>
          <w:szCs w:val="24"/>
        </w:rPr>
        <w:t xml:space="preserve"> debate</w:t>
      </w:r>
      <w:r w:rsidR="00E86FB6">
        <w:rPr>
          <w:rFonts w:ascii="Times New Roman" w:hAnsi="Times New Roman" w:cs="Times New Roman"/>
          <w:sz w:val="24"/>
          <w:szCs w:val="24"/>
        </w:rPr>
        <w:t>,</w:t>
      </w:r>
      <w:r w:rsidR="00001438">
        <w:rPr>
          <w:rFonts w:ascii="Times New Roman" w:hAnsi="Times New Roman" w:cs="Times New Roman"/>
          <w:sz w:val="24"/>
          <w:szCs w:val="24"/>
        </w:rPr>
        <w:t xml:space="preserve"> que no sea:</w:t>
      </w:r>
      <w:r>
        <w:rPr>
          <w:rFonts w:ascii="Times New Roman" w:hAnsi="Times New Roman" w:cs="Times New Roman"/>
          <w:sz w:val="24"/>
          <w:szCs w:val="24"/>
        </w:rPr>
        <w:t xml:space="preserve"> se puede decir más alto, pero no más claro(</w:t>
      </w:r>
      <w:r w:rsidR="00001438">
        <w:rPr>
          <w:rFonts w:ascii="Times New Roman" w:hAnsi="Times New Roman" w:cs="Times New Roman"/>
          <w:sz w:val="24"/>
          <w:szCs w:val="24"/>
        </w:rPr>
        <w:t>e</w:t>
      </w:r>
      <w:r w:rsidR="002100F7">
        <w:rPr>
          <w:rFonts w:ascii="Times New Roman" w:hAnsi="Times New Roman" w:cs="Times New Roman"/>
          <w:sz w:val="24"/>
          <w:szCs w:val="24"/>
        </w:rPr>
        <w:t>l que quiera entender, que entienda</w:t>
      </w:r>
      <w:r>
        <w:rPr>
          <w:rFonts w:ascii="Times New Roman" w:hAnsi="Times New Roman" w:cs="Times New Roman"/>
          <w:sz w:val="24"/>
          <w:szCs w:val="24"/>
        </w:rPr>
        <w:t>)</w:t>
      </w:r>
      <w:r w:rsidR="002100F7">
        <w:rPr>
          <w:rFonts w:ascii="Times New Roman" w:hAnsi="Times New Roman" w:cs="Times New Roman"/>
          <w:sz w:val="24"/>
          <w:szCs w:val="24"/>
        </w:rPr>
        <w:t>.</w:t>
      </w:r>
    </w:p>
    <w:p w:rsidR="005C2B71" w:rsidRDefault="005C2B71" w:rsidP="009827AD">
      <w:pPr>
        <w:spacing w:line="240" w:lineRule="auto"/>
        <w:jc w:val="both"/>
        <w:rPr>
          <w:rFonts w:ascii="Times New Roman" w:hAnsi="Times New Roman" w:cs="Times New Roman"/>
          <w:sz w:val="24"/>
          <w:szCs w:val="24"/>
        </w:rPr>
      </w:pPr>
    </w:p>
    <w:p w:rsidR="005C2B71" w:rsidRDefault="005C2B71" w:rsidP="005C2B71">
      <w:pPr>
        <w:autoSpaceDE w:val="0"/>
        <w:autoSpaceDN w:val="0"/>
        <w:adjustRightInd w:val="0"/>
        <w:spacing w:after="0" w:line="240" w:lineRule="auto"/>
        <w:jc w:val="both"/>
        <w:rPr>
          <w:rFonts w:ascii="Times New Roman" w:hAnsi="Times New Roman" w:cs="Times New Roman"/>
          <w:b/>
          <w:sz w:val="24"/>
          <w:szCs w:val="24"/>
        </w:rPr>
      </w:pPr>
      <w:r w:rsidRPr="00D64820">
        <w:rPr>
          <w:rFonts w:ascii="Times New Roman" w:hAnsi="Times New Roman" w:cs="Times New Roman"/>
          <w:b/>
          <w:sz w:val="24"/>
          <w:szCs w:val="24"/>
        </w:rPr>
        <w:lastRenderedPageBreak/>
        <w:t xml:space="preserve">- </w:t>
      </w:r>
      <w:r>
        <w:rPr>
          <w:rFonts w:ascii="Times New Roman" w:hAnsi="Times New Roman" w:cs="Times New Roman"/>
          <w:b/>
          <w:sz w:val="24"/>
          <w:szCs w:val="24"/>
        </w:rPr>
        <w:t>La UE “ante el abismo”: ¿sin esperanza y con miedo? o ¿con esperanza y sin miedo?</w:t>
      </w:r>
    </w:p>
    <w:p w:rsidR="005C2B71" w:rsidRDefault="005C2B71" w:rsidP="005C2B71">
      <w:pPr>
        <w:autoSpaceDE w:val="0"/>
        <w:autoSpaceDN w:val="0"/>
        <w:adjustRightInd w:val="0"/>
        <w:spacing w:after="0" w:line="240" w:lineRule="auto"/>
        <w:jc w:val="both"/>
        <w:rPr>
          <w:rFonts w:ascii="Times New Roman" w:hAnsi="Times New Roman" w:cs="Times New Roman"/>
          <w:b/>
          <w:sz w:val="24"/>
          <w:szCs w:val="24"/>
        </w:rPr>
      </w:pPr>
    </w:p>
    <w:p w:rsidR="005C2B71" w:rsidRPr="00D64820" w:rsidRDefault="005C2B71" w:rsidP="005C2B71">
      <w:pPr>
        <w:autoSpaceDE w:val="0"/>
        <w:autoSpaceDN w:val="0"/>
        <w:adjustRightInd w:val="0"/>
        <w:spacing w:after="0" w:line="240" w:lineRule="auto"/>
        <w:jc w:val="both"/>
        <w:rPr>
          <w:rFonts w:ascii="Times New Roman" w:hAnsi="Times New Roman" w:cs="Times New Roman"/>
          <w:b/>
          <w:sz w:val="24"/>
          <w:szCs w:val="24"/>
        </w:rPr>
      </w:pPr>
      <w:r>
        <w:rPr>
          <w:noProof/>
          <w:lang w:val="en-GB" w:eastAsia="en-GB"/>
        </w:rPr>
        <w:drawing>
          <wp:inline distT="0" distB="0" distL="0" distR="0">
            <wp:extent cx="5726218" cy="3022600"/>
            <wp:effectExtent l="0" t="0" r="8255" b="6350"/>
            <wp:docPr id="168" name="Imagen 168" descr="euro-turbule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ro-turbulencia.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25394"/>
                    </a:xfrm>
                    <a:prstGeom prst="rect">
                      <a:avLst/>
                    </a:prstGeom>
                    <a:noFill/>
                    <a:ln>
                      <a:noFill/>
                    </a:ln>
                  </pic:spPr>
                </pic:pic>
              </a:graphicData>
            </a:graphic>
          </wp:inline>
        </w:drawing>
      </w:r>
    </w:p>
    <w:p w:rsidR="005C2B71" w:rsidRPr="00D64820" w:rsidRDefault="005C2B71" w:rsidP="005C2B71">
      <w:pPr>
        <w:pStyle w:val="yiv6099203543msonormal"/>
        <w:shd w:val="clear" w:color="auto" w:fill="FFFFFF"/>
        <w:jc w:val="both"/>
      </w:pPr>
      <w:r w:rsidRPr="00D64820">
        <w:t>Si con premeditación (y</w:t>
      </w:r>
      <w:r w:rsidR="00810DC1">
        <w:t xml:space="preserve"> alevosía) histórica, hubiese</w:t>
      </w:r>
      <w:r w:rsidRPr="00D64820">
        <w:t xml:space="preserve"> querido elegir un mes representativo de la problemática económica (y política) general (en los países desarrollados) y particular de la Unión Europea (¿en vías de subdesarrollo?), creo que el mes de Septiembre de 2019, presenta una amplia “galería” de acontecimientos demostrativos de la lenta (y complicada) digestión de la crisis financiera del año 2008, que todavía lastra y condiciona el crecimiento económico y las relaciones internacionales, de los países avanzados entre sí, y con los países emergentes o en vías de desarrollo. </w:t>
      </w:r>
    </w:p>
    <w:p w:rsidR="005C2B71" w:rsidRPr="00D64820" w:rsidRDefault="005C2B71" w:rsidP="005C2B71">
      <w:pPr>
        <w:pStyle w:val="yiv6099203543msonormal"/>
        <w:shd w:val="clear" w:color="auto" w:fill="FFFFFF"/>
        <w:jc w:val="both"/>
      </w:pPr>
      <w:r w:rsidRPr="00D64820">
        <w:t>Con la sola lectura de la “</w:t>
      </w:r>
      <w:r w:rsidR="004C4876">
        <w:t>maldita” hemeroteca del mes de S</w:t>
      </w:r>
      <w:r w:rsidRPr="00D64820">
        <w:t>eptiembre de 201</w:t>
      </w:r>
      <w:r w:rsidR="004C4876">
        <w:t>9 y una “coletilla” del mes de O</w:t>
      </w:r>
      <w:r w:rsidRPr="00D64820">
        <w:t xml:space="preserve">ctubre (penúltima escaramuza comercial de EEUU con la UE, </w:t>
      </w:r>
      <w:r w:rsidR="001E38E0">
        <w:t xml:space="preserve">el finiquito del </w:t>
      </w:r>
      <w:r w:rsidRPr="00D64820">
        <w:t>Brexit,</w:t>
      </w:r>
      <w:r w:rsidR="001E38E0">
        <w:t xml:space="preserve"> y la conformación de la</w:t>
      </w:r>
      <w:r w:rsidRPr="00D64820">
        <w:t xml:space="preserve"> nueva Comisión Europea), ya es posible (y acertado) diagnosticar el “encefalograma plano” de la Unión Europea. Se cumplen los peores pronósticos de la Unión Europea, y no hay nada (como luego veremos) que no augure que esta vez (año 2020) vaya a ser diferente. La Unión Europea, no suele perder ninguna oportunidad de perder una oportunidad. </w:t>
      </w:r>
    </w:p>
    <w:p w:rsidR="005C2B71" w:rsidRPr="00D64820" w:rsidRDefault="005C2B71" w:rsidP="005C2B71">
      <w:pPr>
        <w:shd w:val="clear" w:color="auto" w:fill="FFFFFF"/>
        <w:spacing w:after="0" w:line="240" w:lineRule="auto"/>
        <w:jc w:val="both"/>
        <w:rPr>
          <w:rFonts w:ascii="Times New Roman" w:eastAsia="Times New Roman" w:hAnsi="Times New Roman" w:cs="Times New Roman"/>
          <w:sz w:val="24"/>
          <w:szCs w:val="24"/>
        </w:rPr>
      </w:pPr>
      <w:r w:rsidRPr="00D64820">
        <w:rPr>
          <w:rFonts w:ascii="Times New Roman" w:eastAsia="Times New Roman" w:hAnsi="Times New Roman" w:cs="Times New Roman"/>
          <w:sz w:val="24"/>
          <w:szCs w:val="24"/>
        </w:rPr>
        <w:t xml:space="preserve">De un modo u otro, por su miedo escénico, y su ceguera voluntaria, ha perdido el “afecto” de los (países) amigos, y ha perdido el “respeto” de los (países) enemigos. Hoy la Unión Europea, ni suma, ni resta. La han borrado de la aritmética. </w:t>
      </w:r>
    </w:p>
    <w:p w:rsidR="005C2B71" w:rsidRPr="00D64820" w:rsidRDefault="005C2B71" w:rsidP="005C2B71">
      <w:pPr>
        <w:shd w:val="clear" w:color="auto" w:fill="FFFFFF"/>
        <w:spacing w:after="0" w:line="240" w:lineRule="auto"/>
        <w:jc w:val="both"/>
        <w:rPr>
          <w:rFonts w:ascii="Times New Roman" w:eastAsia="Times New Roman" w:hAnsi="Times New Roman" w:cs="Times New Roman"/>
          <w:sz w:val="24"/>
          <w:szCs w:val="24"/>
        </w:rPr>
      </w:pP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965246">
        <w:rPr>
          <w:rFonts w:ascii="Times New Roman" w:hAnsi="Times New Roman" w:cs="Times New Roman"/>
          <w:sz w:val="24"/>
          <w:szCs w:val="24"/>
        </w:rPr>
        <w:t>desafío</w:t>
      </w:r>
      <w:r>
        <w:rPr>
          <w:rFonts w:ascii="Times New Roman" w:hAnsi="Times New Roman" w:cs="Times New Roman"/>
          <w:sz w:val="24"/>
          <w:szCs w:val="24"/>
        </w:rPr>
        <w:t xml:space="preserve"> de las nuevas autoridades europeas</w:t>
      </w:r>
      <w:r w:rsidRPr="00965246">
        <w:rPr>
          <w:rFonts w:ascii="Times New Roman" w:hAnsi="Times New Roman" w:cs="Times New Roman"/>
          <w:sz w:val="24"/>
          <w:szCs w:val="24"/>
        </w:rPr>
        <w:t xml:space="preserve"> consistirá en evitar una segunda década perdida de crecimiento bajo y no lo suficientemente inclusivo en la eurozona</w:t>
      </w:r>
      <w:r>
        <w:rPr>
          <w:rFonts w:ascii="Times New Roman" w:hAnsi="Times New Roman" w:cs="Times New Roman"/>
          <w:sz w:val="24"/>
          <w:szCs w:val="24"/>
        </w:rPr>
        <w:t>.</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65246">
        <w:rPr>
          <w:rFonts w:ascii="Times New Roman" w:hAnsi="Times New Roman" w:cs="Times New Roman"/>
          <w:sz w:val="24"/>
          <w:szCs w:val="24"/>
        </w:rPr>
        <w:t>Hoy prácticamente no existen dudas de que la economía europea está perdiendo impulso. La prognosis excesivamente optimista de antes, de un repunte sostenido del crecimiento, finalmente ha dado lugar a la triste realidad de que los vientos en contra tanto estructurales como cíclicos están aplastando la actividad económica. El pronóstico de crecimiento consensuado previo de alrededor del 2% para 2019 hoy está convergiendo en torno al 1%; podrí</w:t>
      </w:r>
      <w:r>
        <w:rPr>
          <w:rFonts w:ascii="Times New Roman" w:hAnsi="Times New Roman" w:cs="Times New Roman"/>
          <w:sz w:val="24"/>
          <w:szCs w:val="24"/>
        </w:rPr>
        <w:t>a ser inclusive mucho más bajo…</w:t>
      </w:r>
    </w:p>
    <w:p w:rsidR="005C2B71" w:rsidRDefault="005C2B71" w:rsidP="005C2B71">
      <w:pPr>
        <w:spacing w:line="240" w:lineRule="auto"/>
        <w:jc w:val="both"/>
        <w:rPr>
          <w:rFonts w:ascii="Times New Roman" w:hAnsi="Times New Roman" w:cs="Times New Roman"/>
          <w:sz w:val="24"/>
          <w:szCs w:val="24"/>
        </w:rPr>
      </w:pPr>
      <w:r w:rsidRPr="00965246">
        <w:rPr>
          <w:rFonts w:ascii="Times New Roman" w:hAnsi="Times New Roman" w:cs="Times New Roman"/>
          <w:sz w:val="24"/>
          <w:szCs w:val="24"/>
        </w:rPr>
        <w:lastRenderedPageBreak/>
        <w:t>Lo que todavía falta es una mayor conciencia de que Europa corre el riesgo de sufrir lo que los economistas llaman un “crecimiento de frenado-aceleración”. En esas condiciones, el crecimiento puede seguir siendo positivo, pero no alcanzará para responder a las demandas de otras fuerzas: bolsones de endeudamiento excesivo, creciente demanda de servicios sociales, la necesidad de una mejor infraestructura y un enojo popular, una polarización política y una ali</w:t>
      </w:r>
      <w:r>
        <w:rPr>
          <w:rFonts w:ascii="Times New Roman" w:hAnsi="Times New Roman" w:cs="Times New Roman"/>
          <w:sz w:val="24"/>
          <w:szCs w:val="24"/>
        </w:rPr>
        <w:t>enación cada vez más profundos.</w:t>
      </w:r>
    </w:p>
    <w:p w:rsidR="005C2B71" w:rsidRDefault="005C2B71" w:rsidP="005C2B71">
      <w:pPr>
        <w:spacing w:line="240" w:lineRule="auto"/>
        <w:jc w:val="both"/>
        <w:rPr>
          <w:rFonts w:ascii="Times New Roman" w:hAnsi="Times New Roman" w:cs="Times New Roman"/>
          <w:sz w:val="24"/>
          <w:szCs w:val="24"/>
        </w:rPr>
      </w:pPr>
      <w:r w:rsidRPr="00965246">
        <w:rPr>
          <w:rFonts w:ascii="Times New Roman" w:hAnsi="Times New Roman" w:cs="Times New Roman"/>
          <w:sz w:val="24"/>
          <w:szCs w:val="24"/>
        </w:rPr>
        <w:t>Es más, las condiciones anteriormente impensables que podían minar la integridad misma de un sistema de mercado d</w:t>
      </w:r>
      <w:r w:rsidR="00810DC1">
        <w:rPr>
          <w:rFonts w:ascii="Times New Roman" w:hAnsi="Times New Roman" w:cs="Times New Roman"/>
          <w:sz w:val="24"/>
          <w:szCs w:val="24"/>
        </w:rPr>
        <w:t>e repente se volverán posibles -</w:t>
      </w:r>
      <w:r w:rsidRPr="00965246">
        <w:rPr>
          <w:rFonts w:ascii="Times New Roman" w:hAnsi="Times New Roman" w:cs="Times New Roman"/>
          <w:sz w:val="24"/>
          <w:szCs w:val="24"/>
        </w:rPr>
        <w:t>hasta probables-. No parece probable, por ejemplo, que las tasas de interés negativas en Europa se vayan a revertir en lo inmediato. Peor aún, en lo que ya es una economía estructuralmente deficiente, los europeos todavía tienen que lidiar plenamente con el impacto perjudicial de las tensiones comerciales globales, que han golpeado especialmente duro a las industrias dependientes de las exportaciones de A</w:t>
      </w:r>
      <w:r>
        <w:rPr>
          <w:rFonts w:ascii="Times New Roman" w:hAnsi="Times New Roman" w:cs="Times New Roman"/>
          <w:sz w:val="24"/>
          <w:szCs w:val="24"/>
        </w:rPr>
        <w:t>lemania -la usina de la región.</w:t>
      </w:r>
    </w:p>
    <w:p w:rsidR="005C2B71" w:rsidRDefault="005C2B71" w:rsidP="005C2B71">
      <w:pPr>
        <w:spacing w:line="240" w:lineRule="auto"/>
        <w:jc w:val="both"/>
        <w:rPr>
          <w:rFonts w:ascii="Times New Roman" w:hAnsi="Times New Roman" w:cs="Times New Roman"/>
          <w:sz w:val="24"/>
          <w:szCs w:val="24"/>
          <w:u w:val="single"/>
        </w:rPr>
      </w:pPr>
      <w:r w:rsidRPr="00965246">
        <w:rPr>
          <w:rFonts w:ascii="Times New Roman" w:hAnsi="Times New Roman" w:cs="Times New Roman"/>
          <w:sz w:val="24"/>
          <w:szCs w:val="24"/>
        </w:rPr>
        <w:t>A pesar de todos estos desenlaces negativos, las autoridades europeas siguen confiando en una sola respuesta: una política monetaria poco convencional que implica tasas de interés negativas y compras de títulos en gran escala (alivio cuantitativo o QE). Sin duda, esta estrategia fue efectiva para contener una crisis de deuda que estaba amenazando tanto a la unión monetaria como a la moneda única a comienzos de esta década. Pero ha demostrado ser cada vez menos efectiva a la hora de promover un crecimiento económico sostenible</w:t>
      </w:r>
      <w:r>
        <w:rPr>
          <w:rFonts w:ascii="Times New Roman" w:hAnsi="Times New Roman" w:cs="Times New Roman"/>
          <w:sz w:val="24"/>
          <w:szCs w:val="24"/>
        </w:rPr>
        <w:t>”..</w:t>
      </w:r>
      <w:r w:rsidRPr="00965246">
        <w:rPr>
          <w:rFonts w:ascii="Times New Roman" w:hAnsi="Times New Roman" w:cs="Times New Roman"/>
          <w:sz w:val="24"/>
          <w:szCs w:val="24"/>
        </w:rPr>
        <w:t>.</w:t>
      </w:r>
      <w:r>
        <w:rPr>
          <w:rFonts w:ascii="Times New Roman" w:hAnsi="Times New Roman" w:cs="Times New Roman"/>
          <w:sz w:val="24"/>
          <w:szCs w:val="24"/>
        </w:rPr>
        <w:t xml:space="preserve"> sostiene </w:t>
      </w:r>
      <w:r w:rsidRPr="005A41E7">
        <w:rPr>
          <w:rFonts w:ascii="Times New Roman" w:hAnsi="Times New Roman" w:cs="Times New Roman"/>
          <w:sz w:val="24"/>
          <w:szCs w:val="24"/>
        </w:rPr>
        <w:t>Mohame</w:t>
      </w:r>
      <w:r>
        <w:rPr>
          <w:rFonts w:ascii="Times New Roman" w:hAnsi="Times New Roman" w:cs="Times New Roman"/>
          <w:sz w:val="24"/>
          <w:szCs w:val="24"/>
        </w:rPr>
        <w:t>d A. El-Erian (</w:t>
      </w:r>
      <w:r w:rsidRPr="005A41E7">
        <w:rPr>
          <w:rFonts w:ascii="Times New Roman" w:hAnsi="Times New Roman" w:cs="Times New Roman"/>
          <w:sz w:val="24"/>
          <w:szCs w:val="24"/>
        </w:rPr>
        <w:t>Chief Economic Adviser at Allianz, the corporate parent of PIMCO where he served as CEO and co-Chief Investment Officer, was Chairman of US President Barack Oba</w:t>
      </w:r>
      <w:r>
        <w:rPr>
          <w:rFonts w:ascii="Times New Roman" w:hAnsi="Times New Roman" w:cs="Times New Roman"/>
          <w:sz w:val="24"/>
          <w:szCs w:val="24"/>
        </w:rPr>
        <w:t>ma’s Global Development Council), en un artículo publicado en Project Syndicate el 26/9/19: “</w:t>
      </w:r>
      <w:r w:rsidRPr="00D64820">
        <w:rPr>
          <w:rFonts w:ascii="Times New Roman" w:hAnsi="Times New Roman" w:cs="Times New Roman"/>
          <w:sz w:val="24"/>
          <w:szCs w:val="24"/>
        </w:rPr>
        <w:t>La agudeza de Lagarde es la oportunidad de Europa”.</w:t>
      </w:r>
    </w:p>
    <w:p w:rsidR="00F43A83" w:rsidRDefault="005C2B71" w:rsidP="005C2B71">
      <w:pPr>
        <w:spacing w:line="240" w:lineRule="auto"/>
        <w:jc w:val="both"/>
        <w:rPr>
          <w:rFonts w:ascii="Times New Roman" w:hAnsi="Times New Roman" w:cs="Times New Roman"/>
          <w:sz w:val="24"/>
          <w:szCs w:val="24"/>
        </w:rPr>
      </w:pPr>
      <w:r w:rsidRPr="00843537">
        <w:rPr>
          <w:rFonts w:ascii="Times New Roman" w:hAnsi="Times New Roman" w:cs="Times New Roman"/>
          <w:sz w:val="24"/>
          <w:szCs w:val="24"/>
        </w:rPr>
        <w:t>Más allá de la “lista de PIMCO”</w:t>
      </w:r>
      <w:r>
        <w:rPr>
          <w:rFonts w:ascii="Times New Roman" w:hAnsi="Times New Roman" w:cs="Times New Roman"/>
          <w:sz w:val="24"/>
          <w:szCs w:val="24"/>
        </w:rPr>
        <w:t>, más allá</w:t>
      </w:r>
      <w:r w:rsidRPr="00843537">
        <w:rPr>
          <w:rFonts w:ascii="Times New Roman" w:hAnsi="Times New Roman" w:cs="Times New Roman"/>
          <w:sz w:val="24"/>
          <w:szCs w:val="24"/>
        </w:rPr>
        <w:t xml:space="preserve"> de los “cisnes negros” qu</w:t>
      </w:r>
      <w:r>
        <w:rPr>
          <w:rFonts w:ascii="Times New Roman" w:hAnsi="Times New Roman" w:cs="Times New Roman"/>
          <w:sz w:val="24"/>
          <w:szCs w:val="24"/>
        </w:rPr>
        <w:t>e avizoran</w:t>
      </w:r>
      <w:r w:rsidRPr="00843537">
        <w:rPr>
          <w:rFonts w:ascii="Times New Roman" w:hAnsi="Times New Roman" w:cs="Times New Roman"/>
          <w:sz w:val="24"/>
          <w:szCs w:val="24"/>
        </w:rPr>
        <w:t xml:space="preserve"> los </w:t>
      </w:r>
      <w:r>
        <w:rPr>
          <w:rFonts w:ascii="Times New Roman" w:hAnsi="Times New Roman" w:cs="Times New Roman"/>
          <w:sz w:val="24"/>
          <w:szCs w:val="24"/>
        </w:rPr>
        <w:t>gurús mediáticos, más allá de las “fragilidades” que señalan los grandes bonetes, más allá del “efecto</w:t>
      </w:r>
      <w:r w:rsidR="00F43A83">
        <w:rPr>
          <w:rFonts w:ascii="Times New Roman" w:hAnsi="Times New Roman" w:cs="Times New Roman"/>
          <w:sz w:val="24"/>
          <w:szCs w:val="24"/>
        </w:rPr>
        <w:t>” Draghi, más allá del “helicóptero 2.0” de Lagarde…</w:t>
      </w:r>
      <w:r w:rsidR="004C4876">
        <w:rPr>
          <w:rFonts w:ascii="Times New Roman" w:hAnsi="Times New Roman" w:cs="Times New Roman"/>
          <w:sz w:val="24"/>
          <w:szCs w:val="24"/>
        </w:rPr>
        <w:t xml:space="preserve"> la UE sigue frenada en la duda.</w:t>
      </w:r>
    </w:p>
    <w:p w:rsidR="005C2B71" w:rsidRPr="00A40A99" w:rsidRDefault="00F43A83"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Además de los perjuicios causados por</w:t>
      </w:r>
      <w:r w:rsidR="005C2B71" w:rsidRPr="00A40A99">
        <w:rPr>
          <w:rFonts w:ascii="Times New Roman" w:hAnsi="Times New Roman" w:cs="Times New Roman"/>
          <w:sz w:val="24"/>
          <w:szCs w:val="24"/>
        </w:rPr>
        <w:t xml:space="preserve"> factores externos, como el conflicto comercial del presidente Donald Trump con China y el riesgo de un Brexit duro, a nivel interno la eurozona aún es vulnerable. El desempleo en el Sur sigue alto, especialmente entre los jóvenes. Y motores económicos como Alemania y Holanda han empezado a trastabillar. Hay demasiados “clavos” en el ataúd.</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¿Puede la UE, haciendo “más de lo mismo”, reestablecer un crecimiento inclusivo?</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¿Puede la UE competir en un sistema de librecambio asimétrico (la tierra no es plana)?</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¿Puede la UE mejorar la distribución de los ingresos en una economía de plataformas?</w:t>
      </w:r>
    </w:p>
    <w:p w:rsidR="00B972F8" w:rsidRDefault="004C4876"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¿Quiere los europeos ser unos siervos del medievalismo digital</w:t>
      </w:r>
      <w:r w:rsidR="00B972F8">
        <w:rPr>
          <w:rFonts w:ascii="Times New Roman" w:hAnsi="Times New Roman" w:cs="Times New Roman"/>
          <w:sz w:val="24"/>
          <w:szCs w:val="24"/>
        </w:rPr>
        <w:t>?</w:t>
      </w:r>
    </w:p>
    <w:p w:rsidR="00B972F8" w:rsidRPr="005A41E7" w:rsidRDefault="00B972F8"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¿Realmente quieren los europeos vivir en una sociedad donde sus más íntimos deseos y manifestaciones de libre albedrío personal estén en venta? Y lo que sería más grave aún (si cabe) pueden manipularse con fines de lucro o ganancia política.</w:t>
      </w:r>
    </w:p>
    <w:p w:rsidR="005C2B71" w:rsidRDefault="005C2B71" w:rsidP="005C2B71">
      <w:pPr>
        <w:spacing w:line="240" w:lineRule="auto"/>
        <w:jc w:val="both"/>
        <w:rPr>
          <w:rFonts w:ascii="Times New Roman" w:hAnsi="Times New Roman" w:cs="Times New Roman"/>
          <w:sz w:val="24"/>
          <w:szCs w:val="24"/>
        </w:rPr>
      </w:pPr>
      <w:r w:rsidRPr="00626B76">
        <w:rPr>
          <w:rFonts w:ascii="Times New Roman" w:hAnsi="Times New Roman" w:cs="Times New Roman"/>
          <w:sz w:val="24"/>
          <w:szCs w:val="24"/>
        </w:rPr>
        <w:t>La salud</w:t>
      </w:r>
      <w:r>
        <w:rPr>
          <w:rFonts w:ascii="Times New Roman" w:hAnsi="Times New Roman" w:cs="Times New Roman"/>
          <w:sz w:val="24"/>
          <w:szCs w:val="24"/>
        </w:rPr>
        <w:t xml:space="preserve"> y la protección social, son otros de los elementos de máximo riesgo. ¿Cómo se podrá mantener la cobertura del Estado de Bienestar Europeo </w:t>
      </w:r>
      <w:r w:rsidRPr="00626B76">
        <w:rPr>
          <w:rFonts w:ascii="Times New Roman" w:hAnsi="Times New Roman" w:cs="Times New Roman"/>
          <w:sz w:val="24"/>
          <w:szCs w:val="24"/>
        </w:rPr>
        <w:t xml:space="preserve">en un futuro no muy lejano donde el volumen de </w:t>
      </w:r>
      <w:r>
        <w:rPr>
          <w:rFonts w:ascii="Times New Roman" w:hAnsi="Times New Roman" w:cs="Times New Roman"/>
          <w:sz w:val="24"/>
          <w:szCs w:val="24"/>
        </w:rPr>
        <w:t xml:space="preserve">empleo caerá en torno a un 12% (según las cifras </w:t>
      </w:r>
      <w:r w:rsidRPr="00626B76">
        <w:rPr>
          <w:rFonts w:ascii="Times New Roman" w:hAnsi="Times New Roman" w:cs="Times New Roman"/>
          <w:sz w:val="24"/>
          <w:szCs w:val="24"/>
        </w:rPr>
        <w:t>del informe The Risk of Automation for Jo</w:t>
      </w:r>
      <w:r>
        <w:rPr>
          <w:rFonts w:ascii="Times New Roman" w:hAnsi="Times New Roman" w:cs="Times New Roman"/>
          <w:sz w:val="24"/>
          <w:szCs w:val="24"/>
        </w:rPr>
        <w:t>bs in OECD Countries de la OCDE)</w:t>
      </w:r>
      <w:r w:rsidRPr="00626B76">
        <w:rPr>
          <w:rFonts w:ascii="Times New Roman" w:hAnsi="Times New Roman" w:cs="Times New Roman"/>
          <w:sz w:val="24"/>
          <w:szCs w:val="24"/>
        </w:rPr>
        <w:t>, con edades de cotización que empiezan más tarde y no son totalm</w:t>
      </w:r>
      <w:r>
        <w:rPr>
          <w:rFonts w:ascii="Times New Roman" w:hAnsi="Times New Roman" w:cs="Times New Roman"/>
          <w:sz w:val="24"/>
          <w:szCs w:val="24"/>
        </w:rPr>
        <w:t>ente continuas ni ascendentes?</w:t>
      </w:r>
    </w:p>
    <w:p w:rsidR="005C2B71" w:rsidRDefault="005C2B71" w:rsidP="005C2B71">
      <w:pPr>
        <w:spacing w:line="240" w:lineRule="auto"/>
        <w:jc w:val="both"/>
        <w:rPr>
          <w:rFonts w:ascii="Times New Roman" w:hAnsi="Times New Roman" w:cs="Times New Roman"/>
          <w:sz w:val="24"/>
          <w:szCs w:val="24"/>
        </w:rPr>
      </w:pPr>
      <w:r w:rsidRPr="00626B76">
        <w:rPr>
          <w:rFonts w:ascii="Times New Roman" w:hAnsi="Times New Roman" w:cs="Times New Roman"/>
          <w:sz w:val="24"/>
          <w:szCs w:val="24"/>
        </w:rPr>
        <w:lastRenderedPageBreak/>
        <w:t>En cuanto a la economía de plataformas</w:t>
      </w:r>
      <w:r>
        <w:rPr>
          <w:rFonts w:ascii="Times New Roman" w:hAnsi="Times New Roman" w:cs="Times New Roman"/>
          <w:sz w:val="24"/>
          <w:szCs w:val="24"/>
        </w:rPr>
        <w:t xml:space="preserve">, </w:t>
      </w:r>
      <w:r w:rsidRPr="00626B76">
        <w:rPr>
          <w:rFonts w:ascii="Times New Roman" w:hAnsi="Times New Roman" w:cs="Times New Roman"/>
          <w:sz w:val="24"/>
          <w:szCs w:val="24"/>
        </w:rPr>
        <w:t>casi el 17% de las personas en edad de trabajar ha desarrollado ya algún tipo de activida</w:t>
      </w:r>
      <w:r>
        <w:rPr>
          <w:rFonts w:ascii="Times New Roman" w:hAnsi="Times New Roman" w:cs="Times New Roman"/>
          <w:sz w:val="24"/>
          <w:szCs w:val="24"/>
        </w:rPr>
        <w:t>d económica a través de estas, e</w:t>
      </w:r>
      <w:r w:rsidRPr="00626B76">
        <w:rPr>
          <w:rFonts w:ascii="Times New Roman" w:hAnsi="Times New Roman" w:cs="Times New Roman"/>
          <w:sz w:val="24"/>
          <w:szCs w:val="24"/>
        </w:rPr>
        <w:t>n la mayoría de</w:t>
      </w:r>
      <w:r>
        <w:rPr>
          <w:rFonts w:ascii="Times New Roman" w:hAnsi="Times New Roman" w:cs="Times New Roman"/>
          <w:sz w:val="24"/>
          <w:szCs w:val="24"/>
        </w:rPr>
        <w:t xml:space="preserve"> los casos, como</w:t>
      </w:r>
      <w:r w:rsidRPr="00626B76">
        <w:rPr>
          <w:rFonts w:ascii="Times New Roman" w:hAnsi="Times New Roman" w:cs="Times New Roman"/>
          <w:sz w:val="24"/>
          <w:szCs w:val="24"/>
        </w:rPr>
        <w:t xml:space="preserve"> f</w:t>
      </w:r>
      <w:r>
        <w:rPr>
          <w:rFonts w:ascii="Times New Roman" w:hAnsi="Times New Roman" w:cs="Times New Roman"/>
          <w:sz w:val="24"/>
          <w:szCs w:val="24"/>
        </w:rPr>
        <w:t>uente complementaria de rentas.</w:t>
      </w:r>
    </w:p>
    <w:p w:rsidR="00B972F8" w:rsidRPr="00626B76" w:rsidRDefault="00B972F8"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Los algoritmos de las plataformas están siendo impulsados por la “extracción” de valor en vez de por la “creación” de valor.</w:t>
      </w:r>
    </w:p>
    <w:p w:rsidR="005C2B71" w:rsidRPr="00626B76" w:rsidRDefault="005C2B71" w:rsidP="005C2B71">
      <w:pPr>
        <w:spacing w:line="240" w:lineRule="auto"/>
        <w:jc w:val="both"/>
        <w:rPr>
          <w:rFonts w:ascii="Times New Roman" w:hAnsi="Times New Roman" w:cs="Times New Roman"/>
          <w:sz w:val="24"/>
          <w:szCs w:val="24"/>
        </w:rPr>
      </w:pPr>
      <w:r w:rsidRPr="00626B76">
        <w:rPr>
          <w:rFonts w:ascii="Times New Roman" w:hAnsi="Times New Roman" w:cs="Times New Roman"/>
          <w:sz w:val="24"/>
          <w:szCs w:val="24"/>
        </w:rPr>
        <w:t>¿Qué trabajos realizan lo</w:t>
      </w:r>
      <w:r>
        <w:rPr>
          <w:rFonts w:ascii="Times New Roman" w:hAnsi="Times New Roman" w:cs="Times New Roman"/>
          <w:sz w:val="24"/>
          <w:szCs w:val="24"/>
        </w:rPr>
        <w:t xml:space="preserve">s trabajadores de plataformas? </w:t>
      </w:r>
      <w:r w:rsidRPr="00626B76">
        <w:rPr>
          <w:rFonts w:ascii="Times New Roman" w:hAnsi="Times New Roman" w:cs="Times New Roman"/>
          <w:sz w:val="24"/>
          <w:szCs w:val="24"/>
        </w:rPr>
        <w:t>Tenemos una idea equivocada, los repartidores y conductores son mino</w:t>
      </w:r>
      <w:r>
        <w:rPr>
          <w:rFonts w:ascii="Times New Roman" w:hAnsi="Times New Roman" w:cs="Times New Roman"/>
          <w:sz w:val="24"/>
          <w:szCs w:val="24"/>
        </w:rPr>
        <w:t>ría, frente a cerca de un 40% son</w:t>
      </w:r>
      <w:r w:rsidRPr="00626B76">
        <w:rPr>
          <w:rFonts w:ascii="Times New Roman" w:hAnsi="Times New Roman" w:cs="Times New Roman"/>
          <w:sz w:val="24"/>
          <w:szCs w:val="24"/>
        </w:rPr>
        <w:t xml:space="preserve"> trabajos sencillos desde el ordenador, y servicios jurídicos</w:t>
      </w:r>
      <w:r>
        <w:rPr>
          <w:rFonts w:ascii="Times New Roman" w:hAnsi="Times New Roman" w:cs="Times New Roman"/>
          <w:sz w:val="24"/>
          <w:szCs w:val="24"/>
        </w:rPr>
        <w:t xml:space="preserve"> o asistencia a la contabilidad</w:t>
      </w:r>
      <w:r w:rsidRPr="00626B76">
        <w:rPr>
          <w:rFonts w:ascii="Times New Roman" w:hAnsi="Times New Roman" w:cs="Times New Roman"/>
          <w:sz w:val="24"/>
          <w:szCs w:val="24"/>
        </w:rPr>
        <w:t xml:space="preserve">. El trabajo en plataformas se está desarrollando en muchos otros ámbitos como </w:t>
      </w:r>
      <w:r>
        <w:rPr>
          <w:rFonts w:ascii="Times New Roman" w:hAnsi="Times New Roman" w:cs="Times New Roman"/>
          <w:sz w:val="24"/>
          <w:szCs w:val="24"/>
        </w:rPr>
        <w:t xml:space="preserve">logística o traducción”. Lo que preocupa es que estas personas </w:t>
      </w:r>
      <w:r w:rsidRPr="00626B76">
        <w:rPr>
          <w:rFonts w:ascii="Times New Roman" w:hAnsi="Times New Roman" w:cs="Times New Roman"/>
          <w:sz w:val="24"/>
          <w:szCs w:val="24"/>
        </w:rPr>
        <w:t>tienen cada vez más alta cualificación, lo que constata que los estudios de grado superior ya no son un as</w:t>
      </w:r>
      <w:r>
        <w:rPr>
          <w:rFonts w:ascii="Times New Roman" w:hAnsi="Times New Roman" w:cs="Times New Roman"/>
          <w:sz w:val="24"/>
          <w:szCs w:val="24"/>
        </w:rPr>
        <w:t>censor social.</w:t>
      </w:r>
    </w:p>
    <w:p w:rsidR="005C2B71" w:rsidRPr="00626B76" w:rsidRDefault="005C2B71" w:rsidP="005C2B71">
      <w:pPr>
        <w:spacing w:line="240" w:lineRule="auto"/>
        <w:jc w:val="both"/>
        <w:rPr>
          <w:rFonts w:ascii="Times New Roman" w:hAnsi="Times New Roman" w:cs="Times New Roman"/>
          <w:sz w:val="24"/>
          <w:szCs w:val="24"/>
        </w:rPr>
      </w:pPr>
      <w:r w:rsidRPr="00626B76">
        <w:rPr>
          <w:rFonts w:ascii="Times New Roman" w:hAnsi="Times New Roman" w:cs="Times New Roman"/>
          <w:sz w:val="24"/>
          <w:szCs w:val="24"/>
        </w:rPr>
        <w:t xml:space="preserve">Pese a los datos, el debate sobre si los repartidores que trabajan con empresas como Glovo, Deliveroo, Uber Eats o Stuart son autónomos o empleados sigue encendiendo pasiones, </w:t>
      </w:r>
      <w:r>
        <w:rPr>
          <w:rFonts w:ascii="Times New Roman" w:hAnsi="Times New Roman" w:cs="Times New Roman"/>
          <w:sz w:val="24"/>
          <w:szCs w:val="24"/>
        </w:rPr>
        <w:t xml:space="preserve">  quedando claro </w:t>
      </w:r>
      <w:r w:rsidRPr="00626B76">
        <w:rPr>
          <w:rFonts w:ascii="Times New Roman" w:hAnsi="Times New Roman" w:cs="Times New Roman"/>
          <w:sz w:val="24"/>
          <w:szCs w:val="24"/>
        </w:rPr>
        <w:t>que en lo único que están de acuerdo los diferentes actores es en la necesidad de soluciones para que no sean los tribunales los qu</w:t>
      </w:r>
      <w:r>
        <w:rPr>
          <w:rFonts w:ascii="Times New Roman" w:hAnsi="Times New Roman" w:cs="Times New Roman"/>
          <w:sz w:val="24"/>
          <w:szCs w:val="24"/>
        </w:rPr>
        <w:t>e regulen a golpe de sentencia.</w:t>
      </w:r>
    </w:p>
    <w:p w:rsidR="005C2B71" w:rsidRPr="00626B76" w:rsidRDefault="005C2B71" w:rsidP="005C2B71">
      <w:pPr>
        <w:spacing w:line="240" w:lineRule="auto"/>
        <w:jc w:val="both"/>
        <w:rPr>
          <w:rFonts w:ascii="Times New Roman" w:hAnsi="Times New Roman" w:cs="Times New Roman"/>
          <w:sz w:val="24"/>
          <w:szCs w:val="24"/>
        </w:rPr>
      </w:pPr>
      <w:r w:rsidRPr="00626B76">
        <w:rPr>
          <w:rFonts w:ascii="Times New Roman" w:hAnsi="Times New Roman" w:cs="Times New Roman"/>
          <w:sz w:val="24"/>
          <w:szCs w:val="24"/>
        </w:rPr>
        <w:t>El modelo de negocio de estas plataformas se basa en externalizar el trabajo: en no reconocer todas las cuotas patronales y sociales que se tienen que aportar a la seguridad social, y en cargar la responsabilidad sobre las espaldas de los trabaja</w:t>
      </w:r>
      <w:r>
        <w:rPr>
          <w:rFonts w:ascii="Times New Roman" w:hAnsi="Times New Roman" w:cs="Times New Roman"/>
          <w:sz w:val="24"/>
          <w:szCs w:val="24"/>
        </w:rPr>
        <w:t xml:space="preserve">dores. </w:t>
      </w:r>
      <w:r w:rsidRPr="00626B76">
        <w:rPr>
          <w:rFonts w:ascii="Times New Roman" w:hAnsi="Times New Roman" w:cs="Times New Roman"/>
          <w:sz w:val="24"/>
          <w:szCs w:val="24"/>
        </w:rPr>
        <w:t>Una</w:t>
      </w:r>
      <w:r>
        <w:rPr>
          <w:rFonts w:ascii="Times New Roman" w:hAnsi="Times New Roman" w:cs="Times New Roman"/>
          <w:sz w:val="24"/>
          <w:szCs w:val="24"/>
        </w:rPr>
        <w:t xml:space="preserve"> de las opciones que se barajan </w:t>
      </w:r>
      <w:r w:rsidRPr="00626B76">
        <w:rPr>
          <w:rFonts w:ascii="Times New Roman" w:hAnsi="Times New Roman" w:cs="Times New Roman"/>
          <w:sz w:val="24"/>
          <w:szCs w:val="24"/>
        </w:rPr>
        <w:t xml:space="preserve">es crear una figura alternativa donde se canalice una nueva tipología de trabajo, que iría más allá de los repartidores y se extendería a otros trabajos online como el de youtuber o </w:t>
      </w:r>
      <w:r>
        <w:rPr>
          <w:rFonts w:ascii="Times New Roman" w:hAnsi="Times New Roman" w:cs="Times New Roman"/>
          <w:sz w:val="24"/>
          <w:szCs w:val="24"/>
        </w:rPr>
        <w:t>el de mineros de criptodivisas.</w:t>
      </w:r>
    </w:p>
    <w:p w:rsidR="005C2B71" w:rsidRPr="00626B76"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Otra opción </w:t>
      </w:r>
      <w:r w:rsidRPr="00626B76">
        <w:rPr>
          <w:rFonts w:ascii="Times New Roman" w:hAnsi="Times New Roman" w:cs="Times New Roman"/>
          <w:sz w:val="24"/>
          <w:szCs w:val="24"/>
        </w:rPr>
        <w:t xml:space="preserve">es la francesa, que se aleja del debate sobre el estatus jurídico de los trabajadores para hablar </w:t>
      </w:r>
      <w:r>
        <w:rPr>
          <w:rFonts w:ascii="Times New Roman" w:hAnsi="Times New Roman" w:cs="Times New Roman"/>
          <w:sz w:val="24"/>
          <w:szCs w:val="24"/>
        </w:rPr>
        <w:t xml:space="preserve">de derechos y de obligaciones. </w:t>
      </w:r>
      <w:r w:rsidRPr="00626B76">
        <w:rPr>
          <w:rFonts w:ascii="Times New Roman" w:hAnsi="Times New Roman" w:cs="Times New Roman"/>
          <w:sz w:val="24"/>
          <w:szCs w:val="24"/>
        </w:rPr>
        <w:t>Hay ciertos derechos de protección social que pertenecieron clásicamente al mundo del trabajo -derecho a la salud, a un ingreso estable, a coberturas por enfermedad y por desempleo, vacaciones pagadas, transparencia…- que necesitan expandirse a otros modelos de mayor vulne</w:t>
      </w:r>
      <w:r>
        <w:rPr>
          <w:rFonts w:ascii="Times New Roman" w:hAnsi="Times New Roman" w:cs="Times New Roman"/>
          <w:sz w:val="24"/>
          <w:szCs w:val="24"/>
        </w:rPr>
        <w:t>rabilidad como estos.</w:t>
      </w:r>
    </w:p>
    <w:p w:rsidR="005C2B71" w:rsidRDefault="005C2B71" w:rsidP="005C2B71">
      <w:pPr>
        <w:spacing w:line="240" w:lineRule="auto"/>
        <w:jc w:val="both"/>
        <w:rPr>
          <w:rFonts w:ascii="Times New Roman" w:hAnsi="Times New Roman" w:cs="Times New Roman"/>
          <w:sz w:val="24"/>
          <w:szCs w:val="24"/>
        </w:rPr>
      </w:pPr>
      <w:r w:rsidRPr="00626B76">
        <w:rPr>
          <w:rFonts w:ascii="Times New Roman" w:hAnsi="Times New Roman" w:cs="Times New Roman"/>
          <w:sz w:val="24"/>
          <w:szCs w:val="24"/>
        </w:rPr>
        <w:t xml:space="preserve">Ante esta realidad, ¿qué pueden hacer las personas para beneficiarse de ella, </w:t>
      </w:r>
      <w:r>
        <w:rPr>
          <w:rFonts w:ascii="Times New Roman" w:hAnsi="Times New Roman" w:cs="Times New Roman"/>
          <w:sz w:val="24"/>
          <w:szCs w:val="24"/>
        </w:rPr>
        <w:t xml:space="preserve">en lugar de sufrirla? Algunos analistas </w:t>
      </w:r>
      <w:r w:rsidRPr="00626B76">
        <w:rPr>
          <w:rFonts w:ascii="Times New Roman" w:hAnsi="Times New Roman" w:cs="Times New Roman"/>
          <w:sz w:val="24"/>
          <w:szCs w:val="24"/>
        </w:rPr>
        <w:t>sostiene</w:t>
      </w:r>
      <w:r>
        <w:rPr>
          <w:rFonts w:ascii="Times New Roman" w:hAnsi="Times New Roman" w:cs="Times New Roman"/>
          <w:sz w:val="24"/>
          <w:szCs w:val="24"/>
        </w:rPr>
        <w:t>n</w:t>
      </w:r>
      <w:r w:rsidRPr="00626B76">
        <w:rPr>
          <w:rFonts w:ascii="Times New Roman" w:hAnsi="Times New Roman" w:cs="Times New Roman"/>
          <w:sz w:val="24"/>
          <w:szCs w:val="24"/>
        </w:rPr>
        <w:t xml:space="preserve"> que el impacto de las plataformas llega primero por el consumo, y luego repercute e</w:t>
      </w:r>
      <w:r>
        <w:rPr>
          <w:rFonts w:ascii="Times New Roman" w:hAnsi="Times New Roman" w:cs="Times New Roman"/>
          <w:sz w:val="24"/>
          <w:szCs w:val="24"/>
        </w:rPr>
        <w:t xml:space="preserve">n el trabajo. Por eso, </w:t>
      </w:r>
      <w:r w:rsidRPr="00626B76">
        <w:rPr>
          <w:rFonts w:ascii="Times New Roman" w:hAnsi="Times New Roman" w:cs="Times New Roman"/>
          <w:sz w:val="24"/>
          <w:szCs w:val="24"/>
        </w:rPr>
        <w:t>es fundamental que, como consumidores, tomemos conciencia de lo que está sucediendo. “Uber somos todos. Si consumimos low cost, generamos merca</w:t>
      </w:r>
      <w:r>
        <w:rPr>
          <w:rFonts w:ascii="Times New Roman" w:hAnsi="Times New Roman" w:cs="Times New Roman"/>
          <w:sz w:val="24"/>
          <w:szCs w:val="24"/>
        </w:rPr>
        <w:t>do de trabajo low cost”.</w:t>
      </w:r>
    </w:p>
    <w:p w:rsidR="005C2B71" w:rsidRDefault="005C2B71" w:rsidP="005C2B71">
      <w:pPr>
        <w:spacing w:line="240" w:lineRule="auto"/>
        <w:jc w:val="both"/>
        <w:rPr>
          <w:rFonts w:ascii="Times New Roman" w:hAnsi="Times New Roman" w:cs="Times New Roman"/>
          <w:b/>
          <w:sz w:val="24"/>
          <w:szCs w:val="24"/>
        </w:rPr>
      </w:pPr>
      <w:r>
        <w:rPr>
          <w:rFonts w:ascii="Times New Roman" w:hAnsi="Times New Roman" w:cs="Times New Roman"/>
          <w:b/>
          <w:sz w:val="24"/>
          <w:szCs w:val="24"/>
        </w:rPr>
        <w:t>Sic transit gloria mundi: entre la alquimia económica y las reacciones nocivas de la</w:t>
      </w:r>
      <w:r w:rsidRPr="00676553">
        <w:rPr>
          <w:rFonts w:ascii="Times New Roman" w:hAnsi="Times New Roman" w:cs="Times New Roman"/>
          <w:b/>
          <w:sz w:val="24"/>
          <w:szCs w:val="24"/>
        </w:rPr>
        <w:t xml:space="preserve"> opinión</w:t>
      </w:r>
      <w:r>
        <w:rPr>
          <w:rFonts w:ascii="Times New Roman" w:hAnsi="Times New Roman" w:cs="Times New Roman"/>
          <w:b/>
          <w:sz w:val="24"/>
          <w:szCs w:val="24"/>
        </w:rPr>
        <w:t xml:space="preserve"> pública,</w:t>
      </w:r>
      <w:r w:rsidRPr="00676553">
        <w:rPr>
          <w:rFonts w:ascii="Times New Roman" w:hAnsi="Times New Roman" w:cs="Times New Roman"/>
          <w:b/>
          <w:sz w:val="24"/>
          <w:szCs w:val="24"/>
        </w:rPr>
        <w:t xml:space="preserve"> cuando no son orientadas por minorías adecuadas</w:t>
      </w:r>
      <w:r>
        <w:rPr>
          <w:rFonts w:ascii="Times New Roman" w:hAnsi="Times New Roman" w:cs="Times New Roman"/>
          <w:b/>
          <w:sz w:val="24"/>
          <w:szCs w:val="24"/>
        </w:rPr>
        <w:t xml:space="preserve"> e ilustradas</w:t>
      </w:r>
    </w:p>
    <w:p w:rsidR="005C2B71" w:rsidRDefault="005C2B71" w:rsidP="005C2B71">
      <w:pPr>
        <w:spacing w:line="240" w:lineRule="auto"/>
        <w:jc w:val="both"/>
        <w:rPr>
          <w:rFonts w:ascii="Times New Roman" w:hAnsi="Times New Roman" w:cs="Times New Roman"/>
          <w:sz w:val="24"/>
          <w:szCs w:val="24"/>
        </w:rPr>
      </w:pPr>
      <w:r w:rsidRPr="00782143">
        <w:rPr>
          <w:rFonts w:ascii="Times New Roman" w:hAnsi="Times New Roman" w:cs="Times New Roman"/>
          <w:sz w:val="24"/>
          <w:szCs w:val="24"/>
        </w:rPr>
        <w:t>Todo camino es largo para quien desconoce su destino. La Unión Europea enfrenta el año 2020, con un libreto difuso y un objetivo incierto. Los resultados previos no le son favorables y las expectativas decrecen con insistencia.</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Frente a este creciente desconcierto se constituyen (octubre 2019) las nuevas autoridades europeas (Parlamento, Comisión y Consejo), que deberán demostrar</w:t>
      </w:r>
      <w:r w:rsidRPr="00782143">
        <w:rPr>
          <w:rFonts w:ascii="Times New Roman" w:hAnsi="Times New Roman" w:cs="Times New Roman"/>
          <w:sz w:val="24"/>
          <w:szCs w:val="24"/>
        </w:rPr>
        <w:t xml:space="preserve"> que su instinto político aún no se ha evaporado</w:t>
      </w:r>
      <w:r>
        <w:rPr>
          <w:rFonts w:ascii="Times New Roman" w:hAnsi="Times New Roman" w:cs="Times New Roman"/>
          <w:sz w:val="24"/>
          <w:szCs w:val="24"/>
        </w:rPr>
        <w:t xml:space="preserve"> y que pueden recrear la ilusión social en el proyecto europeo.</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el momento (septiembre 2019), la Unión Europea aparece </w:t>
      </w:r>
      <w:r w:rsidRPr="00782143">
        <w:rPr>
          <w:rFonts w:ascii="Times New Roman" w:hAnsi="Times New Roman" w:cs="Times New Roman"/>
          <w:sz w:val="24"/>
          <w:szCs w:val="24"/>
        </w:rPr>
        <w:t>como un competidor exhausto, sumido en un incontrolable desconcierto estratégico.</w:t>
      </w:r>
      <w:r>
        <w:rPr>
          <w:rFonts w:ascii="Times New Roman" w:hAnsi="Times New Roman" w:cs="Times New Roman"/>
          <w:sz w:val="24"/>
          <w:szCs w:val="24"/>
        </w:rPr>
        <w:t xml:space="preserve"> Sin I.A. y sin I.E (emocional). </w:t>
      </w:r>
    </w:p>
    <w:p w:rsidR="005C2B71" w:rsidRDefault="005C2B71" w:rsidP="005C2B71">
      <w:pPr>
        <w:spacing w:line="240" w:lineRule="auto"/>
        <w:jc w:val="both"/>
        <w:rPr>
          <w:rFonts w:ascii="Times New Roman" w:hAnsi="Times New Roman" w:cs="Times New Roman"/>
          <w:sz w:val="24"/>
          <w:szCs w:val="24"/>
        </w:rPr>
      </w:pPr>
      <w:r w:rsidRPr="00782143">
        <w:rPr>
          <w:rFonts w:ascii="Times New Roman" w:hAnsi="Times New Roman" w:cs="Times New Roman"/>
          <w:sz w:val="24"/>
          <w:szCs w:val="24"/>
        </w:rPr>
        <w:lastRenderedPageBreak/>
        <w:t>Muchos d</w:t>
      </w:r>
      <w:r>
        <w:rPr>
          <w:rFonts w:ascii="Times New Roman" w:hAnsi="Times New Roman" w:cs="Times New Roman"/>
          <w:sz w:val="24"/>
          <w:szCs w:val="24"/>
        </w:rPr>
        <w:t>e sus ciudadanos</w:t>
      </w:r>
      <w:r w:rsidRPr="00782143">
        <w:rPr>
          <w:rFonts w:ascii="Times New Roman" w:hAnsi="Times New Roman" w:cs="Times New Roman"/>
          <w:sz w:val="24"/>
          <w:szCs w:val="24"/>
        </w:rPr>
        <w:t xml:space="preserve"> se manifi</w:t>
      </w:r>
      <w:r>
        <w:rPr>
          <w:rFonts w:ascii="Times New Roman" w:hAnsi="Times New Roman" w:cs="Times New Roman"/>
          <w:sz w:val="24"/>
          <w:szCs w:val="24"/>
        </w:rPr>
        <w:t>estan desorientados. Ni con EEUU, ni con China, ni “con sí misma” (proteccionismo)…</w:t>
      </w:r>
      <w:r w:rsidRPr="00782143">
        <w:rPr>
          <w:rFonts w:ascii="Times New Roman" w:hAnsi="Times New Roman" w:cs="Times New Roman"/>
          <w:sz w:val="24"/>
          <w:szCs w:val="24"/>
        </w:rPr>
        <w:t xml:space="preserve"> Entonces, ¿adónde vamos?, se cuestionan.</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El proyecto de la Unión Europea en ocasiones produjo</w:t>
      </w:r>
      <w:r w:rsidRPr="00BB0B3C">
        <w:rPr>
          <w:rFonts w:ascii="Times New Roman" w:hAnsi="Times New Roman" w:cs="Times New Roman"/>
          <w:sz w:val="24"/>
          <w:szCs w:val="24"/>
        </w:rPr>
        <w:t xml:space="preserve"> asombro. Al menos, en tiempos pasados. Ahora ya no le quedan demasiadas banderas que izar ni cabos a los que aferrarse.</w:t>
      </w:r>
    </w:p>
    <w:p w:rsidR="005C2B71" w:rsidRDefault="005C2B71" w:rsidP="005C2B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Repito, a septiembre del 2019, la Unión Europea, </w:t>
      </w:r>
      <w:r w:rsidRPr="00BB0B3C">
        <w:rPr>
          <w:rFonts w:ascii="Times New Roman" w:hAnsi="Times New Roman" w:cs="Times New Roman"/>
          <w:sz w:val="24"/>
          <w:szCs w:val="24"/>
        </w:rPr>
        <w:t>se encuentra en un trance tan ridículo como el de quien entra en el cine a oscuras y han ocupado su sitio. La sala está llena y ya no hay acomodadores. ¿Qué hacer?</w:t>
      </w:r>
      <w:r>
        <w:rPr>
          <w:rFonts w:ascii="Times New Roman" w:hAnsi="Times New Roman" w:cs="Times New Roman"/>
          <w:sz w:val="24"/>
          <w:szCs w:val="24"/>
        </w:rPr>
        <w:t xml:space="preserve"> ¿Dónde carajo me siento? Y encima, los espectadores protestan.</w:t>
      </w:r>
    </w:p>
    <w:p w:rsidR="005C2B71" w:rsidRDefault="005C2B71" w:rsidP="005C2B71">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Groseras contradicciones ideológicas, demasiada desvergüenza en las propuestas, demasiada insolvencia en la metamorfosis, burócratas que se pasean entre magnates y mangantes, promoviendo las estupideces geopolíticas más notables de las últimas décadas. No son responsables de nada, ni de sus propias “deposiciones”.</w:t>
      </w:r>
    </w:p>
    <w:p w:rsidR="005C2B71" w:rsidRDefault="005C2B71" w:rsidP="005C2B71">
      <w:pPr>
        <w:shd w:val="clear" w:color="auto" w:fill="FFFFFF"/>
        <w:spacing w:after="0" w:line="240" w:lineRule="auto"/>
        <w:jc w:val="both"/>
        <w:rPr>
          <w:rFonts w:ascii="Times New Roman" w:eastAsia="Times New Roman" w:hAnsi="Times New Roman" w:cs="Times New Roman"/>
          <w:sz w:val="24"/>
          <w:szCs w:val="24"/>
        </w:rPr>
      </w:pPr>
    </w:p>
    <w:p w:rsidR="005C2B71" w:rsidRDefault="005C2B71" w:rsidP="005C2B71">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Mediocres, logreros, lameculos, asomados diariamente al precipicio, con una mezcla de atonía, banalidad, y servilismo, que sirve de ruido de fondo, niegan cualquier alternativa (posibilidad) de acción transgresora, irreverente, indomable, transida de electricidad vital.</w:t>
      </w:r>
    </w:p>
    <w:p w:rsidR="005C2B71" w:rsidRDefault="005C2B71" w:rsidP="005C2B71">
      <w:pPr>
        <w:shd w:val="clear" w:color="auto" w:fill="FFFFFF"/>
        <w:spacing w:after="0" w:line="240" w:lineRule="auto"/>
        <w:jc w:val="both"/>
        <w:rPr>
          <w:rFonts w:ascii="Times New Roman" w:eastAsia="Times New Roman" w:hAnsi="Times New Roman" w:cs="Times New Roman"/>
          <w:sz w:val="24"/>
          <w:szCs w:val="24"/>
        </w:rPr>
      </w:pPr>
    </w:p>
    <w:p w:rsidR="005C2B71" w:rsidRDefault="005C2B71" w:rsidP="005C2B71">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Así y todo, las “locuras proteccionistas” de Donald Trump (difícilmente se verán en otra igual) le pueden permitir a los burócratas de la Unión Europea, coger al demonio por el rabo.</w:t>
      </w:r>
    </w:p>
    <w:p w:rsidR="00BA67EC" w:rsidRDefault="00BA67EC" w:rsidP="005C2B71">
      <w:pPr>
        <w:shd w:val="clear" w:color="auto" w:fill="FFFFFF"/>
        <w:spacing w:after="0" w:line="240" w:lineRule="auto"/>
        <w:jc w:val="both"/>
        <w:rPr>
          <w:rFonts w:ascii="Times New Roman" w:eastAsia="Times New Roman" w:hAnsi="Times New Roman" w:cs="Times New Roman"/>
          <w:sz w:val="24"/>
          <w:szCs w:val="24"/>
        </w:rPr>
      </w:pPr>
    </w:p>
    <w:p w:rsidR="00BA67EC" w:rsidRPr="00C527D6" w:rsidRDefault="00974F4A" w:rsidP="005C2B71">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¿Resolverá</w:t>
      </w:r>
      <w:r w:rsidR="00BA67EC">
        <w:rPr>
          <w:rFonts w:ascii="Times New Roman" w:eastAsia="Times New Roman" w:hAnsi="Times New Roman" w:cs="Times New Roman"/>
          <w:b/>
          <w:sz w:val="24"/>
          <w:szCs w:val="24"/>
        </w:rPr>
        <w:t xml:space="preserve"> alguna vez, la Unión Europea</w:t>
      </w:r>
      <w:r w:rsidR="00BA67EC" w:rsidRPr="004F5D0F">
        <w:rPr>
          <w:rFonts w:ascii="Times New Roman" w:eastAsia="Times New Roman" w:hAnsi="Times New Roman" w:cs="Times New Roman"/>
          <w:b/>
          <w:sz w:val="24"/>
          <w:szCs w:val="24"/>
        </w:rPr>
        <w:t>, hacerse “mayor”?</w:t>
      </w:r>
    </w:p>
    <w:p w:rsidR="00927863" w:rsidRDefault="005C2B71" w:rsidP="00927863">
      <w:pPr>
        <w:shd w:val="clear" w:color="auto" w:fill="FFFFFF"/>
        <w:spacing w:after="0" w:line="240" w:lineRule="auto"/>
        <w:jc w:val="both"/>
        <w:rPr>
          <w:rFonts w:ascii="Times New Roman" w:eastAsia="Times New Roman" w:hAnsi="Times New Roman" w:cs="Times New Roman"/>
          <w:sz w:val="24"/>
          <w:szCs w:val="24"/>
        </w:rPr>
      </w:pPr>
      <w:r>
        <w:rPr>
          <w:noProof/>
          <w:lang w:val="en-GB" w:eastAsia="en-GB"/>
        </w:rPr>
        <w:drawing>
          <wp:inline distT="0" distB="0" distL="0" distR="0">
            <wp:extent cx="3355041" cy="2245478"/>
            <wp:effectExtent l="0" t="0" r="0" b="2540"/>
            <wp:docPr id="2" name="Imagen 2" descr="https://e00-expansion.uecdn.es/assets/multimedia/imagenes/2019/09/30/15698298189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9/09/30/15698298189503.jp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9383" cy="2248384"/>
                    </a:xfrm>
                    <a:prstGeom prst="rect">
                      <a:avLst/>
                    </a:prstGeom>
                    <a:noFill/>
                    <a:ln>
                      <a:noFill/>
                    </a:ln>
                  </pic:spPr>
                </pic:pic>
              </a:graphicData>
            </a:graphic>
          </wp:inline>
        </w:drawing>
      </w:r>
    </w:p>
    <w:p w:rsidR="00927863" w:rsidRDefault="00927863" w:rsidP="00927863">
      <w:pPr>
        <w:shd w:val="clear" w:color="auto" w:fill="FFFFFF"/>
        <w:spacing w:after="0" w:line="240" w:lineRule="auto"/>
        <w:jc w:val="both"/>
        <w:rPr>
          <w:rFonts w:ascii="Times New Roman" w:eastAsia="Times New Roman" w:hAnsi="Times New Roman" w:cs="Times New Roman"/>
          <w:sz w:val="24"/>
          <w:szCs w:val="24"/>
        </w:rPr>
      </w:pPr>
      <w:r w:rsidRPr="00FB7D29">
        <w:rPr>
          <w:rFonts w:ascii="Times New Roman" w:eastAsia="Times New Roman" w:hAnsi="Times New Roman" w:cs="Times New Roman"/>
          <w:sz w:val="24"/>
          <w:szCs w:val="24"/>
        </w:rPr>
        <w:t>La conversación europea,</w:t>
      </w:r>
      <w:r>
        <w:rPr>
          <w:rFonts w:ascii="Times New Roman" w:eastAsia="Times New Roman" w:hAnsi="Times New Roman" w:cs="Times New Roman"/>
          <w:sz w:val="24"/>
          <w:szCs w:val="24"/>
        </w:rPr>
        <w:t xml:space="preserve"> el susurro político,</w:t>
      </w:r>
      <w:r w:rsidRPr="00FB7D29">
        <w:rPr>
          <w:rFonts w:ascii="Times New Roman" w:eastAsia="Times New Roman" w:hAnsi="Times New Roman" w:cs="Times New Roman"/>
          <w:sz w:val="24"/>
          <w:szCs w:val="24"/>
        </w:rPr>
        <w:t xml:space="preserve"> la intriga, </w:t>
      </w:r>
      <w:r>
        <w:rPr>
          <w:rFonts w:ascii="Times New Roman" w:eastAsia="Times New Roman" w:hAnsi="Times New Roman" w:cs="Times New Roman"/>
          <w:sz w:val="24"/>
          <w:szCs w:val="24"/>
        </w:rPr>
        <w:t>los diálogosin</w:t>
      </w:r>
      <w:r w:rsidRPr="00FB7D29">
        <w:rPr>
          <w:rFonts w:ascii="Times New Roman" w:eastAsia="Times New Roman" w:hAnsi="Times New Roman" w:cs="Times New Roman"/>
          <w:sz w:val="24"/>
          <w:szCs w:val="24"/>
        </w:rPr>
        <w:t>trascendentes</w:t>
      </w:r>
      <w:r>
        <w:rPr>
          <w:rFonts w:ascii="Times New Roman" w:eastAsia="Times New Roman" w:hAnsi="Times New Roman" w:cs="Times New Roman"/>
          <w:sz w:val="24"/>
          <w:szCs w:val="24"/>
        </w:rPr>
        <w:t>… gran parte de los fracasos recientes</w:t>
      </w:r>
      <w:r w:rsidRPr="00FB7D29">
        <w:rPr>
          <w:rFonts w:ascii="Times New Roman" w:eastAsia="Times New Roman" w:hAnsi="Times New Roman" w:cs="Times New Roman"/>
          <w:sz w:val="24"/>
          <w:szCs w:val="24"/>
        </w:rPr>
        <w:t xml:space="preserve"> se han produ</w:t>
      </w:r>
      <w:r>
        <w:rPr>
          <w:rFonts w:ascii="Times New Roman" w:eastAsia="Times New Roman" w:hAnsi="Times New Roman" w:cs="Times New Roman"/>
          <w:sz w:val="24"/>
          <w:szCs w:val="24"/>
        </w:rPr>
        <w:t xml:space="preserve">cido por la incapacidad de los dirigentes alemanes y franceses de asumir una realidad… </w:t>
      </w:r>
      <w:r w:rsidR="00020BA4">
        <w:rPr>
          <w:rFonts w:ascii="Times New Roman" w:eastAsia="Times New Roman" w:hAnsi="Times New Roman" w:cs="Times New Roman"/>
          <w:sz w:val="24"/>
          <w:szCs w:val="24"/>
        </w:rPr>
        <w:t>La UE tiene que ser</w:t>
      </w:r>
      <w:r w:rsidR="00020BA4" w:rsidRPr="00020BA4">
        <w:rPr>
          <w:rFonts w:ascii="Times New Roman" w:eastAsia="Times New Roman" w:hAnsi="Times New Roman" w:cs="Times New Roman"/>
          <w:sz w:val="24"/>
          <w:szCs w:val="24"/>
        </w:rPr>
        <w:t xml:space="preserve"> mucho más política, para lo bueno y para lo malo.</w:t>
      </w:r>
      <w:r w:rsidR="00020BA4">
        <w:rPr>
          <w:rFonts w:ascii="Times New Roman" w:eastAsia="Times New Roman" w:hAnsi="Times New Roman" w:cs="Times New Roman"/>
          <w:sz w:val="24"/>
          <w:szCs w:val="24"/>
        </w:rPr>
        <w:t xml:space="preserve"> La UE debe recuperar terreno, </w:t>
      </w:r>
      <w:r w:rsidR="00020BA4" w:rsidRPr="00FB7D29">
        <w:rPr>
          <w:rFonts w:ascii="Times New Roman" w:eastAsia="Times New Roman" w:hAnsi="Times New Roman" w:cs="Times New Roman"/>
          <w:sz w:val="24"/>
          <w:szCs w:val="24"/>
        </w:rPr>
        <w:t>sabe</w:t>
      </w:r>
      <w:r w:rsidR="00020BA4">
        <w:rPr>
          <w:rFonts w:ascii="Times New Roman" w:eastAsia="Times New Roman" w:hAnsi="Times New Roman" w:cs="Times New Roman"/>
          <w:sz w:val="24"/>
          <w:szCs w:val="24"/>
        </w:rPr>
        <w:t>r morder, y estar dispuesta</w:t>
      </w:r>
      <w:r w:rsidR="00020BA4" w:rsidRPr="00FB7D29">
        <w:rPr>
          <w:rFonts w:ascii="Times New Roman" w:eastAsia="Times New Roman" w:hAnsi="Times New Roman" w:cs="Times New Roman"/>
          <w:sz w:val="24"/>
          <w:szCs w:val="24"/>
        </w:rPr>
        <w:t xml:space="preserve"> a hacerlo.</w:t>
      </w:r>
    </w:p>
    <w:p w:rsidR="009B0981" w:rsidRDefault="009B0981" w:rsidP="005C2B71">
      <w:pPr>
        <w:shd w:val="clear" w:color="auto" w:fill="FFFFFF"/>
        <w:spacing w:after="0" w:line="240" w:lineRule="auto"/>
        <w:jc w:val="both"/>
        <w:rPr>
          <w:rFonts w:ascii="Times New Roman" w:eastAsia="Times New Roman" w:hAnsi="Times New Roman" w:cs="Times New Roman"/>
          <w:sz w:val="24"/>
          <w:szCs w:val="24"/>
        </w:rPr>
      </w:pPr>
    </w:p>
    <w:p w:rsidR="00C527D6" w:rsidRDefault="00C527D6" w:rsidP="005C2B71">
      <w:pPr>
        <w:shd w:val="clear" w:color="auto" w:fill="FFFFFF"/>
        <w:spacing w:after="0" w:line="240" w:lineRule="auto"/>
        <w:jc w:val="both"/>
        <w:rPr>
          <w:rFonts w:ascii="Times New Roman" w:eastAsia="Times New Roman" w:hAnsi="Times New Roman" w:cs="Times New Roman"/>
          <w:sz w:val="24"/>
          <w:szCs w:val="24"/>
        </w:rPr>
      </w:pPr>
      <w:r w:rsidRPr="00C527D6">
        <w:rPr>
          <w:rFonts w:ascii="Times New Roman" w:eastAsia="Times New Roman" w:hAnsi="Times New Roman" w:cs="Times New Roman"/>
          <w:sz w:val="24"/>
          <w:szCs w:val="24"/>
        </w:rPr>
        <w:t>¿Desde</w:t>
      </w:r>
      <w:r>
        <w:rPr>
          <w:rFonts w:ascii="Times New Roman" w:eastAsia="Times New Roman" w:hAnsi="Times New Roman" w:cs="Times New Roman"/>
          <w:sz w:val="24"/>
          <w:szCs w:val="24"/>
        </w:rPr>
        <w:t xml:space="preserve"> hace cuántos años EEUU, beneficia a Boeing, a través de sus centros de I&amp;D, adjudican</w:t>
      </w:r>
      <w:r w:rsidR="00927863">
        <w:rPr>
          <w:rFonts w:ascii="Times New Roman" w:eastAsia="Times New Roman" w:hAnsi="Times New Roman" w:cs="Times New Roman"/>
          <w:sz w:val="24"/>
          <w:szCs w:val="24"/>
        </w:rPr>
        <w:t>do compras públicas, o encubriendo</w:t>
      </w:r>
      <w:r>
        <w:rPr>
          <w:rFonts w:ascii="Times New Roman" w:eastAsia="Times New Roman" w:hAnsi="Times New Roman" w:cs="Times New Roman"/>
          <w:sz w:val="24"/>
          <w:szCs w:val="24"/>
        </w:rPr>
        <w:t xml:space="preserve"> fallos técnicos como el del 737 Max?</w:t>
      </w:r>
    </w:p>
    <w:p w:rsidR="00C527D6" w:rsidRDefault="00C527D6" w:rsidP="005C2B71">
      <w:pPr>
        <w:shd w:val="clear" w:color="auto" w:fill="FFFFFF"/>
        <w:spacing w:after="0" w:line="240" w:lineRule="auto"/>
        <w:jc w:val="both"/>
        <w:rPr>
          <w:rFonts w:ascii="Times New Roman" w:eastAsia="Times New Roman" w:hAnsi="Times New Roman" w:cs="Times New Roman"/>
          <w:sz w:val="24"/>
          <w:szCs w:val="24"/>
        </w:rPr>
      </w:pPr>
    </w:p>
    <w:p w:rsidR="00AB2094" w:rsidRDefault="00C527D6" w:rsidP="005C2B71">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qué</w:t>
      </w:r>
      <w:r w:rsidR="00AB2094">
        <w:rPr>
          <w:rFonts w:ascii="Times New Roman" w:eastAsia="Times New Roman" w:hAnsi="Times New Roman" w:cs="Times New Roman"/>
          <w:sz w:val="24"/>
          <w:szCs w:val="24"/>
        </w:rPr>
        <w:t xml:space="preserve"> Europa tolera</w:t>
      </w:r>
      <w:r>
        <w:rPr>
          <w:rFonts w:ascii="Times New Roman" w:eastAsia="Times New Roman" w:hAnsi="Times New Roman" w:cs="Times New Roman"/>
          <w:sz w:val="24"/>
          <w:szCs w:val="24"/>
        </w:rPr>
        <w:t xml:space="preserve"> ser pen</w:t>
      </w:r>
      <w:r w:rsidR="00AB2094">
        <w:rPr>
          <w:rFonts w:ascii="Times New Roman" w:eastAsia="Times New Roman" w:hAnsi="Times New Roman" w:cs="Times New Roman"/>
          <w:sz w:val="24"/>
          <w:szCs w:val="24"/>
        </w:rPr>
        <w:t>alizada por la OMC (Airbus) y no exige un trato recíproco?</w:t>
      </w:r>
    </w:p>
    <w:p w:rsidR="00AB2094" w:rsidRDefault="00AB2094" w:rsidP="005C2B71">
      <w:pPr>
        <w:shd w:val="clear" w:color="auto" w:fill="FFFFFF"/>
        <w:spacing w:after="0" w:line="240" w:lineRule="auto"/>
        <w:jc w:val="both"/>
        <w:rPr>
          <w:rFonts w:ascii="Times New Roman" w:eastAsia="Times New Roman" w:hAnsi="Times New Roman" w:cs="Times New Roman"/>
          <w:sz w:val="24"/>
          <w:szCs w:val="24"/>
        </w:rPr>
      </w:pPr>
    </w:p>
    <w:p w:rsidR="00AB2094" w:rsidRDefault="00AB2094" w:rsidP="005C2B71">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qué no se hace un escándalo con el “affaire” del Boeing 737 Max</w:t>
      </w:r>
      <w:r w:rsidR="009168B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y todavía colea el “dieselgate” de </w:t>
      </w:r>
      <w:r w:rsidRPr="00AB2094">
        <w:rPr>
          <w:rFonts w:ascii="Times New Roman" w:eastAsia="Times New Roman" w:hAnsi="Times New Roman" w:cs="Times New Roman"/>
          <w:sz w:val="24"/>
          <w:szCs w:val="24"/>
        </w:rPr>
        <w:t>Volkswagen</w:t>
      </w:r>
      <w:r>
        <w:rPr>
          <w:rFonts w:ascii="Times New Roman" w:eastAsia="Times New Roman" w:hAnsi="Times New Roman" w:cs="Times New Roman"/>
          <w:sz w:val="24"/>
          <w:szCs w:val="24"/>
        </w:rPr>
        <w:t xml:space="preserve">? </w:t>
      </w:r>
    </w:p>
    <w:p w:rsidR="00AB2094" w:rsidRDefault="00AB2094" w:rsidP="005C2B71">
      <w:pPr>
        <w:shd w:val="clear" w:color="auto" w:fill="FFFFFF"/>
        <w:spacing w:after="0" w:line="240" w:lineRule="auto"/>
        <w:jc w:val="both"/>
        <w:rPr>
          <w:rFonts w:ascii="Times New Roman" w:eastAsia="Times New Roman" w:hAnsi="Times New Roman" w:cs="Times New Roman"/>
          <w:sz w:val="24"/>
          <w:szCs w:val="24"/>
        </w:rPr>
      </w:pPr>
    </w:p>
    <w:p w:rsidR="00927863" w:rsidRDefault="00AB2094" w:rsidP="009B0981">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qué </w:t>
      </w:r>
      <w:r w:rsidR="009168B5">
        <w:rPr>
          <w:rFonts w:ascii="Times New Roman" w:eastAsia="Times New Roman" w:hAnsi="Times New Roman" w:cs="Times New Roman"/>
          <w:sz w:val="24"/>
          <w:szCs w:val="24"/>
        </w:rPr>
        <w:t>Alemania resuelve el</w:t>
      </w:r>
      <w:r>
        <w:rPr>
          <w:rFonts w:ascii="Times New Roman" w:eastAsia="Times New Roman" w:hAnsi="Times New Roman" w:cs="Times New Roman"/>
          <w:sz w:val="24"/>
          <w:szCs w:val="24"/>
        </w:rPr>
        <w:t xml:space="preserve"> cierre total de sus centrales nucleares (2022), mientras EEUU alarga a 80 años la vida útil de las suyas?</w:t>
      </w:r>
      <w:r w:rsidR="00332505">
        <w:rPr>
          <w:rFonts w:ascii="Times New Roman" w:eastAsia="Times New Roman" w:hAnsi="Times New Roman" w:cs="Times New Roman"/>
          <w:sz w:val="24"/>
          <w:szCs w:val="24"/>
        </w:rPr>
        <w:t xml:space="preserve">         Preguntas, sin respuesta: otro día en Europa…</w:t>
      </w:r>
    </w:p>
    <w:p w:rsidR="00732791" w:rsidRPr="00927863" w:rsidRDefault="00732791" w:rsidP="009B0981">
      <w:pPr>
        <w:shd w:val="clear" w:color="auto" w:fill="FFFFFF"/>
        <w:spacing w:after="0" w:line="240" w:lineRule="auto"/>
        <w:jc w:val="both"/>
        <w:rPr>
          <w:rFonts w:ascii="Times New Roman" w:eastAsia="Times New Roman" w:hAnsi="Times New Roman" w:cs="Times New Roman"/>
          <w:sz w:val="24"/>
          <w:szCs w:val="24"/>
        </w:rPr>
      </w:pPr>
      <w:r w:rsidRPr="009B0981">
        <w:rPr>
          <w:rFonts w:ascii="Times New Roman" w:hAnsi="Times New Roman" w:cs="Times New Roman"/>
          <w:b/>
          <w:sz w:val="24"/>
          <w:szCs w:val="24"/>
        </w:rPr>
        <w:lastRenderedPageBreak/>
        <w:t>-  Hora para la síntesis (¿demasiado tiempo? ¿demasiado tarde? ¿demasiado riesgo?)</w:t>
      </w:r>
    </w:p>
    <w:p w:rsidR="00732791" w:rsidRDefault="00732791" w:rsidP="00732791">
      <w:pPr>
        <w:pStyle w:val="Ttulo2"/>
        <w:spacing w:before="0"/>
        <w:jc w:val="both"/>
        <w:textAlignment w:val="baseline"/>
        <w:rPr>
          <w:color w:val="FF0000"/>
          <w:sz w:val="24"/>
          <w:szCs w:val="24"/>
        </w:rPr>
      </w:pPr>
      <w:r>
        <w:rPr>
          <w:noProof/>
          <w:lang w:val="en-GB" w:eastAsia="en-GB"/>
        </w:rPr>
        <w:drawing>
          <wp:inline distT="0" distB="0" distL="0" distR="0">
            <wp:extent cx="5731510" cy="3221990"/>
            <wp:effectExtent l="0" t="0" r="2540" b="0"/>
            <wp:docPr id="6" name="Imagen 6" descr="heart rat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art rate graph"/>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1990"/>
                    </a:xfrm>
                    <a:prstGeom prst="rect">
                      <a:avLst/>
                    </a:prstGeom>
                    <a:noFill/>
                    <a:ln>
                      <a:noFill/>
                    </a:ln>
                  </pic:spPr>
                </pic:pic>
              </a:graphicData>
            </a:graphic>
          </wp:inline>
        </w:drawing>
      </w:r>
    </w:p>
    <w:p w:rsidR="00732791" w:rsidRPr="000E0131" w:rsidRDefault="00732791" w:rsidP="00732791">
      <w:pPr>
        <w:spacing w:line="240" w:lineRule="auto"/>
        <w:jc w:val="both"/>
        <w:rPr>
          <w:rFonts w:ascii="Times New Roman" w:hAnsi="Times New Roman" w:cs="Times New Roman"/>
          <w:sz w:val="24"/>
          <w:szCs w:val="24"/>
        </w:rPr>
      </w:pPr>
      <w:r w:rsidRPr="000E0131">
        <w:rPr>
          <w:rFonts w:ascii="Times New Roman" w:hAnsi="Times New Roman" w:cs="Times New Roman"/>
          <w:sz w:val="24"/>
          <w:szCs w:val="24"/>
        </w:rPr>
        <w:t>Les h</w:t>
      </w:r>
      <w:r>
        <w:rPr>
          <w:rFonts w:ascii="Times New Roman" w:hAnsi="Times New Roman" w:cs="Times New Roman"/>
          <w:sz w:val="24"/>
          <w:szCs w:val="24"/>
        </w:rPr>
        <w:t>e presentado toda la información, datos estadísticos y opiniones destacadas, que he podido reunir</w:t>
      </w:r>
      <w:r w:rsidR="00810DC1">
        <w:rPr>
          <w:rFonts w:ascii="Times New Roman" w:hAnsi="Times New Roman" w:cs="Times New Roman"/>
          <w:sz w:val="24"/>
          <w:szCs w:val="24"/>
        </w:rPr>
        <w:t xml:space="preserve"> (ver </w:t>
      </w:r>
      <w:r w:rsidR="00810DC1" w:rsidRPr="008B4E7E">
        <w:rPr>
          <w:rFonts w:ascii="Times New Roman" w:hAnsi="Times New Roman" w:cs="Times New Roman"/>
          <w:b/>
          <w:sz w:val="24"/>
          <w:szCs w:val="24"/>
        </w:rPr>
        <w:t>Anexos</w:t>
      </w:r>
      <w:r w:rsidR="00810DC1">
        <w:rPr>
          <w:rFonts w:ascii="Times New Roman" w:hAnsi="Times New Roman" w:cs="Times New Roman"/>
          <w:sz w:val="24"/>
          <w:szCs w:val="24"/>
        </w:rPr>
        <w:t>)</w:t>
      </w:r>
      <w:r w:rsidRPr="000E0131">
        <w:rPr>
          <w:rFonts w:ascii="Times New Roman" w:hAnsi="Times New Roman" w:cs="Times New Roman"/>
          <w:sz w:val="24"/>
          <w:szCs w:val="24"/>
        </w:rPr>
        <w:t>, para que ustedes</w:t>
      </w:r>
      <w:r>
        <w:rPr>
          <w:rFonts w:ascii="Times New Roman" w:hAnsi="Times New Roman" w:cs="Times New Roman"/>
          <w:sz w:val="24"/>
          <w:szCs w:val="24"/>
        </w:rPr>
        <w:t xml:space="preserve"> mismos, puedan evaluar, si realmente E</w:t>
      </w:r>
      <w:r w:rsidRPr="000E0131">
        <w:rPr>
          <w:rFonts w:ascii="Times New Roman" w:hAnsi="Times New Roman" w:cs="Times New Roman"/>
          <w:sz w:val="24"/>
          <w:szCs w:val="24"/>
        </w:rPr>
        <w:t>uropa ha perdido el pulso</w:t>
      </w:r>
      <w:r>
        <w:rPr>
          <w:rFonts w:ascii="Times New Roman" w:hAnsi="Times New Roman" w:cs="Times New Roman"/>
          <w:sz w:val="24"/>
          <w:szCs w:val="24"/>
        </w:rPr>
        <w:t xml:space="preserve">, si sus dirigentes han hecho un </w:t>
      </w:r>
      <w:r w:rsidRPr="000E0131">
        <w:rPr>
          <w:rFonts w:ascii="Times New Roman" w:hAnsi="Times New Roman" w:cs="Times New Roman"/>
          <w:sz w:val="24"/>
          <w:szCs w:val="24"/>
        </w:rPr>
        <w:t>abandono temporal</w:t>
      </w:r>
      <w:r>
        <w:rPr>
          <w:rFonts w:ascii="Times New Roman" w:hAnsi="Times New Roman" w:cs="Times New Roman"/>
          <w:sz w:val="24"/>
          <w:szCs w:val="24"/>
        </w:rPr>
        <w:t xml:space="preserve"> o definitivo</w:t>
      </w:r>
      <w:r w:rsidRPr="000E0131">
        <w:rPr>
          <w:rFonts w:ascii="Times New Roman" w:hAnsi="Times New Roman" w:cs="Times New Roman"/>
          <w:sz w:val="24"/>
          <w:szCs w:val="24"/>
        </w:rPr>
        <w:t xml:space="preserve"> de</w:t>
      </w:r>
      <w:r>
        <w:rPr>
          <w:rFonts w:ascii="Times New Roman" w:hAnsi="Times New Roman" w:cs="Times New Roman"/>
          <w:sz w:val="24"/>
          <w:szCs w:val="24"/>
        </w:rPr>
        <w:t xml:space="preserve"> sus responsabilidades, si hay algunos políticos dispuestos a asumir los fracasos</w:t>
      </w:r>
      <w:r w:rsidRPr="00760A29">
        <w:rPr>
          <w:rFonts w:ascii="Times New Roman" w:hAnsi="Times New Roman" w:cs="Times New Roman"/>
          <w:sz w:val="24"/>
          <w:szCs w:val="24"/>
        </w:rPr>
        <w:t xml:space="preserve"> que deja</w:t>
      </w:r>
      <w:r>
        <w:rPr>
          <w:rFonts w:ascii="Times New Roman" w:hAnsi="Times New Roman" w:cs="Times New Roman"/>
          <w:sz w:val="24"/>
          <w:szCs w:val="24"/>
        </w:rPr>
        <w:t>n</w:t>
      </w:r>
      <w:r w:rsidRPr="00760A29">
        <w:rPr>
          <w:rFonts w:ascii="Times New Roman" w:hAnsi="Times New Roman" w:cs="Times New Roman"/>
          <w:sz w:val="24"/>
          <w:szCs w:val="24"/>
        </w:rPr>
        <w:t xml:space="preserve"> su trayectoria por los suelos y su f</w:t>
      </w:r>
      <w:r w:rsidR="00B148B1">
        <w:rPr>
          <w:rFonts w:ascii="Times New Roman" w:hAnsi="Times New Roman" w:cs="Times New Roman"/>
          <w:sz w:val="24"/>
          <w:szCs w:val="24"/>
        </w:rPr>
        <w:t>ama maltrecha, todo su cronología</w:t>
      </w:r>
      <w:r w:rsidRPr="00760A29">
        <w:rPr>
          <w:rFonts w:ascii="Times New Roman" w:hAnsi="Times New Roman" w:cs="Times New Roman"/>
          <w:sz w:val="24"/>
          <w:szCs w:val="24"/>
        </w:rPr>
        <w:t xml:space="preserve"> en en</w:t>
      </w:r>
      <w:r>
        <w:rPr>
          <w:rFonts w:ascii="Times New Roman" w:hAnsi="Times New Roman" w:cs="Times New Roman"/>
          <w:sz w:val="24"/>
          <w:szCs w:val="24"/>
        </w:rPr>
        <w:t xml:space="preserve">tredicho, a la espera de que la ciudadanía, los juzgados o la historia, </w:t>
      </w:r>
      <w:r w:rsidRPr="00760A29">
        <w:rPr>
          <w:rFonts w:ascii="Times New Roman" w:hAnsi="Times New Roman" w:cs="Times New Roman"/>
          <w:sz w:val="24"/>
          <w:szCs w:val="24"/>
        </w:rPr>
        <w:t>la emprend</w:t>
      </w:r>
      <w:r>
        <w:rPr>
          <w:rFonts w:ascii="Times New Roman" w:hAnsi="Times New Roman" w:cs="Times New Roman"/>
          <w:sz w:val="24"/>
          <w:szCs w:val="24"/>
        </w:rPr>
        <w:t xml:space="preserve">an con las consecuencias (económicas, sociales, cívicas, y penales) </w:t>
      </w:r>
      <w:r w:rsidRPr="00760A29">
        <w:rPr>
          <w:rFonts w:ascii="Times New Roman" w:hAnsi="Times New Roman" w:cs="Times New Roman"/>
          <w:sz w:val="24"/>
          <w:szCs w:val="24"/>
        </w:rPr>
        <w:t>que pueda</w:t>
      </w:r>
      <w:r>
        <w:rPr>
          <w:rFonts w:ascii="Times New Roman" w:hAnsi="Times New Roman" w:cs="Times New Roman"/>
          <w:sz w:val="24"/>
          <w:szCs w:val="24"/>
        </w:rPr>
        <w:t>n</w:t>
      </w:r>
      <w:r w:rsidRPr="00760A29">
        <w:rPr>
          <w:rFonts w:ascii="Times New Roman" w:hAnsi="Times New Roman" w:cs="Times New Roman"/>
          <w:sz w:val="24"/>
          <w:szCs w:val="24"/>
        </w:rPr>
        <w:t xml:space="preserve"> de</w:t>
      </w:r>
      <w:r>
        <w:rPr>
          <w:rFonts w:ascii="Times New Roman" w:hAnsi="Times New Roman" w:cs="Times New Roman"/>
          <w:sz w:val="24"/>
          <w:szCs w:val="24"/>
        </w:rPr>
        <w:t xml:space="preserve">rivarse del monumental descalabro.  </w:t>
      </w:r>
    </w:p>
    <w:p w:rsidR="00732791" w:rsidRPr="00F54F54" w:rsidRDefault="00732791" w:rsidP="00732791">
      <w:pPr>
        <w:pStyle w:val="Ttulo2"/>
        <w:spacing w:before="0"/>
        <w:jc w:val="both"/>
        <w:textAlignment w:val="baseline"/>
        <w:rPr>
          <w:rFonts w:ascii="Arial" w:hAnsi="Arial" w:cs="Arial"/>
          <w:b w:val="0"/>
          <w:bCs w:val="0"/>
          <w:sz w:val="17"/>
          <w:szCs w:val="17"/>
        </w:rPr>
      </w:pPr>
      <w:r w:rsidRPr="00F54F54">
        <w:rPr>
          <w:b w:val="0"/>
          <w:sz w:val="24"/>
          <w:szCs w:val="24"/>
          <w:u w:val="single"/>
        </w:rPr>
        <w:t>Los políticos actuales consideran que su sabia dirección vale para una cosa y la contraria.</w:t>
      </w:r>
    </w:p>
    <w:p w:rsidR="00732791" w:rsidRDefault="00732791" w:rsidP="00732791">
      <w:pPr>
        <w:spacing w:line="240" w:lineRule="auto"/>
        <w:jc w:val="both"/>
        <w:rPr>
          <w:rFonts w:ascii="Times New Roman" w:hAnsi="Times New Roman" w:cs="Times New Roman"/>
          <w:sz w:val="24"/>
          <w:szCs w:val="24"/>
        </w:rPr>
      </w:pPr>
      <w:r w:rsidRPr="00F54F54">
        <w:rPr>
          <w:rFonts w:ascii="Times New Roman" w:hAnsi="Times New Roman" w:cs="Times New Roman"/>
          <w:sz w:val="24"/>
          <w:szCs w:val="24"/>
        </w:rPr>
        <w:t>Nuestros políticos son cada vez peores, están peor instruidos y son lo opuesto a un estadista.</w:t>
      </w:r>
    </w:p>
    <w:p w:rsidR="00732791" w:rsidRPr="00F54F54" w:rsidRDefault="00732791" w:rsidP="00732791">
      <w:pPr>
        <w:spacing w:line="240" w:lineRule="auto"/>
        <w:jc w:val="both"/>
        <w:rPr>
          <w:rFonts w:ascii="Times New Roman" w:hAnsi="Times New Roman" w:cs="Times New Roman"/>
          <w:sz w:val="24"/>
          <w:szCs w:val="24"/>
        </w:rPr>
      </w:pPr>
      <w:r w:rsidRPr="00F54F54">
        <w:rPr>
          <w:rFonts w:ascii="Times New Roman" w:hAnsi="Times New Roman" w:cs="Times New Roman"/>
          <w:i/>
          <w:sz w:val="24"/>
          <w:szCs w:val="24"/>
        </w:rPr>
        <w:t>“¿Qué esperamos agrupados en el foro? / Hoy vienen los bárbaros. / ¿Por qué inactivo está el Senado / e inmóviles los legisladores no legislan? / Porque hoy llegan los bárbaros”.</w:t>
      </w:r>
      <w:r w:rsidRPr="00F54F54">
        <w:rPr>
          <w:rFonts w:ascii="Times New Roman" w:hAnsi="Times New Roman" w:cs="Times New Roman"/>
          <w:sz w:val="24"/>
          <w:szCs w:val="24"/>
        </w:rPr>
        <w:t xml:space="preserve"> Ya lo advirtió Kavafis, y lo repite a coro la sagrada cohorte de los demóscopos. Una nube de negros avisos nos abruman. Es un movimiento imparable, una ola sin freno.</w:t>
      </w:r>
    </w:p>
    <w:p w:rsidR="00732791" w:rsidRPr="00F54F54" w:rsidRDefault="00732791" w:rsidP="00732791">
      <w:pPr>
        <w:spacing w:line="240" w:lineRule="auto"/>
        <w:jc w:val="both"/>
        <w:rPr>
          <w:rFonts w:ascii="Times New Roman" w:hAnsi="Times New Roman" w:cs="Times New Roman"/>
          <w:sz w:val="24"/>
          <w:szCs w:val="24"/>
        </w:rPr>
      </w:pPr>
      <w:r w:rsidRPr="00F54F54">
        <w:rPr>
          <w:rFonts w:ascii="Times New Roman" w:hAnsi="Times New Roman" w:cs="Times New Roman"/>
          <w:sz w:val="24"/>
          <w:szCs w:val="24"/>
        </w:rPr>
        <w:t>Palabras que no se mencionan pero que se piensan.</w:t>
      </w:r>
    </w:p>
    <w:p w:rsidR="00732791" w:rsidRPr="00F54F54" w:rsidRDefault="00732791" w:rsidP="00732791">
      <w:pPr>
        <w:spacing w:line="240" w:lineRule="auto"/>
        <w:jc w:val="both"/>
        <w:rPr>
          <w:rFonts w:ascii="Times New Roman" w:hAnsi="Times New Roman" w:cs="Times New Roman"/>
          <w:sz w:val="24"/>
          <w:szCs w:val="24"/>
        </w:rPr>
      </w:pPr>
      <w:r w:rsidRPr="00F54F54">
        <w:rPr>
          <w:rFonts w:ascii="Times New Roman" w:hAnsi="Times New Roman" w:cs="Times New Roman"/>
          <w:sz w:val="24"/>
          <w:szCs w:val="24"/>
        </w:rPr>
        <w:t>O Alemania cede, que no, y Francia se reforma, que tampoco, e Italia se organiza, casi imposible, o España deja de perder energía por rozamiento interno, una utopía, de momento… O todos a seguir piando: “Que vienen los bárbaros”.</w:t>
      </w:r>
    </w:p>
    <w:p w:rsidR="00732791" w:rsidRPr="00F54F54" w:rsidRDefault="00732791" w:rsidP="00732791">
      <w:pPr>
        <w:spacing w:line="240" w:lineRule="auto"/>
        <w:jc w:val="both"/>
        <w:rPr>
          <w:rFonts w:ascii="Times New Roman" w:hAnsi="Times New Roman" w:cs="Times New Roman"/>
          <w:sz w:val="24"/>
          <w:szCs w:val="24"/>
        </w:rPr>
      </w:pPr>
      <w:r w:rsidRPr="00F54F54">
        <w:rPr>
          <w:rFonts w:ascii="Times New Roman" w:hAnsi="Times New Roman" w:cs="Times New Roman"/>
          <w:sz w:val="24"/>
          <w:szCs w:val="24"/>
        </w:rPr>
        <w:t xml:space="preserve">Patada a seguir para que los bárbaros no vuelvan, al menos de momento. </w:t>
      </w:r>
      <w:r w:rsidRPr="00F54F54">
        <w:rPr>
          <w:rFonts w:ascii="Times New Roman" w:hAnsi="Times New Roman" w:cs="Times New Roman"/>
          <w:i/>
          <w:sz w:val="24"/>
          <w:szCs w:val="24"/>
        </w:rPr>
        <w:t>“¿Por qué vacía la multitud calles y plazas, / y sombría regresa a las moradas? / Porque la noche cae y no llegan los bárbaros”.</w:t>
      </w:r>
      <w:r w:rsidRPr="00F54F54">
        <w:rPr>
          <w:rFonts w:ascii="Times New Roman" w:hAnsi="Times New Roman" w:cs="Times New Roman"/>
          <w:sz w:val="24"/>
          <w:szCs w:val="24"/>
        </w:rPr>
        <w:t xml:space="preserve"> En el poema de Kavafis, la horda feroz, tan anunciada y temida, nunca acaba de llegar. No explica los motivos. También entonces, los augures fallaron.</w:t>
      </w:r>
    </w:p>
    <w:p w:rsidR="00732791" w:rsidRPr="00F54F54" w:rsidRDefault="00732791" w:rsidP="00732791">
      <w:pPr>
        <w:spacing w:line="240" w:lineRule="auto"/>
        <w:jc w:val="both"/>
        <w:rPr>
          <w:rFonts w:ascii="Times New Roman" w:hAnsi="Times New Roman" w:cs="Times New Roman"/>
          <w:sz w:val="24"/>
          <w:szCs w:val="24"/>
        </w:rPr>
      </w:pPr>
      <w:r w:rsidRPr="00F54F54">
        <w:rPr>
          <w:rFonts w:ascii="Times New Roman" w:hAnsi="Times New Roman" w:cs="Times New Roman"/>
          <w:sz w:val="24"/>
          <w:szCs w:val="24"/>
        </w:rPr>
        <w:t xml:space="preserve">En la naturaleza todo es duda, dice Protágoras: </w:t>
      </w:r>
      <w:r w:rsidRPr="00F54F54">
        <w:rPr>
          <w:rFonts w:ascii="Times New Roman" w:hAnsi="Times New Roman" w:cs="Times New Roman"/>
          <w:i/>
          <w:sz w:val="24"/>
          <w:szCs w:val="24"/>
        </w:rPr>
        <w:t>“Puede discutirse por igual de cualquier cosa, e incluso de esto, de si puede discutirse de cualquier cosa”.</w:t>
      </w:r>
    </w:p>
    <w:p w:rsidR="00732791" w:rsidRDefault="00732791" w:rsidP="00732791">
      <w:pPr>
        <w:spacing w:line="240" w:lineRule="auto"/>
        <w:jc w:val="both"/>
        <w:rPr>
          <w:rFonts w:ascii="Times New Roman" w:hAnsi="Times New Roman" w:cs="Times New Roman"/>
          <w:sz w:val="24"/>
          <w:szCs w:val="24"/>
        </w:rPr>
      </w:pPr>
      <w:r w:rsidRPr="00F54F54">
        <w:rPr>
          <w:rFonts w:ascii="Times New Roman" w:hAnsi="Times New Roman" w:cs="Times New Roman"/>
          <w:sz w:val="24"/>
          <w:szCs w:val="24"/>
        </w:rPr>
        <w:lastRenderedPageBreak/>
        <w:t>En la clásica obra de Christopher Marlowe Doctor Fausto (1592), el personaje del título le pregunta a Mefistófeles qué hace un demonio en su cuarto y no en el infierno. “Cómo, si aquí lo es”, responde Mefistófeles, “no estoy fuera de él”. Igual de abarcadora era la propia concepción del ateísta Jean-Paul Sartre: “El infierno son los otros”.</w:t>
      </w:r>
    </w:p>
    <w:p w:rsidR="00732791" w:rsidRDefault="00732791" w:rsidP="00732791">
      <w:pPr>
        <w:spacing w:line="240" w:lineRule="auto"/>
        <w:jc w:val="both"/>
        <w:rPr>
          <w:rFonts w:ascii="Times New Roman" w:hAnsi="Times New Roman" w:cs="Times New Roman"/>
          <w:sz w:val="24"/>
          <w:szCs w:val="24"/>
        </w:rPr>
      </w:pPr>
      <w:r w:rsidRPr="005D1DA4">
        <w:rPr>
          <w:rFonts w:ascii="Times New Roman" w:hAnsi="Times New Roman" w:cs="Times New Roman"/>
          <w:sz w:val="24"/>
          <w:szCs w:val="24"/>
        </w:rPr>
        <w:t>Advertidos quedan: que vienen los bárbaros.</w:t>
      </w:r>
    </w:p>
    <w:p w:rsidR="00732791"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Entonces al final, </w:t>
      </w:r>
      <w:r w:rsidR="00B148B1">
        <w:rPr>
          <w:rFonts w:ascii="Times New Roman" w:hAnsi="Times New Roman" w:cs="Times New Roman"/>
          <w:sz w:val="24"/>
          <w:szCs w:val="24"/>
        </w:rPr>
        <w:t>¿</w:t>
      </w:r>
      <w:r>
        <w:rPr>
          <w:rFonts w:ascii="Times New Roman" w:hAnsi="Times New Roman" w:cs="Times New Roman"/>
          <w:sz w:val="24"/>
          <w:szCs w:val="24"/>
        </w:rPr>
        <w:t>cuál es el problema</w:t>
      </w:r>
      <w:r w:rsidR="00B148B1">
        <w:rPr>
          <w:rFonts w:ascii="Times New Roman" w:hAnsi="Times New Roman" w:cs="Times New Roman"/>
          <w:sz w:val="24"/>
          <w:szCs w:val="24"/>
        </w:rPr>
        <w:t>?</w:t>
      </w:r>
      <w:r>
        <w:rPr>
          <w:rFonts w:ascii="Times New Roman" w:hAnsi="Times New Roman" w:cs="Times New Roman"/>
          <w:sz w:val="24"/>
          <w:szCs w:val="24"/>
        </w:rPr>
        <w:t xml:space="preserve"> (en mi opinión)</w:t>
      </w:r>
      <w:r w:rsidRPr="00100BAE">
        <w:rPr>
          <w:rFonts w:ascii="Times New Roman" w:hAnsi="Times New Roman" w:cs="Times New Roman"/>
          <w:sz w:val="24"/>
          <w:szCs w:val="24"/>
        </w:rPr>
        <w:t>: si hemos progresado hasta hoy, no tiene sentido pensar que justo ahora vamos a empezar a retroceder. Pero, ¿y si el progreso increíble que ha vivido el mundo desde el fin de la Segunda Guerra Mundial ha sido una excepción, una anomalía, como defienden los pensadores pesimistas? ¿Y si la naturaleza humana es indomablemente divisiva? Si fuera así, ¿no cometemos un grave error al despreciar la posibilidad de que el planeta esté entrando en una nueva edad osc</w:t>
      </w:r>
      <w:r>
        <w:rPr>
          <w:rFonts w:ascii="Times New Roman" w:hAnsi="Times New Roman" w:cs="Times New Roman"/>
          <w:sz w:val="24"/>
          <w:szCs w:val="24"/>
        </w:rPr>
        <w:t>ura y no prepararnos para ello?</w:t>
      </w:r>
    </w:p>
    <w:p w:rsidR="00732791" w:rsidRDefault="00732791" w:rsidP="00732791">
      <w:pPr>
        <w:spacing w:line="240" w:lineRule="auto"/>
        <w:jc w:val="both"/>
        <w:rPr>
          <w:rFonts w:ascii="Times New Roman" w:hAnsi="Times New Roman" w:cs="Times New Roman"/>
          <w:sz w:val="24"/>
          <w:szCs w:val="24"/>
        </w:rPr>
      </w:pPr>
      <w:r w:rsidRPr="006344C3">
        <w:rPr>
          <w:rFonts w:ascii="Times New Roman" w:hAnsi="Times New Roman" w:cs="Times New Roman"/>
          <w:sz w:val="24"/>
          <w:szCs w:val="24"/>
        </w:rPr>
        <w:t xml:space="preserve">Jonathan Haidt (Nueva York, 1963), autor junto con Greg Lukianoff (Nueva York, 1974) del libro “La transformación de la mente moderna” (Deusto), nos da algunas pistas al respecto: </w:t>
      </w:r>
      <w:r w:rsidRPr="005D1DA4">
        <w:rPr>
          <w:rFonts w:ascii="Times New Roman" w:hAnsi="Times New Roman" w:cs="Times New Roman"/>
          <w:i/>
          <w:sz w:val="24"/>
          <w:szCs w:val="24"/>
        </w:rPr>
        <w:t>“soy muy pesimista acerca de las perspectivas de la democracia dada la naturaleza de lo que se han convertido las redes sociales. Si alguien odiase la democracia liberal occidental podría diseñar algo parecido a las redes sociales para destruirla. Para amplificar el conflicto, el tribalismo y el razonamiento motivado, para destruir lo que necesita la democracia para vivir. A saber, un grado de confianza en las instituciones, entre los unos y los otros y un espacio consensuado y compartido en el que poder trabajar nuestras diferencias. Sin esas cosas, creo que las perspectivas de la democracia no pueden ser optimistas”…</w:t>
      </w:r>
    </w:p>
    <w:p w:rsidR="00732791" w:rsidRPr="005173F8" w:rsidRDefault="00732791" w:rsidP="00732791">
      <w:pPr>
        <w:spacing w:line="240" w:lineRule="auto"/>
        <w:jc w:val="both"/>
        <w:rPr>
          <w:rFonts w:ascii="Times New Roman" w:hAnsi="Times New Roman" w:cs="Times New Roman"/>
          <w:b/>
          <w:sz w:val="24"/>
          <w:szCs w:val="24"/>
          <w:shd w:val="clear" w:color="auto" w:fill="EEF0EF"/>
        </w:rPr>
      </w:pPr>
      <w:r w:rsidRPr="005173F8">
        <w:rPr>
          <w:rFonts w:ascii="Times New Roman" w:hAnsi="Times New Roman" w:cs="Times New Roman"/>
          <w:b/>
          <w:sz w:val="24"/>
          <w:szCs w:val="24"/>
        </w:rPr>
        <w:t xml:space="preserve">Nada de esto es una ciencia, pero </w:t>
      </w:r>
      <w:r w:rsidRPr="005173F8">
        <w:rPr>
          <w:rFonts w:ascii="Times New Roman" w:hAnsi="Times New Roman" w:cs="Times New Roman"/>
          <w:b/>
          <w:sz w:val="24"/>
          <w:szCs w:val="24"/>
          <w:shd w:val="clear" w:color="auto" w:fill="EEF0EF"/>
        </w:rPr>
        <w:t>“advertidos” quedan: que vienen los bárbaros.</w:t>
      </w:r>
    </w:p>
    <w:p w:rsidR="00732791" w:rsidRDefault="00732791" w:rsidP="00732791">
      <w:pPr>
        <w:spacing w:line="240" w:lineRule="auto"/>
        <w:jc w:val="both"/>
        <w:rPr>
          <w:rFonts w:ascii="Times New Roman" w:hAnsi="Times New Roman" w:cs="Times New Roman"/>
          <w:b/>
          <w:sz w:val="24"/>
          <w:szCs w:val="24"/>
        </w:rPr>
      </w:pPr>
      <w:r w:rsidRPr="005173F8">
        <w:rPr>
          <w:rFonts w:ascii="Times New Roman" w:hAnsi="Times New Roman" w:cs="Times New Roman"/>
          <w:b/>
          <w:sz w:val="24"/>
          <w:szCs w:val="24"/>
        </w:rPr>
        <w:t>Mark Twain bromeó, alguna vez, diciendo que “la historia no se repite, pero muchas veces rima”. Ahora bien, en este caso, repetición parece ser la palabra correcta.</w:t>
      </w:r>
    </w:p>
    <w:p w:rsidR="00732791" w:rsidRDefault="00732791" w:rsidP="00732791">
      <w:pPr>
        <w:pStyle w:val="Ttulo2"/>
        <w:spacing w:before="0"/>
        <w:jc w:val="both"/>
        <w:textAlignment w:val="baseline"/>
        <w:rPr>
          <w:b w:val="0"/>
          <w:sz w:val="24"/>
          <w:szCs w:val="24"/>
          <w:u w:val="single"/>
        </w:rPr>
      </w:pPr>
      <w:r w:rsidRPr="005D1DA4">
        <w:rPr>
          <w:b w:val="0"/>
          <w:sz w:val="24"/>
          <w:szCs w:val="24"/>
          <w:u w:val="single"/>
        </w:rPr>
        <w:t>¿Demasiado tiempo? ¿demasiado tarde? ¿demasiado riesgo?</w:t>
      </w:r>
    </w:p>
    <w:p w:rsidR="00732791" w:rsidRDefault="00732791" w:rsidP="00732791">
      <w:pPr>
        <w:pStyle w:val="Ttulo2"/>
        <w:spacing w:before="0"/>
        <w:jc w:val="both"/>
        <w:textAlignment w:val="baseline"/>
        <w:rPr>
          <w:b w:val="0"/>
          <w:sz w:val="24"/>
          <w:szCs w:val="24"/>
        </w:rPr>
      </w:pPr>
      <w:r>
        <w:rPr>
          <w:b w:val="0"/>
          <w:sz w:val="24"/>
          <w:szCs w:val="24"/>
        </w:rPr>
        <w:t xml:space="preserve">A las autoridades europeas les diría que los ciudadanos no esperamos de ellas, que </w:t>
      </w:r>
      <w:r w:rsidR="007D67F3">
        <w:rPr>
          <w:b w:val="0"/>
          <w:sz w:val="24"/>
          <w:szCs w:val="24"/>
        </w:rPr>
        <w:t>jueguen</w:t>
      </w:r>
      <w:r>
        <w:rPr>
          <w:b w:val="0"/>
          <w:sz w:val="24"/>
          <w:szCs w:val="24"/>
        </w:rPr>
        <w:t xml:space="preserve"> a ser Dios, pero tampoco deseamos que actúen como Judas. Tal vez, solo le pidamos que salgan a la calle, caminen entre la gente, tomen el bus o el metro, vayan a clase en un colegio público, esperen ser atendidos en un hospital público, visiten una fábrica en la que estén haciendo una regulación de empleo, pasen una mañana en una oficina de empleo, hagan la compra diaria en algún mercado, intenten vivir un mes con el salario medio, hagan un plan de vida con un ahorro en el banco, equivalente a dos sueldos promedio… </w:t>
      </w:r>
    </w:p>
    <w:p w:rsidR="00732791" w:rsidRDefault="00732791" w:rsidP="00732791">
      <w:pPr>
        <w:pStyle w:val="Ttulo2"/>
        <w:spacing w:before="0"/>
        <w:jc w:val="both"/>
        <w:textAlignment w:val="baseline"/>
        <w:rPr>
          <w:b w:val="0"/>
          <w:sz w:val="24"/>
          <w:szCs w:val="24"/>
        </w:rPr>
      </w:pPr>
      <w:r>
        <w:rPr>
          <w:b w:val="0"/>
          <w:sz w:val="24"/>
          <w:szCs w:val="24"/>
        </w:rPr>
        <w:t>En fin, intenten vivir unos días, como un ciudadano europeo com</w:t>
      </w:r>
      <w:r w:rsidR="00810DC1">
        <w:rPr>
          <w:b w:val="0"/>
          <w:sz w:val="24"/>
          <w:szCs w:val="24"/>
        </w:rPr>
        <w:t>ún (no se necesita más) y despué</w:t>
      </w:r>
      <w:r>
        <w:rPr>
          <w:b w:val="0"/>
          <w:sz w:val="24"/>
          <w:szCs w:val="24"/>
        </w:rPr>
        <w:t xml:space="preserve">s, con arrepentimiento y propósito de enmienda, revisen vuestros modelos, algoritmos, dogmas, mantras, alquimias y otras masturbaciones numéricas, con la que formulan sus planes. Tal vez, si aprenden que con las cosas de comer, no se juega, se dejen de jugar con la vida, el trabajo, y el futuro de los demás. </w:t>
      </w:r>
    </w:p>
    <w:p w:rsidR="00732791" w:rsidRPr="005D1DA4" w:rsidRDefault="00732791" w:rsidP="00732791">
      <w:pPr>
        <w:pStyle w:val="Ttulo2"/>
        <w:spacing w:before="0"/>
        <w:jc w:val="both"/>
        <w:textAlignment w:val="baseline"/>
        <w:rPr>
          <w:b w:val="0"/>
          <w:sz w:val="24"/>
          <w:szCs w:val="24"/>
        </w:rPr>
      </w:pPr>
      <w:r>
        <w:rPr>
          <w:b w:val="0"/>
          <w:sz w:val="24"/>
          <w:szCs w:val="24"/>
        </w:rPr>
        <w:t xml:space="preserve">Es cuestión de levantarse de la poltrona, ir más allá de los pisos alfombrados, bajarse del coche oficial, dejar un momento de hablar por el móvil, aflojarse la corbata, quitarse la chaqueta… y salir a la calle, hablar con la gente, mirarla a los ojos, empatizar con ellos. Ya verán </w:t>
      </w:r>
      <w:r w:rsidR="007D67F3">
        <w:rPr>
          <w:b w:val="0"/>
          <w:sz w:val="24"/>
          <w:szCs w:val="24"/>
        </w:rPr>
        <w:t>cómo</w:t>
      </w:r>
      <w:r>
        <w:rPr>
          <w:b w:val="0"/>
          <w:sz w:val="24"/>
          <w:szCs w:val="24"/>
        </w:rPr>
        <w:t xml:space="preserve"> cambian de óptica… Recuerden: el </w:t>
      </w:r>
      <w:r w:rsidR="007D67F3">
        <w:rPr>
          <w:b w:val="0"/>
          <w:sz w:val="24"/>
          <w:szCs w:val="24"/>
        </w:rPr>
        <w:t>ciudadano</w:t>
      </w:r>
      <w:r>
        <w:rPr>
          <w:b w:val="0"/>
          <w:sz w:val="24"/>
          <w:szCs w:val="24"/>
        </w:rPr>
        <w:t xml:space="preserve"> europeo existe, vota y… bota</w:t>
      </w:r>
      <w:r w:rsidR="007D67F3">
        <w:rPr>
          <w:b w:val="0"/>
          <w:sz w:val="24"/>
          <w:szCs w:val="24"/>
        </w:rPr>
        <w:t>(rá</w:t>
      </w:r>
      <w:r w:rsidR="00810DC1">
        <w:rPr>
          <w:b w:val="0"/>
          <w:sz w:val="24"/>
          <w:szCs w:val="24"/>
        </w:rPr>
        <w:t>)</w:t>
      </w:r>
      <w:r>
        <w:rPr>
          <w:b w:val="0"/>
          <w:sz w:val="24"/>
          <w:szCs w:val="24"/>
        </w:rPr>
        <w:t xml:space="preserve">.   </w:t>
      </w:r>
    </w:p>
    <w:p w:rsidR="00732791" w:rsidRPr="005173F8" w:rsidRDefault="00732791" w:rsidP="0073279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5173F8">
        <w:rPr>
          <w:rFonts w:ascii="Times New Roman" w:hAnsi="Times New Roman" w:cs="Times New Roman"/>
          <w:b/>
          <w:sz w:val="24"/>
          <w:szCs w:val="24"/>
        </w:rPr>
        <w:t>Remembranzas: Una propuesta de cabotaje (si lo permiten, casi una pecatta minuta)</w:t>
      </w:r>
    </w:p>
    <w:p w:rsidR="00732791" w:rsidRDefault="00732791" w:rsidP="00732791">
      <w:pPr>
        <w:spacing w:line="240" w:lineRule="auto"/>
        <w:jc w:val="both"/>
        <w:rPr>
          <w:rFonts w:ascii="Times New Roman" w:hAnsi="Times New Roman" w:cs="Times New Roman"/>
          <w:color w:val="FF0000"/>
          <w:sz w:val="24"/>
          <w:szCs w:val="24"/>
          <w:shd w:val="clear" w:color="auto" w:fill="EEF0EF"/>
        </w:rPr>
      </w:pPr>
      <w:r>
        <w:rPr>
          <w:noProof/>
          <w:lang w:val="en-GB" w:eastAsia="en-GB"/>
        </w:rPr>
        <w:drawing>
          <wp:inline distT="0" distB="0" distL="0" distR="0">
            <wp:extent cx="5725583" cy="2781300"/>
            <wp:effectExtent l="0" t="0" r="8890" b="0"/>
            <wp:docPr id="65" name="Imagen 65" descr="aguantar-flecha-resiste-bolsa-dreamstime-770x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antar-flecha-resiste-bolsa-dreamstime-770x420.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84179"/>
                    </a:xfrm>
                    <a:prstGeom prst="rect">
                      <a:avLst/>
                    </a:prstGeom>
                    <a:noFill/>
                    <a:ln>
                      <a:noFill/>
                    </a:ln>
                  </pic:spPr>
                </pic:pic>
              </a:graphicData>
            </a:graphic>
          </wp:inline>
        </w:drawing>
      </w:r>
    </w:p>
    <w:p w:rsidR="00732791" w:rsidRDefault="00732791" w:rsidP="00732791">
      <w:pPr>
        <w:spacing w:line="240" w:lineRule="auto"/>
        <w:jc w:val="both"/>
        <w:rPr>
          <w:rFonts w:ascii="Times New Roman" w:hAnsi="Times New Roman" w:cs="Times New Roman"/>
          <w:sz w:val="24"/>
          <w:szCs w:val="24"/>
        </w:rPr>
      </w:pPr>
      <w:r w:rsidRPr="00C10146">
        <w:rPr>
          <w:rFonts w:ascii="Times New Roman" w:hAnsi="Times New Roman" w:cs="Times New Roman"/>
          <w:sz w:val="24"/>
          <w:szCs w:val="24"/>
        </w:rPr>
        <w:t>Ser</w:t>
      </w:r>
      <w:r>
        <w:rPr>
          <w:rFonts w:ascii="Times New Roman" w:hAnsi="Times New Roman" w:cs="Times New Roman"/>
          <w:sz w:val="24"/>
          <w:szCs w:val="24"/>
        </w:rPr>
        <w:t xml:space="preserve"> un </w:t>
      </w:r>
      <w:r w:rsidRPr="00C10146">
        <w:rPr>
          <w:rFonts w:ascii="Times New Roman" w:hAnsi="Times New Roman" w:cs="Times New Roman"/>
          <w:sz w:val="24"/>
          <w:szCs w:val="24"/>
        </w:rPr>
        <w:t>viejo</w:t>
      </w:r>
      <w:r>
        <w:rPr>
          <w:rFonts w:ascii="Times New Roman" w:hAnsi="Times New Roman" w:cs="Times New Roman"/>
          <w:sz w:val="24"/>
          <w:szCs w:val="24"/>
        </w:rPr>
        <w:t>,es lamentable, y ser un viejo “boludo” es patético. Esperando entrar solo en la primera categoría (inevitable), y que ustedes no me califiq</w:t>
      </w:r>
      <w:r w:rsidR="00B148B1">
        <w:rPr>
          <w:rFonts w:ascii="Times New Roman" w:hAnsi="Times New Roman" w:cs="Times New Roman"/>
          <w:sz w:val="24"/>
          <w:szCs w:val="24"/>
        </w:rPr>
        <w:t>uen de lo segundo (después del</w:t>
      </w:r>
      <w:r w:rsidR="007D67F3">
        <w:rPr>
          <w:rFonts w:ascii="Times New Roman" w:hAnsi="Times New Roman" w:cs="Times New Roman"/>
          <w:sz w:val="24"/>
          <w:szCs w:val="24"/>
        </w:rPr>
        <w:t>examen</w:t>
      </w:r>
      <w:r>
        <w:rPr>
          <w:rFonts w:ascii="Times New Roman" w:hAnsi="Times New Roman" w:cs="Times New Roman"/>
          <w:sz w:val="24"/>
          <w:szCs w:val="24"/>
        </w:rPr>
        <w:t xml:space="preserve">), les diría que el único valor que rescato de haber vivido muchos años son los recuerdos. Aquello que hemos aprendido, mientras el tiempo pasa. La experiencia de vida. La memoria. Saber dónde está la piedra, para no tropezar de nuevo. Conocer la corriente del río. </w:t>
      </w:r>
    </w:p>
    <w:p w:rsidR="00732791"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riesgo de que califiquen el relato como “batallitas del abuelo”, quiero utilizar mi experiencia vital (profesional y laboral) en Sudamérica, para comentar el comportamiento de Paraguay (papel que </w:t>
      </w:r>
      <w:r w:rsidR="00B148B1">
        <w:rPr>
          <w:rFonts w:ascii="Times New Roman" w:hAnsi="Times New Roman" w:cs="Times New Roman"/>
          <w:sz w:val="24"/>
          <w:szCs w:val="24"/>
        </w:rPr>
        <w:t>asimilo</w:t>
      </w:r>
      <w:r>
        <w:rPr>
          <w:rFonts w:ascii="Times New Roman" w:hAnsi="Times New Roman" w:cs="Times New Roman"/>
          <w:sz w:val="24"/>
          <w:szCs w:val="24"/>
        </w:rPr>
        <w:t xml:space="preserve"> a la UE), con respe</w:t>
      </w:r>
      <w:r w:rsidR="00B148B1">
        <w:rPr>
          <w:rFonts w:ascii="Times New Roman" w:hAnsi="Times New Roman" w:cs="Times New Roman"/>
          <w:sz w:val="24"/>
          <w:szCs w:val="24"/>
        </w:rPr>
        <w:t>cto de Brasil (papel que asimilo</w:t>
      </w:r>
      <w:r>
        <w:rPr>
          <w:rFonts w:ascii="Times New Roman" w:hAnsi="Times New Roman" w:cs="Times New Roman"/>
          <w:sz w:val="24"/>
          <w:szCs w:val="24"/>
        </w:rPr>
        <w:t xml:space="preserve"> a China</w:t>
      </w:r>
      <w:r w:rsidR="00B148B1">
        <w:rPr>
          <w:rFonts w:ascii="Times New Roman" w:hAnsi="Times New Roman" w:cs="Times New Roman"/>
          <w:sz w:val="24"/>
          <w:szCs w:val="24"/>
        </w:rPr>
        <w:t>) y Argentina (papel que asimilo</w:t>
      </w:r>
      <w:r>
        <w:rPr>
          <w:rFonts w:ascii="Times New Roman" w:hAnsi="Times New Roman" w:cs="Times New Roman"/>
          <w:sz w:val="24"/>
          <w:szCs w:val="24"/>
        </w:rPr>
        <w:t xml:space="preserve"> a EEUU). Estos dos últimos roles pueden permutarse.</w:t>
      </w:r>
    </w:p>
    <w:p w:rsidR="00732791" w:rsidRPr="00237C51" w:rsidRDefault="00732791" w:rsidP="00732791">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escenario regional: u</w:t>
      </w:r>
      <w:r w:rsidRPr="004E719D">
        <w:rPr>
          <w:rFonts w:ascii="Times New Roman" w:hAnsi="Times New Roman" w:cs="Times New Roman"/>
          <w:b/>
          <w:sz w:val="24"/>
          <w:szCs w:val="24"/>
        </w:rPr>
        <w:t>n poco de historia</w:t>
      </w:r>
      <w:r>
        <w:rPr>
          <w:rFonts w:ascii="Times New Roman" w:hAnsi="Times New Roman" w:cs="Times New Roman"/>
          <w:b/>
          <w:sz w:val="24"/>
          <w:szCs w:val="24"/>
        </w:rPr>
        <w:t xml:space="preserve"> (con la mediación de San Google)</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 xml:space="preserve">El Complejo Hidroeléctrico </w:t>
      </w:r>
      <w:r w:rsidRPr="006F3018">
        <w:rPr>
          <w:rFonts w:ascii="Times New Roman" w:hAnsi="Times New Roman" w:cs="Times New Roman"/>
          <w:b/>
          <w:sz w:val="24"/>
          <w:szCs w:val="24"/>
        </w:rPr>
        <w:t>Yacyretá-Apipé</w:t>
      </w:r>
      <w:r w:rsidRPr="006F3018">
        <w:rPr>
          <w:rFonts w:ascii="Times New Roman" w:hAnsi="Times New Roman" w:cs="Times New Roman"/>
          <w:sz w:val="24"/>
          <w:szCs w:val="24"/>
        </w:rPr>
        <w:t xml:space="preserve"> (más conocido como Yacyretá), es un conjunto de obras civiles realizadas entre Argentina y Paraguay, sobre el curso del río Paraná, cuya principal finalidad es la transformación de la energía hídrica en energía eléctrica. Está conformado por un extenso embalse de agua, creado artificialmente por la construcción de varias represas de material suelto (arena, arcilla y roca), con una longitud de coronamiento aproximada de 67 Km denominadas: (de sur a norte) Represa Lateral Izquierda, Represa Principal Izquierda, Represa de Cierre del Brazo Principal, Represa Isla Yacyretá, Represa de Cierre del Brazo Aña</w:t>
      </w:r>
      <w:r>
        <w:rPr>
          <w:rFonts w:ascii="Times New Roman" w:hAnsi="Times New Roman" w:cs="Times New Roman"/>
          <w:sz w:val="24"/>
          <w:szCs w:val="24"/>
        </w:rPr>
        <w:t>-Cuá y Represa Lateral Derecha.</w:t>
      </w:r>
      <w:r w:rsidRPr="006F3018">
        <w:rPr>
          <w:rFonts w:ascii="Times New Roman" w:hAnsi="Times New Roman" w:cs="Times New Roman"/>
          <w:sz w:val="24"/>
          <w:szCs w:val="24"/>
        </w:rPr>
        <w:t>​ Contiene dos vertederos, una central hidroeléctrica, un canal de navegación con dos exclusas, y dos ascensores para peces a ambos lados de la central hidroeléctrica. El embalse cubrió en su totalidad la isla Talavera, y el 90% de la isla Yacyretá.</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Canal de navegación</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Está construida en el curso alto del río Paraná, y se extiende entre los departamentos Ituzaingó, en la Provincia de Corrientes, en Argentina, y el depa</w:t>
      </w:r>
      <w:r>
        <w:rPr>
          <w:rFonts w:ascii="Times New Roman" w:hAnsi="Times New Roman" w:cs="Times New Roman"/>
          <w:sz w:val="24"/>
          <w:szCs w:val="24"/>
        </w:rPr>
        <w:t>rtamento Misiones, en Paraguay.</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 xml:space="preserve">Posee una </w:t>
      </w:r>
      <w:r>
        <w:rPr>
          <w:rFonts w:ascii="Times New Roman" w:hAnsi="Times New Roman" w:cs="Times New Roman"/>
          <w:sz w:val="24"/>
          <w:szCs w:val="24"/>
        </w:rPr>
        <w:t>potencia instalada de 3.200 MW,</w:t>
      </w:r>
      <w:r w:rsidRPr="006F3018">
        <w:rPr>
          <w:rFonts w:ascii="Times New Roman" w:hAnsi="Times New Roman" w:cs="Times New Roman"/>
          <w:sz w:val="24"/>
          <w:szCs w:val="24"/>
        </w:rPr>
        <w:t xml:space="preserve">​ y su línea de cota alcanza </w:t>
      </w:r>
      <w:r>
        <w:rPr>
          <w:rFonts w:ascii="Times New Roman" w:hAnsi="Times New Roman" w:cs="Times New Roman"/>
          <w:sz w:val="24"/>
          <w:szCs w:val="24"/>
        </w:rPr>
        <w:t>los 83 msnm.</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lastRenderedPageBreak/>
        <w:t>Existe un proyecto de ampliación del comp</w:t>
      </w:r>
      <w:r>
        <w:rPr>
          <w:rFonts w:ascii="Times New Roman" w:hAnsi="Times New Roman" w:cs="Times New Roman"/>
          <w:sz w:val="24"/>
          <w:szCs w:val="24"/>
        </w:rPr>
        <w:t>lejo, denominado Mas Yacyretá,</w:t>
      </w:r>
      <w:r w:rsidRPr="006F3018">
        <w:rPr>
          <w:rFonts w:ascii="Times New Roman" w:hAnsi="Times New Roman" w:cs="Times New Roman"/>
          <w:sz w:val="24"/>
          <w:szCs w:val="24"/>
        </w:rPr>
        <w:t xml:space="preserve"> que permitirá incrementar la capacidad de producci</w:t>
      </w:r>
      <w:r>
        <w:rPr>
          <w:rFonts w:ascii="Times New Roman" w:hAnsi="Times New Roman" w:cs="Times New Roman"/>
          <w:sz w:val="24"/>
          <w:szCs w:val="24"/>
        </w:rPr>
        <w:t>ón hidroeléctrica en un 15%.</w:t>
      </w:r>
      <w:r w:rsidRPr="006F3018">
        <w:rPr>
          <w:rFonts w:ascii="Times New Roman" w:hAnsi="Times New Roman" w:cs="Times New Roman"/>
          <w:sz w:val="24"/>
          <w:szCs w:val="24"/>
        </w:rPr>
        <w:t xml:space="preserve"> Yacyretá en la actualidad (2017), abastece el 22% de la demanda eléctrica argentina,​ y representa el 45% del total de la energía hidroel</w:t>
      </w:r>
      <w:r>
        <w:rPr>
          <w:rFonts w:ascii="Times New Roman" w:hAnsi="Times New Roman" w:cs="Times New Roman"/>
          <w:sz w:val="24"/>
          <w:szCs w:val="24"/>
        </w:rPr>
        <w:t>éctrica producida en el país.​</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Debido a que los requerimientos eléctri</w:t>
      </w:r>
      <w:r>
        <w:rPr>
          <w:rFonts w:ascii="Times New Roman" w:hAnsi="Times New Roman" w:cs="Times New Roman"/>
          <w:sz w:val="24"/>
          <w:szCs w:val="24"/>
        </w:rPr>
        <w:t>cos de Paraguay están cubiertos</w:t>
      </w:r>
      <w:r w:rsidRPr="006F3018">
        <w:rPr>
          <w:rFonts w:ascii="Times New Roman" w:hAnsi="Times New Roman" w:cs="Times New Roman"/>
          <w:sz w:val="24"/>
          <w:szCs w:val="24"/>
        </w:rPr>
        <w:t>​ (el país solo consume, en promedio, entre el 10 y el 13% de la energía producida), el resto de su cuota (50% de la producción para cada país), es vendida a la Argentina, que lo incorpora al sistema int</w:t>
      </w:r>
      <w:r>
        <w:rPr>
          <w:rFonts w:ascii="Times New Roman" w:hAnsi="Times New Roman" w:cs="Times New Roman"/>
          <w:sz w:val="24"/>
          <w:szCs w:val="24"/>
        </w:rPr>
        <w:t>erconectado eléctrico nacional</w:t>
      </w:r>
      <w:r w:rsidRPr="006F3018">
        <w:rPr>
          <w:rFonts w:ascii="Times New Roman" w:hAnsi="Times New Roman" w:cs="Times New Roman"/>
          <w:sz w:val="24"/>
          <w:szCs w:val="24"/>
        </w:rPr>
        <w:t>​</w:t>
      </w:r>
    </w:p>
    <w:p w:rsidR="00732791"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La primera de sus 20 turbinas, fue puesta en servicio en junio de 1994, y la última en agosto de 1998.</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Mención aparte merecen las denuncias de corrupción de las que ha sido objeto el emprendimiento. Del presu</w:t>
      </w:r>
      <w:r>
        <w:rPr>
          <w:rFonts w:ascii="Times New Roman" w:hAnsi="Times New Roman" w:cs="Times New Roman"/>
          <w:sz w:val="24"/>
          <w:szCs w:val="24"/>
        </w:rPr>
        <w:t>puesto original de U$s1.500 M,</w:t>
      </w:r>
      <w:r w:rsidRPr="006F3018">
        <w:rPr>
          <w:rFonts w:ascii="Times New Roman" w:hAnsi="Times New Roman" w:cs="Times New Roman"/>
          <w:sz w:val="24"/>
          <w:szCs w:val="24"/>
        </w:rPr>
        <w:t>​ se llegó al costo final de U$s11.500 M, de los cuales, U$s7.000 M correspondieron a costos financieros, y U$s1.000 M a costos de estudios de consultoría. Hasta hoy (2016), se ignora el paradero de U$s3.500 M. Esto ha dado pie, a numerosas i</w:t>
      </w:r>
      <w:r>
        <w:rPr>
          <w:rFonts w:ascii="Times New Roman" w:hAnsi="Times New Roman" w:cs="Times New Roman"/>
          <w:sz w:val="24"/>
          <w:szCs w:val="24"/>
        </w:rPr>
        <w:t>nvestigaciones por corrupción.</w:t>
      </w:r>
      <w:r w:rsidRPr="006F3018">
        <w:rPr>
          <w:rFonts w:ascii="Times New Roman" w:hAnsi="Times New Roman" w:cs="Times New Roman"/>
          <w:sz w:val="24"/>
          <w:szCs w:val="24"/>
        </w:rPr>
        <w:t>​ Funcionarios de la EBY (Entidad Binacional Yacyretá) han sido condenadospor malversación de fondos y especulación, ya que utilizaron información privilegiada para beneficiarse con la compra de tierras de los terrenos a inundar, por valores irrisorios, con el fin de obtener cuantiosas indemnizaciones cuando éstas se expropiaran. El expresidente argentino Carlos Saúl Menem, en una frase que se ha hecho célebre, lo llam</w:t>
      </w:r>
      <w:r>
        <w:rPr>
          <w:rFonts w:ascii="Times New Roman" w:hAnsi="Times New Roman" w:cs="Times New Roman"/>
          <w:sz w:val="24"/>
          <w:szCs w:val="24"/>
        </w:rPr>
        <w:t>ó “Monumento a la Corrupción”.</w:t>
      </w:r>
      <w:r w:rsidRPr="006F3018">
        <w:rPr>
          <w:rFonts w:ascii="Times New Roman" w:hAnsi="Times New Roman" w:cs="Times New Roman"/>
          <w:sz w:val="24"/>
          <w:szCs w:val="24"/>
        </w:rPr>
        <w:t>​</w:t>
      </w:r>
    </w:p>
    <w:p w:rsidR="00732791"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Desde el comienzo de su construcción, en el año 1983, la EBY recibió numerosas denuncias. A Yacyretá se le atribuyó la responsabilidad de afectar no solo el ambiente</w:t>
      </w:r>
      <w:r>
        <w:rPr>
          <w:rFonts w:ascii="Times New Roman" w:hAnsi="Times New Roman" w:cs="Times New Roman"/>
          <w:sz w:val="24"/>
          <w:szCs w:val="24"/>
        </w:rPr>
        <w:t xml:space="preserve"> y el ecosistema regional,</w:t>
      </w:r>
      <w:r w:rsidRPr="006F3018">
        <w:rPr>
          <w:rFonts w:ascii="Times New Roman" w:hAnsi="Times New Roman" w:cs="Times New Roman"/>
          <w:sz w:val="24"/>
          <w:szCs w:val="24"/>
        </w:rPr>
        <w:t xml:space="preserve">​ </w:t>
      </w:r>
      <w:r w:rsidR="007D67F3" w:rsidRPr="006F3018">
        <w:rPr>
          <w:rFonts w:ascii="Times New Roman" w:hAnsi="Times New Roman" w:cs="Times New Roman"/>
          <w:sz w:val="24"/>
          <w:szCs w:val="24"/>
        </w:rPr>
        <w:t>sino</w:t>
      </w:r>
      <w:r w:rsidRPr="006F3018">
        <w:rPr>
          <w:rFonts w:ascii="Times New Roman" w:hAnsi="Times New Roman" w:cs="Times New Roman"/>
          <w:sz w:val="24"/>
          <w:szCs w:val="24"/>
        </w:rPr>
        <w:t xml:space="preserve"> también la calidad de vida de gran parte d</w:t>
      </w:r>
      <w:r>
        <w:rPr>
          <w:rFonts w:ascii="Times New Roman" w:hAnsi="Times New Roman" w:cs="Times New Roman"/>
          <w:sz w:val="24"/>
          <w:szCs w:val="24"/>
        </w:rPr>
        <w:t>e los habitantes de la región.</w:t>
      </w:r>
      <w:r w:rsidRPr="006F3018">
        <w:rPr>
          <w:rFonts w:ascii="Times New Roman" w:hAnsi="Times New Roman" w:cs="Times New Roman"/>
          <w:sz w:val="24"/>
          <w:szCs w:val="24"/>
        </w:rPr>
        <w:t>​</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 xml:space="preserve">La represa hidroeléctrica de </w:t>
      </w:r>
      <w:r w:rsidRPr="006F3018">
        <w:rPr>
          <w:rFonts w:ascii="Times New Roman" w:hAnsi="Times New Roman" w:cs="Times New Roman"/>
          <w:b/>
          <w:sz w:val="24"/>
          <w:szCs w:val="24"/>
        </w:rPr>
        <w:t>Itaipú</w:t>
      </w:r>
      <w:r>
        <w:rPr>
          <w:rFonts w:ascii="Times New Roman" w:hAnsi="Times New Roman" w:cs="Times New Roman"/>
          <w:sz w:val="24"/>
          <w:szCs w:val="24"/>
        </w:rPr>
        <w:t xml:space="preserve"> (del guaraní, “piedra que suena”</w:t>
      </w:r>
      <w:r w:rsidRPr="006F3018">
        <w:rPr>
          <w:rFonts w:ascii="Times New Roman" w:hAnsi="Times New Roman" w:cs="Times New Roman"/>
          <w:sz w:val="24"/>
          <w:szCs w:val="24"/>
        </w:rPr>
        <w:t>) es u</w:t>
      </w:r>
      <w:r>
        <w:rPr>
          <w:rFonts w:ascii="Times New Roman" w:hAnsi="Times New Roman" w:cs="Times New Roman"/>
          <w:sz w:val="24"/>
          <w:szCs w:val="24"/>
        </w:rPr>
        <w:t>na represa nacional de Paraguay</w:t>
      </w:r>
      <w:r w:rsidRPr="006F3018">
        <w:rPr>
          <w:rFonts w:ascii="Times New Roman" w:hAnsi="Times New Roman" w:cs="Times New Roman"/>
          <w:sz w:val="24"/>
          <w:szCs w:val="24"/>
        </w:rPr>
        <w:t>, en su frontera sobre el río Paraná. Posee un de</w:t>
      </w:r>
      <w:r>
        <w:rPr>
          <w:rFonts w:ascii="Times New Roman" w:hAnsi="Times New Roman" w:cs="Times New Roman"/>
          <w:sz w:val="24"/>
          <w:szCs w:val="24"/>
        </w:rPr>
        <w:t>snivel de 120 m de caída bruta.</w:t>
      </w:r>
    </w:p>
    <w:p w:rsidR="00732791" w:rsidRPr="006F3018" w:rsidRDefault="007D67F3"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Itaipú</w:t>
      </w:r>
      <w:r w:rsidR="00732791">
        <w:rPr>
          <w:rFonts w:ascii="Times New Roman" w:hAnsi="Times New Roman" w:cs="Times New Roman"/>
          <w:sz w:val="24"/>
          <w:szCs w:val="24"/>
        </w:rPr>
        <w:t xml:space="preserve"> nacional ostenta el título de “</w:t>
      </w:r>
      <w:r w:rsidR="00732791" w:rsidRPr="006F3018">
        <w:rPr>
          <w:rFonts w:ascii="Times New Roman" w:hAnsi="Times New Roman" w:cs="Times New Roman"/>
          <w:sz w:val="24"/>
          <w:szCs w:val="24"/>
        </w:rPr>
        <w:t>mayor pr</w:t>
      </w:r>
      <w:r w:rsidR="00732791">
        <w:rPr>
          <w:rFonts w:ascii="Times New Roman" w:hAnsi="Times New Roman" w:cs="Times New Roman"/>
          <w:sz w:val="24"/>
          <w:szCs w:val="24"/>
        </w:rPr>
        <w:t>oductora de energía del planeta”</w:t>
      </w:r>
      <w:r w:rsidR="00732791" w:rsidRPr="006F3018">
        <w:rPr>
          <w:rFonts w:ascii="Times New Roman" w:hAnsi="Times New Roman" w:cs="Times New Roman"/>
          <w:sz w:val="24"/>
          <w:szCs w:val="24"/>
        </w:rPr>
        <w:t xml:space="preserve"> con 103.098.3</w:t>
      </w:r>
      <w:r w:rsidR="00922E26">
        <w:rPr>
          <w:rFonts w:ascii="Times New Roman" w:hAnsi="Times New Roman" w:cs="Times New Roman"/>
          <w:sz w:val="24"/>
          <w:szCs w:val="24"/>
        </w:rPr>
        <w:t xml:space="preserve">66 MWh producidos en el </w:t>
      </w:r>
      <w:r w:rsidR="001435F9">
        <w:rPr>
          <w:rFonts w:ascii="Times New Roman" w:hAnsi="Times New Roman" w:cs="Times New Roman"/>
          <w:sz w:val="24"/>
          <w:szCs w:val="24"/>
        </w:rPr>
        <w:t>2016</w:t>
      </w:r>
      <w:r w:rsidR="001435F9" w:rsidRPr="006F3018">
        <w:rPr>
          <w:rFonts w:ascii="Times New Roman" w:hAnsi="Times New Roman" w:cs="Times New Roman"/>
          <w:sz w:val="24"/>
          <w:szCs w:val="24"/>
        </w:rPr>
        <w:t xml:space="preserve">. </w:t>
      </w:r>
      <w:r w:rsidR="00732791" w:rsidRPr="006F3018">
        <w:rPr>
          <w:rFonts w:ascii="Times New Roman" w:hAnsi="Times New Roman" w:cs="Times New Roman"/>
          <w:sz w:val="24"/>
          <w:szCs w:val="24"/>
        </w:rPr>
        <w:t xml:space="preserve">También es la represa de mayor producción acumulada, con 2,5 mil millones de MWh3​4​5​6​7​ desde el inicio de la operación. La represa de Itaipú tiene una potencia de generación electrohidráulica instalada de 14 000 MW, con 20 turbinas generadoras de 700 MW y su construcción demandó un costo de 36 mil millones de dólares para los dos países </w:t>
      </w:r>
      <w:r w:rsidR="00732791">
        <w:rPr>
          <w:rFonts w:ascii="Times New Roman" w:hAnsi="Times New Roman" w:cs="Times New Roman"/>
          <w:sz w:val="24"/>
          <w:szCs w:val="24"/>
        </w:rPr>
        <w:t>socios.</w:t>
      </w:r>
    </w:p>
    <w:p w:rsidR="00732791" w:rsidRPr="006F3018"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Su murallón, hecho de hormigón, roca y tierra, se emplaza a 14 km al norte del Puente de la Amistad, lindando con la ciudad paraguaya de Hernandarias, en el Departamento Alto Paraná en su margen occidental, y con Foz do Iguaçu, en el estado de Paraná, Brasil, por su margen oriental; asimismo, está 16,2 km al norte del puente que une la ciudad de Foz do Iguaçu con la ciudad argentina de</w:t>
      </w:r>
      <w:r w:rsidR="001435F9">
        <w:rPr>
          <w:rFonts w:ascii="Times New Roman" w:hAnsi="Times New Roman" w:cs="Times New Roman"/>
          <w:sz w:val="24"/>
          <w:szCs w:val="24"/>
        </w:rPr>
        <w:t xml:space="preserve"> Puerto Iguazú.</w:t>
      </w:r>
      <w:r w:rsidRPr="006F3018">
        <w:rPr>
          <w:rFonts w:ascii="Times New Roman" w:hAnsi="Times New Roman" w:cs="Times New Roman"/>
          <w:sz w:val="24"/>
          <w:szCs w:val="24"/>
        </w:rPr>
        <w:t xml:space="preserve">​ Es la central hidroeléctrica más grande de los hemisferios Sur y Occidental. El área implicada en el proyecto se extiende desde Foz do Iguaçu, en el Brasil, y Ciudad del Este, en el Paraguay, por el sur, hasta Guaíra (Brasil) y Salto del Guairá (Paraguay), por el norte. El lago artificial de la represa contiene 29 000 hm³ de agua, con unos 200 km de extensión en línea recta, y un área aproximada de 1400 km². Al construirse dejó extintos los Saltos del Guairá pero cuando el nivel baja pueden verse una parte de estas cascadas, que eran </w:t>
      </w:r>
      <w:r>
        <w:rPr>
          <w:rFonts w:ascii="Times New Roman" w:hAnsi="Times New Roman" w:cs="Times New Roman"/>
          <w:sz w:val="24"/>
          <w:szCs w:val="24"/>
        </w:rPr>
        <w:t>las más grandes del río Paraná.</w:t>
      </w:r>
    </w:p>
    <w:p w:rsidR="00732791"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lastRenderedPageBreak/>
        <w:t>La energía generada por Itaipú destinada a Brasil es distribuida por la empresa Furnas Centrales Eléctricas S. A., y la energía destinada a Paraguay es distribuida por la Administración Nacional de Electricidad (ANDE).</w:t>
      </w:r>
    </w:p>
    <w:p w:rsidR="00732791" w:rsidRDefault="00732791" w:rsidP="00732791">
      <w:pPr>
        <w:spacing w:line="240" w:lineRule="auto"/>
        <w:jc w:val="both"/>
        <w:rPr>
          <w:rFonts w:ascii="Times New Roman" w:hAnsi="Times New Roman" w:cs="Times New Roman"/>
          <w:sz w:val="24"/>
          <w:szCs w:val="24"/>
        </w:rPr>
      </w:pPr>
      <w:r w:rsidRPr="006F3018">
        <w:rPr>
          <w:rFonts w:ascii="Times New Roman" w:hAnsi="Times New Roman" w:cs="Times New Roman"/>
          <w:sz w:val="24"/>
          <w:szCs w:val="24"/>
        </w:rPr>
        <w:t>La represa de Itaipú es el resultado de intensas negociaciones entre Brasil y Paraguay durante la década del 1960. El 22 de junio de 1966, el ministro de Relaciones Exteriores del Brasil (Juracy Magalhães) y el de Paraguay (Ra</w:t>
      </w:r>
      <w:r>
        <w:rPr>
          <w:rFonts w:ascii="Times New Roman" w:hAnsi="Times New Roman" w:cs="Times New Roman"/>
          <w:sz w:val="24"/>
          <w:szCs w:val="24"/>
        </w:rPr>
        <w:t>úl Sapena Pastor), firmaron el “Acta de Iguazú”</w:t>
      </w:r>
      <w:r w:rsidRPr="006F3018">
        <w:rPr>
          <w:rFonts w:ascii="Times New Roman" w:hAnsi="Times New Roman" w:cs="Times New Roman"/>
          <w:sz w:val="24"/>
          <w:szCs w:val="24"/>
        </w:rPr>
        <w:t>, una declaración conjunta que manifiesta la predisposición para estudiar el aprovechamiento de los recursos hídricos pertenecientes a los dos paíse</w:t>
      </w:r>
      <w:r>
        <w:rPr>
          <w:rFonts w:ascii="Times New Roman" w:hAnsi="Times New Roman" w:cs="Times New Roman"/>
          <w:sz w:val="24"/>
          <w:szCs w:val="24"/>
        </w:rPr>
        <w:t>s, en el trecho del Río Paraná “</w:t>
      </w:r>
      <w:r w:rsidRPr="006F3018">
        <w:rPr>
          <w:rFonts w:ascii="Times New Roman" w:hAnsi="Times New Roman" w:cs="Times New Roman"/>
          <w:sz w:val="24"/>
          <w:szCs w:val="24"/>
        </w:rPr>
        <w:t xml:space="preserve">desde e inclusive los Saltos del Guairá hasta </w:t>
      </w:r>
      <w:r>
        <w:rPr>
          <w:rFonts w:ascii="Times New Roman" w:hAnsi="Times New Roman" w:cs="Times New Roman"/>
          <w:sz w:val="24"/>
          <w:szCs w:val="24"/>
        </w:rPr>
        <w:t>la desembocadura del Río Iguazú”</w:t>
      </w:r>
      <w:r w:rsidRPr="006F3018">
        <w:rPr>
          <w:rFonts w:ascii="Times New Roman" w:hAnsi="Times New Roman" w:cs="Times New Roman"/>
          <w:sz w:val="24"/>
          <w:szCs w:val="24"/>
        </w:rPr>
        <w:t>. Una de las cláusulas del proyecto firmado por ambos países prevé que el excedente de energía que no sea utilizado po</w:t>
      </w:r>
      <w:r>
        <w:rPr>
          <w:rFonts w:ascii="Times New Roman" w:hAnsi="Times New Roman" w:cs="Times New Roman"/>
          <w:sz w:val="24"/>
          <w:szCs w:val="24"/>
        </w:rPr>
        <w:t>r uno de los países será vendido</w:t>
      </w:r>
      <w:r w:rsidRPr="006F3018">
        <w:rPr>
          <w:rFonts w:ascii="Times New Roman" w:hAnsi="Times New Roman" w:cs="Times New Roman"/>
          <w:sz w:val="24"/>
          <w:szCs w:val="24"/>
        </w:rPr>
        <w:t xml:space="preserve"> con derecho de preferencia al otro país participante del proyecto.</w:t>
      </w:r>
    </w:p>
    <w:p w:rsidR="00732791" w:rsidRPr="004E719D"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 xml:space="preserve">El 14 de octubre de 1978, tras represar provisoriamente las aguas del Paraná mediante ataguías, fue abierto el canal de desvío del río Paraná, que permitió secar el trecho del lecho original del río para poder ahí construir la </w:t>
      </w:r>
      <w:r>
        <w:rPr>
          <w:rFonts w:ascii="Times New Roman" w:hAnsi="Times New Roman" w:cs="Times New Roman"/>
          <w:sz w:val="24"/>
          <w:szCs w:val="24"/>
        </w:rPr>
        <w:t>represa principal, en hormigón.</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Otro marco importante, en lo que respecta a la diplomacia, fue la firma del Acuerdo Tripartito entre Brasil, Paraguay y Argentina, el 19 de octubre de 1979, para el aprovechamiento de recursos hidroeléctricos en el trecho del río Paraná desde los Saltos del Guairá (que desaparecieron con la formación del embalse) hasta el estuario del Río de la Plata. Este acuerdo estableció los niveles del río y las variaciones permitidas para los diferentes emprendimientos hidroeléctricos para los tres países. En aquella época en la que los tres países eran gobernados por dictaduras militares, había temor en Argentina de que en un eventual conflicto con Brasil se abriesen las compuertas de Itaipú, inundando sus ciudades ribereñas ubicadas aguas abajo de la presa.</w:t>
      </w:r>
    </w:p>
    <w:p w:rsidR="00732791" w:rsidRPr="004E719D"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Ficha Argentina-Brasil-Paraguay (</w:t>
      </w:r>
      <w:r w:rsidRPr="004E719D">
        <w:rPr>
          <w:rFonts w:ascii="Times New Roman" w:hAnsi="Times New Roman" w:cs="Times New Roman"/>
          <w:sz w:val="24"/>
          <w:szCs w:val="24"/>
        </w:rPr>
        <w:t>Versión 6.0</w:t>
      </w:r>
      <w:r>
        <w:rPr>
          <w:rFonts w:ascii="Times New Roman" w:hAnsi="Times New Roman" w:cs="Times New Roman"/>
          <w:sz w:val="24"/>
          <w:szCs w:val="24"/>
        </w:rPr>
        <w:t>)</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La estructura transfronteriza urbana más compleja de América Latina</w:t>
      </w:r>
      <w:r>
        <w:rPr>
          <w:rFonts w:ascii="Times New Roman" w:hAnsi="Times New Roman" w:cs="Times New Roman"/>
          <w:sz w:val="24"/>
          <w:szCs w:val="24"/>
        </w:rPr>
        <w:t xml:space="preserve"> está junto a las Cataratas del </w:t>
      </w:r>
      <w:r w:rsidRPr="004E719D">
        <w:rPr>
          <w:rFonts w:ascii="Times New Roman" w:hAnsi="Times New Roman" w:cs="Times New Roman"/>
          <w:sz w:val="24"/>
          <w:szCs w:val="24"/>
        </w:rPr>
        <w:t>Iguazú, uno de los destinos turísticos preferidos mundiales. H</w:t>
      </w:r>
      <w:r>
        <w:rPr>
          <w:rFonts w:ascii="Times New Roman" w:hAnsi="Times New Roman" w:cs="Times New Roman"/>
          <w:sz w:val="24"/>
          <w:szCs w:val="24"/>
        </w:rPr>
        <w:t xml:space="preserve">ay 3 aeropuertos nacionales que </w:t>
      </w:r>
      <w:r w:rsidRPr="004E719D">
        <w:rPr>
          <w:rFonts w:ascii="Times New Roman" w:hAnsi="Times New Roman" w:cs="Times New Roman"/>
          <w:sz w:val="24"/>
          <w:szCs w:val="24"/>
        </w:rPr>
        <w:t>conectan con los principales aeropuertos internacionales de Arge</w:t>
      </w:r>
      <w:r>
        <w:rPr>
          <w:rFonts w:ascii="Times New Roman" w:hAnsi="Times New Roman" w:cs="Times New Roman"/>
          <w:sz w:val="24"/>
          <w:szCs w:val="24"/>
        </w:rPr>
        <w:t xml:space="preserve">ntina, Brasil y Paraguay, y una </w:t>
      </w:r>
      <w:r w:rsidRPr="004E719D">
        <w:rPr>
          <w:rFonts w:ascii="Times New Roman" w:hAnsi="Times New Roman" w:cs="Times New Roman"/>
          <w:sz w:val="24"/>
          <w:szCs w:val="24"/>
        </w:rPr>
        <w:t>buena oferta hostelera. En este triángulo AR-BR-PY, la Triple Fron</w:t>
      </w:r>
      <w:r>
        <w:rPr>
          <w:rFonts w:ascii="Times New Roman" w:hAnsi="Times New Roman" w:cs="Times New Roman"/>
          <w:sz w:val="24"/>
          <w:szCs w:val="24"/>
        </w:rPr>
        <w:t xml:space="preserve">tera suele considerarse como el </w:t>
      </w:r>
      <w:r w:rsidRPr="004E719D">
        <w:rPr>
          <w:rFonts w:ascii="Times New Roman" w:hAnsi="Times New Roman" w:cs="Times New Roman"/>
          <w:sz w:val="24"/>
          <w:szCs w:val="24"/>
        </w:rPr>
        <w:t>área que rodea a las ciudades de Ciudad del Este (Paraguay, 350</w:t>
      </w:r>
      <w:r>
        <w:rPr>
          <w:rFonts w:ascii="Times New Roman" w:hAnsi="Times New Roman" w:cs="Times New Roman"/>
          <w:sz w:val="24"/>
          <w:szCs w:val="24"/>
        </w:rPr>
        <w:t xml:space="preserve">.000 habitantes, segunda ciudad </w:t>
      </w:r>
      <w:r w:rsidRPr="004E719D">
        <w:rPr>
          <w:rFonts w:ascii="Times New Roman" w:hAnsi="Times New Roman" w:cs="Times New Roman"/>
          <w:sz w:val="24"/>
          <w:szCs w:val="24"/>
        </w:rPr>
        <w:t>de Paraguay), Foz de Iguazú (Brasil, 325.000 h.) y Puerto Iguazú (Argentina, 32.000 h.</w:t>
      </w:r>
      <w:r>
        <w:rPr>
          <w:rFonts w:ascii="Times New Roman" w:hAnsi="Times New Roman" w:cs="Times New Roman"/>
          <w:sz w:val="24"/>
          <w:szCs w:val="24"/>
        </w:rPr>
        <w:t xml:space="preserve">). En el </w:t>
      </w:r>
      <w:r w:rsidRPr="004E719D">
        <w:rPr>
          <w:rFonts w:ascii="Times New Roman" w:hAnsi="Times New Roman" w:cs="Times New Roman"/>
          <w:sz w:val="24"/>
          <w:szCs w:val="24"/>
        </w:rPr>
        <w:t>estudio desarrollado por la ARFE en 2010 para la DG Regio se cons</w:t>
      </w:r>
      <w:r>
        <w:rPr>
          <w:rFonts w:ascii="Times New Roman" w:hAnsi="Times New Roman" w:cs="Times New Roman"/>
          <w:sz w:val="24"/>
          <w:szCs w:val="24"/>
        </w:rPr>
        <w:t xml:space="preserve">ideró un territorio de Paraguay </w:t>
      </w:r>
      <w:r w:rsidRPr="004E719D">
        <w:rPr>
          <w:rFonts w:ascii="Times New Roman" w:hAnsi="Times New Roman" w:cs="Times New Roman"/>
          <w:sz w:val="24"/>
          <w:szCs w:val="24"/>
        </w:rPr>
        <w:t>más amplio, bordeando el Estado brasileño de Paraná (190 km)</w:t>
      </w:r>
      <w:r>
        <w:rPr>
          <w:rFonts w:ascii="Times New Roman" w:hAnsi="Times New Roman" w:cs="Times New Roman"/>
          <w:sz w:val="24"/>
          <w:szCs w:val="24"/>
        </w:rPr>
        <w:t xml:space="preserve"> y las provincias argentinas de </w:t>
      </w:r>
      <w:r w:rsidRPr="004E719D">
        <w:rPr>
          <w:rFonts w:ascii="Times New Roman" w:hAnsi="Times New Roman" w:cs="Times New Roman"/>
          <w:sz w:val="24"/>
          <w:szCs w:val="24"/>
        </w:rPr>
        <w:t>Misiones y Corrientes, dominadas por el río Paraná. El río Igua</w:t>
      </w:r>
      <w:r>
        <w:rPr>
          <w:rFonts w:ascii="Times New Roman" w:hAnsi="Times New Roman" w:cs="Times New Roman"/>
          <w:sz w:val="24"/>
          <w:szCs w:val="24"/>
        </w:rPr>
        <w:t xml:space="preserve">zú es la frontera natural entre </w:t>
      </w:r>
      <w:r w:rsidRPr="004E719D">
        <w:rPr>
          <w:rFonts w:ascii="Times New Roman" w:hAnsi="Times New Roman" w:cs="Times New Roman"/>
          <w:sz w:val="24"/>
          <w:szCs w:val="24"/>
        </w:rPr>
        <w:t>Misiones (AR) y nuevamente el Estado de Paraná (115 km), q</w:t>
      </w:r>
      <w:r>
        <w:rPr>
          <w:rFonts w:ascii="Times New Roman" w:hAnsi="Times New Roman" w:cs="Times New Roman"/>
          <w:sz w:val="24"/>
          <w:szCs w:val="24"/>
        </w:rPr>
        <w:t xml:space="preserve">ue se continúa con un sector de </w:t>
      </w:r>
      <w:r w:rsidRPr="004E719D">
        <w:rPr>
          <w:rFonts w:ascii="Times New Roman" w:hAnsi="Times New Roman" w:cs="Times New Roman"/>
          <w:sz w:val="24"/>
          <w:szCs w:val="24"/>
        </w:rPr>
        <w:t>frontera seca. Después, el río Pepirí Guaçu es la frontera entr</w:t>
      </w:r>
      <w:r>
        <w:rPr>
          <w:rFonts w:ascii="Times New Roman" w:hAnsi="Times New Roman" w:cs="Times New Roman"/>
          <w:sz w:val="24"/>
          <w:szCs w:val="24"/>
        </w:rPr>
        <w:t xml:space="preserve">e Misiones y el Estado de Santa </w:t>
      </w:r>
      <w:r w:rsidRPr="004E719D">
        <w:rPr>
          <w:rFonts w:ascii="Times New Roman" w:hAnsi="Times New Roman" w:cs="Times New Roman"/>
          <w:sz w:val="24"/>
          <w:szCs w:val="24"/>
        </w:rPr>
        <w:t>Caterina (BR), y el río Uruguay es la frontera con el Estado de</w:t>
      </w:r>
      <w:r>
        <w:rPr>
          <w:rFonts w:ascii="Times New Roman" w:hAnsi="Times New Roman" w:cs="Times New Roman"/>
          <w:sz w:val="24"/>
          <w:szCs w:val="24"/>
        </w:rPr>
        <w:t xml:space="preserve"> Rio Grande do Sul (BR). El río </w:t>
      </w:r>
      <w:r w:rsidRPr="004E719D">
        <w:rPr>
          <w:rFonts w:ascii="Times New Roman" w:hAnsi="Times New Roman" w:cs="Times New Roman"/>
          <w:sz w:val="24"/>
          <w:szCs w:val="24"/>
        </w:rPr>
        <w:t xml:space="preserve">Uruguay fluye hasta su </w:t>
      </w:r>
      <w:r w:rsidR="007D67F3" w:rsidRPr="004E719D">
        <w:rPr>
          <w:rFonts w:ascii="Times New Roman" w:hAnsi="Times New Roman" w:cs="Times New Roman"/>
          <w:sz w:val="24"/>
          <w:szCs w:val="24"/>
        </w:rPr>
        <w:t>unión</w:t>
      </w:r>
      <w:r w:rsidRPr="004E719D">
        <w:rPr>
          <w:rFonts w:ascii="Times New Roman" w:hAnsi="Times New Roman" w:cs="Times New Roman"/>
          <w:sz w:val="24"/>
          <w:szCs w:val="24"/>
        </w:rPr>
        <w:t xml:space="preserve"> con el río Paraná para formar</w:t>
      </w:r>
      <w:r>
        <w:rPr>
          <w:rFonts w:ascii="Times New Roman" w:hAnsi="Times New Roman" w:cs="Times New Roman"/>
          <w:sz w:val="24"/>
          <w:szCs w:val="24"/>
        </w:rPr>
        <w:t xml:space="preserve"> el Río de La Plata, después de </w:t>
      </w:r>
      <w:r w:rsidRPr="004E719D">
        <w:rPr>
          <w:rFonts w:ascii="Times New Roman" w:hAnsi="Times New Roman" w:cs="Times New Roman"/>
          <w:sz w:val="24"/>
          <w:szCs w:val="24"/>
        </w:rPr>
        <w:t xml:space="preserve">constituir la frontera de la provincia argentina de Corrientes con Rio </w:t>
      </w:r>
      <w:r>
        <w:rPr>
          <w:rFonts w:ascii="Times New Roman" w:hAnsi="Times New Roman" w:cs="Times New Roman"/>
          <w:sz w:val="24"/>
          <w:szCs w:val="24"/>
        </w:rPr>
        <w:t xml:space="preserve">Grande do Sul (BR) y de la </w:t>
      </w:r>
      <w:r w:rsidRPr="004E719D">
        <w:rPr>
          <w:rFonts w:ascii="Times New Roman" w:hAnsi="Times New Roman" w:cs="Times New Roman"/>
          <w:sz w:val="24"/>
          <w:szCs w:val="24"/>
        </w:rPr>
        <w:t>provincia argentina de Entre Ríos con el Uruguay</w:t>
      </w:r>
      <w:r>
        <w:rPr>
          <w:rFonts w:ascii="Times New Roman" w:hAnsi="Times New Roman" w:cs="Times New Roman"/>
          <w:sz w:val="24"/>
          <w:szCs w:val="24"/>
        </w:rPr>
        <w:t>.</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noProof/>
          <w:sz w:val="24"/>
          <w:szCs w:val="24"/>
          <w:lang w:val="en-GB" w:eastAsia="en-GB"/>
        </w:rPr>
        <w:lastRenderedPageBreak/>
        <w:drawing>
          <wp:inline distT="0" distB="0" distL="0" distR="0">
            <wp:extent cx="5731510" cy="4015731"/>
            <wp:effectExtent l="0" t="0" r="2540" b="444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4015731"/>
                    </a:xfrm>
                    <a:prstGeom prst="rect">
                      <a:avLst/>
                    </a:prstGeom>
                  </pic:spPr>
                </pic:pic>
              </a:graphicData>
            </a:graphic>
          </wp:inline>
        </w:drawing>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 xml:space="preserve">La provincia de Misiones está en medio de esta área. Sólo tiene 90 km de frontera con el resto de Argentina, siendo la mayor parte de sus límites fronteras internacionales con Brasil y Paraguay. Misiones incluye el 35% de los pasos fronterizos de MERCOSUR. Muchos ríos están implicados en esta </w:t>
      </w:r>
      <w:r w:rsidR="007D67F3" w:rsidRPr="004E719D">
        <w:rPr>
          <w:rFonts w:ascii="Times New Roman" w:hAnsi="Times New Roman" w:cs="Times New Roman"/>
          <w:sz w:val="24"/>
          <w:szCs w:val="24"/>
        </w:rPr>
        <w:t>región</w:t>
      </w:r>
      <w:r w:rsidRPr="004E719D">
        <w:rPr>
          <w:rFonts w:ascii="Times New Roman" w:hAnsi="Times New Roman" w:cs="Times New Roman"/>
          <w:sz w:val="24"/>
          <w:szCs w:val="24"/>
        </w:rPr>
        <w:t xml:space="preserve">, dominando el gran río Paraná, así como su unión con el río Iguazú y el río Uruguay. Hay muy pocos puentes en esta </w:t>
      </w:r>
      <w:r w:rsidR="007D67F3" w:rsidRPr="004E719D">
        <w:rPr>
          <w:rFonts w:ascii="Times New Roman" w:hAnsi="Times New Roman" w:cs="Times New Roman"/>
          <w:sz w:val="24"/>
          <w:szCs w:val="24"/>
        </w:rPr>
        <w:t>área</w:t>
      </w:r>
      <w:r w:rsidRPr="004E719D">
        <w:rPr>
          <w:rFonts w:ascii="Times New Roman" w:hAnsi="Times New Roman" w:cs="Times New Roman"/>
          <w:sz w:val="24"/>
          <w:szCs w:val="24"/>
        </w:rPr>
        <w:t xml:space="preserve">, siendo los más importantes: </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 xml:space="preserve">- El Puente Internacional Amistad, que une Foz de Iguazú (BR) con Ciudad del Este sobre el río Paraná. </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 El Puente Internacional Tancredo Neves, que une Foz de Iguazú con Puerto Iguazú (AR) sobre el río Iguazú.</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 xml:space="preserve"> - El puente San Roque González de Santa Cruz que une Posadas (AR) con Encarnación (PY) sobre el río Paraná. </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 xml:space="preserve">- El Puente Internacional Pepirí Guazú - São Miguel. </w:t>
      </w:r>
    </w:p>
    <w:p w:rsidR="00732791" w:rsidRDefault="00732791" w:rsidP="00732791">
      <w:pPr>
        <w:spacing w:line="240" w:lineRule="auto"/>
        <w:jc w:val="both"/>
        <w:rPr>
          <w:rFonts w:ascii="Times New Roman" w:hAnsi="Times New Roman" w:cs="Times New Roman"/>
          <w:sz w:val="24"/>
          <w:szCs w:val="24"/>
        </w:rPr>
      </w:pPr>
      <w:r w:rsidRPr="004E719D">
        <w:rPr>
          <w:rFonts w:ascii="Times New Roman" w:hAnsi="Times New Roman" w:cs="Times New Roman"/>
          <w:sz w:val="24"/>
          <w:szCs w:val="24"/>
        </w:rPr>
        <w:t>Hay algunos servicios de barcas y balsas para cruzar estas fronteras húmedas y se pueden encontrar muchas ciudades sobre estos ríos funcionando como ciudades gemelas, a pesar de la falta de puentes.</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xml:space="preserve">Las fronteras secas sólo se encuentran en una parte de la frontera AR-BR, con muchos pasos fronterizos. Misiones y las regiones fronterizas de Brasil y Paraguay son fundamentalmente áreas rurales, siendo las más importantes la Triple Frontera Ciudad del Este (PY) </w:t>
      </w:r>
      <w:r>
        <w:rPr>
          <w:rFonts w:ascii="Times New Roman" w:hAnsi="Times New Roman" w:cs="Times New Roman"/>
          <w:sz w:val="24"/>
          <w:szCs w:val="24"/>
        </w:rPr>
        <w:t>- Foz do Iguaçu (BR) -</w:t>
      </w:r>
      <w:r w:rsidRPr="00D15D17">
        <w:rPr>
          <w:rFonts w:ascii="Times New Roman" w:hAnsi="Times New Roman" w:cs="Times New Roman"/>
          <w:sz w:val="24"/>
          <w:szCs w:val="24"/>
        </w:rPr>
        <w:t xml:space="preserve"> Puerto Iguazú (AR), y Posadas (AR)  </w:t>
      </w:r>
      <w:r>
        <w:rPr>
          <w:rFonts w:ascii="Times New Roman" w:hAnsi="Times New Roman" w:cs="Times New Roman"/>
          <w:sz w:val="24"/>
          <w:szCs w:val="24"/>
        </w:rPr>
        <w:t>-</w:t>
      </w:r>
      <w:r w:rsidRPr="00D15D17">
        <w:rPr>
          <w:rFonts w:ascii="Times New Roman" w:hAnsi="Times New Roman" w:cs="Times New Roman"/>
          <w:sz w:val="24"/>
          <w:szCs w:val="24"/>
        </w:rPr>
        <w:t xml:space="preserve"> Encarnación (UY). </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xml:space="preserve">Hay ausencia de autopistas y líneas férreas. Las carreteras nacionales y regionales están en bastantes buenas condiciones y son muy importantes para el tráfico de mercancías. Existen </w:t>
      </w:r>
      <w:r w:rsidRPr="00D15D17">
        <w:rPr>
          <w:rFonts w:ascii="Times New Roman" w:hAnsi="Times New Roman" w:cs="Times New Roman"/>
          <w:sz w:val="24"/>
          <w:szCs w:val="24"/>
        </w:rPr>
        <w:lastRenderedPageBreak/>
        <w:t xml:space="preserve">sistemas simplificados para la exportación, pero el tiempo de espera en los pasos fronterizos es extremadamente desfavorable (incluso más de 24 horas). Hay cuatro aeropuertos nacionales en las tres zonas fronterizas, que garantizan las suficientes conexiones a los centros nacionales y a los aeropuertos internacionales: </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xml:space="preserve">- Aeropuerto Internacional de Cataratas (Foz do Iguaçu, BR); principalmente vuelos nacionales, pero puede considerarse internacional; más de 800.000 pasajeros al año. </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xml:space="preserve">- Aeropuerto Internacional de Puerto Iguazú (AR); principalmente vuelos nacionales, pero puede considerarse internacional; más de 600.000 pasajeros al año. </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xml:space="preserve">- Aeropuerto Internacional Guaraní (Ciudad del Este, PY); conexiones con Asunción (PY), Montevideo (UY) y Sao Paulo (BR). </w:t>
      </w:r>
    </w:p>
    <w:p w:rsidR="00732791"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Aeropuerto Internacional de Posadas, sólo destinos en Argentina, 70.000 pasajeros al año.</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Las cataratas de Iguazú son una de las maravillas del mundo. Después de fluir hacia el oeste atravesando el sur de Brasil, el río Iguazú se precipita sobre la llanura del Paraná en tres crecientes entrelazados con tres islotes. Algunos de los saltos tienen una gran longitud, mientras que otros caen en pequeños pasos. El río entonces se une al Paraná, fluyendo hacia el sur.</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Ciudad del Este es la tercera zona comercial libre de impuestos</w:t>
      </w:r>
      <w:r>
        <w:rPr>
          <w:rFonts w:ascii="Times New Roman" w:hAnsi="Times New Roman" w:cs="Times New Roman"/>
          <w:sz w:val="24"/>
          <w:szCs w:val="24"/>
        </w:rPr>
        <w:t>,</w:t>
      </w:r>
      <w:r w:rsidRPr="00D15D17">
        <w:rPr>
          <w:rFonts w:ascii="Times New Roman" w:hAnsi="Times New Roman" w:cs="Times New Roman"/>
          <w:sz w:val="24"/>
          <w:szCs w:val="24"/>
        </w:rPr>
        <w:t xml:space="preserve"> mayor del mundo (tras Miami y Hong Kong) y genera más de la mitad del PIB paraguayo. La economía local se basa en la salud económica de Brasil (adquiere alrededor del 95% de la cuota energética paraguaya generada por la Central de Itaipú). Todos los días muchos brasileños cruzan la frontera para comprar productos más baratos, sobre todo electrónica, aunque hay un dicho local: todo lo que quieras puedes comprarlo acá: legal, ilegal, lo que sea. </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Según numerosas fuentes, el contrabando es la ocupación más popular de la ciudad, que algunos sitúan en un valor cercano al quíntuple de la economía nacio</w:t>
      </w:r>
      <w:r>
        <w:rPr>
          <w:rFonts w:ascii="Times New Roman" w:hAnsi="Times New Roman" w:cs="Times New Roman"/>
          <w:sz w:val="24"/>
          <w:szCs w:val="24"/>
        </w:rPr>
        <w:t>nal. Algunos informes de los EEUU</w:t>
      </w:r>
      <w:r w:rsidRPr="00D15D17">
        <w:rPr>
          <w:rFonts w:ascii="Times New Roman" w:hAnsi="Times New Roman" w:cs="Times New Roman"/>
          <w:sz w:val="24"/>
          <w:szCs w:val="24"/>
        </w:rPr>
        <w:t xml:space="preserve"> señalan que algunos de los ingresos generados por el contrabando podrían apoyar organizaciones criminales radicadas fuera de la región, incluyendo organizaciones terroristas. El tráfico de drogas y armas o el lavado de capitales parecen ser el negocio principal de una ciudad en la que el 90% de lo que se vende es falso y hay una prácticamente total ausencia de regulación gubernamental. También es el campo de batalla de una disputa para defender sus patentes, licencias y marcas por parte de muchas empresas norteamericanas frente a numerosos empresarios asiáticos que viven de sus imitac</w:t>
      </w:r>
      <w:r>
        <w:rPr>
          <w:rFonts w:ascii="Times New Roman" w:hAnsi="Times New Roman" w:cs="Times New Roman"/>
          <w:sz w:val="24"/>
          <w:szCs w:val="24"/>
        </w:rPr>
        <w:t>iones baratas. Colaboración UE -</w:t>
      </w:r>
      <w:r w:rsidRPr="00D15D17">
        <w:rPr>
          <w:rFonts w:ascii="Times New Roman" w:hAnsi="Times New Roman" w:cs="Times New Roman"/>
          <w:sz w:val="24"/>
          <w:szCs w:val="24"/>
        </w:rPr>
        <w:t xml:space="preserve"> América Latina sobre CTF 2010-2015 Página 4 de 22. </w:t>
      </w:r>
    </w:p>
    <w:p w:rsidR="00732791" w:rsidRPr="00D15D17"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xml:space="preserve">Hay una gran tradición de contrabando, pero Washington ha amenazado a Paraguay con sanciones económicas si no da pasos hacia la protección de la propiedad intelectual. Se han producido muchos esfuerzos para contrarrestar esta imagen, e incluso los gobiernos de los tres países implicados protestaron en 2010 contra el proyecto de una película que trataba sobre el contrabando, el narcotráfico y las relaciones con el terrorismo internacional en la Triple Frontera. Esta película dirigida por Kathryn Bigelow parece que no salió de la fase de proyecto, a pesar del interés de actores como Will Smith o Tom Hanks en participar en la misma. </w:t>
      </w:r>
    </w:p>
    <w:p w:rsidR="00732791" w:rsidRDefault="00732791" w:rsidP="00732791">
      <w:pPr>
        <w:spacing w:line="240" w:lineRule="auto"/>
        <w:jc w:val="both"/>
        <w:rPr>
          <w:rFonts w:ascii="Times New Roman" w:hAnsi="Times New Roman" w:cs="Times New Roman"/>
          <w:sz w:val="24"/>
          <w:szCs w:val="24"/>
        </w:rPr>
      </w:pPr>
      <w:r w:rsidRPr="00D15D17">
        <w:rPr>
          <w:rFonts w:ascii="Times New Roman" w:hAnsi="Times New Roman" w:cs="Times New Roman"/>
          <w:sz w:val="24"/>
          <w:szCs w:val="24"/>
        </w:rPr>
        <w:t xml:space="preserve">La economía de Puerto Iguazú (AR) se concentra en el turismo, como también es el caso de Foz de Iguazú (BR), donde está la sede de la empresa binacional que gestiona la cercana presa de Itaipú. En ella se está instalando la UNILA (Universidad de Integración Latinoamericana), varios de cuyos departamentos se encuentran plenamente operativos en </w:t>
      </w:r>
      <w:r w:rsidRPr="00D15D17">
        <w:rPr>
          <w:rFonts w:ascii="Times New Roman" w:hAnsi="Times New Roman" w:cs="Times New Roman"/>
          <w:sz w:val="24"/>
          <w:szCs w:val="24"/>
        </w:rPr>
        <w:lastRenderedPageBreak/>
        <w:t>2014. Esta es una de las iniciativas de Itaipú Binacional, que tiene un enorme impacto en la CTF de Brasil y Paraguay, extendiéndose más allá de los núcleos urbanos y hasta el territorio argentino. Tiene un programa sociomedioambiental, que se concentra en el agua sostenible (Cultivando Água Boa1) y promueve la implicación de los pequeños municipios, las cooperativas de productores y las comunidades indígenas, con un enfoque genuinamente participativo. Los principales sectores de cooperación son: calidad del agua, recuperación de corredores ambientales, pesca (productiva y extractiva), protección de la biodiversidad y agricultura orgánica. Unas 1.000 familias trabajan en 19 pequeñas agroindustrias que se ocupan de las plantas medicinales, apicultura, la cachaça (aguardiente local) y artesanía. Unas 800.000 personas recogen residuos, los seleccionan y reciclan. Se reúnen en 23 asociaciones que forman una cooperativa…</w:t>
      </w:r>
    </w:p>
    <w:p w:rsidR="00732791" w:rsidRDefault="00732791" w:rsidP="00732791">
      <w:pPr>
        <w:pStyle w:val="NormalWeb"/>
        <w:shd w:val="clear" w:color="auto" w:fill="FFFFFF"/>
        <w:spacing w:before="0" w:beforeAutospacing="0" w:after="0" w:afterAutospacing="0"/>
        <w:jc w:val="both"/>
        <w:rPr>
          <w:color w:val="1E1E1E"/>
        </w:rPr>
      </w:pPr>
      <w:r w:rsidRPr="00237C51">
        <w:rPr>
          <w:color w:val="1E1E1E"/>
        </w:rPr>
        <w:t>Este conglomerado social y cultural, sumado a la porosidad fronteriza, el escaso control estatal, la elevada afluencia de turistas y  la propia disposición geográfica de la zona posibilitan que la actividad económica de la Triple Frontera se caracterice por ser altamente informal. El  desarrollo comercial en toda el área es muy elevado, pero se basa en la venta ambulante o directa, en la misma calle -de bienes de todo tipo-, lo  que dificulta enormemente su control y fiscalización, y facilita enormemente el contrabando. De hecho,  la Triple Frontera es conocida por la elevada  cantidad de actividades ilegales que en ella se registran. El tráfico de drogas y de armas, la trata de blancas, la falsificación de documentos, la piratería informática, la compraventa de coches robados y el lavado de dinero son algunas de las actividades que más preocupación generan  entre las autoridades.</w:t>
      </w:r>
    </w:p>
    <w:p w:rsidR="00732791" w:rsidRPr="00237C51" w:rsidRDefault="00732791" w:rsidP="00732791">
      <w:pPr>
        <w:pStyle w:val="NormalWeb"/>
        <w:shd w:val="clear" w:color="auto" w:fill="FFFFFF"/>
        <w:spacing w:before="0" w:beforeAutospacing="0" w:after="0" w:afterAutospacing="0"/>
        <w:jc w:val="both"/>
        <w:rPr>
          <w:color w:val="1E1E1E"/>
          <w:sz w:val="23"/>
          <w:szCs w:val="23"/>
        </w:rPr>
      </w:pPr>
    </w:p>
    <w:p w:rsidR="00732791" w:rsidRPr="00237C51" w:rsidRDefault="00732791" w:rsidP="00732791">
      <w:pPr>
        <w:spacing w:line="240" w:lineRule="auto"/>
        <w:jc w:val="both"/>
        <w:rPr>
          <w:rFonts w:ascii="Times New Roman" w:hAnsi="Times New Roman" w:cs="Times New Roman"/>
          <w:sz w:val="24"/>
          <w:szCs w:val="24"/>
        </w:rPr>
      </w:pPr>
      <w:r w:rsidRPr="00237C51">
        <w:rPr>
          <w:rFonts w:ascii="Times New Roman" w:hAnsi="Times New Roman" w:cs="Times New Roman"/>
          <w:sz w:val="24"/>
          <w:szCs w:val="24"/>
        </w:rPr>
        <w:t>22-07-2013: Los tentáculos de Hezbolá en América Latina. La milicia libanesa se instaló enla triple frontera en los años 80, y se extendió a los países del ALBA con la complicidad del chavismo y ahora refuerza sus vínculos con los cárteles mexicanos (El País, Madrid).</w:t>
      </w:r>
    </w:p>
    <w:p w:rsidR="00732791" w:rsidRDefault="00732791" w:rsidP="00732791">
      <w:pPr>
        <w:pStyle w:val="NormalWeb"/>
        <w:shd w:val="clear" w:color="auto" w:fill="FFFFFF"/>
        <w:spacing w:before="0" w:beforeAutospacing="0" w:after="0" w:afterAutospacing="0"/>
        <w:jc w:val="both"/>
        <w:rPr>
          <w:color w:val="1E1E1E"/>
        </w:rPr>
      </w:pPr>
      <w:r w:rsidRPr="00237C51">
        <w:rPr>
          <w:color w:val="1E1E1E"/>
        </w:rPr>
        <w:t>La presencia de terrorismo en la Triple Frontera es otra de las actividades ilegales que se han venido estudiando desde hace tiempo. Los primeros indicios de la presencia de grupos terroristas en esta zona datan de comienzos de los 90 a raíz de dos atentados concretos, acaecidos ambos en Buenos Aires, con relaciones con la Triple Frontera. En 1992 se produjo un ataque suicida contra la embajada israelí en Argentina que dejó una cifra de 29 muertos, mientras que dos años más tarde, en 1994, la AMIA (Asociación Mutual Israelita Argentina) fue objeto de otro atentado que se saldó con 85 fallecidos. La justicia a</w:t>
      </w:r>
      <w:r w:rsidR="007D67F3">
        <w:rPr>
          <w:color w:val="1E1E1E"/>
        </w:rPr>
        <w:t>rgentina ha señalado a Hezbolá</w:t>
      </w:r>
      <w:r w:rsidRPr="00237C51">
        <w:rPr>
          <w:color w:val="1E1E1E"/>
        </w:rPr>
        <w:t>, con el apoyo específico de Irán, como responsables directos de ambos atentados, pidiendo infructuosamente la extradición de ciudadanos iraníes (incluyendo al ex presidente iraní Rafsanjani o a Soleimanpour, ex embajador en Buenos Aires), así como de miembros del grupo libanés. Cabe señalar, sin embargo, que este proceso se ha visto enturbiado en repetidas ocasiones por actos de destrucción de pruebas y obstrucción a la justicia que han devenido en el procesamiento, entre otros, del juez Galeano (responsable del procedimiento por el AMIA), así como del propio Carlos Menem, ex presidente argentino, por encubrir la participación de un acusado de origen sirio.</w:t>
      </w:r>
    </w:p>
    <w:p w:rsidR="00732791" w:rsidRPr="00237C51" w:rsidRDefault="00732791" w:rsidP="00732791">
      <w:pPr>
        <w:pStyle w:val="NormalWeb"/>
        <w:shd w:val="clear" w:color="auto" w:fill="FFFFFF"/>
        <w:spacing w:before="0" w:beforeAutospacing="0" w:after="0" w:afterAutospacing="0"/>
        <w:jc w:val="both"/>
        <w:rPr>
          <w:color w:val="1E1E1E"/>
          <w:sz w:val="23"/>
          <w:szCs w:val="23"/>
        </w:rPr>
      </w:pPr>
    </w:p>
    <w:p w:rsidR="00732791" w:rsidRDefault="00732791" w:rsidP="00732791">
      <w:pPr>
        <w:pStyle w:val="NormalWeb"/>
        <w:shd w:val="clear" w:color="auto" w:fill="FFFFFF"/>
        <w:spacing w:before="0" w:beforeAutospacing="0" w:after="0" w:afterAutospacing="0"/>
        <w:jc w:val="both"/>
        <w:rPr>
          <w:color w:val="1E1E1E"/>
        </w:rPr>
      </w:pPr>
      <w:r w:rsidRPr="00237C51">
        <w:rPr>
          <w:color w:val="1E1E1E"/>
        </w:rPr>
        <w:t xml:space="preserve">Las sospechas de que la zona de la Triple Frontera alberga células dormidas de grupos islamistas radicales se intensificaron, sin embargo, a raíz de los atentados del 11-S y han seguido sonando con fuerza, sobre todo, hasta finales de la primera década de este siglo. Tras el inicio de la “guerra global contra el terror” que lanzó la administración Bush, hubo autores como la reputada Jessica Stern que situaron la Triple Frontera entre las zonas con más posibilidades de albergar terrorismo yihadista y que más riesgo entrañaban para la seguridad estadounidense. No obstante, esas afirmaciones tan rotundas no han encontrado nunca soporte fáctico adecuado. La existencia de terrorismo en la zona ha sido un tema muy </w:t>
      </w:r>
      <w:r w:rsidRPr="00237C51">
        <w:rPr>
          <w:color w:val="1E1E1E"/>
        </w:rPr>
        <w:lastRenderedPageBreak/>
        <w:t>discutido sobre el que normalmente se han realizado ejercicios retóricos con escaso fundamento, atendiendo a intereses enfrentados.</w:t>
      </w:r>
    </w:p>
    <w:p w:rsidR="00732791" w:rsidRPr="00237C51" w:rsidRDefault="00732791" w:rsidP="00732791">
      <w:pPr>
        <w:pStyle w:val="NormalWeb"/>
        <w:shd w:val="clear" w:color="auto" w:fill="FFFFFF"/>
        <w:spacing w:before="0" w:beforeAutospacing="0" w:after="0" w:afterAutospacing="0"/>
        <w:jc w:val="both"/>
        <w:rPr>
          <w:color w:val="1E1E1E"/>
          <w:sz w:val="23"/>
          <w:szCs w:val="23"/>
        </w:rPr>
      </w:pPr>
    </w:p>
    <w:p w:rsidR="00732791" w:rsidRDefault="00732791" w:rsidP="00732791">
      <w:pPr>
        <w:pStyle w:val="NormalWeb"/>
        <w:shd w:val="clear" w:color="auto" w:fill="FFFFFF"/>
        <w:spacing w:before="0" w:beforeAutospacing="0" w:after="0" w:afterAutospacing="0"/>
        <w:jc w:val="both"/>
        <w:rPr>
          <w:color w:val="1E1E1E"/>
        </w:rPr>
      </w:pPr>
      <w:r w:rsidRPr="00237C51">
        <w:rPr>
          <w:color w:val="1E1E1E"/>
        </w:rPr>
        <w:t>Y es que a pesar del interés y la preocupación mostrados por Estados Unidos, es un hecho admitido por ellos mismos que en la actualidad no hay pruebas que apoyen la teoría de que en la Triple Frontera hay células terroristas activas pertenecientes a grupos islamis</w:t>
      </w:r>
      <w:r w:rsidR="007D67F3">
        <w:rPr>
          <w:color w:val="1E1E1E"/>
        </w:rPr>
        <w:t>tas, ya sean Al Qaeda, Hezbolá</w:t>
      </w:r>
      <w:r w:rsidRPr="00237C51">
        <w:rPr>
          <w:color w:val="1E1E1E"/>
        </w:rPr>
        <w:t>, Hamas o cualquier otro. Lo mismo podría decirse en cuanto al hecho de que la zona sirva como campo de entrenamiento para islamistas radicales</w:t>
      </w:r>
      <w:r>
        <w:rPr>
          <w:color w:val="1E1E1E"/>
        </w:rPr>
        <w:t>…</w:t>
      </w:r>
    </w:p>
    <w:p w:rsidR="00732791" w:rsidRPr="00CC2BE2" w:rsidRDefault="00732791" w:rsidP="00732791">
      <w:pPr>
        <w:pStyle w:val="NormalWeb"/>
        <w:shd w:val="clear" w:color="auto" w:fill="FFFFFF"/>
        <w:spacing w:after="0"/>
        <w:jc w:val="both"/>
        <w:rPr>
          <w:color w:val="1E1E1E"/>
          <w:u w:val="single"/>
        </w:rPr>
      </w:pPr>
      <w:r>
        <w:rPr>
          <w:color w:val="1E1E1E"/>
        </w:rPr>
        <w:t xml:space="preserve">- </w:t>
      </w:r>
      <w:r w:rsidRPr="00CC2BE2">
        <w:rPr>
          <w:color w:val="1E1E1E"/>
          <w:u w:val="single"/>
        </w:rPr>
        <w:t xml:space="preserve">Brasil y Argentina en perspectiva: competencia, distensión e integración </w:t>
      </w:r>
    </w:p>
    <w:p w:rsidR="00732791" w:rsidRDefault="00732791" w:rsidP="00732791">
      <w:pPr>
        <w:pStyle w:val="NormalWeb"/>
        <w:shd w:val="clear" w:color="auto" w:fill="FFFFFF"/>
        <w:spacing w:before="0" w:beforeAutospacing="0" w:after="0" w:afterAutospacing="0"/>
        <w:jc w:val="both"/>
        <w:rPr>
          <w:color w:val="1E1E1E"/>
        </w:rPr>
      </w:pPr>
      <w:r>
        <w:rPr>
          <w:color w:val="1E1E1E"/>
        </w:rPr>
        <w:t>(Por Leonel Itaussu Almeida Mello)</w:t>
      </w:r>
      <w:r w:rsidRPr="00CC2BE2">
        <w:rPr>
          <w:color w:val="1E1E1E"/>
        </w:rPr>
        <w:cr/>
      </w:r>
    </w:p>
    <w:p w:rsidR="00732791" w:rsidRDefault="00732791" w:rsidP="00732791">
      <w:pPr>
        <w:pStyle w:val="NormalWeb"/>
        <w:shd w:val="clear" w:color="auto" w:fill="FFFFFF"/>
        <w:spacing w:before="0" w:beforeAutospacing="0" w:after="0" w:afterAutospacing="0"/>
        <w:jc w:val="both"/>
        <w:rPr>
          <w:color w:val="1E1E1E"/>
        </w:rPr>
      </w:pPr>
      <w:r>
        <w:rPr>
          <w:color w:val="1E1E1E"/>
        </w:rPr>
        <w:t>(…)</w:t>
      </w:r>
    </w:p>
    <w:p w:rsidR="00732791" w:rsidRDefault="00732791" w:rsidP="00732791">
      <w:pPr>
        <w:pStyle w:val="NormalWeb"/>
        <w:shd w:val="clear" w:color="auto" w:fill="FFFFFF"/>
        <w:spacing w:before="0" w:beforeAutospacing="0" w:after="0" w:afterAutospacing="0"/>
        <w:jc w:val="both"/>
        <w:rPr>
          <w:color w:val="1E1E1E"/>
        </w:rPr>
      </w:pPr>
    </w:p>
    <w:p w:rsidR="00732791" w:rsidRDefault="00732791" w:rsidP="00732791">
      <w:pPr>
        <w:pStyle w:val="NormalWeb"/>
        <w:shd w:val="clear" w:color="auto" w:fill="FFFFFF"/>
        <w:spacing w:before="0" w:beforeAutospacing="0" w:after="0" w:afterAutospacing="0"/>
        <w:jc w:val="both"/>
      </w:pPr>
      <w:r>
        <w:t xml:space="preserve">En el ámbito de las relaciones bilaterales, cada país produjo para sí una autoimagen idealizada y construyó del otro una visión prejuiciosa, reflejando ambas -parcialmente- el descompás existente entre los procesos de desarrollo brasileño y argentino. En la percepción de Argentina, Brasil era el portador de una irrefrenable vocación expansionista, heredada del “espíritu bandeirante” y de la geofagia lusitana; en la percepción brasileña, la Argentina cultivaba un ethos irredentista, cuyo sueño era la restauración del antiguo Virreinato del Río de la Plata hegemonizado por Buenos Aires. Alimentadas por esos estereotipos desde el inicio del siglo XIX, las relaciones entre los dos países oscilaron de manera pendular entre el conflicto y la cooperación.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Durante la Guerra Fría de los años ‘50, simultáneamente al recrudecimiento de la tensión entre los vecinos de la cuenca del Plata, el general Golbery del Couto y Silva alardeaba en sus escritos geopolíticos, a causa de la inserción del Brasil en el mundo cristiano occidental y su alineamiento proamericano en el antagonismo dominante entre el este y el oeste. Confrontando la política de la Tercera Posición del peronismo argentino, Golbery le proponía a Washington una “negociación leal”: el Brasil asumiría una posición de alineamiento estratégico con los Estados Unidos en el conflicto este-oeste y, a cambio, obtendría un reconocimiento de su supuesto derecho a un “destino manifiesto” en el Atlántico Sur (Couto y Silva, 1967: 50-52).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El clima de animosidad predominante entre los dos países de la cuenca del Plata se materializaba en la tensión fronteriza que aumentaba con el desplazamiento de la línea divisoria del oeste para el sur, reflejando la coali</w:t>
      </w:r>
      <w:r w:rsidR="001435F9">
        <w:t>ción de los intereses brasileño-</w:t>
      </w:r>
      <w:r>
        <w:t xml:space="preserve">argentinos en su lucha por la preponderancia en los países mediterráneos del Río de la Plata: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“Más o menos tributarios de la Argentina, oscilando entre la desconfianza, el resentimiento y la admiración y pungidos por una dependencia económica indiscutible -Paraguay y Bolivia, “prisioneros geopolíticos”, más el primero que la segunda- valen mucho por su posición geográfica en el flanco abierto y vulnerable del Brasil meridional y central y constituyen, sobre to298 do por su inestabilidad política y económica, indisimulables zonas de fricción externa donde podrían llegar a colisionar, voluntaria o involuntariamente, los intereses brasileños y argentinos” (Couto e Silva, 1967: 55).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La tensión creciente alcanzaba su punto más álgido en la frontera extremomeridional, donde se enfrentaron en el pasado las fuerzas lusas y castellanas y colisionan en el presente las </w:t>
      </w:r>
      <w:r>
        <w:lastRenderedPageBreak/>
        <w:t xml:space="preserve">pretensiones brasileñas y argentinas. De acuerdo con el autor, esa área constituía una “zona de vulnerabilidad máxima”, expuesta a acciones adversas entre sí de origen regional.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La cita que incluyo más abajo es emblemática del ethos conflictivo y de la percepción ideológica deformante que, atenuados por hiatos de cooperación, resurgirán en la década del ‘70 cuando la desconfianza recíproca vuelva a ser la nota dominante del discurso de los sectores civiles y militares de ambos países: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“Pero es bien más al sur (donde Uruguay -geográficamente medio brasileño y medio platense- continúa viviendo y prosperando gallardamente en su histórico papel de Estado tapón, donde Las Misiones avanzan como una cuña hacia el nordeste modelando el cuello de Santa Catarina) que se define la línea de tensión máxima del campo sudamericano. Esta línea, reforzada por la proximidad mayor de los centros de fuerza potencialmente antagónicos, su dinamismo y potencial superiores, la tradición de choques y conflictos que vienen desde su pasado colonial y, por último, si bien no menos importante, una aspiración hegemónica alimentada más allá del Río de la Plata por una propaganda tenaz e incansable desde los días ya lejanos de Rosas. Ahí, donde no hay barreras que valgan, se encuentra, pues, nuestra verdadera frontera viva (...)” (Couto e Silva, 1967: 58).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A su vez, el clima de confrontación de los años ‘70, centrado en la polémica cuestión de Itaipú, cedería el lugar, en la década del ‘90, a una nueva fase de cooperación entre los dos países. A lo largo de esas tres décadas, las relaciones bilaterales brasileño-argentinas pasaron por tres etapas sucesivas: competencia, distensión e integración. Los años 1973, 1979 y 19</w:t>
      </w:r>
      <w:r w:rsidR="001435F9">
        <w:t>86 señalan los eventos político-</w:t>
      </w:r>
      <w:r>
        <w:t xml:space="preserve">diplomáticos que, analizados retrospectivamente, se destacan como los principales momentos de inflexión de cada una de las mencionadas etapas: el Tratado de Itaipú, el Acuerdo Tripartito y el Acta de Integración.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En 1973, las relaciones brasileño argentinas se centraron en una dinámica de abierta competencia, y esto en razón de la firma del T</w:t>
      </w:r>
      <w:r w:rsidR="007D67F3">
        <w:t>ratado de Itaipú con Paraguay</w:t>
      </w:r>
      <w:r>
        <w:t xml:space="preserve">, estado amortizador de las tensiones entre los dos grandes vecinos y país mediterráneo geoestratégicamente situado a caballo del sistema fluvial de la cuenca del Plata. En rigor, las divergencias bilaterales se venían agravando veladamente desde 1971, cuando la política brasileña de “fronteras ideológicas” entró en abierta colisión con la diplomacia argentina de “convivencia en el pluralismo ideológico”, puesta en práctica por el gobierno de Lanusse con el objeto de contrabalancear la proyección de Brasil en el subcontinente. La construcción de una gigantesca usina binacional a 17 kilómetros de la frontera de Argentina y el riesgo de un completo alineamiento paraguayo a la política brasileña, vistos por Buenos Aires como una seria amenaza al equilibrio geopolítico del Plata, se transformaron en el centro de la discordia entre ambos países durante la década de 1970.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En 1979, la negociación de un Acuerdo Tripartito (firmado también por el Paraguay) compatibilizó técnicamente las usinas de Itaipú y Corpus, situadas en el Paraná, río arriba, abriéndose así una nueva fase de distensión de las relaciones brasileño argentinas. Al solucionar el conflicto diplomático geopolítico en la región de la cuenca del Plata y al asegurar el espacio necesario para la manutención de la tradicional pendularidad paraguaya, la solución de la denominada “cuestión de Itaipú” propició la normalización de las relaciones brasileño-argentinas y el reemprendimiento de la cooperación bilateral en el comienzo de la década de 1980.</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lastRenderedPageBreak/>
        <w:t xml:space="preserve">En 1986, la firma del Acta y de los Protocolos oficializó el proyecto de integración económica bilateral y de cooperación multisectorial, a ser viabilizado de forma gradual, equilibrada y mutuamente ventajosa. Junto con el desarrollo económico y la modernización científica y tecnológica, otra importante dimensión del proyecto integrador fue el compromiso político asumido por los nuevos socios con la consolidación del recién instaurado régimen democrático. Apartir de allí, la implementación del proceso de integración bilateral delineó la matriz original que, con la adhesión de Uruguay y la democratización del Paraguay, sirvió de marco a la propuesta de creación de un mercado común de los países del Cono Sur -el Mercosur- , sacramentada a comienzos de 1991 con la firma del Tratado de Asunción .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El inicio del tercer milenio preanuncia el advenimiento de un nuevo sistema internacional denominado por Samuel Huntington como “unimultipolar”. Ese sistema internacional está marcado por el fin de la bipolaridad estratégico-militar este-oeste, consecuencia de la implosión del bloque socialista y del fin de la Unión Soviética; por la emergencia de una superpotencia global multidimensional (los Estados Unidos de América); por la creciente multipolaridad económico tecnológica, cuyos puntos focales son los Estados Unidos, la Unión Europea y el Japón; por la organización de los megabloques regionales, como el americano/canadiense/mexicano, el europeo occidental y el asiático oriental y por la profundización de la bisegmentación económica en torno del eje norte-sur que divide el planeta en dos submundos distintos: el desarrollado y el subdesarrollado.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En este contexto, la consolidación de un espacio geoeconómico brasileño argentino se torna una cuestión de la mayor relevancia, susceptible de producir repercusiones en el Río de la Plata -con la adhesión de Uruguay y de Paraguay- y también un gran impacto en los países de los sistemas andino y amazónico de América del Sur. El subcontinente sudamericano posee un área de 17 millones de km2, habitadas por 350 millones de personas, con un PBI de US$ 1,6 trillones y US$ 150 billones derivados de exportaciones.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pPr>
      <w:r>
        <w:t xml:space="preserve">Dentro de ese conjunto, el Mercosur forma, sumados los cuatro países miembros, un megabloque geoeconómico de casi 12 millones de km2 , poblado por más de 200 millones de habitantes, con un PBI superior a US$ 1 trillón, una renta per </w:t>
      </w:r>
      <w:r w:rsidR="007D67F3">
        <w:t>cápita</w:t>
      </w:r>
      <w:r>
        <w:t xml:space="preserve"> de US$ 5 mil, exportaciones equivalentes a US$ 90 billones e importaciones de US$ 100 billones. </w:t>
      </w:r>
    </w:p>
    <w:p w:rsidR="00732791" w:rsidRDefault="00732791" w:rsidP="00732791">
      <w:pPr>
        <w:pStyle w:val="NormalWeb"/>
        <w:shd w:val="clear" w:color="auto" w:fill="FFFFFF"/>
        <w:spacing w:before="0" w:beforeAutospacing="0" w:after="0" w:afterAutospacing="0"/>
        <w:jc w:val="both"/>
      </w:pPr>
    </w:p>
    <w:p w:rsidR="00732791" w:rsidRDefault="00732791" w:rsidP="00732791">
      <w:pPr>
        <w:pStyle w:val="NormalWeb"/>
        <w:shd w:val="clear" w:color="auto" w:fill="FFFFFF"/>
        <w:spacing w:before="0" w:beforeAutospacing="0" w:after="0" w:afterAutospacing="0"/>
        <w:jc w:val="both"/>
        <w:rPr>
          <w:color w:val="1E1E1E"/>
        </w:rPr>
      </w:pPr>
      <w:r>
        <w:t xml:space="preserve">En suma, el Mercosur representa aproximadamente dos tercios del potencial global -geográfico, demográfico y económico- de toda Sudamérica. No es poca cosa como punto de partida o plataforma de despegue. Para quien piensa como Simón Bolívar que “la patria es América”, el Mercosur fue, por el contrario, un buen comienzo, a despecho de las vicisitudes que empañan, por el momento, las relaciones brasileño-argentinas, del fantasma del ALCA que ronda el subcontinente meridional y de la crisis coyuntural que asola actualmente la unión aduanera de los países del Plata. En el final de la década del ‘70 el General Guglialmelli predijo que “(...) el Cono Sur podrá ser un punto de partida para la ulterior unidad latinoamericana y un núcleo de poder regional frente a los grandes centros de poder mundial”. A su vez, Juan Domingo Perón, que sabía de los manejos de la política, ya vaticinó mucho antes que el tercer milenio nos encontraría “unidos o dominados” ¡Quien viva, lo verá! </w:t>
      </w:r>
    </w:p>
    <w:p w:rsidR="00732791" w:rsidRDefault="00732791" w:rsidP="00732791">
      <w:pPr>
        <w:pStyle w:val="NormalWeb"/>
        <w:shd w:val="clear" w:color="auto" w:fill="FFFFFF"/>
        <w:spacing w:before="0" w:beforeAutospacing="0" w:after="0" w:afterAutospacing="0"/>
        <w:jc w:val="both"/>
        <w:rPr>
          <w:color w:val="1E1E1E"/>
        </w:rPr>
      </w:pPr>
    </w:p>
    <w:p w:rsidR="00732791" w:rsidRDefault="00732791" w:rsidP="00732791">
      <w:pPr>
        <w:pStyle w:val="NormalWeb"/>
        <w:shd w:val="clear" w:color="auto" w:fill="FFFFFF"/>
        <w:spacing w:before="0" w:beforeAutospacing="0" w:after="0" w:afterAutospacing="0"/>
        <w:jc w:val="both"/>
        <w:rPr>
          <w:b/>
          <w:color w:val="1E1E1E"/>
          <w:sz w:val="23"/>
          <w:szCs w:val="23"/>
        </w:rPr>
      </w:pPr>
    </w:p>
    <w:p w:rsidR="00732791" w:rsidRDefault="00732791" w:rsidP="00732791">
      <w:pPr>
        <w:pStyle w:val="NormalWeb"/>
        <w:shd w:val="clear" w:color="auto" w:fill="FFFFFF"/>
        <w:spacing w:before="0" w:beforeAutospacing="0" w:after="0" w:afterAutospacing="0"/>
        <w:jc w:val="both"/>
        <w:rPr>
          <w:b/>
          <w:color w:val="1E1E1E"/>
          <w:sz w:val="23"/>
          <w:szCs w:val="23"/>
        </w:rPr>
      </w:pPr>
    </w:p>
    <w:p w:rsidR="00732791" w:rsidRDefault="00732791" w:rsidP="00732791">
      <w:pPr>
        <w:pStyle w:val="NormalWeb"/>
        <w:shd w:val="clear" w:color="auto" w:fill="FFFFFF"/>
        <w:spacing w:before="0" w:beforeAutospacing="0" w:after="0" w:afterAutospacing="0"/>
        <w:jc w:val="both"/>
        <w:rPr>
          <w:b/>
          <w:color w:val="1E1E1E"/>
          <w:sz w:val="23"/>
          <w:szCs w:val="23"/>
        </w:rPr>
      </w:pPr>
      <w:r>
        <w:rPr>
          <w:b/>
          <w:color w:val="1E1E1E"/>
          <w:sz w:val="23"/>
          <w:szCs w:val="23"/>
        </w:rPr>
        <w:lastRenderedPageBreak/>
        <w:t>¿</w:t>
      </w:r>
      <w:r w:rsidRPr="00CC2BE2">
        <w:rPr>
          <w:b/>
          <w:color w:val="1E1E1E"/>
          <w:sz w:val="23"/>
          <w:szCs w:val="23"/>
        </w:rPr>
        <w:t>Y si en vez de “japonizarse”, la Unión Europea se “parag</w:t>
      </w:r>
      <w:r w:rsidR="004B6975">
        <w:rPr>
          <w:b/>
          <w:color w:val="1E1E1E"/>
          <w:sz w:val="23"/>
          <w:szCs w:val="23"/>
        </w:rPr>
        <w:t>uayisa” (sacando provecho de ambas</w:t>
      </w:r>
      <w:r>
        <w:rPr>
          <w:b/>
          <w:color w:val="1E1E1E"/>
          <w:sz w:val="23"/>
          <w:szCs w:val="23"/>
        </w:rPr>
        <w:t xml:space="preserve"> partes en</w:t>
      </w:r>
      <w:r w:rsidR="004B6975">
        <w:rPr>
          <w:b/>
          <w:color w:val="1E1E1E"/>
          <w:sz w:val="23"/>
          <w:szCs w:val="23"/>
        </w:rPr>
        <w:t xml:space="preserve"> el</w:t>
      </w:r>
      <w:r>
        <w:rPr>
          <w:b/>
          <w:color w:val="1E1E1E"/>
          <w:sz w:val="23"/>
          <w:szCs w:val="23"/>
        </w:rPr>
        <w:t xml:space="preserve"> conflicto: Estados Unidos</w:t>
      </w:r>
      <w:r w:rsidRPr="00CC2BE2">
        <w:rPr>
          <w:b/>
          <w:color w:val="1E1E1E"/>
          <w:sz w:val="23"/>
          <w:szCs w:val="23"/>
        </w:rPr>
        <w:t xml:space="preserve"> y China)</w:t>
      </w:r>
      <w:r>
        <w:rPr>
          <w:b/>
          <w:color w:val="1E1E1E"/>
          <w:sz w:val="23"/>
          <w:szCs w:val="23"/>
        </w:rPr>
        <w:t>?</w:t>
      </w:r>
    </w:p>
    <w:p w:rsidR="00732791" w:rsidRDefault="00732791" w:rsidP="00732791">
      <w:pPr>
        <w:pStyle w:val="NormalWeb"/>
        <w:shd w:val="clear" w:color="auto" w:fill="FFFFFF"/>
        <w:spacing w:before="0" w:beforeAutospacing="0" w:after="0" w:afterAutospacing="0"/>
        <w:jc w:val="both"/>
        <w:rPr>
          <w:b/>
          <w:color w:val="1E1E1E"/>
          <w:sz w:val="23"/>
          <w:szCs w:val="23"/>
        </w:rPr>
      </w:pPr>
    </w:p>
    <w:p w:rsidR="00732791" w:rsidRDefault="00732791" w:rsidP="00732791">
      <w:pPr>
        <w:pStyle w:val="NormalWeb"/>
        <w:shd w:val="clear" w:color="auto" w:fill="FFFFFF"/>
        <w:spacing w:before="0" w:beforeAutospacing="0" w:after="0" w:afterAutospacing="0"/>
        <w:jc w:val="both"/>
        <w:rPr>
          <w:color w:val="1E1E1E"/>
          <w:sz w:val="23"/>
          <w:szCs w:val="23"/>
        </w:rPr>
      </w:pPr>
      <w:r>
        <w:rPr>
          <w:color w:val="1E1E1E"/>
          <w:sz w:val="23"/>
          <w:szCs w:val="23"/>
        </w:rPr>
        <w:t>Paraguay, un país comparativamente pequeño, y menos desarrollado, que sus vecinos (Brasil y Argentina) ha sabido sacar ventaja de su posición estratégica, cada vez que su conformidad (aceptación, consentimiento</w:t>
      </w:r>
      <w:r w:rsidR="007D67F3">
        <w:rPr>
          <w:color w:val="1E1E1E"/>
          <w:sz w:val="23"/>
          <w:szCs w:val="23"/>
        </w:rPr>
        <w:t>, beneplácit</w:t>
      </w:r>
      <w:r>
        <w:rPr>
          <w:color w:val="1E1E1E"/>
          <w:sz w:val="23"/>
          <w:szCs w:val="23"/>
        </w:rPr>
        <w:t>o) fuera necesaria para la realización de un proyecto conjunto. En general las obras hidroeléctricas en cauces compartidos han sido el ámbito propicio.</w:t>
      </w:r>
    </w:p>
    <w:p w:rsidR="00732791" w:rsidRDefault="00732791" w:rsidP="00732791">
      <w:pPr>
        <w:pStyle w:val="NormalWeb"/>
        <w:shd w:val="clear" w:color="auto" w:fill="FFFFFF"/>
        <w:spacing w:before="0" w:beforeAutospacing="0" w:after="0" w:afterAutospacing="0"/>
        <w:jc w:val="both"/>
        <w:rPr>
          <w:color w:val="1E1E1E"/>
          <w:sz w:val="23"/>
          <w:szCs w:val="23"/>
        </w:rPr>
      </w:pPr>
    </w:p>
    <w:p w:rsidR="00732791" w:rsidRDefault="00732791" w:rsidP="00732791">
      <w:pPr>
        <w:pStyle w:val="NormalWeb"/>
        <w:shd w:val="clear" w:color="auto" w:fill="FFFFFF"/>
        <w:spacing w:before="0" w:beforeAutospacing="0" w:after="0" w:afterAutospacing="0"/>
        <w:jc w:val="both"/>
        <w:rPr>
          <w:color w:val="1E1E1E"/>
          <w:sz w:val="23"/>
          <w:szCs w:val="23"/>
        </w:rPr>
      </w:pPr>
      <w:r>
        <w:rPr>
          <w:color w:val="1E1E1E"/>
          <w:sz w:val="23"/>
          <w:szCs w:val="23"/>
        </w:rPr>
        <w:t>Su política diplomática (astucia, sagacidad, chantaje, regateo, picardía, filibusterismo… llámenlo como quieran) a lo largo de los años, ha sido: Brasil me ofrece esto: por ejemplo, dos turbinas gratis… Tú (Argentina), que me ofreces… Luego, vuelta a empezar: Argentina me ofrece, tres turbinas gratis… Tú (Brasil), si no espabilas, y me ofreces más, no me dejas otra alternativa que firmar con Argentina. Lo de las turbinas gratis, equivale a la posibilidad de venta de la energía producida por ellas al país líder del proyecto. Por supuesto que la totalidad de la obra la pagan los otros países (en este caso Brasil o Argentina). Paraguay saca beneficio por estar a la orilla del río.</w:t>
      </w:r>
    </w:p>
    <w:p w:rsidR="00732791" w:rsidRDefault="00732791" w:rsidP="00732791">
      <w:pPr>
        <w:pStyle w:val="NormalWeb"/>
        <w:shd w:val="clear" w:color="auto" w:fill="FFFFFF"/>
        <w:spacing w:before="0" w:beforeAutospacing="0" w:after="0" w:afterAutospacing="0"/>
        <w:jc w:val="both"/>
        <w:rPr>
          <w:color w:val="1E1E1E"/>
          <w:sz w:val="23"/>
          <w:szCs w:val="23"/>
        </w:rPr>
      </w:pPr>
    </w:p>
    <w:p w:rsidR="00732791" w:rsidRDefault="00732791" w:rsidP="00732791">
      <w:pPr>
        <w:pStyle w:val="NormalWeb"/>
        <w:shd w:val="clear" w:color="auto" w:fill="FFFFFF"/>
        <w:spacing w:before="0" w:beforeAutospacing="0" w:after="0" w:afterAutospacing="0"/>
        <w:jc w:val="both"/>
        <w:rPr>
          <w:color w:val="1E1E1E"/>
          <w:sz w:val="23"/>
          <w:szCs w:val="23"/>
        </w:rPr>
      </w:pPr>
      <w:r>
        <w:rPr>
          <w:color w:val="1E1E1E"/>
          <w:sz w:val="23"/>
          <w:szCs w:val="23"/>
        </w:rPr>
        <w:t xml:space="preserve">Ese juego se repite tantas veces como sea necesario, y los intereses enfrentados de Brasil y Argentina lo hagan posible. Al final, Paraguay se une al proyecto de Brasil o de Argentina, en función de su propio interés (aquel emprendimiento que le da más turbinas gratis). Ha habido casos en que Paraguay se asoció con Brasil en un </w:t>
      </w:r>
      <w:r w:rsidR="007D67F3">
        <w:rPr>
          <w:color w:val="1E1E1E"/>
          <w:sz w:val="23"/>
          <w:szCs w:val="23"/>
        </w:rPr>
        <w:t>emprendimiento</w:t>
      </w:r>
      <w:r>
        <w:rPr>
          <w:color w:val="1E1E1E"/>
          <w:sz w:val="23"/>
          <w:szCs w:val="23"/>
        </w:rPr>
        <w:t xml:space="preserve"> (río arriba) y con Argentina en otro (río abajo). Itaipú- Brasil, Yaciretá-Argentina. Lograron que el agua del río pasara dos veces por el mismo lugar  (el bolsillo de los paraguayos). O sea.  </w:t>
      </w:r>
    </w:p>
    <w:p w:rsidR="00732791" w:rsidRDefault="00732791" w:rsidP="00732791">
      <w:pPr>
        <w:pStyle w:val="NormalWeb"/>
        <w:shd w:val="clear" w:color="auto" w:fill="FFFFFF"/>
        <w:spacing w:before="0" w:beforeAutospacing="0" w:after="0" w:afterAutospacing="0"/>
        <w:jc w:val="both"/>
        <w:rPr>
          <w:color w:val="1E1E1E"/>
          <w:sz w:val="23"/>
          <w:szCs w:val="23"/>
        </w:rPr>
      </w:pPr>
    </w:p>
    <w:p w:rsidR="00732791" w:rsidRDefault="00732791" w:rsidP="00732791">
      <w:pPr>
        <w:pStyle w:val="NormalWeb"/>
        <w:shd w:val="clear" w:color="auto" w:fill="FFFFFF"/>
        <w:spacing w:before="0" w:beforeAutospacing="0" w:after="0" w:afterAutospacing="0"/>
        <w:jc w:val="both"/>
        <w:rPr>
          <w:color w:val="1E1E1E"/>
          <w:sz w:val="23"/>
          <w:szCs w:val="23"/>
        </w:rPr>
      </w:pPr>
      <w:r>
        <w:rPr>
          <w:color w:val="1E1E1E"/>
          <w:sz w:val="23"/>
          <w:szCs w:val="23"/>
        </w:rPr>
        <w:t>Tal vez, y digo tal vez, por humildad, y para no “robarle” la primicia (“ideica”) a los burócratas bruselenses, la Unión Europea podría jugar con su mercado (de 500 millones de consumidores, que aunque, “en vías de subdesarrollo”, lamentablemente, por las políticas multilateralistas, timoratas, cobardes, serviles, acomplejadas, de la Comisión Europea, sigue siendo el mayor mercado mundial), para negociar con los EEUU o China, intentando sacar ventaja de uno o del otro (o de los dos), como hace Paraguay con Brasil y Argentina.</w:t>
      </w:r>
    </w:p>
    <w:p w:rsidR="00732791" w:rsidRDefault="00732791" w:rsidP="00732791">
      <w:pPr>
        <w:pStyle w:val="NormalWeb"/>
        <w:shd w:val="clear" w:color="auto" w:fill="FFFFFF"/>
        <w:spacing w:before="0" w:beforeAutospacing="0" w:after="0" w:afterAutospacing="0"/>
        <w:jc w:val="both"/>
        <w:rPr>
          <w:color w:val="1E1E1E"/>
          <w:sz w:val="23"/>
          <w:szCs w:val="23"/>
        </w:rPr>
      </w:pPr>
    </w:p>
    <w:p w:rsidR="00732791" w:rsidRDefault="00732791" w:rsidP="00732791">
      <w:pPr>
        <w:pStyle w:val="NormalWeb"/>
        <w:shd w:val="clear" w:color="auto" w:fill="FFFFFF"/>
        <w:spacing w:before="0" w:beforeAutospacing="0" w:after="0" w:afterAutospacing="0"/>
        <w:jc w:val="both"/>
        <w:rPr>
          <w:color w:val="1E1E1E"/>
          <w:sz w:val="23"/>
          <w:szCs w:val="23"/>
        </w:rPr>
      </w:pPr>
      <w:r>
        <w:rPr>
          <w:color w:val="1E1E1E"/>
          <w:sz w:val="23"/>
          <w:szCs w:val="23"/>
        </w:rPr>
        <w:t>Con 500 millones de consumidores (la gran mayoría de clase media), hay mucho para negociar. Se pueden hacer convenios bilaterales, acuerdos de nación más favorecida, acuerdos de intercambio compensado… sacando las mayores ventajas posibles de una situación de privilegio.</w:t>
      </w:r>
    </w:p>
    <w:p w:rsidR="00732791" w:rsidRDefault="00732791" w:rsidP="00732791">
      <w:pPr>
        <w:pStyle w:val="NormalWeb"/>
        <w:shd w:val="clear" w:color="auto" w:fill="FFFFFF"/>
        <w:spacing w:before="0" w:beforeAutospacing="0" w:after="0" w:afterAutospacing="0"/>
        <w:jc w:val="both"/>
        <w:rPr>
          <w:color w:val="1E1E1E"/>
          <w:sz w:val="23"/>
          <w:szCs w:val="23"/>
        </w:rPr>
      </w:pPr>
    </w:p>
    <w:p w:rsidR="00732791" w:rsidRDefault="00732791" w:rsidP="00732791">
      <w:pPr>
        <w:pStyle w:val="NormalWeb"/>
        <w:shd w:val="clear" w:color="auto" w:fill="FFFFFF"/>
        <w:spacing w:before="0" w:beforeAutospacing="0" w:after="0" w:afterAutospacing="0"/>
        <w:jc w:val="both"/>
        <w:rPr>
          <w:color w:val="1E1E1E"/>
          <w:sz w:val="23"/>
          <w:szCs w:val="23"/>
        </w:rPr>
      </w:pPr>
      <w:r>
        <w:rPr>
          <w:color w:val="1E1E1E"/>
          <w:sz w:val="23"/>
          <w:szCs w:val="23"/>
        </w:rPr>
        <w:t xml:space="preserve">Tal vez, y digo tal vez, por humildad, y para no “robarle” la primicia (“ideica”) a los burócratas bruselenses. En vez de estar la Unión Europea, condenada a “japonizarse”, exista la posibilidad de “paraguayisarse”, e intentar subir en vez de bajar. Y ya de paso, mejorar las relaciones comerciales con Rusia (fin del veto), con Turquía (fin del cinismo), con América Latina (fin de respetar el jardín trasero de USA), y ya de paso, con África (al menos para evitar las pateras).  </w:t>
      </w:r>
    </w:p>
    <w:p w:rsidR="00732791" w:rsidRDefault="00732791" w:rsidP="00732791">
      <w:pPr>
        <w:pStyle w:val="NormalWeb"/>
        <w:shd w:val="clear" w:color="auto" w:fill="FFFFFF"/>
        <w:spacing w:before="0" w:beforeAutospacing="0" w:after="0" w:afterAutospacing="0"/>
        <w:jc w:val="both"/>
        <w:rPr>
          <w:color w:val="1E1E1E"/>
          <w:sz w:val="23"/>
          <w:szCs w:val="23"/>
        </w:rPr>
      </w:pPr>
    </w:p>
    <w:p w:rsidR="00732791" w:rsidRPr="009E7178" w:rsidRDefault="00732791" w:rsidP="00732791">
      <w:pPr>
        <w:pStyle w:val="NormalWeb"/>
        <w:shd w:val="clear" w:color="auto" w:fill="FFFFFF"/>
        <w:spacing w:before="0" w:beforeAutospacing="0" w:after="0" w:afterAutospacing="0"/>
        <w:jc w:val="both"/>
        <w:rPr>
          <w:color w:val="1E1E1E"/>
          <w:sz w:val="23"/>
          <w:szCs w:val="23"/>
        </w:rPr>
      </w:pPr>
      <w:r>
        <w:rPr>
          <w:color w:val="1E1E1E"/>
          <w:sz w:val="23"/>
          <w:szCs w:val="23"/>
        </w:rPr>
        <w:t xml:space="preserve">¿Posible? SI.  ¿Probable? LO DUDO. </w:t>
      </w:r>
      <w:r w:rsidRPr="007F2695">
        <w:rPr>
          <w:color w:val="1E1E1E"/>
          <w:sz w:val="23"/>
          <w:szCs w:val="23"/>
        </w:rPr>
        <w:t>Con estos mimbres no se</w:t>
      </w:r>
      <w:r>
        <w:rPr>
          <w:color w:val="1E1E1E"/>
          <w:sz w:val="23"/>
          <w:szCs w:val="23"/>
        </w:rPr>
        <w:t xml:space="preserve"> puede hacer más que este cesto</w:t>
      </w:r>
      <w:r w:rsidRPr="007F2695">
        <w:rPr>
          <w:color w:val="1E1E1E"/>
          <w:sz w:val="23"/>
          <w:szCs w:val="23"/>
        </w:rPr>
        <w:t>...</w:t>
      </w:r>
      <w:r>
        <w:rPr>
          <w:color w:val="1E1E1E"/>
          <w:sz w:val="23"/>
          <w:szCs w:val="23"/>
        </w:rPr>
        <w:t xml:space="preserve"> Aunque sería </w:t>
      </w:r>
      <w:r w:rsidR="007D67F3">
        <w:rPr>
          <w:color w:val="1E1E1E"/>
          <w:sz w:val="23"/>
          <w:szCs w:val="23"/>
        </w:rPr>
        <w:t>deseable</w:t>
      </w:r>
      <w:r>
        <w:rPr>
          <w:color w:val="1E1E1E"/>
          <w:sz w:val="23"/>
          <w:szCs w:val="23"/>
        </w:rPr>
        <w:t xml:space="preserve"> que la nueva Comisión Europea (Parlamento, Comisión, y Consejo) obre el milagro de la autonomía, la soberanía y la</w:t>
      </w:r>
      <w:r w:rsidR="004B6975">
        <w:rPr>
          <w:color w:val="1E1E1E"/>
          <w:sz w:val="23"/>
          <w:szCs w:val="23"/>
        </w:rPr>
        <w:t xml:space="preserve"> independencia económica de Europa</w:t>
      </w:r>
      <w:r>
        <w:rPr>
          <w:color w:val="1E1E1E"/>
          <w:sz w:val="23"/>
          <w:szCs w:val="23"/>
        </w:rPr>
        <w:t>. Oremos.</w:t>
      </w:r>
    </w:p>
    <w:p w:rsidR="00732791" w:rsidRDefault="00732791" w:rsidP="00732791">
      <w:pPr>
        <w:pStyle w:val="NormalWeb"/>
        <w:shd w:val="clear" w:color="auto" w:fill="FFFFFF"/>
        <w:spacing w:before="0" w:beforeAutospacing="0" w:after="0" w:afterAutospacing="0"/>
        <w:jc w:val="both"/>
        <w:rPr>
          <w:b/>
          <w:color w:val="FF0000"/>
          <w:sz w:val="23"/>
          <w:szCs w:val="23"/>
        </w:rPr>
      </w:pPr>
    </w:p>
    <w:p w:rsidR="00732791" w:rsidRDefault="00732791" w:rsidP="00732791">
      <w:pPr>
        <w:pStyle w:val="NormalWeb"/>
        <w:shd w:val="clear" w:color="auto" w:fill="FFFFFF"/>
        <w:spacing w:before="0" w:beforeAutospacing="0" w:after="0" w:afterAutospacing="0"/>
        <w:jc w:val="both"/>
        <w:rPr>
          <w:b/>
          <w:sz w:val="23"/>
          <w:szCs w:val="23"/>
        </w:rPr>
      </w:pPr>
      <w:r w:rsidRPr="00A159C6">
        <w:rPr>
          <w:b/>
          <w:sz w:val="23"/>
          <w:szCs w:val="23"/>
        </w:rPr>
        <w:t>Otra opción (s</w:t>
      </w:r>
      <w:r w:rsidR="00903D67">
        <w:rPr>
          <w:b/>
          <w:sz w:val="23"/>
          <w:szCs w:val="23"/>
        </w:rPr>
        <w:t>umándose</w:t>
      </w:r>
      <w:r>
        <w:rPr>
          <w:b/>
          <w:sz w:val="23"/>
          <w:szCs w:val="23"/>
        </w:rPr>
        <w:t xml:space="preserve"> a la “moda” </w:t>
      </w:r>
      <w:r w:rsidR="001435F9">
        <w:rPr>
          <w:b/>
          <w:sz w:val="23"/>
          <w:szCs w:val="23"/>
        </w:rPr>
        <w:t>Trump</w:t>
      </w:r>
      <w:r w:rsidRPr="00A159C6">
        <w:rPr>
          <w:b/>
          <w:sz w:val="23"/>
          <w:szCs w:val="23"/>
        </w:rPr>
        <w:t xml:space="preserve">): adoptar una política </w:t>
      </w:r>
      <w:r>
        <w:rPr>
          <w:b/>
          <w:sz w:val="23"/>
          <w:szCs w:val="23"/>
        </w:rPr>
        <w:t>“</w:t>
      </w:r>
      <w:r w:rsidRPr="00A159C6">
        <w:rPr>
          <w:b/>
          <w:sz w:val="23"/>
          <w:szCs w:val="23"/>
        </w:rPr>
        <w:t>proteccionista</w:t>
      </w:r>
      <w:r>
        <w:rPr>
          <w:b/>
          <w:sz w:val="23"/>
          <w:szCs w:val="23"/>
        </w:rPr>
        <w:t>”</w:t>
      </w:r>
    </w:p>
    <w:p w:rsidR="00732791" w:rsidRDefault="00732791" w:rsidP="00732791">
      <w:pPr>
        <w:pStyle w:val="NormalWeb"/>
        <w:shd w:val="clear" w:color="auto" w:fill="FFFFFF"/>
        <w:spacing w:before="0" w:beforeAutospacing="0" w:after="0" w:afterAutospacing="0"/>
        <w:jc w:val="both"/>
        <w:rPr>
          <w:b/>
          <w:sz w:val="23"/>
          <w:szCs w:val="23"/>
        </w:rPr>
      </w:pPr>
    </w:p>
    <w:p w:rsidR="00732791" w:rsidRDefault="00732791" w:rsidP="00732791">
      <w:pPr>
        <w:pStyle w:val="NormalWeb"/>
        <w:shd w:val="clear" w:color="auto" w:fill="FFFFFF"/>
        <w:spacing w:before="0" w:beforeAutospacing="0" w:after="0" w:afterAutospacing="0"/>
        <w:jc w:val="both"/>
        <w:rPr>
          <w:sz w:val="23"/>
          <w:szCs w:val="23"/>
        </w:rPr>
      </w:pPr>
      <w:r>
        <w:rPr>
          <w:sz w:val="23"/>
          <w:szCs w:val="23"/>
        </w:rPr>
        <w:t>No hay nada que inventar. Ya está todo escrito. A los sumo hay que volver a leer (o leer por primera vez) y entender (eso, ya es más difícil) lo escrito por Friedrich List: “Sistema nacional de economía política” (1841), que para más inri era alemán. Les dejo un párrafo sobre las estrategias de desarrollo:</w:t>
      </w:r>
    </w:p>
    <w:p w:rsidR="00732791" w:rsidRDefault="00732791" w:rsidP="00732791">
      <w:pPr>
        <w:pStyle w:val="NormalWeb"/>
        <w:shd w:val="clear" w:color="auto" w:fill="FFFFFF"/>
        <w:spacing w:before="0" w:beforeAutospacing="0" w:after="0" w:afterAutospacing="0"/>
        <w:jc w:val="both"/>
        <w:rPr>
          <w:sz w:val="23"/>
          <w:szCs w:val="23"/>
        </w:rPr>
      </w:pPr>
    </w:p>
    <w:p w:rsidR="00732791" w:rsidRDefault="00732791" w:rsidP="00732791">
      <w:pPr>
        <w:pStyle w:val="NormalWeb"/>
        <w:shd w:val="clear" w:color="auto" w:fill="FFFFFF"/>
        <w:spacing w:before="0" w:beforeAutospacing="0" w:after="0" w:afterAutospacing="0"/>
        <w:jc w:val="both"/>
        <w:rPr>
          <w:i/>
          <w:sz w:val="23"/>
          <w:szCs w:val="23"/>
        </w:rPr>
      </w:pPr>
      <w:r w:rsidRPr="001C10B0">
        <w:rPr>
          <w:i/>
          <w:sz w:val="23"/>
          <w:szCs w:val="23"/>
        </w:rPr>
        <w:lastRenderedPageBreak/>
        <w:t>(…) “La historia ofrece ejemplos de naciones que han sucumbido porque no supieron resolver a tiempo la gran misión de asegurar su independencia intelectual, económica y política</w:t>
      </w:r>
      <w:r w:rsidR="007D67F3">
        <w:rPr>
          <w:i/>
          <w:sz w:val="23"/>
          <w:szCs w:val="23"/>
        </w:rPr>
        <w:t>, estableciendo manufacturas pro</w:t>
      </w:r>
      <w:r w:rsidRPr="001C10B0">
        <w:rPr>
          <w:i/>
          <w:sz w:val="23"/>
          <w:szCs w:val="23"/>
        </w:rPr>
        <w:t>pias y un vigoroso estamento industrial y mercantil”… (…)</w:t>
      </w:r>
    </w:p>
    <w:p w:rsidR="00732791" w:rsidRDefault="00732791" w:rsidP="00732791">
      <w:pPr>
        <w:pStyle w:val="NormalWeb"/>
        <w:shd w:val="clear" w:color="auto" w:fill="FFFFFF"/>
        <w:spacing w:before="0" w:beforeAutospacing="0" w:after="0" w:afterAutospacing="0"/>
        <w:jc w:val="both"/>
        <w:rPr>
          <w:sz w:val="23"/>
          <w:szCs w:val="23"/>
        </w:rPr>
      </w:pPr>
    </w:p>
    <w:p w:rsidR="00732791" w:rsidRDefault="00732791" w:rsidP="00732791">
      <w:pPr>
        <w:pStyle w:val="NormalWeb"/>
        <w:shd w:val="clear" w:color="auto" w:fill="FFFFFF"/>
        <w:spacing w:before="0" w:beforeAutospacing="0" w:after="0" w:afterAutospacing="0"/>
        <w:jc w:val="both"/>
        <w:rPr>
          <w:sz w:val="23"/>
          <w:szCs w:val="23"/>
        </w:rPr>
      </w:pPr>
      <w:r>
        <w:rPr>
          <w:sz w:val="23"/>
          <w:szCs w:val="23"/>
        </w:rPr>
        <w:t>¿Cuál es la contribución de List al pensamiento económico?</w:t>
      </w:r>
    </w:p>
    <w:p w:rsidR="00732791" w:rsidRDefault="00732791" w:rsidP="00732791">
      <w:pPr>
        <w:pStyle w:val="NormalWeb"/>
        <w:shd w:val="clear" w:color="auto" w:fill="FFFFFF"/>
        <w:spacing w:before="0" w:beforeAutospacing="0" w:after="0" w:afterAutospacing="0"/>
        <w:jc w:val="both"/>
        <w:rPr>
          <w:sz w:val="23"/>
          <w:szCs w:val="23"/>
        </w:rPr>
      </w:pPr>
    </w:p>
    <w:p w:rsidR="00732791" w:rsidRDefault="00732791" w:rsidP="00732791">
      <w:pPr>
        <w:pStyle w:val="NormalWeb"/>
        <w:shd w:val="clear" w:color="auto" w:fill="FFFFFF"/>
        <w:spacing w:before="0" w:beforeAutospacing="0" w:after="0" w:afterAutospacing="0"/>
        <w:jc w:val="both"/>
        <w:rPr>
          <w:sz w:val="23"/>
          <w:szCs w:val="23"/>
        </w:rPr>
      </w:pPr>
      <w:r>
        <w:rPr>
          <w:sz w:val="23"/>
          <w:szCs w:val="23"/>
        </w:rPr>
        <w:t>El mérito principal de la obra de List es el de plantear una estrategia integral alternativa de desarrollo económico, sustentado en una concepción diferente de comercio exterior. Formula una crítica a lo que él llama “la teoría dominante”, que es la tesis librecambista de Adam Smith y de Say.</w:t>
      </w:r>
    </w:p>
    <w:p w:rsidR="00732791" w:rsidRPr="00F17CB3" w:rsidRDefault="00732791" w:rsidP="00732791">
      <w:pPr>
        <w:pStyle w:val="NormalWeb"/>
        <w:shd w:val="clear" w:color="auto" w:fill="FFFFFF"/>
        <w:spacing w:after="0"/>
        <w:jc w:val="both"/>
        <w:rPr>
          <w:i/>
          <w:sz w:val="23"/>
          <w:szCs w:val="23"/>
        </w:rPr>
      </w:pPr>
      <w:r>
        <w:rPr>
          <w:sz w:val="23"/>
          <w:szCs w:val="23"/>
        </w:rPr>
        <w:t>Como dijo</w:t>
      </w:r>
      <w:r w:rsidRPr="00F17CB3">
        <w:rPr>
          <w:sz w:val="23"/>
          <w:szCs w:val="23"/>
        </w:rPr>
        <w:t xml:space="preserve"> oportunamente (l84l) </w:t>
      </w:r>
      <w:r w:rsidRPr="00F17CB3">
        <w:rPr>
          <w:i/>
          <w:sz w:val="23"/>
          <w:szCs w:val="23"/>
        </w:rPr>
        <w:t xml:space="preserve">“hemos conocido ejemplos de naciones que han perdido su independencia y hasta su existencia </w:t>
      </w:r>
      <w:r w:rsidR="007D67F3" w:rsidRPr="00F17CB3">
        <w:rPr>
          <w:i/>
          <w:sz w:val="23"/>
          <w:szCs w:val="23"/>
        </w:rPr>
        <w:t>política</w:t>
      </w:r>
      <w:r w:rsidRPr="00F17CB3">
        <w:rPr>
          <w:i/>
          <w:sz w:val="23"/>
          <w:szCs w:val="23"/>
        </w:rPr>
        <w:t xml:space="preserve"> precisamente porque sus sistemas comerciales no sirvieron de </w:t>
      </w:r>
      <w:r w:rsidR="007D67F3" w:rsidRPr="00F17CB3">
        <w:rPr>
          <w:i/>
          <w:sz w:val="23"/>
          <w:szCs w:val="23"/>
        </w:rPr>
        <w:t>estímulo</w:t>
      </w:r>
      <w:r w:rsidRPr="00F17CB3">
        <w:rPr>
          <w:i/>
          <w:sz w:val="23"/>
          <w:szCs w:val="23"/>
        </w:rPr>
        <w:t xml:space="preserve"> al desarrollo y robustecimiento de su nacionalidad....</w:t>
      </w:r>
    </w:p>
    <w:p w:rsidR="00732791" w:rsidRPr="00F17CB3" w:rsidRDefault="00732791" w:rsidP="00732791">
      <w:pPr>
        <w:pStyle w:val="NormalWeb"/>
        <w:shd w:val="clear" w:color="auto" w:fill="FFFFFF"/>
        <w:spacing w:after="0"/>
        <w:jc w:val="both"/>
        <w:rPr>
          <w:i/>
          <w:sz w:val="23"/>
          <w:szCs w:val="23"/>
        </w:rPr>
      </w:pPr>
      <w:r>
        <w:rPr>
          <w:i/>
          <w:sz w:val="23"/>
          <w:szCs w:val="23"/>
        </w:rPr>
        <w:t>...</w:t>
      </w:r>
      <w:r w:rsidRPr="00F17CB3">
        <w:rPr>
          <w:i/>
          <w:sz w:val="23"/>
          <w:szCs w:val="23"/>
        </w:rPr>
        <w:t xml:space="preserve">Cuanto </w:t>
      </w:r>
      <w:r w:rsidR="007D67F3" w:rsidRPr="00F17CB3">
        <w:rPr>
          <w:i/>
          <w:sz w:val="23"/>
          <w:szCs w:val="23"/>
        </w:rPr>
        <w:t>másrápidamente</w:t>
      </w:r>
      <w:r w:rsidRPr="00F17CB3">
        <w:rPr>
          <w:i/>
          <w:sz w:val="23"/>
          <w:szCs w:val="23"/>
        </w:rPr>
        <w:t xml:space="preserve"> progresa el </w:t>
      </w:r>
      <w:r w:rsidR="007D67F3" w:rsidRPr="00F17CB3">
        <w:rPr>
          <w:i/>
          <w:sz w:val="23"/>
          <w:szCs w:val="23"/>
        </w:rPr>
        <w:t>afán</w:t>
      </w:r>
      <w:r w:rsidRPr="00F17CB3">
        <w:rPr>
          <w:i/>
          <w:sz w:val="23"/>
          <w:szCs w:val="23"/>
        </w:rPr>
        <w:t xml:space="preserve"> inventivo de la industria y el </w:t>
      </w:r>
      <w:r w:rsidR="007D67F3" w:rsidRPr="00F17CB3">
        <w:rPr>
          <w:i/>
          <w:sz w:val="23"/>
          <w:szCs w:val="23"/>
        </w:rPr>
        <w:t>espíritu</w:t>
      </w:r>
      <w:r w:rsidRPr="00F17CB3">
        <w:rPr>
          <w:i/>
          <w:sz w:val="23"/>
          <w:szCs w:val="23"/>
        </w:rPr>
        <w:t xml:space="preserve"> de perfeccionamiento, el anhelo de la </w:t>
      </w:r>
      <w:r w:rsidR="007D67F3" w:rsidRPr="00F17CB3">
        <w:rPr>
          <w:i/>
          <w:sz w:val="23"/>
          <w:szCs w:val="23"/>
        </w:rPr>
        <w:t>integración</w:t>
      </w:r>
      <w:r w:rsidRPr="00F17CB3">
        <w:rPr>
          <w:i/>
          <w:sz w:val="23"/>
          <w:szCs w:val="23"/>
        </w:rPr>
        <w:t xml:space="preserve"> social y </w:t>
      </w:r>
      <w:r w:rsidR="007D67F3" w:rsidRPr="00F17CB3">
        <w:rPr>
          <w:i/>
          <w:sz w:val="23"/>
          <w:szCs w:val="23"/>
        </w:rPr>
        <w:t>política</w:t>
      </w:r>
      <w:r w:rsidRPr="00F17CB3">
        <w:rPr>
          <w:i/>
          <w:sz w:val="23"/>
          <w:szCs w:val="23"/>
        </w:rPr>
        <w:t xml:space="preserve">, tanto mayor es la distancia que existe entre las naciones estancadas y las progresistas, y es por lo tanto </w:t>
      </w:r>
      <w:r w:rsidR="007D67F3" w:rsidRPr="00F17CB3">
        <w:rPr>
          <w:i/>
          <w:sz w:val="23"/>
          <w:szCs w:val="23"/>
        </w:rPr>
        <w:t>m</w:t>
      </w:r>
      <w:r w:rsidR="007D67F3">
        <w:rPr>
          <w:i/>
          <w:sz w:val="23"/>
          <w:szCs w:val="23"/>
        </w:rPr>
        <w:t>ás</w:t>
      </w:r>
      <w:r>
        <w:rPr>
          <w:i/>
          <w:sz w:val="23"/>
          <w:szCs w:val="23"/>
        </w:rPr>
        <w:t xml:space="preserve"> peligroso quedarse </w:t>
      </w:r>
      <w:r w:rsidR="007D67F3">
        <w:rPr>
          <w:i/>
          <w:sz w:val="23"/>
          <w:szCs w:val="23"/>
        </w:rPr>
        <w:t>atrás</w:t>
      </w:r>
      <w:r>
        <w:rPr>
          <w:i/>
          <w:sz w:val="23"/>
          <w:szCs w:val="23"/>
        </w:rPr>
        <w:t>”...</w:t>
      </w:r>
    </w:p>
    <w:p w:rsidR="00732791" w:rsidRPr="00F17CB3" w:rsidRDefault="00732791" w:rsidP="00732791">
      <w:pPr>
        <w:pStyle w:val="NormalWeb"/>
        <w:shd w:val="clear" w:color="auto" w:fill="FFFFFF"/>
        <w:spacing w:after="0"/>
        <w:jc w:val="both"/>
        <w:rPr>
          <w:i/>
          <w:sz w:val="23"/>
          <w:szCs w:val="23"/>
        </w:rPr>
      </w:pPr>
      <w:r w:rsidRPr="00F17CB3">
        <w:rPr>
          <w:i/>
          <w:sz w:val="23"/>
          <w:szCs w:val="23"/>
        </w:rPr>
        <w:t xml:space="preserve">Los </w:t>
      </w:r>
      <w:r w:rsidR="007D67F3" w:rsidRPr="00F17CB3">
        <w:rPr>
          <w:i/>
          <w:sz w:val="23"/>
          <w:szCs w:val="23"/>
        </w:rPr>
        <w:t>países</w:t>
      </w:r>
      <w:r w:rsidRPr="00F17CB3">
        <w:rPr>
          <w:i/>
          <w:sz w:val="23"/>
          <w:szCs w:val="23"/>
        </w:rPr>
        <w:t xml:space="preserve"> que </w:t>
      </w:r>
      <w:r w:rsidR="007D67F3" w:rsidRPr="00F17CB3">
        <w:rPr>
          <w:i/>
          <w:sz w:val="23"/>
          <w:szCs w:val="23"/>
        </w:rPr>
        <w:t>reúnen</w:t>
      </w:r>
      <w:r w:rsidRPr="00F17CB3">
        <w:rPr>
          <w:i/>
          <w:sz w:val="23"/>
          <w:szCs w:val="23"/>
        </w:rPr>
        <w:t xml:space="preserve"> ciertas potencialidades, deben aplicar una estrategia de desarrollo integral, para alcanzar a los </w:t>
      </w:r>
      <w:r w:rsidR="007D67F3" w:rsidRPr="00F17CB3">
        <w:rPr>
          <w:i/>
          <w:sz w:val="23"/>
          <w:szCs w:val="23"/>
        </w:rPr>
        <w:t>paísesmás</w:t>
      </w:r>
      <w:r w:rsidRPr="00F17CB3">
        <w:rPr>
          <w:i/>
          <w:sz w:val="23"/>
          <w:szCs w:val="23"/>
        </w:rPr>
        <w:t xml:space="preserve"> avanzados, como factor de supervivencia nacional. Desde l841 a hoy este requerimiento no ha cambiado y -desgraciadamente- pocas veces ha sido -suficientemente- atendido.</w:t>
      </w:r>
    </w:p>
    <w:p w:rsidR="00732791" w:rsidRDefault="00732791" w:rsidP="00732791">
      <w:pPr>
        <w:pStyle w:val="NormalWeb"/>
        <w:shd w:val="clear" w:color="auto" w:fill="FFFFFF"/>
        <w:spacing w:before="0" w:beforeAutospacing="0" w:after="0" w:afterAutospacing="0"/>
        <w:jc w:val="both"/>
        <w:rPr>
          <w:i/>
          <w:sz w:val="23"/>
          <w:szCs w:val="23"/>
        </w:rPr>
      </w:pPr>
      <w:r>
        <w:rPr>
          <w:i/>
          <w:sz w:val="23"/>
          <w:szCs w:val="23"/>
        </w:rPr>
        <w:t>Si hubiera sido inglé</w:t>
      </w:r>
      <w:r w:rsidRPr="00F17CB3">
        <w:rPr>
          <w:i/>
          <w:sz w:val="23"/>
          <w:szCs w:val="23"/>
        </w:rPr>
        <w:t xml:space="preserve">s -en su momento, o americano,luego- </w:t>
      </w:r>
      <w:r w:rsidR="007D67F3" w:rsidRPr="00F17CB3">
        <w:rPr>
          <w:i/>
          <w:sz w:val="23"/>
          <w:szCs w:val="23"/>
        </w:rPr>
        <w:t>difícilmente</w:t>
      </w:r>
      <w:r w:rsidRPr="00F17CB3">
        <w:rPr>
          <w:i/>
          <w:sz w:val="23"/>
          <w:szCs w:val="23"/>
        </w:rPr>
        <w:t xml:space="preserve"> hubiera puesto en duda el principio fundamental de la </w:t>
      </w:r>
      <w:r w:rsidR="007D67F3" w:rsidRPr="00F17CB3">
        <w:rPr>
          <w:i/>
          <w:sz w:val="23"/>
          <w:szCs w:val="23"/>
        </w:rPr>
        <w:t>teoría</w:t>
      </w:r>
      <w:r w:rsidRPr="00F17CB3">
        <w:rPr>
          <w:i/>
          <w:sz w:val="23"/>
          <w:szCs w:val="23"/>
        </w:rPr>
        <w:t xml:space="preserve"> de Adam Smith. Desde Pitt hasta Melbourne su </w:t>
      </w:r>
      <w:r w:rsidR="007D67F3" w:rsidRPr="00F17CB3">
        <w:rPr>
          <w:i/>
          <w:sz w:val="23"/>
          <w:szCs w:val="23"/>
        </w:rPr>
        <w:t>teoríahabía</w:t>
      </w:r>
      <w:r w:rsidRPr="00F17CB3">
        <w:rPr>
          <w:i/>
          <w:sz w:val="23"/>
          <w:szCs w:val="23"/>
        </w:rPr>
        <w:t xml:space="preserve"> sido utilizada  por los ministros ingleses para echar tierra en los ojos de otras naciones</w:t>
      </w:r>
      <w:r>
        <w:rPr>
          <w:i/>
          <w:sz w:val="23"/>
          <w:szCs w:val="23"/>
        </w:rPr>
        <w:t xml:space="preserve">, en provecho de Inglaterra… </w:t>
      </w:r>
      <w:r w:rsidRPr="00F17CB3">
        <w:rPr>
          <w:i/>
          <w:sz w:val="23"/>
          <w:szCs w:val="23"/>
        </w:rPr>
        <w:t xml:space="preserve">de </w:t>
      </w:r>
      <w:r w:rsidR="007D67F3" w:rsidRPr="00F17CB3">
        <w:rPr>
          <w:i/>
          <w:sz w:val="23"/>
          <w:szCs w:val="23"/>
        </w:rPr>
        <w:t>algún</w:t>
      </w:r>
      <w:r w:rsidRPr="00F17CB3">
        <w:rPr>
          <w:i/>
          <w:sz w:val="23"/>
          <w:szCs w:val="23"/>
        </w:rPr>
        <w:t xml:space="preserve"> modo el libre cambio era un “caballo de Troya” que utilizaba Inglaterra.</w:t>
      </w:r>
    </w:p>
    <w:p w:rsidR="00732791" w:rsidRPr="00F17CB3" w:rsidRDefault="00732791" w:rsidP="00732791">
      <w:pPr>
        <w:pStyle w:val="NormalWeb"/>
        <w:shd w:val="clear" w:color="auto" w:fill="FFFFFF"/>
        <w:spacing w:after="0"/>
        <w:jc w:val="both"/>
        <w:rPr>
          <w:i/>
          <w:sz w:val="23"/>
          <w:szCs w:val="23"/>
        </w:rPr>
      </w:pPr>
      <w:r w:rsidRPr="00F17CB3">
        <w:rPr>
          <w:i/>
          <w:sz w:val="23"/>
          <w:szCs w:val="23"/>
        </w:rPr>
        <w:t xml:space="preserve">Anteriormente </w:t>
      </w:r>
      <w:r w:rsidR="007D67F3" w:rsidRPr="00F17CB3">
        <w:rPr>
          <w:i/>
          <w:sz w:val="23"/>
          <w:szCs w:val="23"/>
        </w:rPr>
        <w:t>decía</w:t>
      </w:r>
      <w:r w:rsidR="007D67F3">
        <w:rPr>
          <w:i/>
          <w:sz w:val="23"/>
          <w:szCs w:val="23"/>
        </w:rPr>
        <w:t xml:space="preserve"> que A</w:t>
      </w:r>
      <w:r w:rsidR="007D67F3" w:rsidRPr="00F17CB3">
        <w:rPr>
          <w:i/>
          <w:sz w:val="23"/>
          <w:szCs w:val="23"/>
        </w:rPr>
        <w:t>mérica</w:t>
      </w:r>
      <w:r w:rsidRPr="00F17CB3">
        <w:rPr>
          <w:i/>
          <w:sz w:val="23"/>
          <w:szCs w:val="23"/>
        </w:rPr>
        <w:t xml:space="preserve"> se </w:t>
      </w:r>
      <w:r w:rsidR="007D67F3" w:rsidRPr="00F17CB3">
        <w:rPr>
          <w:i/>
          <w:sz w:val="23"/>
          <w:szCs w:val="23"/>
        </w:rPr>
        <w:t>dejó</w:t>
      </w:r>
      <w:r w:rsidRPr="00F17CB3">
        <w:rPr>
          <w:i/>
          <w:sz w:val="23"/>
          <w:szCs w:val="23"/>
        </w:rPr>
        <w:t xml:space="preserve"> seducir (instigado por las promesas de la </w:t>
      </w:r>
      <w:r w:rsidR="007D67F3" w:rsidRPr="00F17CB3">
        <w:rPr>
          <w:i/>
          <w:sz w:val="23"/>
          <w:szCs w:val="23"/>
        </w:rPr>
        <w:t>teoría</w:t>
      </w:r>
      <w:r w:rsidRPr="00F17CB3">
        <w:rPr>
          <w:i/>
          <w:sz w:val="23"/>
          <w:szCs w:val="23"/>
        </w:rPr>
        <w:t xml:space="preserve">) y </w:t>
      </w:r>
      <w:r w:rsidR="007D67F3" w:rsidRPr="00F17CB3">
        <w:rPr>
          <w:i/>
          <w:sz w:val="23"/>
          <w:szCs w:val="23"/>
        </w:rPr>
        <w:t>abrió</w:t>
      </w:r>
      <w:r w:rsidRPr="00F17CB3">
        <w:rPr>
          <w:i/>
          <w:sz w:val="23"/>
          <w:szCs w:val="23"/>
        </w:rPr>
        <w:t xml:space="preserve"> sus puertas a las </w:t>
      </w:r>
      <w:r w:rsidR="007D67F3" w:rsidRPr="00F17CB3">
        <w:rPr>
          <w:i/>
          <w:sz w:val="23"/>
          <w:szCs w:val="23"/>
        </w:rPr>
        <w:t>mercaderías</w:t>
      </w:r>
      <w:r w:rsidRPr="00F17CB3">
        <w:rPr>
          <w:i/>
          <w:sz w:val="23"/>
          <w:szCs w:val="23"/>
        </w:rPr>
        <w:t xml:space="preserve"> inglesas. Y preguntaba: </w:t>
      </w:r>
      <w:r>
        <w:rPr>
          <w:i/>
          <w:sz w:val="23"/>
          <w:szCs w:val="23"/>
        </w:rPr>
        <w:t>¿qué</w:t>
      </w:r>
      <w:r w:rsidRPr="00F17CB3">
        <w:rPr>
          <w:i/>
          <w:sz w:val="23"/>
          <w:szCs w:val="23"/>
        </w:rPr>
        <w:t xml:space="preserve"> frutos repo</w:t>
      </w:r>
      <w:r>
        <w:rPr>
          <w:i/>
          <w:sz w:val="23"/>
          <w:szCs w:val="23"/>
        </w:rPr>
        <w:t xml:space="preserve">rto </w:t>
      </w:r>
      <w:r w:rsidR="007D67F3">
        <w:rPr>
          <w:i/>
          <w:sz w:val="23"/>
          <w:szCs w:val="23"/>
        </w:rPr>
        <w:t>allí</w:t>
      </w:r>
      <w:r>
        <w:rPr>
          <w:i/>
          <w:sz w:val="23"/>
          <w:szCs w:val="23"/>
        </w:rPr>
        <w:t xml:space="preserve"> la libre concurrencia?</w:t>
      </w:r>
      <w:r w:rsidRPr="00F17CB3">
        <w:rPr>
          <w:i/>
          <w:sz w:val="23"/>
          <w:szCs w:val="23"/>
        </w:rPr>
        <w:t xml:space="preserve">Respuesta: </w:t>
      </w:r>
      <w:r w:rsidR="007D67F3" w:rsidRPr="00F17CB3">
        <w:rPr>
          <w:i/>
          <w:sz w:val="23"/>
          <w:szCs w:val="23"/>
        </w:rPr>
        <w:t>convulsión</w:t>
      </w:r>
      <w:r w:rsidRPr="00F17CB3">
        <w:rPr>
          <w:i/>
          <w:sz w:val="23"/>
          <w:szCs w:val="23"/>
        </w:rPr>
        <w:t xml:space="preserve"> y ruina.</w:t>
      </w:r>
    </w:p>
    <w:p w:rsidR="00732791" w:rsidRPr="00F17CB3" w:rsidRDefault="00732791" w:rsidP="00732791">
      <w:pPr>
        <w:pStyle w:val="NormalWeb"/>
        <w:shd w:val="clear" w:color="auto" w:fill="FFFFFF"/>
        <w:spacing w:after="0"/>
        <w:jc w:val="both"/>
        <w:rPr>
          <w:i/>
          <w:sz w:val="23"/>
          <w:szCs w:val="23"/>
        </w:rPr>
      </w:pPr>
      <w:r w:rsidRPr="00F17CB3">
        <w:rPr>
          <w:i/>
          <w:sz w:val="23"/>
          <w:szCs w:val="23"/>
        </w:rPr>
        <w:t xml:space="preserve">Hoy, Europa que se deja seducir por las promesas de la </w:t>
      </w:r>
      <w:r w:rsidR="007D67F3" w:rsidRPr="00F17CB3">
        <w:rPr>
          <w:i/>
          <w:sz w:val="23"/>
          <w:szCs w:val="23"/>
        </w:rPr>
        <w:t>teoría</w:t>
      </w:r>
      <w:r w:rsidRPr="00F17CB3">
        <w:rPr>
          <w:i/>
          <w:sz w:val="23"/>
          <w:szCs w:val="23"/>
        </w:rPr>
        <w:t xml:space="preserve"> del libre cambio y abre sus puertas a las </w:t>
      </w:r>
      <w:r w:rsidR="007D67F3" w:rsidRPr="00F17CB3">
        <w:rPr>
          <w:i/>
          <w:sz w:val="23"/>
          <w:szCs w:val="23"/>
        </w:rPr>
        <w:t>mercancías</w:t>
      </w:r>
      <w:r w:rsidRPr="00F17CB3">
        <w:rPr>
          <w:i/>
          <w:sz w:val="23"/>
          <w:szCs w:val="23"/>
        </w:rPr>
        <w:t xml:space="preserve">, servicios y capitales </w:t>
      </w:r>
      <w:r>
        <w:rPr>
          <w:i/>
          <w:sz w:val="23"/>
          <w:szCs w:val="23"/>
        </w:rPr>
        <w:t>americanos, ¿qué frutos obtiene?</w:t>
      </w:r>
      <w:r w:rsidRPr="00F17CB3">
        <w:rPr>
          <w:i/>
          <w:sz w:val="23"/>
          <w:szCs w:val="23"/>
        </w:rPr>
        <w:t xml:space="preserve"> Respuesta: menor crecimiento </w:t>
      </w:r>
      <w:r w:rsidR="007D67F3" w:rsidRPr="00F17CB3">
        <w:rPr>
          <w:i/>
          <w:sz w:val="23"/>
          <w:szCs w:val="23"/>
        </w:rPr>
        <w:t>económico</w:t>
      </w:r>
      <w:r w:rsidRPr="00F17CB3">
        <w:rPr>
          <w:i/>
          <w:sz w:val="23"/>
          <w:szCs w:val="23"/>
        </w:rPr>
        <w:t xml:space="preserve"> y paro.</w:t>
      </w:r>
    </w:p>
    <w:p w:rsidR="00732791" w:rsidRPr="00944DEB" w:rsidRDefault="00732791" w:rsidP="00732791">
      <w:pPr>
        <w:pStyle w:val="NormalWeb"/>
        <w:shd w:val="clear" w:color="auto" w:fill="FFFFFF"/>
        <w:spacing w:after="0"/>
        <w:jc w:val="both"/>
        <w:rPr>
          <w:i/>
        </w:rPr>
      </w:pPr>
      <w:r w:rsidRPr="00944DEB">
        <w:rPr>
          <w:i/>
        </w:rPr>
        <w:t xml:space="preserve">El mismo dogma, la misma </w:t>
      </w:r>
      <w:r w:rsidR="007D67F3" w:rsidRPr="00944DEB">
        <w:rPr>
          <w:i/>
        </w:rPr>
        <w:t>teoría</w:t>
      </w:r>
      <w:r w:rsidRPr="00944DEB">
        <w:rPr>
          <w:i/>
        </w:rPr>
        <w:t>, las mismas preguntas, y -lamentablemente- las mismas respuestas. Solo han cambiado los interlocutores. Ahora America impera y Europa cede.</w:t>
      </w:r>
    </w:p>
    <w:p w:rsidR="00732791" w:rsidRPr="00944DEB" w:rsidRDefault="00732791" w:rsidP="00732791">
      <w:pPr>
        <w:pStyle w:val="NormalWeb"/>
        <w:shd w:val="clear" w:color="auto" w:fill="FFFFFF"/>
        <w:spacing w:after="0"/>
        <w:jc w:val="both"/>
        <w:rPr>
          <w:i/>
        </w:rPr>
      </w:pPr>
      <w:r w:rsidRPr="00944DEB">
        <w:rPr>
          <w:i/>
        </w:rPr>
        <w:t xml:space="preserve">Nadie ha resuelto el abismo entre la </w:t>
      </w:r>
      <w:r w:rsidR="007D67F3" w:rsidRPr="00944DEB">
        <w:rPr>
          <w:i/>
        </w:rPr>
        <w:t>teoría</w:t>
      </w:r>
      <w:r w:rsidRPr="00944DEB">
        <w:rPr>
          <w:i/>
        </w:rPr>
        <w:t xml:space="preserve"> y la práctica. Se aplica la misma medicina a todos los pacientes. Da lo mismo el grado de desarrollo alcanzado, las fuerzas productivas, </w:t>
      </w:r>
      <w:r w:rsidR="007D67F3" w:rsidRPr="00944DEB">
        <w:rPr>
          <w:i/>
        </w:rPr>
        <w:t>educación</w:t>
      </w:r>
      <w:r w:rsidRPr="00944DEB">
        <w:rPr>
          <w:i/>
        </w:rPr>
        <w:t xml:space="preserve">, cultura, y </w:t>
      </w:r>
      <w:r w:rsidR="007D67F3" w:rsidRPr="00944DEB">
        <w:rPr>
          <w:i/>
        </w:rPr>
        <w:t>evolución</w:t>
      </w:r>
      <w:r w:rsidRPr="00944DEB">
        <w:rPr>
          <w:i/>
        </w:rPr>
        <w:t xml:space="preserve"> social, en su caso. </w:t>
      </w:r>
    </w:p>
    <w:p w:rsidR="00732791" w:rsidRPr="00944DEB" w:rsidRDefault="00732791" w:rsidP="00732791">
      <w:pPr>
        <w:pStyle w:val="NormalWeb"/>
        <w:shd w:val="clear" w:color="auto" w:fill="FFFFFF"/>
        <w:spacing w:after="0"/>
        <w:jc w:val="both"/>
      </w:pPr>
      <w:r w:rsidRPr="00944DEB">
        <w:t>Si el enfermo no reacciona: “</w:t>
      </w:r>
      <w:r w:rsidR="007D67F3" w:rsidRPr="00944DEB">
        <w:t>más</w:t>
      </w:r>
      <w:r w:rsidRPr="00944DEB">
        <w:t xml:space="preserve"> mercado”. Si se pierde competitividad: “</w:t>
      </w:r>
      <w:r w:rsidR="007D67F3" w:rsidRPr="00944DEB">
        <w:t>más</w:t>
      </w:r>
      <w:r w:rsidRPr="00944DEB">
        <w:t xml:space="preserve"> mercado”. Si aumenta el paro: “</w:t>
      </w:r>
      <w:r w:rsidR="007D67F3" w:rsidRPr="00944DEB">
        <w:t>más</w:t>
      </w:r>
      <w:r w:rsidRPr="00944DEB">
        <w:t xml:space="preserve"> mercado”.</w:t>
      </w:r>
    </w:p>
    <w:p w:rsidR="00732791" w:rsidRPr="00944DEB" w:rsidRDefault="00732791" w:rsidP="00732791">
      <w:pPr>
        <w:pStyle w:val="NormalWeb"/>
        <w:shd w:val="clear" w:color="auto" w:fill="FFFFFF"/>
        <w:spacing w:after="0"/>
        <w:jc w:val="both"/>
      </w:pPr>
      <w:r w:rsidRPr="00944DEB">
        <w:t xml:space="preserve">El poder </w:t>
      </w:r>
      <w:r w:rsidR="007D67F3" w:rsidRPr="00944DEB">
        <w:t>político</w:t>
      </w:r>
      <w:r w:rsidRPr="00944DEB">
        <w:t xml:space="preserve"> no debe, ni puede intervenir. De otro modo </w:t>
      </w:r>
      <w:r w:rsidR="007D67F3" w:rsidRPr="00944DEB">
        <w:t>será</w:t>
      </w:r>
      <w:r w:rsidRPr="00944DEB">
        <w:t xml:space="preserve"> acusado de “arbitrista”, de poner trabas al progreso de la sociedad.</w:t>
      </w:r>
    </w:p>
    <w:p w:rsidR="00732791" w:rsidRPr="00944DEB" w:rsidRDefault="00732791" w:rsidP="00732791">
      <w:pPr>
        <w:pStyle w:val="NormalWeb"/>
        <w:shd w:val="clear" w:color="auto" w:fill="FFFFFF"/>
        <w:spacing w:after="0"/>
        <w:jc w:val="both"/>
      </w:pPr>
      <w:r w:rsidRPr="00944DEB">
        <w:lastRenderedPageBreak/>
        <w:t xml:space="preserve">La </w:t>
      </w:r>
      <w:r w:rsidR="007D67F3" w:rsidRPr="00944DEB">
        <w:t>globalización</w:t>
      </w:r>
      <w:r w:rsidRPr="00944DEB">
        <w:t>, el librecambio, la competitividad, solo exaltan la individualidad, la inequidad, y la insolidaridad. Para lograrlo deben aniquilar la nacionalidad.</w:t>
      </w:r>
    </w:p>
    <w:p w:rsidR="00732791" w:rsidRPr="00944DEB" w:rsidRDefault="00732791" w:rsidP="00732791">
      <w:pPr>
        <w:pStyle w:val="NormalWeb"/>
        <w:shd w:val="clear" w:color="auto" w:fill="FFFFFF"/>
        <w:spacing w:after="0"/>
        <w:jc w:val="both"/>
      </w:pPr>
      <w:r w:rsidRPr="00944DEB">
        <w:t>La aldea global salva a los ricos (incluso los libera de toda responsabilidad social) y condena a los pobres (consolidando su decadencia).</w:t>
      </w:r>
    </w:p>
    <w:p w:rsidR="00732791" w:rsidRPr="00944DEB" w:rsidRDefault="00732791" w:rsidP="00732791">
      <w:pPr>
        <w:pStyle w:val="NormalWeb"/>
        <w:shd w:val="clear" w:color="auto" w:fill="FFFFFF"/>
        <w:spacing w:after="0"/>
        <w:jc w:val="both"/>
      </w:pPr>
      <w:r w:rsidRPr="00944DEB">
        <w:t xml:space="preserve">Un sistema de </w:t>
      </w:r>
      <w:r w:rsidR="007D67F3" w:rsidRPr="00944DEB">
        <w:t>economías</w:t>
      </w:r>
      <w:r w:rsidRPr="00944DEB">
        <w:t xml:space="preserve"> privadas por sobre las fronteras nacionales o regionales imposibilita el progreso de la sociedad. Solo mejora las oportunidades de los elegidos, haciendo de esos “</w:t>
      </w:r>
      <w:r w:rsidR="007D67F3" w:rsidRPr="00944DEB">
        <w:t>ciudadanos</w:t>
      </w:r>
      <w:r w:rsidRPr="00944DEB">
        <w:t xml:space="preserve"> del mundo” un magma amoral, anacional, inimputable e ingobernable.</w:t>
      </w:r>
    </w:p>
    <w:p w:rsidR="00732791" w:rsidRPr="00944DEB" w:rsidRDefault="00732791" w:rsidP="00732791">
      <w:pPr>
        <w:pStyle w:val="NormalWeb"/>
        <w:shd w:val="clear" w:color="auto" w:fill="FFFFFF"/>
        <w:spacing w:after="0"/>
        <w:jc w:val="both"/>
      </w:pPr>
      <w:r w:rsidRPr="00944DEB">
        <w:t xml:space="preserve">Un “supra” mundo sin </w:t>
      </w:r>
      <w:r w:rsidR="007D67F3" w:rsidRPr="00944DEB">
        <w:t>límites</w:t>
      </w:r>
      <w:r w:rsidRPr="00944DEB">
        <w:t xml:space="preserve">, ni condicionamientos, unidos solo por la “doctrina de los negocios”, integrado por una </w:t>
      </w:r>
      <w:r w:rsidR="007D67F3" w:rsidRPr="00944DEB">
        <w:t>minoría</w:t>
      </w:r>
      <w:r w:rsidRPr="00944DEB">
        <w:t xml:space="preserve"> de “cientos”, con la “suma” del poder </w:t>
      </w:r>
      <w:r w:rsidR="007D67F3" w:rsidRPr="00944DEB">
        <w:t>económico</w:t>
      </w:r>
      <w:r w:rsidRPr="00944DEB">
        <w:t xml:space="preserve">; frente a los gobiernos regionales o nacionales </w:t>
      </w:r>
      <w:r w:rsidR="007D67F3" w:rsidRPr="00944DEB">
        <w:t>vacíos</w:t>
      </w:r>
      <w:r w:rsidRPr="00944DEB">
        <w:t xml:space="preserve"> de contenido, con dirigentes serviles, lacayos y genuflexos; y ante un coro de “miles de millones” de marginados, frustrados, negados y miserables “sopistas”, temporeros, pobres irrecuperables, ejercito de reserva, </w:t>
      </w:r>
      <w:r w:rsidR="007D67F3" w:rsidRPr="00944DEB">
        <w:t>útiles</w:t>
      </w:r>
      <w:r w:rsidRPr="00944DEB">
        <w:t xml:space="preserve"> solo como consumidores, espectadores, drogadictos o </w:t>
      </w:r>
      <w:r w:rsidR="007D67F3" w:rsidRPr="00944DEB">
        <w:t>alcohólicos</w:t>
      </w:r>
      <w:r w:rsidRPr="00944DEB">
        <w:t>.</w:t>
      </w:r>
    </w:p>
    <w:p w:rsidR="00732791" w:rsidRDefault="00732791" w:rsidP="00732791">
      <w:pPr>
        <w:pStyle w:val="NormalWeb"/>
        <w:shd w:val="clear" w:color="auto" w:fill="FFFFFF"/>
        <w:spacing w:before="0" w:beforeAutospacing="0" w:after="0" w:afterAutospacing="0"/>
        <w:jc w:val="both"/>
      </w:pPr>
      <w:r w:rsidRPr="00944DEB">
        <w:t xml:space="preserve">¿Es esto lo que nos ofrece la </w:t>
      </w:r>
      <w:r w:rsidR="007D67F3" w:rsidRPr="00944DEB">
        <w:t>teoría</w:t>
      </w:r>
      <w:r w:rsidRPr="00944DEB">
        <w:t xml:space="preserve"> dominante? ¿Este es el camino que se teme abandonar?</w:t>
      </w:r>
    </w:p>
    <w:p w:rsidR="00732791" w:rsidRPr="00944DEB" w:rsidRDefault="00732791" w:rsidP="00732791">
      <w:pPr>
        <w:pStyle w:val="NormalWeb"/>
        <w:shd w:val="clear" w:color="auto" w:fill="FFFFFF"/>
        <w:spacing w:before="0" w:beforeAutospacing="0" w:after="0" w:afterAutospacing="0"/>
        <w:jc w:val="both"/>
      </w:pP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No me gustan las enumeraciones exhaustivas; siempre resultan incompletas; pronto quedan obsoletas. Hablemos -con humilde animo de </w:t>
      </w:r>
      <w:r w:rsidR="007D67F3" w:rsidRPr="00944DEB">
        <w:rPr>
          <w:rFonts w:ascii="Times New Roman" w:hAnsi="Times New Roman" w:cs="Times New Roman"/>
          <w:sz w:val="24"/>
          <w:szCs w:val="24"/>
        </w:rPr>
        <w:t>contribución</w:t>
      </w:r>
      <w:r w:rsidRPr="00944DEB">
        <w:rPr>
          <w:rFonts w:ascii="Times New Roman" w:hAnsi="Times New Roman" w:cs="Times New Roman"/>
          <w:sz w:val="24"/>
          <w:szCs w:val="24"/>
        </w:rPr>
        <w:t>- de algunas de las -principales, a mi juicio- dificultades que plantean -o si usted</w:t>
      </w:r>
      <w:r>
        <w:rPr>
          <w:rFonts w:ascii="Times New Roman" w:hAnsi="Times New Roman" w:cs="Times New Roman"/>
          <w:sz w:val="24"/>
          <w:szCs w:val="24"/>
        </w:rPr>
        <w:t>es</w:t>
      </w:r>
      <w:r w:rsidRPr="00944DEB">
        <w:rPr>
          <w:rFonts w:ascii="Times New Roman" w:hAnsi="Times New Roman" w:cs="Times New Roman"/>
          <w:sz w:val="24"/>
          <w:szCs w:val="24"/>
        </w:rPr>
        <w:t xml:space="preserve"> prefiere</w:t>
      </w:r>
      <w:r>
        <w:rPr>
          <w:rFonts w:ascii="Times New Roman" w:hAnsi="Times New Roman" w:cs="Times New Roman"/>
          <w:sz w:val="24"/>
          <w:szCs w:val="24"/>
        </w:rPr>
        <w:t>n</w:t>
      </w:r>
      <w:r w:rsidRPr="00944DEB">
        <w:rPr>
          <w:rFonts w:ascii="Times New Roman" w:hAnsi="Times New Roman" w:cs="Times New Roman"/>
          <w:sz w:val="24"/>
          <w:szCs w:val="24"/>
        </w:rPr>
        <w:t xml:space="preserve">, evidencian- la </w:t>
      </w:r>
      <w:r w:rsidR="007D67F3" w:rsidRPr="00944DEB">
        <w:rPr>
          <w:rFonts w:ascii="Times New Roman" w:hAnsi="Times New Roman" w:cs="Times New Roman"/>
          <w:sz w:val="24"/>
          <w:szCs w:val="24"/>
        </w:rPr>
        <w:t>globalización</w:t>
      </w:r>
      <w:r w:rsidRPr="00944DEB">
        <w:rPr>
          <w:rFonts w:ascii="Times New Roman" w:hAnsi="Times New Roman" w:cs="Times New Roman"/>
          <w:sz w:val="24"/>
          <w:szCs w:val="24"/>
        </w:rPr>
        <w:t xml:space="preserve"> de los mercados.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Tomemos algunos ejemplos deportivos -para comenzar-: </w:t>
      </w:r>
      <w:r>
        <w:rPr>
          <w:rFonts w:ascii="Times New Roman" w:hAnsi="Times New Roman" w:cs="Times New Roman"/>
          <w:sz w:val="24"/>
          <w:szCs w:val="24"/>
        </w:rPr>
        <w:t>¿</w:t>
      </w:r>
      <w:r w:rsidR="007D67F3">
        <w:rPr>
          <w:rFonts w:ascii="Times New Roman" w:hAnsi="Times New Roman" w:cs="Times New Roman"/>
          <w:sz w:val="24"/>
          <w:szCs w:val="24"/>
        </w:rPr>
        <w:t>Por qué</w:t>
      </w:r>
      <w:r w:rsidRPr="00944DEB">
        <w:rPr>
          <w:rFonts w:ascii="Times New Roman" w:hAnsi="Times New Roman" w:cs="Times New Roman"/>
          <w:sz w:val="24"/>
          <w:szCs w:val="24"/>
        </w:rPr>
        <w:t xml:space="preserve"> existen dif</w:t>
      </w:r>
      <w:r>
        <w:rPr>
          <w:rFonts w:ascii="Times New Roman" w:hAnsi="Times New Roman" w:cs="Times New Roman"/>
          <w:sz w:val="24"/>
          <w:szCs w:val="24"/>
        </w:rPr>
        <w:t xml:space="preserve">erentes </w:t>
      </w:r>
      <w:r w:rsidR="00290C0D">
        <w:rPr>
          <w:rFonts w:ascii="Times New Roman" w:hAnsi="Times New Roman" w:cs="Times New Roman"/>
          <w:sz w:val="24"/>
          <w:szCs w:val="24"/>
        </w:rPr>
        <w:t>categorías</w:t>
      </w:r>
      <w:r>
        <w:rPr>
          <w:rFonts w:ascii="Times New Roman" w:hAnsi="Times New Roman" w:cs="Times New Roman"/>
          <w:sz w:val="24"/>
          <w:szCs w:val="24"/>
        </w:rPr>
        <w:t xml:space="preserve"> en el boxeo?</w:t>
      </w:r>
      <w:r w:rsidR="004B6975">
        <w:rPr>
          <w:rFonts w:ascii="Times New Roman" w:hAnsi="Times New Roman" w:cs="Times New Roman"/>
          <w:sz w:val="24"/>
          <w:szCs w:val="24"/>
        </w:rPr>
        <w:t>¿</w:t>
      </w:r>
      <w:r w:rsidR="007D67F3">
        <w:rPr>
          <w:rFonts w:ascii="Times New Roman" w:hAnsi="Times New Roman" w:cs="Times New Roman"/>
          <w:sz w:val="24"/>
          <w:szCs w:val="24"/>
        </w:rPr>
        <w:t>Por qué</w:t>
      </w:r>
      <w:r w:rsidRPr="00944DEB">
        <w:rPr>
          <w:rFonts w:ascii="Times New Roman" w:hAnsi="Times New Roman" w:cs="Times New Roman"/>
          <w:sz w:val="24"/>
          <w:szCs w:val="24"/>
        </w:rPr>
        <w:t xml:space="preserve"> existe el </w:t>
      </w:r>
      <w:r w:rsidR="00290C0D" w:rsidRPr="00944DEB">
        <w:rPr>
          <w:rFonts w:ascii="Times New Roman" w:hAnsi="Times New Roman" w:cs="Times New Roman"/>
          <w:sz w:val="24"/>
          <w:szCs w:val="24"/>
        </w:rPr>
        <w:t>há</w:t>
      </w:r>
      <w:r w:rsidR="00290C0D">
        <w:rPr>
          <w:rFonts w:ascii="Times New Roman" w:hAnsi="Times New Roman" w:cs="Times New Roman"/>
          <w:sz w:val="24"/>
          <w:szCs w:val="24"/>
        </w:rPr>
        <w:t>ndicap</w:t>
      </w:r>
      <w:r w:rsidR="004B6975">
        <w:rPr>
          <w:rFonts w:ascii="Times New Roman" w:hAnsi="Times New Roman" w:cs="Times New Roman"/>
          <w:sz w:val="24"/>
          <w:szCs w:val="24"/>
        </w:rPr>
        <w:t xml:space="preserve"> en el golf o en el polo?¿</w:t>
      </w:r>
      <w:r w:rsidR="007D67F3">
        <w:rPr>
          <w:rFonts w:ascii="Times New Roman" w:hAnsi="Times New Roman" w:cs="Times New Roman"/>
          <w:sz w:val="24"/>
          <w:szCs w:val="24"/>
        </w:rPr>
        <w:t>Por qué</w:t>
      </w:r>
      <w:r w:rsidRPr="00944DEB">
        <w:rPr>
          <w:rFonts w:ascii="Times New Roman" w:hAnsi="Times New Roman" w:cs="Times New Roman"/>
          <w:sz w:val="24"/>
          <w:szCs w:val="24"/>
        </w:rPr>
        <w:t xml:space="preserve"> en el turf a los jockeys se les agregan contrapesos</w:t>
      </w:r>
      <w:r w:rsidR="004B6975">
        <w:rPr>
          <w:rFonts w:ascii="Times New Roman" w:hAnsi="Times New Roman" w:cs="Times New Roman"/>
          <w:sz w:val="24"/>
          <w:szCs w:val="24"/>
        </w:rPr>
        <w:t xml:space="preserve"> en la montura de sus caballos?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La respuesta es: para igualar las chances.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En la lucha entre un boxeador de 100 kilogramos y otro de 60  kilogramos probablemente, a igualdad de cualidades deportivas y estado </w:t>
      </w:r>
      <w:r w:rsidR="007D67F3" w:rsidRPr="00944DEB">
        <w:rPr>
          <w:rFonts w:ascii="Times New Roman" w:hAnsi="Times New Roman" w:cs="Times New Roman"/>
          <w:sz w:val="24"/>
          <w:szCs w:val="24"/>
        </w:rPr>
        <w:t>físico</w:t>
      </w:r>
      <w:r w:rsidRPr="00944DEB">
        <w:rPr>
          <w:rFonts w:ascii="Times New Roman" w:hAnsi="Times New Roman" w:cs="Times New Roman"/>
          <w:sz w:val="24"/>
          <w:szCs w:val="24"/>
        </w:rPr>
        <w:t>, tenga ventajas el de mayor peso, envergadura y largo de brazos. Lo mismo, el jugador de golf con menos golpes bajo la par o el  polista mejor calificado o el jockey con menos peso.</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Estos sencillos ejemplos, me permiten iniciar el comentario sobre una de las desventajas o dificultades de la </w:t>
      </w:r>
      <w:r w:rsidR="007D67F3" w:rsidRPr="00944DEB">
        <w:rPr>
          <w:rFonts w:ascii="Times New Roman" w:hAnsi="Times New Roman" w:cs="Times New Roman"/>
          <w:sz w:val="24"/>
          <w:szCs w:val="24"/>
        </w:rPr>
        <w:t>globalizacióneconómica</w:t>
      </w:r>
      <w:r w:rsidRPr="00944DEB">
        <w:rPr>
          <w:rFonts w:ascii="Times New Roman" w:hAnsi="Times New Roman" w:cs="Times New Roman"/>
          <w:sz w:val="24"/>
          <w:szCs w:val="24"/>
        </w:rPr>
        <w:t xml:space="preserve">. Poner en igualdad competitiva a </w:t>
      </w:r>
      <w:r w:rsidR="007D67F3" w:rsidRPr="00944DEB">
        <w:rPr>
          <w:rFonts w:ascii="Times New Roman" w:hAnsi="Times New Roman" w:cs="Times New Roman"/>
          <w:sz w:val="24"/>
          <w:szCs w:val="24"/>
        </w:rPr>
        <w:t>países</w:t>
      </w:r>
      <w:r w:rsidRPr="00944DEB">
        <w:rPr>
          <w:rFonts w:ascii="Times New Roman" w:hAnsi="Times New Roman" w:cs="Times New Roman"/>
          <w:sz w:val="24"/>
          <w:szCs w:val="24"/>
        </w:rPr>
        <w:t xml:space="preserve"> que no tienen el mismo grado de competitividad. A algunos -los ganadores- les sobra peso, estado </w:t>
      </w:r>
      <w:r w:rsidR="007D67F3" w:rsidRPr="00944DEB">
        <w:rPr>
          <w:rFonts w:ascii="Times New Roman" w:hAnsi="Times New Roman" w:cs="Times New Roman"/>
          <w:sz w:val="24"/>
          <w:szCs w:val="24"/>
        </w:rPr>
        <w:t>físico</w:t>
      </w:r>
      <w:r w:rsidRPr="00944DEB">
        <w:rPr>
          <w:rFonts w:ascii="Times New Roman" w:hAnsi="Times New Roman" w:cs="Times New Roman"/>
          <w:sz w:val="24"/>
          <w:szCs w:val="24"/>
        </w:rPr>
        <w:t xml:space="preserve">, estructura muscular, </w:t>
      </w:r>
      <w:r w:rsidR="007D67F3" w:rsidRPr="00944DEB">
        <w:rPr>
          <w:rFonts w:ascii="Times New Roman" w:hAnsi="Times New Roman" w:cs="Times New Roman"/>
          <w:sz w:val="24"/>
          <w:szCs w:val="24"/>
        </w:rPr>
        <w:t>hándicap</w:t>
      </w:r>
      <w:r w:rsidRPr="00944DEB">
        <w:rPr>
          <w:rFonts w:ascii="Times New Roman" w:hAnsi="Times New Roman" w:cs="Times New Roman"/>
          <w:sz w:val="24"/>
          <w:szCs w:val="24"/>
        </w:rPr>
        <w:t>, y a otros -los perdedores- les falta todo para competir en igualdad de oportunidades.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En esas condiciones siempre </w:t>
      </w:r>
      <w:r w:rsidR="007D67F3" w:rsidRPr="00944DEB">
        <w:rPr>
          <w:rFonts w:ascii="Times New Roman" w:hAnsi="Times New Roman" w:cs="Times New Roman"/>
          <w:sz w:val="24"/>
          <w:szCs w:val="24"/>
        </w:rPr>
        <w:t>habrá</w:t>
      </w:r>
      <w:r w:rsidRPr="00944DEB">
        <w:rPr>
          <w:rFonts w:ascii="Times New Roman" w:hAnsi="Times New Roman" w:cs="Times New Roman"/>
          <w:sz w:val="24"/>
          <w:szCs w:val="24"/>
        </w:rPr>
        <w:t xml:space="preserve"> un seguro ganador. Y si hay uno y solo uno como seguro ganador estamos más cerca de una </w:t>
      </w:r>
      <w:r w:rsidR="007D67F3" w:rsidRPr="00944DEB">
        <w:rPr>
          <w:rFonts w:ascii="Times New Roman" w:hAnsi="Times New Roman" w:cs="Times New Roman"/>
          <w:sz w:val="24"/>
          <w:szCs w:val="24"/>
        </w:rPr>
        <w:t>situación</w:t>
      </w:r>
      <w:r w:rsidRPr="00944DEB">
        <w:rPr>
          <w:rFonts w:ascii="Times New Roman" w:hAnsi="Times New Roman" w:cs="Times New Roman"/>
          <w:sz w:val="24"/>
          <w:szCs w:val="24"/>
        </w:rPr>
        <w:t xml:space="preserve"> de monopolio que de una de libre competencia. </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No hay competencia, se termina el juego (</w:t>
      </w:r>
      <w:r w:rsidR="007D67F3" w:rsidRPr="00944DEB">
        <w:rPr>
          <w:rFonts w:ascii="Times New Roman" w:hAnsi="Times New Roman" w:cs="Times New Roman"/>
          <w:sz w:val="24"/>
          <w:szCs w:val="24"/>
        </w:rPr>
        <w:t>económico</w:t>
      </w:r>
      <w:r w:rsidRPr="00944DEB">
        <w:rPr>
          <w:rFonts w:ascii="Times New Roman" w:hAnsi="Times New Roman" w:cs="Times New Roman"/>
          <w:sz w:val="24"/>
          <w:szCs w:val="24"/>
        </w:rPr>
        <w:t>).</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ganador se lleva todo. Y el perdedor acelera su ruina.</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defensores del libre cambio -la “escuela” o “</w:t>
      </w:r>
      <w:r w:rsidR="007D67F3" w:rsidRPr="00944DEB">
        <w:rPr>
          <w:rFonts w:ascii="Times New Roman" w:hAnsi="Times New Roman" w:cs="Times New Roman"/>
          <w:sz w:val="24"/>
          <w:szCs w:val="24"/>
        </w:rPr>
        <w:t>teoría</w:t>
      </w:r>
      <w:r w:rsidRPr="00944DEB">
        <w:rPr>
          <w:rFonts w:ascii="Times New Roman" w:hAnsi="Times New Roman" w:cs="Times New Roman"/>
          <w:sz w:val="24"/>
          <w:szCs w:val="24"/>
        </w:rPr>
        <w:t xml:space="preserve"> dominante” </w:t>
      </w:r>
      <w:r w:rsidR="007D67F3" w:rsidRPr="00944DEB">
        <w:rPr>
          <w:rFonts w:ascii="Times New Roman" w:hAnsi="Times New Roman" w:cs="Times New Roman"/>
          <w:sz w:val="24"/>
          <w:szCs w:val="24"/>
        </w:rPr>
        <w:t>dirán</w:t>
      </w:r>
      <w:r w:rsidRPr="00944DEB">
        <w:rPr>
          <w:rFonts w:ascii="Times New Roman" w:hAnsi="Times New Roman" w:cs="Times New Roman"/>
          <w:sz w:val="24"/>
          <w:szCs w:val="24"/>
        </w:rPr>
        <w:t xml:space="preserve"> que la </w:t>
      </w:r>
      <w:r w:rsidR="007D67F3" w:rsidRPr="00944DEB">
        <w:rPr>
          <w:rFonts w:ascii="Times New Roman" w:hAnsi="Times New Roman" w:cs="Times New Roman"/>
          <w:sz w:val="24"/>
          <w:szCs w:val="24"/>
        </w:rPr>
        <w:t>globalización</w:t>
      </w:r>
      <w:r w:rsidRPr="00944DEB">
        <w:rPr>
          <w:rFonts w:ascii="Times New Roman" w:hAnsi="Times New Roman" w:cs="Times New Roman"/>
          <w:sz w:val="24"/>
          <w:szCs w:val="24"/>
        </w:rPr>
        <w:t xml:space="preserve"> beneficia al consumidor poniendo a su </w:t>
      </w:r>
      <w:r w:rsidR="007D67F3" w:rsidRPr="00944DEB">
        <w:rPr>
          <w:rFonts w:ascii="Times New Roman" w:hAnsi="Times New Roman" w:cs="Times New Roman"/>
          <w:sz w:val="24"/>
          <w:szCs w:val="24"/>
        </w:rPr>
        <w:t>disposición</w:t>
      </w:r>
      <w:r w:rsidRPr="00944DEB">
        <w:rPr>
          <w:rFonts w:ascii="Times New Roman" w:hAnsi="Times New Roman" w:cs="Times New Roman"/>
          <w:sz w:val="24"/>
          <w:szCs w:val="24"/>
        </w:rPr>
        <w:t xml:space="preserve"> mayor cantidad de bienes y mejores precios.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lastRenderedPageBreak/>
        <w:t xml:space="preserve">Los pocos, que seguimos cometiendo “delitos de </w:t>
      </w:r>
      <w:r w:rsidR="007D67F3" w:rsidRPr="00944DEB">
        <w:rPr>
          <w:rFonts w:ascii="Times New Roman" w:hAnsi="Times New Roman" w:cs="Times New Roman"/>
          <w:sz w:val="24"/>
          <w:szCs w:val="24"/>
        </w:rPr>
        <w:t>opinióneconómica</w:t>
      </w:r>
      <w:r w:rsidRPr="00944DEB">
        <w:rPr>
          <w:rFonts w:ascii="Times New Roman" w:hAnsi="Times New Roman" w:cs="Times New Roman"/>
          <w:sz w:val="24"/>
          <w:szCs w:val="24"/>
        </w:rPr>
        <w:t xml:space="preserve">” sostenemos que el consumidor beneficiado -salvo casos muy puntuales- </w:t>
      </w:r>
      <w:r w:rsidR="007D67F3" w:rsidRPr="00944DEB">
        <w:rPr>
          <w:rFonts w:ascii="Times New Roman" w:hAnsi="Times New Roman" w:cs="Times New Roman"/>
          <w:sz w:val="24"/>
          <w:szCs w:val="24"/>
        </w:rPr>
        <w:t>será</w:t>
      </w:r>
      <w:r w:rsidRPr="00944DEB">
        <w:rPr>
          <w:rFonts w:ascii="Times New Roman" w:hAnsi="Times New Roman" w:cs="Times New Roman"/>
          <w:sz w:val="24"/>
          <w:szCs w:val="24"/>
        </w:rPr>
        <w:t xml:space="preserve"> un trabajador, pequeño empresario o profesional, que, cuando pierda el empleo u </w:t>
      </w:r>
      <w:r w:rsidR="007D67F3" w:rsidRPr="00944DEB">
        <w:rPr>
          <w:rFonts w:ascii="Times New Roman" w:hAnsi="Times New Roman" w:cs="Times New Roman"/>
          <w:sz w:val="24"/>
          <w:szCs w:val="24"/>
        </w:rPr>
        <w:t>ocupación</w:t>
      </w:r>
      <w:r w:rsidRPr="00944DEB">
        <w:rPr>
          <w:rFonts w:ascii="Times New Roman" w:hAnsi="Times New Roman" w:cs="Times New Roman"/>
          <w:sz w:val="24"/>
          <w:szCs w:val="24"/>
        </w:rPr>
        <w:t xml:space="preserve"> -por causa del cierre de las empresas por falta de competitividad- dejara de ser consumidor y dejara de beneficiarse de la diversidad de oferta y de los mejores precios.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Resumiendo, esta primera critica </w:t>
      </w:r>
      <w:r w:rsidR="007D67F3" w:rsidRPr="00944DEB">
        <w:rPr>
          <w:rFonts w:ascii="Times New Roman" w:hAnsi="Times New Roman" w:cs="Times New Roman"/>
          <w:sz w:val="24"/>
          <w:szCs w:val="24"/>
        </w:rPr>
        <w:t>estaría</w:t>
      </w:r>
      <w:r w:rsidRPr="00944DEB">
        <w:rPr>
          <w:rFonts w:ascii="Times New Roman" w:hAnsi="Times New Roman" w:cs="Times New Roman"/>
          <w:sz w:val="24"/>
          <w:szCs w:val="24"/>
        </w:rPr>
        <w:t xml:space="preserve"> fundamentada en la heterogeneidad de los competidores, y en el tiempo que cada uno de ellos necesita para estar en igualdad de condiciones. </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De no establecerse ese tiempo de resguardo o medidas compensatorias </w:t>
      </w:r>
      <w:r w:rsidR="007D67F3">
        <w:rPr>
          <w:rFonts w:ascii="Times New Roman" w:hAnsi="Times New Roman" w:cs="Times New Roman"/>
          <w:sz w:val="24"/>
          <w:szCs w:val="24"/>
        </w:rPr>
        <w:t>equilibrantes</w:t>
      </w:r>
      <w:r w:rsidRPr="00944DEB">
        <w:rPr>
          <w:rFonts w:ascii="Times New Roman" w:hAnsi="Times New Roman" w:cs="Times New Roman"/>
          <w:sz w:val="24"/>
          <w:szCs w:val="24"/>
        </w:rPr>
        <w:t xml:space="preserve"> la brecha entre ganadores y perdedores se amplia y perpetua.</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Pasemos -ahora- a otro de los aspectos preocupantes. La </w:t>
      </w:r>
      <w:r w:rsidR="007D67F3" w:rsidRPr="00944DEB">
        <w:rPr>
          <w:rFonts w:ascii="Times New Roman" w:hAnsi="Times New Roman" w:cs="Times New Roman"/>
          <w:sz w:val="24"/>
          <w:szCs w:val="24"/>
        </w:rPr>
        <w:t>globalización</w:t>
      </w:r>
      <w:r w:rsidRPr="00944DEB">
        <w:rPr>
          <w:rFonts w:ascii="Times New Roman" w:hAnsi="Times New Roman" w:cs="Times New Roman"/>
          <w:sz w:val="24"/>
          <w:szCs w:val="24"/>
        </w:rPr>
        <w:t xml:space="preserve"> lleva -irremisiblemente- a la </w:t>
      </w:r>
      <w:r w:rsidR="007D67F3" w:rsidRPr="00944DEB">
        <w:rPr>
          <w:rFonts w:ascii="Times New Roman" w:hAnsi="Times New Roman" w:cs="Times New Roman"/>
          <w:sz w:val="24"/>
          <w:szCs w:val="24"/>
        </w:rPr>
        <w:t>pérdida</w:t>
      </w:r>
      <w:r w:rsidRPr="00944DEB">
        <w:rPr>
          <w:rFonts w:ascii="Times New Roman" w:hAnsi="Times New Roman" w:cs="Times New Roman"/>
          <w:sz w:val="24"/>
          <w:szCs w:val="24"/>
        </w:rPr>
        <w:t xml:space="preserve"> de poder por parte de los estados nacionales como rectores y promotores del desarrollo </w:t>
      </w:r>
      <w:r w:rsidR="007D67F3" w:rsidRPr="00944DEB">
        <w:rPr>
          <w:rFonts w:ascii="Times New Roman" w:hAnsi="Times New Roman" w:cs="Times New Roman"/>
          <w:sz w:val="24"/>
          <w:szCs w:val="24"/>
        </w:rPr>
        <w:t>económico</w:t>
      </w:r>
      <w:r w:rsidRPr="00944DEB">
        <w:rPr>
          <w:rFonts w:ascii="Times New Roman" w:hAnsi="Times New Roman" w:cs="Times New Roman"/>
          <w:sz w:val="24"/>
          <w:szCs w:val="24"/>
        </w:rPr>
        <w:t>.</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libre movimiento de </w:t>
      </w:r>
      <w:r w:rsidR="007D67F3" w:rsidRPr="00944DEB">
        <w:rPr>
          <w:rFonts w:ascii="Times New Roman" w:hAnsi="Times New Roman" w:cs="Times New Roman"/>
          <w:sz w:val="24"/>
          <w:szCs w:val="24"/>
        </w:rPr>
        <w:t>mercancías</w:t>
      </w:r>
      <w:r w:rsidRPr="00944DEB">
        <w:rPr>
          <w:rFonts w:ascii="Times New Roman" w:hAnsi="Times New Roman" w:cs="Times New Roman"/>
          <w:sz w:val="24"/>
          <w:szCs w:val="24"/>
        </w:rPr>
        <w:t xml:space="preserve">, servicios y capitales -más que </w:t>
      </w:r>
      <w:r>
        <w:rPr>
          <w:rFonts w:ascii="Times New Roman" w:hAnsi="Times New Roman" w:cs="Times New Roman"/>
          <w:sz w:val="24"/>
          <w:szCs w:val="24"/>
        </w:rPr>
        <w:t>todo</w:t>
      </w:r>
      <w:r w:rsidRPr="00944DEB">
        <w:rPr>
          <w:rFonts w:ascii="Times New Roman" w:hAnsi="Times New Roman" w:cs="Times New Roman"/>
          <w:sz w:val="24"/>
          <w:szCs w:val="24"/>
        </w:rPr>
        <w:t xml:space="preserve"> estos </w:t>
      </w:r>
      <w:r w:rsidR="007D67F3" w:rsidRPr="00944DEB">
        <w:rPr>
          <w:rFonts w:ascii="Times New Roman" w:hAnsi="Times New Roman" w:cs="Times New Roman"/>
          <w:sz w:val="24"/>
          <w:szCs w:val="24"/>
        </w:rPr>
        <w:t>últimos</w:t>
      </w:r>
      <w:r w:rsidRPr="00944DEB">
        <w:rPr>
          <w:rFonts w:ascii="Times New Roman" w:hAnsi="Times New Roman" w:cs="Times New Roman"/>
          <w:sz w:val="24"/>
          <w:szCs w:val="24"/>
        </w:rPr>
        <w:t xml:space="preserve">- dejan a los gobiernos sin capacidad para regular la </w:t>
      </w:r>
      <w:r w:rsidR="007D67F3" w:rsidRPr="00944DEB">
        <w:rPr>
          <w:rFonts w:ascii="Times New Roman" w:hAnsi="Times New Roman" w:cs="Times New Roman"/>
          <w:sz w:val="24"/>
          <w:szCs w:val="24"/>
        </w:rPr>
        <w:t>economía</w:t>
      </w:r>
      <w:r w:rsidRPr="00944DEB">
        <w:rPr>
          <w:rFonts w:ascii="Times New Roman" w:hAnsi="Times New Roman" w:cs="Times New Roman"/>
          <w:sz w:val="24"/>
          <w:szCs w:val="24"/>
        </w:rPr>
        <w:t>.</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Los flujos financieros se movilizan con un volumen y a una velocidad que superan la capacidad de </w:t>
      </w:r>
      <w:r w:rsidR="007D67F3" w:rsidRPr="00944DEB">
        <w:rPr>
          <w:rFonts w:ascii="Times New Roman" w:hAnsi="Times New Roman" w:cs="Times New Roman"/>
          <w:sz w:val="24"/>
          <w:szCs w:val="24"/>
        </w:rPr>
        <w:t>reacción</w:t>
      </w:r>
      <w:r w:rsidRPr="00944DEB">
        <w:rPr>
          <w:rFonts w:ascii="Times New Roman" w:hAnsi="Times New Roman" w:cs="Times New Roman"/>
          <w:sz w:val="24"/>
          <w:szCs w:val="24"/>
        </w:rPr>
        <w:t xml:space="preserve"> de todos y cada uno de los bancos centrales. Solo la Reserva Federal de los Estados Unidos conserva algo de predicamento y margen de maniobra. Y eso porque sus dictados coinciden con los intereses del poder financiero; </w:t>
      </w:r>
      <w:r w:rsidR="007D67F3" w:rsidRPr="00944DEB">
        <w:rPr>
          <w:rFonts w:ascii="Times New Roman" w:hAnsi="Times New Roman" w:cs="Times New Roman"/>
          <w:sz w:val="24"/>
          <w:szCs w:val="24"/>
        </w:rPr>
        <w:t>habría</w:t>
      </w:r>
      <w:r w:rsidRPr="00944DEB">
        <w:rPr>
          <w:rFonts w:ascii="Times New Roman" w:hAnsi="Times New Roman" w:cs="Times New Roman"/>
          <w:sz w:val="24"/>
          <w:szCs w:val="24"/>
        </w:rPr>
        <w:t xml:space="preserve"> que ver </w:t>
      </w:r>
      <w:r w:rsidR="007D67F3" w:rsidRPr="00944DEB">
        <w:rPr>
          <w:rFonts w:ascii="Times New Roman" w:hAnsi="Times New Roman" w:cs="Times New Roman"/>
          <w:sz w:val="24"/>
          <w:szCs w:val="24"/>
        </w:rPr>
        <w:t>qué</w:t>
      </w:r>
      <w:r w:rsidRPr="00944DEB">
        <w:rPr>
          <w:rFonts w:ascii="Times New Roman" w:hAnsi="Times New Roman" w:cs="Times New Roman"/>
          <w:sz w:val="24"/>
          <w:szCs w:val="24"/>
        </w:rPr>
        <w:t xml:space="preserve"> ocurre en el caso contrario.</w:t>
      </w:r>
    </w:p>
    <w:p w:rsidR="00732791" w:rsidRPr="00944DEB" w:rsidRDefault="007D67F3"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Además</w:t>
      </w:r>
      <w:r w:rsidR="00732791" w:rsidRPr="00944DEB">
        <w:rPr>
          <w:rFonts w:ascii="Times New Roman" w:hAnsi="Times New Roman" w:cs="Times New Roman"/>
          <w:sz w:val="24"/>
          <w:szCs w:val="24"/>
        </w:rPr>
        <w:t xml:space="preserve"> de imparables e ingobernables, los movimientos de valores financieros son altamente especulativos y </w:t>
      </w:r>
      <w:r w:rsidRPr="00944DEB">
        <w:rPr>
          <w:rFonts w:ascii="Times New Roman" w:hAnsi="Times New Roman" w:cs="Times New Roman"/>
          <w:sz w:val="24"/>
          <w:szCs w:val="24"/>
        </w:rPr>
        <w:t>volátiles</w:t>
      </w:r>
      <w:r w:rsidR="00732791" w:rsidRPr="00944DEB">
        <w:rPr>
          <w:rFonts w:ascii="Times New Roman" w:hAnsi="Times New Roman" w:cs="Times New Roman"/>
          <w:sz w:val="24"/>
          <w:szCs w:val="24"/>
        </w:rPr>
        <w:t xml:space="preserve">; aspecto que tampoco favorece la </w:t>
      </w:r>
      <w:r w:rsidRPr="00944DEB">
        <w:rPr>
          <w:rFonts w:ascii="Times New Roman" w:hAnsi="Times New Roman" w:cs="Times New Roman"/>
          <w:sz w:val="24"/>
          <w:szCs w:val="24"/>
        </w:rPr>
        <w:t>evolución</w:t>
      </w:r>
      <w:r w:rsidR="00732791" w:rsidRPr="00944DEB">
        <w:rPr>
          <w:rFonts w:ascii="Times New Roman" w:hAnsi="Times New Roman" w:cs="Times New Roman"/>
          <w:sz w:val="24"/>
          <w:szCs w:val="24"/>
        </w:rPr>
        <w:t xml:space="preserve"> de la </w:t>
      </w:r>
      <w:r w:rsidRPr="00944DEB">
        <w:rPr>
          <w:rFonts w:ascii="Times New Roman" w:hAnsi="Times New Roman" w:cs="Times New Roman"/>
          <w:sz w:val="24"/>
          <w:szCs w:val="24"/>
        </w:rPr>
        <w:t>economía</w:t>
      </w:r>
      <w:r w:rsidR="00732791" w:rsidRPr="00944DEB">
        <w:rPr>
          <w:rFonts w:ascii="Times New Roman" w:hAnsi="Times New Roman" w:cs="Times New Roman"/>
          <w:sz w:val="24"/>
          <w:szCs w:val="24"/>
        </w:rPr>
        <w:t xml:space="preserve"> real.</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Finalmente -a este nivel de debate; tiempo tendremos luego- otra </w:t>
      </w:r>
      <w:r w:rsidR="007D67F3" w:rsidRPr="00944DEB">
        <w:rPr>
          <w:rFonts w:ascii="Times New Roman" w:hAnsi="Times New Roman" w:cs="Times New Roman"/>
          <w:sz w:val="24"/>
          <w:szCs w:val="24"/>
        </w:rPr>
        <w:t>situación</w:t>
      </w:r>
      <w:r w:rsidRPr="00944DEB">
        <w:rPr>
          <w:rFonts w:ascii="Times New Roman" w:hAnsi="Times New Roman" w:cs="Times New Roman"/>
          <w:sz w:val="24"/>
          <w:szCs w:val="24"/>
        </w:rPr>
        <w:t xml:space="preserve"> que se torna impredecible e inmanejable ante la </w:t>
      </w:r>
      <w:r w:rsidR="007D67F3" w:rsidRPr="00944DEB">
        <w:rPr>
          <w:rFonts w:ascii="Times New Roman" w:hAnsi="Times New Roman" w:cs="Times New Roman"/>
          <w:sz w:val="24"/>
          <w:szCs w:val="24"/>
        </w:rPr>
        <w:t>globalización</w:t>
      </w:r>
      <w:r w:rsidRPr="00944DEB">
        <w:rPr>
          <w:rFonts w:ascii="Times New Roman" w:hAnsi="Times New Roman" w:cs="Times New Roman"/>
          <w:sz w:val="24"/>
          <w:szCs w:val="24"/>
        </w:rPr>
        <w:t xml:space="preserve"> son las posibilidades de ejercer </w:t>
      </w:r>
      <w:r w:rsidR="007D67F3" w:rsidRPr="00944DEB">
        <w:rPr>
          <w:rFonts w:ascii="Times New Roman" w:hAnsi="Times New Roman" w:cs="Times New Roman"/>
          <w:sz w:val="24"/>
          <w:szCs w:val="24"/>
        </w:rPr>
        <w:t>algún</w:t>
      </w:r>
      <w:r w:rsidRPr="00944DEB">
        <w:rPr>
          <w:rFonts w:ascii="Times New Roman" w:hAnsi="Times New Roman" w:cs="Times New Roman"/>
          <w:sz w:val="24"/>
          <w:szCs w:val="24"/>
        </w:rPr>
        <w:t xml:space="preserve"> tipo de control sanitario y ambiental a las grandes corporaciones multinacionales.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Su poder es tan grande, su capacidad de “</w:t>
      </w:r>
      <w:r w:rsidR="007D67F3" w:rsidRPr="00944DEB">
        <w:rPr>
          <w:rFonts w:ascii="Times New Roman" w:hAnsi="Times New Roman" w:cs="Times New Roman"/>
          <w:sz w:val="24"/>
          <w:szCs w:val="24"/>
        </w:rPr>
        <w:t>gestión</w:t>
      </w:r>
      <w:r w:rsidRPr="00944DEB">
        <w:rPr>
          <w:rFonts w:ascii="Times New Roman" w:hAnsi="Times New Roman" w:cs="Times New Roman"/>
          <w:sz w:val="24"/>
          <w:szCs w:val="24"/>
        </w:rPr>
        <w:t>” y disponibilidad de fondos tan amplios que los poderes legislativo, ejecutivo y judicial son apenas “marionetas” en el gran “vodevil”.</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grandes negocios y capitales por no tener “barreras” no tienen ni las legales, ni las financieras, ni las sanitarias, ni las ambientales.</w:t>
      </w:r>
    </w:p>
    <w:p w:rsidR="00732791"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Repasando, </w:t>
      </w:r>
      <w:r w:rsidR="007D67F3" w:rsidRPr="00944DEB">
        <w:rPr>
          <w:rFonts w:ascii="Times New Roman" w:hAnsi="Times New Roman" w:cs="Times New Roman"/>
          <w:sz w:val="24"/>
          <w:szCs w:val="24"/>
        </w:rPr>
        <w:t>tendríamos</w:t>
      </w:r>
      <w:r w:rsidRPr="00944DEB">
        <w:rPr>
          <w:rFonts w:ascii="Times New Roman" w:hAnsi="Times New Roman" w:cs="Times New Roman"/>
          <w:sz w:val="24"/>
          <w:szCs w:val="24"/>
        </w:rPr>
        <w:t xml:space="preserve"> entre los males de la “</w:t>
      </w:r>
      <w:r w:rsidR="007D67F3" w:rsidRPr="00944DEB">
        <w:rPr>
          <w:rFonts w:ascii="Times New Roman" w:hAnsi="Times New Roman" w:cs="Times New Roman"/>
          <w:sz w:val="24"/>
          <w:szCs w:val="24"/>
        </w:rPr>
        <w:t>teoría</w:t>
      </w:r>
      <w:r w:rsidRPr="00944DEB">
        <w:rPr>
          <w:rFonts w:ascii="Times New Roman" w:hAnsi="Times New Roman" w:cs="Times New Roman"/>
          <w:sz w:val="24"/>
          <w:szCs w:val="24"/>
        </w:rPr>
        <w:t xml:space="preserve"> dominante”, la </w:t>
      </w:r>
      <w:r w:rsidR="007D67F3" w:rsidRPr="00944DEB">
        <w:rPr>
          <w:rFonts w:ascii="Times New Roman" w:hAnsi="Times New Roman" w:cs="Times New Roman"/>
          <w:sz w:val="24"/>
          <w:szCs w:val="24"/>
        </w:rPr>
        <w:t>eternización</w:t>
      </w:r>
      <w:r w:rsidRPr="00944DEB">
        <w:rPr>
          <w:rFonts w:ascii="Times New Roman" w:hAnsi="Times New Roman" w:cs="Times New Roman"/>
          <w:sz w:val="24"/>
          <w:szCs w:val="24"/>
        </w:rPr>
        <w:t xml:space="preserve"> de las desventajas competitivas, la perdida de tejido industrial nacional, la </w:t>
      </w:r>
      <w:r w:rsidR="007D67F3" w:rsidRPr="00944DEB">
        <w:rPr>
          <w:rFonts w:ascii="Times New Roman" w:hAnsi="Times New Roman" w:cs="Times New Roman"/>
          <w:sz w:val="24"/>
          <w:szCs w:val="24"/>
        </w:rPr>
        <w:t>desocupación</w:t>
      </w:r>
      <w:r w:rsidRPr="00944DEB">
        <w:rPr>
          <w:rFonts w:ascii="Times New Roman" w:hAnsi="Times New Roman" w:cs="Times New Roman"/>
          <w:sz w:val="24"/>
          <w:szCs w:val="24"/>
        </w:rPr>
        <w:t xml:space="preserve"> y </w:t>
      </w:r>
      <w:r w:rsidR="007D67F3" w:rsidRPr="00944DEB">
        <w:rPr>
          <w:rFonts w:ascii="Times New Roman" w:hAnsi="Times New Roman" w:cs="Times New Roman"/>
          <w:sz w:val="24"/>
          <w:szCs w:val="24"/>
        </w:rPr>
        <w:t>precarización</w:t>
      </w:r>
      <w:r w:rsidRPr="00944DEB">
        <w:rPr>
          <w:rFonts w:ascii="Times New Roman" w:hAnsi="Times New Roman" w:cs="Times New Roman"/>
          <w:sz w:val="24"/>
          <w:szCs w:val="24"/>
        </w:rPr>
        <w:t xml:space="preserve"> laboral, la imposibilidad de regular los flujos de fondos financieros, la </w:t>
      </w:r>
      <w:r w:rsidR="007D67F3" w:rsidRPr="00944DEB">
        <w:rPr>
          <w:rFonts w:ascii="Times New Roman" w:hAnsi="Times New Roman" w:cs="Times New Roman"/>
          <w:sz w:val="24"/>
          <w:szCs w:val="24"/>
        </w:rPr>
        <w:t>pérdida</w:t>
      </w:r>
      <w:r w:rsidRPr="00944DEB">
        <w:rPr>
          <w:rFonts w:ascii="Times New Roman" w:hAnsi="Times New Roman" w:cs="Times New Roman"/>
          <w:sz w:val="24"/>
          <w:szCs w:val="24"/>
        </w:rPr>
        <w:t xml:space="preserve"> del poder gubernamental de </w:t>
      </w:r>
      <w:r w:rsidR="007D67F3" w:rsidRPr="00944DEB">
        <w:rPr>
          <w:rFonts w:ascii="Times New Roman" w:hAnsi="Times New Roman" w:cs="Times New Roman"/>
          <w:sz w:val="24"/>
          <w:szCs w:val="24"/>
        </w:rPr>
        <w:t>regulacióneconómica</w:t>
      </w:r>
      <w:r w:rsidRPr="00944DEB">
        <w:rPr>
          <w:rFonts w:ascii="Times New Roman" w:hAnsi="Times New Roman" w:cs="Times New Roman"/>
          <w:sz w:val="24"/>
          <w:szCs w:val="24"/>
        </w:rPr>
        <w:t xml:space="preserve"> y la </w:t>
      </w:r>
      <w:r w:rsidR="007D67F3" w:rsidRPr="00944DEB">
        <w:rPr>
          <w:rFonts w:ascii="Times New Roman" w:hAnsi="Times New Roman" w:cs="Times New Roman"/>
          <w:sz w:val="24"/>
          <w:szCs w:val="24"/>
        </w:rPr>
        <w:t>neutralización</w:t>
      </w:r>
      <w:r w:rsidRPr="00944DEB">
        <w:rPr>
          <w:rFonts w:ascii="Times New Roman" w:hAnsi="Times New Roman" w:cs="Times New Roman"/>
          <w:sz w:val="24"/>
          <w:szCs w:val="24"/>
        </w:rPr>
        <w:t xml:space="preserve"> del control judicial, sanitario y </w:t>
      </w:r>
      <w:r w:rsidR="007D67F3" w:rsidRPr="00944DEB">
        <w:rPr>
          <w:rFonts w:ascii="Times New Roman" w:hAnsi="Times New Roman" w:cs="Times New Roman"/>
          <w:sz w:val="24"/>
          <w:szCs w:val="24"/>
        </w:rPr>
        <w:t>ecológico</w:t>
      </w:r>
      <w:r w:rsidRPr="00944DEB">
        <w:rPr>
          <w:rFonts w:ascii="Times New Roman" w:hAnsi="Times New Roman" w:cs="Times New Roman"/>
          <w:sz w:val="24"/>
          <w:szCs w:val="24"/>
        </w:rPr>
        <w:t xml:space="preserve"> a nivel nacional, regional y mundial.</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Los librecambistas (hoy, globalizadores) vuelan tan alto que ni nos ven. Aun</w:t>
      </w:r>
      <w:r>
        <w:rPr>
          <w:rFonts w:ascii="Times New Roman" w:hAnsi="Times New Roman" w:cs="Times New Roman"/>
          <w:sz w:val="24"/>
          <w:szCs w:val="24"/>
        </w:rPr>
        <w:t>que, seguramente, lo que desean</w:t>
      </w:r>
      <w:r w:rsidRPr="0060357E">
        <w:rPr>
          <w:rFonts w:ascii="Times New Roman" w:hAnsi="Times New Roman" w:cs="Times New Roman"/>
          <w:sz w:val="24"/>
          <w:szCs w:val="24"/>
        </w:rPr>
        <w:t xml:space="preserve">, es no vernos. </w:t>
      </w:r>
      <w:r w:rsidR="007D67F3" w:rsidRPr="0060357E">
        <w:rPr>
          <w:rFonts w:ascii="Times New Roman" w:hAnsi="Times New Roman" w:cs="Times New Roman"/>
          <w:sz w:val="24"/>
          <w:szCs w:val="24"/>
        </w:rPr>
        <w:t>Están</w:t>
      </w:r>
      <w:r w:rsidRPr="0060357E">
        <w:rPr>
          <w:rFonts w:ascii="Times New Roman" w:hAnsi="Times New Roman" w:cs="Times New Roman"/>
          <w:sz w:val="24"/>
          <w:szCs w:val="24"/>
        </w:rPr>
        <w:t xml:space="preserve"> tan envalentonados, que ambicionan eternizar lo temporal.</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A riesgo de “calentar la </w:t>
      </w:r>
      <w:r w:rsidR="007D67F3" w:rsidRPr="0060357E">
        <w:rPr>
          <w:rFonts w:ascii="Times New Roman" w:hAnsi="Times New Roman" w:cs="Times New Roman"/>
          <w:sz w:val="24"/>
          <w:szCs w:val="24"/>
        </w:rPr>
        <w:t>polémica</w:t>
      </w:r>
      <w:r w:rsidRPr="0060357E">
        <w:rPr>
          <w:rFonts w:ascii="Times New Roman" w:hAnsi="Times New Roman" w:cs="Times New Roman"/>
          <w:sz w:val="24"/>
          <w:szCs w:val="24"/>
        </w:rPr>
        <w:t xml:space="preserve">”, sostengo, que de la libertad de comercio no deriva una </w:t>
      </w:r>
      <w:r w:rsidR="007D67F3" w:rsidRPr="0060357E">
        <w:rPr>
          <w:rFonts w:ascii="Times New Roman" w:hAnsi="Times New Roman" w:cs="Times New Roman"/>
          <w:sz w:val="24"/>
          <w:szCs w:val="24"/>
        </w:rPr>
        <w:t>república</w:t>
      </w:r>
      <w:r w:rsidRPr="0060357E">
        <w:rPr>
          <w:rFonts w:ascii="Times New Roman" w:hAnsi="Times New Roman" w:cs="Times New Roman"/>
          <w:sz w:val="24"/>
          <w:szCs w:val="24"/>
        </w:rPr>
        <w:t xml:space="preserve"> universal, sino la dependencia de las naciones menos adelantadas bajo la </w:t>
      </w:r>
      <w:r w:rsidR="007D67F3" w:rsidRPr="0060357E">
        <w:rPr>
          <w:rFonts w:ascii="Times New Roman" w:hAnsi="Times New Roman" w:cs="Times New Roman"/>
          <w:sz w:val="24"/>
          <w:szCs w:val="24"/>
        </w:rPr>
        <w:t>supremacía</w:t>
      </w:r>
      <w:r w:rsidRPr="0060357E">
        <w:rPr>
          <w:rFonts w:ascii="Times New Roman" w:hAnsi="Times New Roman" w:cs="Times New Roman"/>
          <w:sz w:val="24"/>
          <w:szCs w:val="24"/>
        </w:rPr>
        <w:t xml:space="preserve"> de la potencia manufacturera, comercial y financiera que aparece como dominante.</w:t>
      </w:r>
    </w:p>
    <w:p w:rsidR="00732791" w:rsidRPr="0060357E" w:rsidRDefault="007D67F3"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lastRenderedPageBreak/>
        <w:t>Además</w:t>
      </w:r>
      <w:r w:rsidR="00732791" w:rsidRPr="0060357E">
        <w:rPr>
          <w:rFonts w:ascii="Times New Roman" w:hAnsi="Times New Roman" w:cs="Times New Roman"/>
          <w:sz w:val="24"/>
          <w:szCs w:val="24"/>
        </w:rPr>
        <w:t xml:space="preserve"> estos “artistas” que vuelan “</w:t>
      </w:r>
      <w:r w:rsidRPr="0060357E">
        <w:rPr>
          <w:rFonts w:ascii="Times New Roman" w:hAnsi="Times New Roman" w:cs="Times New Roman"/>
          <w:sz w:val="24"/>
          <w:szCs w:val="24"/>
        </w:rPr>
        <w:t>más</w:t>
      </w:r>
      <w:r w:rsidR="00732791" w:rsidRPr="0060357E">
        <w:rPr>
          <w:rFonts w:ascii="Times New Roman" w:hAnsi="Times New Roman" w:cs="Times New Roman"/>
          <w:sz w:val="24"/>
          <w:szCs w:val="24"/>
        </w:rPr>
        <w:t xml:space="preserve"> alto” y “</w:t>
      </w:r>
      <w:r w:rsidRPr="0060357E">
        <w:rPr>
          <w:rFonts w:ascii="Times New Roman" w:hAnsi="Times New Roman" w:cs="Times New Roman"/>
          <w:sz w:val="24"/>
          <w:szCs w:val="24"/>
        </w:rPr>
        <w:t>más</w:t>
      </w:r>
      <w:r w:rsidR="00732791" w:rsidRPr="0060357E">
        <w:rPr>
          <w:rFonts w:ascii="Times New Roman" w:hAnsi="Times New Roman" w:cs="Times New Roman"/>
          <w:sz w:val="24"/>
          <w:szCs w:val="24"/>
        </w:rPr>
        <w:t xml:space="preserve"> lejos” intentan engañarnos como niños. Piden libertad de mercado y luego no la aplican en sus </w:t>
      </w:r>
      <w:r w:rsidRPr="0060357E">
        <w:rPr>
          <w:rFonts w:ascii="Times New Roman" w:hAnsi="Times New Roman" w:cs="Times New Roman"/>
          <w:sz w:val="24"/>
          <w:szCs w:val="24"/>
        </w:rPr>
        <w:t>países</w:t>
      </w:r>
      <w:r w:rsidR="00732791" w:rsidRPr="0060357E">
        <w:rPr>
          <w:rFonts w:ascii="Times New Roman" w:hAnsi="Times New Roman" w:cs="Times New Roman"/>
          <w:sz w:val="24"/>
          <w:szCs w:val="24"/>
        </w:rPr>
        <w:t xml:space="preserve">. Piden </w:t>
      </w:r>
      <w:r w:rsidRPr="0060357E">
        <w:rPr>
          <w:rFonts w:ascii="Times New Roman" w:hAnsi="Times New Roman" w:cs="Times New Roman"/>
          <w:sz w:val="24"/>
          <w:szCs w:val="24"/>
        </w:rPr>
        <w:t>mínimos</w:t>
      </w:r>
      <w:r w:rsidR="00732791" w:rsidRPr="0060357E">
        <w:rPr>
          <w:rFonts w:ascii="Times New Roman" w:hAnsi="Times New Roman" w:cs="Times New Roman"/>
          <w:sz w:val="24"/>
          <w:szCs w:val="24"/>
        </w:rPr>
        <w:t xml:space="preserve"> impuestos, pero solicitan subvenciones, </w:t>
      </w:r>
      <w:r w:rsidRPr="0060357E">
        <w:rPr>
          <w:rFonts w:ascii="Times New Roman" w:hAnsi="Times New Roman" w:cs="Times New Roman"/>
          <w:sz w:val="24"/>
          <w:szCs w:val="24"/>
        </w:rPr>
        <w:t>créditos</w:t>
      </w:r>
      <w:r w:rsidR="00732791" w:rsidRPr="0060357E">
        <w:rPr>
          <w:rFonts w:ascii="Times New Roman" w:hAnsi="Times New Roman" w:cs="Times New Roman"/>
          <w:sz w:val="24"/>
          <w:szCs w:val="24"/>
        </w:rPr>
        <w:t xml:space="preserve"> preferenciales, exenciones, y contratos de obras y servicios </w:t>
      </w:r>
      <w:r w:rsidRPr="0060357E">
        <w:rPr>
          <w:rFonts w:ascii="Times New Roman" w:hAnsi="Times New Roman" w:cs="Times New Roman"/>
          <w:sz w:val="24"/>
          <w:szCs w:val="24"/>
        </w:rPr>
        <w:t>públicos</w:t>
      </w:r>
      <w:r w:rsidR="00732791" w:rsidRPr="0060357E">
        <w:rPr>
          <w:rFonts w:ascii="Times New Roman" w:hAnsi="Times New Roman" w:cs="Times New Roman"/>
          <w:sz w:val="24"/>
          <w:szCs w:val="24"/>
        </w:rPr>
        <w:t xml:space="preserve">; cuando no reclaman del estado apoyo como prestamista de </w:t>
      </w:r>
      <w:r w:rsidRPr="0060357E">
        <w:rPr>
          <w:rFonts w:ascii="Times New Roman" w:hAnsi="Times New Roman" w:cs="Times New Roman"/>
          <w:sz w:val="24"/>
          <w:szCs w:val="24"/>
        </w:rPr>
        <w:t>última</w:t>
      </w:r>
      <w:r w:rsidR="00732791" w:rsidRPr="0060357E">
        <w:rPr>
          <w:rFonts w:ascii="Times New Roman" w:hAnsi="Times New Roman" w:cs="Times New Roman"/>
          <w:sz w:val="24"/>
          <w:szCs w:val="24"/>
        </w:rPr>
        <w:t xml:space="preserve"> instancia. La buena tutela </w:t>
      </w:r>
      <w:r w:rsidRPr="0060357E">
        <w:rPr>
          <w:rFonts w:ascii="Times New Roman" w:hAnsi="Times New Roman" w:cs="Times New Roman"/>
          <w:sz w:val="24"/>
          <w:szCs w:val="24"/>
        </w:rPr>
        <w:t>jurídica</w:t>
      </w:r>
      <w:r w:rsidR="00732791" w:rsidRPr="0060357E">
        <w:rPr>
          <w:rFonts w:ascii="Times New Roman" w:hAnsi="Times New Roman" w:cs="Times New Roman"/>
          <w:sz w:val="24"/>
          <w:szCs w:val="24"/>
        </w:rPr>
        <w:t xml:space="preserve"> significa </w:t>
      </w:r>
      <w:r w:rsidRPr="0060357E">
        <w:rPr>
          <w:rFonts w:ascii="Times New Roman" w:hAnsi="Times New Roman" w:cs="Times New Roman"/>
          <w:sz w:val="24"/>
          <w:szCs w:val="24"/>
        </w:rPr>
        <w:t>protección</w:t>
      </w:r>
      <w:r w:rsidR="00732791" w:rsidRPr="0060357E">
        <w:rPr>
          <w:rFonts w:ascii="Times New Roman" w:hAnsi="Times New Roman" w:cs="Times New Roman"/>
          <w:sz w:val="24"/>
          <w:szCs w:val="24"/>
        </w:rPr>
        <w:t xml:space="preserve"> a la propiedad, seguridad contractual y judicatura “sensible” a los ricos y poderosos. La paz necesaria alcanza  pura y exclusivamente a la </w:t>
      </w:r>
      <w:r w:rsidRPr="0060357E">
        <w:rPr>
          <w:rFonts w:ascii="Times New Roman" w:hAnsi="Times New Roman" w:cs="Times New Roman"/>
          <w:sz w:val="24"/>
          <w:szCs w:val="24"/>
        </w:rPr>
        <w:t>protección</w:t>
      </w:r>
      <w:r w:rsidR="00732791" w:rsidRPr="0060357E">
        <w:rPr>
          <w:rFonts w:ascii="Times New Roman" w:hAnsi="Times New Roman" w:cs="Times New Roman"/>
          <w:sz w:val="24"/>
          <w:szCs w:val="24"/>
        </w:rPr>
        <w:t xml:space="preserve"> de sus intereses.</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La </w:t>
      </w:r>
      <w:r w:rsidR="007D67F3" w:rsidRPr="0060357E">
        <w:rPr>
          <w:rFonts w:ascii="Times New Roman" w:hAnsi="Times New Roman" w:cs="Times New Roman"/>
          <w:sz w:val="24"/>
          <w:szCs w:val="24"/>
        </w:rPr>
        <w:t>economía</w:t>
      </w:r>
      <w:r w:rsidRPr="0060357E">
        <w:rPr>
          <w:rFonts w:ascii="Times New Roman" w:hAnsi="Times New Roman" w:cs="Times New Roman"/>
          <w:sz w:val="24"/>
          <w:szCs w:val="24"/>
        </w:rPr>
        <w:t xml:space="preserve"> cosmopolita amplia tanto el “objetivo” que las naciones no aparecen en la foto. </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Con el fantasma del colectivismo asustan al ciudadano y le ofrecen como panacea universal el individualismo, la libertad y los derechos particulares.</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El individualismo -luego- se estrella contra el paro, el trabajador descartable, la falta de oportunidades, el analfabetismo funcional o total, la pobreza, la </w:t>
      </w:r>
      <w:r w:rsidR="007D67F3" w:rsidRPr="0060357E">
        <w:rPr>
          <w:rFonts w:ascii="Times New Roman" w:hAnsi="Times New Roman" w:cs="Times New Roman"/>
          <w:sz w:val="24"/>
          <w:szCs w:val="24"/>
        </w:rPr>
        <w:t>marginación</w:t>
      </w:r>
      <w:r w:rsidRPr="0060357E">
        <w:rPr>
          <w:rFonts w:ascii="Times New Roman" w:hAnsi="Times New Roman" w:cs="Times New Roman"/>
          <w:sz w:val="24"/>
          <w:szCs w:val="24"/>
        </w:rPr>
        <w:t xml:space="preserve">, la </w:t>
      </w:r>
      <w:r w:rsidR="007D67F3" w:rsidRPr="0060357E">
        <w:rPr>
          <w:rFonts w:ascii="Times New Roman" w:hAnsi="Times New Roman" w:cs="Times New Roman"/>
          <w:sz w:val="24"/>
          <w:szCs w:val="24"/>
        </w:rPr>
        <w:t>desprotección</w:t>
      </w:r>
      <w:r w:rsidRPr="0060357E">
        <w:rPr>
          <w:rFonts w:ascii="Times New Roman" w:hAnsi="Times New Roman" w:cs="Times New Roman"/>
          <w:sz w:val="24"/>
          <w:szCs w:val="24"/>
        </w:rPr>
        <w:t xml:space="preserve"> sanitaria; para terminar en los embarazos no deseados, la mortalidad infantil, la criminalidad, el alcohol y la droga.</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La libertad -luego- termina en que solo sirve -a lo mejor- para “consumir” o -a lo peor- para “morirse de hambre”. </w:t>
      </w:r>
      <w:r w:rsidR="007D67F3">
        <w:rPr>
          <w:rFonts w:ascii="Times New Roman" w:hAnsi="Times New Roman" w:cs="Times New Roman"/>
          <w:sz w:val="24"/>
          <w:szCs w:val="24"/>
        </w:rPr>
        <w:t>¿De qué libertad hablamos?¿</w:t>
      </w:r>
      <w:r w:rsidRPr="0060357E">
        <w:rPr>
          <w:rFonts w:ascii="Times New Roman" w:hAnsi="Times New Roman" w:cs="Times New Roman"/>
          <w:sz w:val="24"/>
          <w:szCs w:val="24"/>
        </w:rPr>
        <w:t xml:space="preserve">De la de utilizar el </w:t>
      </w:r>
      <w:r w:rsidR="007D67F3">
        <w:rPr>
          <w:rFonts w:ascii="Times New Roman" w:hAnsi="Times New Roman" w:cs="Times New Roman"/>
          <w:sz w:val="24"/>
          <w:szCs w:val="24"/>
        </w:rPr>
        <w:t>telemando?</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Los derechos particulares -siempre- sirven para proteger a los “ganadores”, nunca a los “perdedores”. Una justicia para ricos y otra para pobres. Unos son “presuntos inocentes” hasta que se demuestre lo contrario y otros son “sospechosos habituales” hasta que no se demuestre lo contrario.</w:t>
      </w:r>
    </w:p>
    <w:p w:rsidR="00732791" w:rsidRPr="0060357E"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Si un pobre lleva droga (hoy muy </w:t>
      </w:r>
      <w:r w:rsidR="007D67F3" w:rsidRPr="0060357E">
        <w:rPr>
          <w:rFonts w:ascii="Times New Roman" w:hAnsi="Times New Roman" w:cs="Times New Roman"/>
          <w:sz w:val="24"/>
          <w:szCs w:val="24"/>
        </w:rPr>
        <w:t>común</w:t>
      </w:r>
      <w:r w:rsidRPr="0060357E">
        <w:rPr>
          <w:rFonts w:ascii="Times New Roman" w:hAnsi="Times New Roman" w:cs="Times New Roman"/>
          <w:sz w:val="24"/>
          <w:szCs w:val="24"/>
        </w:rPr>
        <w:t>, lamentablemente), es para vender(hecho punible).</w:t>
      </w:r>
    </w:p>
    <w:p w:rsidR="00732791"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Si un rico lleva droga (</w:t>
      </w:r>
      <w:r w:rsidR="007D67F3" w:rsidRPr="0060357E">
        <w:rPr>
          <w:rFonts w:ascii="Times New Roman" w:hAnsi="Times New Roman" w:cs="Times New Roman"/>
          <w:sz w:val="24"/>
          <w:szCs w:val="24"/>
        </w:rPr>
        <w:t>también</w:t>
      </w:r>
      <w:r w:rsidRPr="0060357E">
        <w:rPr>
          <w:rFonts w:ascii="Times New Roman" w:hAnsi="Times New Roman" w:cs="Times New Roman"/>
          <w:sz w:val="24"/>
          <w:szCs w:val="24"/>
        </w:rPr>
        <w:t xml:space="preserve"> muy </w:t>
      </w:r>
      <w:r w:rsidR="007D67F3" w:rsidRPr="0060357E">
        <w:rPr>
          <w:rFonts w:ascii="Times New Roman" w:hAnsi="Times New Roman" w:cs="Times New Roman"/>
          <w:sz w:val="24"/>
          <w:szCs w:val="24"/>
        </w:rPr>
        <w:t>común</w:t>
      </w:r>
      <w:r w:rsidRPr="0060357E">
        <w:rPr>
          <w:rFonts w:ascii="Times New Roman" w:hAnsi="Times New Roman" w:cs="Times New Roman"/>
          <w:sz w:val="24"/>
          <w:szCs w:val="24"/>
        </w:rPr>
        <w:t>, actualmente) es para consumo personal (hecho no punible).</w:t>
      </w:r>
    </w:p>
    <w:p w:rsidR="00732791"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Cuando en EEUU se consume droga y Colombia la produce, el problema es del productor.</w:t>
      </w:r>
    </w:p>
    <w:p w:rsidR="00732791" w:rsidRPr="0060357E"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Cuando algunos países compran armas y EEUU las produce, el problema es del comprador.</w:t>
      </w:r>
    </w:p>
    <w:p w:rsidR="00732791" w:rsidRPr="00944DEB" w:rsidRDefault="00732791" w:rsidP="00732791">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Y </w:t>
      </w:r>
      <w:r w:rsidR="007D67F3" w:rsidRPr="0060357E">
        <w:rPr>
          <w:rFonts w:ascii="Times New Roman" w:hAnsi="Times New Roman" w:cs="Times New Roman"/>
          <w:sz w:val="24"/>
          <w:szCs w:val="24"/>
        </w:rPr>
        <w:t>asípo</w:t>
      </w:r>
      <w:r w:rsidR="007D67F3">
        <w:rPr>
          <w:rFonts w:ascii="Times New Roman" w:hAnsi="Times New Roman" w:cs="Times New Roman"/>
          <w:sz w:val="24"/>
          <w:szCs w:val="24"/>
        </w:rPr>
        <w:t>dría</w:t>
      </w:r>
      <w:r>
        <w:rPr>
          <w:rFonts w:ascii="Times New Roman" w:hAnsi="Times New Roman" w:cs="Times New Roman"/>
          <w:sz w:val="24"/>
          <w:szCs w:val="24"/>
        </w:rPr>
        <w:t xml:space="preserve"> seguir...</w:t>
      </w:r>
    </w:p>
    <w:p w:rsidR="00732791" w:rsidRPr="00944DEB" w:rsidRDefault="00732791" w:rsidP="00732791">
      <w:pPr>
        <w:spacing w:line="240" w:lineRule="auto"/>
        <w:jc w:val="both"/>
        <w:rPr>
          <w:rFonts w:ascii="Times New Roman" w:hAnsi="Times New Roman" w:cs="Times New Roman"/>
          <w:sz w:val="24"/>
          <w:szCs w:val="24"/>
          <w:u w:val="single"/>
        </w:rPr>
      </w:pPr>
      <w:r w:rsidRPr="00944DEB">
        <w:rPr>
          <w:rFonts w:ascii="Times New Roman" w:hAnsi="Times New Roman" w:cs="Times New Roman"/>
          <w:b/>
          <w:sz w:val="24"/>
          <w:szCs w:val="24"/>
          <w:u w:val="single"/>
        </w:rPr>
        <w:t>T</w:t>
      </w:r>
      <w:r w:rsidRPr="00944DEB">
        <w:rPr>
          <w:rFonts w:ascii="Times New Roman" w:hAnsi="Times New Roman" w:cs="Times New Roman"/>
          <w:sz w:val="24"/>
          <w:szCs w:val="24"/>
          <w:u w:val="single"/>
        </w:rPr>
        <w:t>iempo de balance; momento de propuestas</w:t>
      </w:r>
    </w:p>
    <w:p w:rsidR="00732791" w:rsidRPr="00944DEB"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¿Estamos mal</w:t>
      </w:r>
      <w:r w:rsidRPr="00944DEB">
        <w:rPr>
          <w:rFonts w:ascii="Times New Roman" w:hAnsi="Times New Roman" w:cs="Times New Roman"/>
          <w:sz w:val="24"/>
          <w:szCs w:val="24"/>
        </w:rPr>
        <w:t xml:space="preserve"> pero vamos mejor? ¿la historia se repite? ¿volveremos a tropezar con las mismas piedras? </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siglo XXI esta cuajado de ilusiones o nos envuelven inquietudes que las dominan?</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Atrapados entre “mitos </w:t>
      </w:r>
      <w:r w:rsidR="007D67F3" w:rsidRPr="00944DEB">
        <w:rPr>
          <w:rFonts w:ascii="Times New Roman" w:hAnsi="Times New Roman" w:cs="Times New Roman"/>
          <w:sz w:val="24"/>
          <w:szCs w:val="24"/>
        </w:rPr>
        <w:t>económicos</w:t>
      </w:r>
      <w:r w:rsidRPr="00944DEB">
        <w:rPr>
          <w:rFonts w:ascii="Times New Roman" w:hAnsi="Times New Roman" w:cs="Times New Roman"/>
          <w:sz w:val="24"/>
          <w:szCs w:val="24"/>
        </w:rPr>
        <w:t xml:space="preserve"> oficiales” tal vez sea conveniente desmitificar antes que ignorar o falsear.</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La intolerancia de la “</w:t>
      </w:r>
      <w:r w:rsidR="007D67F3" w:rsidRPr="00944DEB">
        <w:rPr>
          <w:rFonts w:ascii="Times New Roman" w:hAnsi="Times New Roman" w:cs="Times New Roman"/>
          <w:sz w:val="24"/>
          <w:szCs w:val="24"/>
        </w:rPr>
        <w:t>razón</w:t>
      </w:r>
      <w:r w:rsidRPr="00944DEB">
        <w:rPr>
          <w:rFonts w:ascii="Times New Roman" w:hAnsi="Times New Roman" w:cs="Times New Roman"/>
          <w:sz w:val="24"/>
          <w:szCs w:val="24"/>
        </w:rPr>
        <w:t xml:space="preserve"> de mercado” lleva a preguntarnos </w:t>
      </w:r>
      <w:r w:rsidR="007D67F3" w:rsidRPr="00944DEB">
        <w:rPr>
          <w:rFonts w:ascii="Times New Roman" w:hAnsi="Times New Roman" w:cs="Times New Roman"/>
          <w:sz w:val="24"/>
          <w:szCs w:val="24"/>
        </w:rPr>
        <w:t>cómo</w:t>
      </w:r>
      <w:r w:rsidRPr="00944DEB">
        <w:rPr>
          <w:rFonts w:ascii="Times New Roman" w:hAnsi="Times New Roman" w:cs="Times New Roman"/>
          <w:sz w:val="24"/>
          <w:szCs w:val="24"/>
        </w:rPr>
        <w:t xml:space="preserve"> puede amenazar ese tipo de “fundamentalismo” a la sociedad abierta.</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triunfo de los “mercaderes” nos pone en un permanente estado de </w:t>
      </w:r>
      <w:r w:rsidR="007D67F3" w:rsidRPr="00944DEB">
        <w:rPr>
          <w:rFonts w:ascii="Times New Roman" w:hAnsi="Times New Roman" w:cs="Times New Roman"/>
          <w:sz w:val="24"/>
          <w:szCs w:val="24"/>
        </w:rPr>
        <w:t>melancolía</w:t>
      </w:r>
      <w:r w:rsidRPr="00944DEB">
        <w:rPr>
          <w:rFonts w:ascii="Times New Roman" w:hAnsi="Times New Roman" w:cs="Times New Roman"/>
          <w:sz w:val="24"/>
          <w:szCs w:val="24"/>
        </w:rPr>
        <w:t>, por el orden social perdido.</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¿Los lideres “light” </w:t>
      </w:r>
      <w:r w:rsidR="007D67F3" w:rsidRPr="00944DEB">
        <w:rPr>
          <w:rFonts w:ascii="Times New Roman" w:hAnsi="Times New Roman" w:cs="Times New Roman"/>
          <w:sz w:val="24"/>
          <w:szCs w:val="24"/>
        </w:rPr>
        <w:t>conseguirán</w:t>
      </w:r>
      <w:r w:rsidRPr="00944DEB">
        <w:rPr>
          <w:rFonts w:ascii="Times New Roman" w:hAnsi="Times New Roman" w:cs="Times New Roman"/>
          <w:sz w:val="24"/>
          <w:szCs w:val="24"/>
        </w:rPr>
        <w:t xml:space="preserve"> que Europa se “levante y ande” o la “guerra comercial” consolidara la des-</w:t>
      </w:r>
      <w:r w:rsidR="007D67F3" w:rsidRPr="00944DEB">
        <w:rPr>
          <w:rFonts w:ascii="Times New Roman" w:hAnsi="Times New Roman" w:cs="Times New Roman"/>
          <w:sz w:val="24"/>
          <w:szCs w:val="24"/>
        </w:rPr>
        <w:t>Unión</w:t>
      </w:r>
      <w:r w:rsidRPr="00944DEB">
        <w:rPr>
          <w:rFonts w:ascii="Times New Roman" w:hAnsi="Times New Roman" w:cs="Times New Roman"/>
          <w:sz w:val="24"/>
          <w:szCs w:val="24"/>
        </w:rPr>
        <w:t xml:space="preserve"> Europea?</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lastRenderedPageBreak/>
        <w:t xml:space="preserve">¿Es el presente el </w:t>
      </w:r>
      <w:r w:rsidR="007D67F3" w:rsidRPr="00944DEB">
        <w:rPr>
          <w:rFonts w:ascii="Times New Roman" w:hAnsi="Times New Roman" w:cs="Times New Roman"/>
          <w:sz w:val="24"/>
          <w:szCs w:val="24"/>
        </w:rPr>
        <w:t>único</w:t>
      </w:r>
      <w:r w:rsidRPr="00944DEB">
        <w:rPr>
          <w:rFonts w:ascii="Times New Roman" w:hAnsi="Times New Roman" w:cs="Times New Roman"/>
          <w:sz w:val="24"/>
          <w:szCs w:val="24"/>
        </w:rPr>
        <w:t xml:space="preserve"> futuro? ¿Podremos volver a esperar la prosperidad general o deberemos resignarnos a la continua decadencia?</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Las “taras </w:t>
      </w:r>
      <w:r w:rsidR="007D67F3" w:rsidRPr="00944DEB">
        <w:rPr>
          <w:rFonts w:ascii="Times New Roman" w:hAnsi="Times New Roman" w:cs="Times New Roman"/>
          <w:sz w:val="24"/>
          <w:szCs w:val="24"/>
        </w:rPr>
        <w:t>económicas</w:t>
      </w:r>
      <w:r w:rsidRPr="00944DEB">
        <w:rPr>
          <w:rFonts w:ascii="Times New Roman" w:hAnsi="Times New Roman" w:cs="Times New Roman"/>
          <w:sz w:val="24"/>
          <w:szCs w:val="24"/>
        </w:rPr>
        <w:t xml:space="preserve">” sujetas por las “cadenas de papel” niegan la influencia de las instituciones en la riqueza y el </w:t>
      </w:r>
      <w:r w:rsidR="007D67F3" w:rsidRPr="00944DEB">
        <w:rPr>
          <w:rFonts w:ascii="Times New Roman" w:hAnsi="Times New Roman" w:cs="Times New Roman"/>
          <w:sz w:val="24"/>
          <w:szCs w:val="24"/>
        </w:rPr>
        <w:t>poderío</w:t>
      </w:r>
      <w:r w:rsidRPr="00944DEB">
        <w:rPr>
          <w:rFonts w:ascii="Times New Roman" w:hAnsi="Times New Roman" w:cs="Times New Roman"/>
          <w:sz w:val="24"/>
          <w:szCs w:val="24"/>
        </w:rPr>
        <w:t xml:space="preserve"> de una </w:t>
      </w:r>
      <w:r w:rsidR="007D67F3" w:rsidRPr="00944DEB">
        <w:rPr>
          <w:rFonts w:ascii="Times New Roman" w:hAnsi="Times New Roman" w:cs="Times New Roman"/>
          <w:sz w:val="24"/>
          <w:szCs w:val="24"/>
        </w:rPr>
        <w:t>nación</w:t>
      </w:r>
      <w:r w:rsidRPr="00944DEB">
        <w:rPr>
          <w:rFonts w:ascii="Times New Roman" w:hAnsi="Times New Roman" w:cs="Times New Roman"/>
          <w:sz w:val="24"/>
          <w:szCs w:val="24"/>
        </w:rPr>
        <w:t>.</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¿Por qué Europa quiere copiar el “sueño americano” y su aparente fracaso?</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Limitados a aplicar el “manual” de </w:t>
      </w:r>
      <w:r w:rsidR="007D67F3" w:rsidRPr="00944DEB">
        <w:rPr>
          <w:rFonts w:ascii="Times New Roman" w:hAnsi="Times New Roman" w:cs="Times New Roman"/>
          <w:sz w:val="24"/>
          <w:szCs w:val="24"/>
        </w:rPr>
        <w:t>hipocresíaeconómica</w:t>
      </w:r>
      <w:r w:rsidRPr="00944DEB">
        <w:rPr>
          <w:rFonts w:ascii="Times New Roman" w:hAnsi="Times New Roman" w:cs="Times New Roman"/>
          <w:sz w:val="24"/>
          <w:szCs w:val="24"/>
        </w:rPr>
        <w:t xml:space="preserve"> el conformismo niega la memoria. La </w:t>
      </w:r>
      <w:r w:rsidR="007D67F3" w:rsidRPr="00944DEB">
        <w:rPr>
          <w:rFonts w:ascii="Times New Roman" w:hAnsi="Times New Roman" w:cs="Times New Roman"/>
          <w:sz w:val="24"/>
          <w:szCs w:val="24"/>
        </w:rPr>
        <w:t>resignación</w:t>
      </w:r>
      <w:r w:rsidRPr="00944DEB">
        <w:rPr>
          <w:rFonts w:ascii="Times New Roman" w:hAnsi="Times New Roman" w:cs="Times New Roman"/>
          <w:sz w:val="24"/>
          <w:szCs w:val="24"/>
        </w:rPr>
        <w:t xml:space="preserve"> lleva al detritus </w:t>
      </w:r>
      <w:r w:rsidR="007D67F3" w:rsidRPr="00944DEB">
        <w:rPr>
          <w:rFonts w:ascii="Times New Roman" w:hAnsi="Times New Roman" w:cs="Times New Roman"/>
          <w:sz w:val="24"/>
          <w:szCs w:val="24"/>
        </w:rPr>
        <w:t>económico</w:t>
      </w:r>
      <w:r w:rsidRPr="00944DEB">
        <w:rPr>
          <w:rFonts w:ascii="Times New Roman" w:hAnsi="Times New Roman" w:cs="Times New Roman"/>
          <w:sz w:val="24"/>
          <w:szCs w:val="24"/>
        </w:rPr>
        <w:t>.</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w:t>
      </w:r>
      <w:r w:rsidR="007D67F3" w:rsidRPr="00944DEB">
        <w:rPr>
          <w:rFonts w:ascii="Times New Roman" w:hAnsi="Times New Roman" w:cs="Times New Roman"/>
          <w:sz w:val="24"/>
          <w:szCs w:val="24"/>
        </w:rPr>
        <w:t>cínicos</w:t>
      </w:r>
      <w:r w:rsidRPr="00944DEB">
        <w:rPr>
          <w:rFonts w:ascii="Times New Roman" w:hAnsi="Times New Roman" w:cs="Times New Roman"/>
          <w:sz w:val="24"/>
          <w:szCs w:val="24"/>
        </w:rPr>
        <w:t xml:space="preserve">” modelos </w:t>
      </w:r>
      <w:r w:rsidR="007D67F3" w:rsidRPr="00944DEB">
        <w:rPr>
          <w:rFonts w:ascii="Times New Roman" w:hAnsi="Times New Roman" w:cs="Times New Roman"/>
          <w:sz w:val="24"/>
          <w:szCs w:val="24"/>
        </w:rPr>
        <w:t>económicos</w:t>
      </w:r>
      <w:r w:rsidRPr="00944DEB">
        <w:rPr>
          <w:rFonts w:ascii="Times New Roman" w:hAnsi="Times New Roman" w:cs="Times New Roman"/>
          <w:sz w:val="24"/>
          <w:szCs w:val="24"/>
        </w:rPr>
        <w:t xml:space="preserve"> de “gente </w:t>
      </w:r>
      <w:r w:rsidR="007D67F3" w:rsidRPr="00944DEB">
        <w:rPr>
          <w:rFonts w:ascii="Times New Roman" w:hAnsi="Times New Roman" w:cs="Times New Roman"/>
          <w:sz w:val="24"/>
          <w:szCs w:val="24"/>
        </w:rPr>
        <w:t>teórica</w:t>
      </w:r>
      <w:r w:rsidRPr="00944DEB">
        <w:rPr>
          <w:rFonts w:ascii="Times New Roman" w:hAnsi="Times New Roman" w:cs="Times New Roman"/>
          <w:sz w:val="24"/>
          <w:szCs w:val="24"/>
        </w:rPr>
        <w:t xml:space="preserve">” inducen a la “triste </w:t>
      </w:r>
      <w:r w:rsidR="007D67F3" w:rsidRPr="00944DEB">
        <w:rPr>
          <w:rFonts w:ascii="Times New Roman" w:hAnsi="Times New Roman" w:cs="Times New Roman"/>
          <w:sz w:val="24"/>
          <w:szCs w:val="24"/>
        </w:rPr>
        <w:t>situación</w:t>
      </w:r>
      <w:r w:rsidRPr="00944DEB">
        <w:rPr>
          <w:rFonts w:ascii="Times New Roman" w:hAnsi="Times New Roman" w:cs="Times New Roman"/>
          <w:sz w:val="24"/>
          <w:szCs w:val="24"/>
        </w:rPr>
        <w:t xml:space="preserve"> en Europa”, antesala de la necesaria </w:t>
      </w:r>
      <w:r w:rsidR="007D67F3" w:rsidRPr="00944DEB">
        <w:rPr>
          <w:rFonts w:ascii="Times New Roman" w:hAnsi="Times New Roman" w:cs="Times New Roman"/>
          <w:sz w:val="24"/>
          <w:szCs w:val="24"/>
        </w:rPr>
        <w:t>declaración</w:t>
      </w:r>
      <w:r w:rsidRPr="00944DEB">
        <w:rPr>
          <w:rFonts w:ascii="Times New Roman" w:hAnsi="Times New Roman" w:cs="Times New Roman"/>
          <w:sz w:val="24"/>
          <w:szCs w:val="24"/>
        </w:rPr>
        <w:t xml:space="preserve"> de independencia </w:t>
      </w:r>
      <w:r w:rsidR="007D67F3" w:rsidRPr="00944DEB">
        <w:rPr>
          <w:rFonts w:ascii="Times New Roman" w:hAnsi="Times New Roman" w:cs="Times New Roman"/>
          <w:sz w:val="24"/>
          <w:szCs w:val="24"/>
        </w:rPr>
        <w:t>económica</w:t>
      </w:r>
      <w:r w:rsidRPr="00944DEB">
        <w:rPr>
          <w:rFonts w:ascii="Times New Roman" w:hAnsi="Times New Roman" w:cs="Times New Roman"/>
          <w:sz w:val="24"/>
          <w:szCs w:val="24"/>
        </w:rPr>
        <w:t>.</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impersonal y </w:t>
      </w:r>
      <w:r w:rsidR="007D67F3" w:rsidRPr="00944DEB">
        <w:rPr>
          <w:rFonts w:ascii="Times New Roman" w:hAnsi="Times New Roman" w:cs="Times New Roman"/>
          <w:sz w:val="24"/>
          <w:szCs w:val="24"/>
        </w:rPr>
        <w:t>anónimo</w:t>
      </w:r>
      <w:r w:rsidRPr="00944DEB">
        <w:rPr>
          <w:rFonts w:ascii="Times New Roman" w:hAnsi="Times New Roman" w:cs="Times New Roman"/>
          <w:sz w:val="24"/>
          <w:szCs w:val="24"/>
        </w:rPr>
        <w:t xml:space="preserve"> mercado, no educa, no cura, y no da de comer.</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impersonal y </w:t>
      </w:r>
      <w:r w:rsidR="007D67F3" w:rsidRPr="00944DEB">
        <w:rPr>
          <w:rFonts w:ascii="Times New Roman" w:hAnsi="Times New Roman" w:cs="Times New Roman"/>
          <w:sz w:val="24"/>
          <w:szCs w:val="24"/>
        </w:rPr>
        <w:t>anónimo</w:t>
      </w:r>
      <w:r w:rsidRPr="00944DEB">
        <w:rPr>
          <w:rFonts w:ascii="Times New Roman" w:hAnsi="Times New Roman" w:cs="Times New Roman"/>
          <w:sz w:val="24"/>
          <w:szCs w:val="24"/>
        </w:rPr>
        <w:t xml:space="preserve"> mercado pone al hombre -en soledad y angustia- ante la fuerza del destino -que hoy se le presenta hostil- y la incertidumbre de un futuro que lo condena.</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¿Es esto lo </w:t>
      </w:r>
      <w:r w:rsidR="007D67F3" w:rsidRPr="00944DEB">
        <w:rPr>
          <w:rFonts w:ascii="Times New Roman" w:hAnsi="Times New Roman" w:cs="Times New Roman"/>
          <w:sz w:val="24"/>
          <w:szCs w:val="24"/>
        </w:rPr>
        <w:t>único</w:t>
      </w:r>
      <w:r w:rsidRPr="00944DEB">
        <w:rPr>
          <w:rFonts w:ascii="Times New Roman" w:hAnsi="Times New Roman" w:cs="Times New Roman"/>
          <w:sz w:val="24"/>
          <w:szCs w:val="24"/>
        </w:rPr>
        <w:t xml:space="preserve"> que podemos ofrecer a los </w:t>
      </w:r>
      <w:r w:rsidR="007D67F3" w:rsidRPr="00944DEB">
        <w:rPr>
          <w:rFonts w:ascii="Times New Roman" w:hAnsi="Times New Roman" w:cs="Times New Roman"/>
          <w:sz w:val="24"/>
          <w:szCs w:val="24"/>
        </w:rPr>
        <w:t>jóvenes</w:t>
      </w:r>
      <w:r w:rsidRPr="00944DEB">
        <w:rPr>
          <w:rFonts w:ascii="Times New Roman" w:hAnsi="Times New Roman" w:cs="Times New Roman"/>
          <w:sz w:val="24"/>
          <w:szCs w:val="24"/>
        </w:rPr>
        <w:t xml:space="preserve"> europeos de cara al siglo XXI?</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Para esa carga no </w:t>
      </w:r>
      <w:r w:rsidR="007D67F3" w:rsidRPr="00944DEB">
        <w:rPr>
          <w:rFonts w:ascii="Times New Roman" w:hAnsi="Times New Roman" w:cs="Times New Roman"/>
          <w:sz w:val="24"/>
          <w:szCs w:val="24"/>
        </w:rPr>
        <w:t>hacían</w:t>
      </w:r>
      <w:r w:rsidRPr="00944DEB">
        <w:rPr>
          <w:rFonts w:ascii="Times New Roman" w:hAnsi="Times New Roman" w:cs="Times New Roman"/>
          <w:sz w:val="24"/>
          <w:szCs w:val="24"/>
        </w:rPr>
        <w:t xml:space="preserve"> falta semejantes alforjas.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La Europa del siglo XXI no puede significar para los </w:t>
      </w:r>
      <w:r w:rsidR="007D67F3" w:rsidRPr="00944DEB">
        <w:rPr>
          <w:rFonts w:ascii="Times New Roman" w:hAnsi="Times New Roman" w:cs="Times New Roman"/>
          <w:sz w:val="24"/>
          <w:szCs w:val="24"/>
        </w:rPr>
        <w:t>jóvenesúnicamente</w:t>
      </w:r>
      <w:r w:rsidRPr="00944DEB">
        <w:rPr>
          <w:rFonts w:ascii="Times New Roman" w:hAnsi="Times New Roman" w:cs="Times New Roman"/>
          <w:sz w:val="24"/>
          <w:szCs w:val="24"/>
        </w:rPr>
        <w:t xml:space="preserve"> el mercado, la tarjeta de </w:t>
      </w:r>
      <w:r w:rsidR="007D67F3" w:rsidRPr="00944DEB">
        <w:rPr>
          <w:rFonts w:ascii="Times New Roman" w:hAnsi="Times New Roman" w:cs="Times New Roman"/>
          <w:sz w:val="24"/>
          <w:szCs w:val="24"/>
        </w:rPr>
        <w:t>crédito</w:t>
      </w:r>
      <w:r w:rsidRPr="00944DEB">
        <w:rPr>
          <w:rFonts w:ascii="Times New Roman" w:hAnsi="Times New Roman" w:cs="Times New Roman"/>
          <w:sz w:val="24"/>
          <w:szCs w:val="24"/>
        </w:rPr>
        <w:t xml:space="preserve">, el consumismo, la </w:t>
      </w:r>
      <w:r w:rsidR="007D67F3" w:rsidRPr="00944DEB">
        <w:rPr>
          <w:rFonts w:ascii="Times New Roman" w:hAnsi="Times New Roman" w:cs="Times New Roman"/>
          <w:sz w:val="24"/>
          <w:szCs w:val="24"/>
        </w:rPr>
        <w:t>especulación</w:t>
      </w:r>
      <w:r w:rsidRPr="00944DEB">
        <w:rPr>
          <w:rFonts w:ascii="Times New Roman" w:hAnsi="Times New Roman" w:cs="Times New Roman"/>
          <w:sz w:val="24"/>
          <w:szCs w:val="24"/>
        </w:rPr>
        <w:t xml:space="preserve">, la </w:t>
      </w:r>
      <w:r w:rsidR="007D67F3" w:rsidRPr="00944DEB">
        <w:rPr>
          <w:rFonts w:ascii="Times New Roman" w:hAnsi="Times New Roman" w:cs="Times New Roman"/>
          <w:sz w:val="24"/>
          <w:szCs w:val="24"/>
        </w:rPr>
        <w:t>corrupción</w:t>
      </w:r>
      <w:r w:rsidRPr="00944DEB">
        <w:rPr>
          <w:rFonts w:ascii="Times New Roman" w:hAnsi="Times New Roman" w:cs="Times New Roman"/>
          <w:sz w:val="24"/>
          <w:szCs w:val="24"/>
        </w:rPr>
        <w:t xml:space="preserve">, el </w:t>
      </w:r>
      <w:r w:rsidR="007D67F3" w:rsidRPr="00944DEB">
        <w:rPr>
          <w:rFonts w:ascii="Times New Roman" w:hAnsi="Times New Roman" w:cs="Times New Roman"/>
          <w:sz w:val="24"/>
          <w:szCs w:val="24"/>
        </w:rPr>
        <w:t>tráfico</w:t>
      </w:r>
      <w:r w:rsidRPr="00944DEB">
        <w:rPr>
          <w:rFonts w:ascii="Times New Roman" w:hAnsi="Times New Roman" w:cs="Times New Roman"/>
          <w:sz w:val="24"/>
          <w:szCs w:val="24"/>
        </w:rPr>
        <w:t xml:space="preserve"> de influencias, la </w:t>
      </w:r>
      <w:r w:rsidR="007D67F3" w:rsidRPr="00944DEB">
        <w:rPr>
          <w:rFonts w:ascii="Times New Roman" w:hAnsi="Times New Roman" w:cs="Times New Roman"/>
          <w:sz w:val="24"/>
          <w:szCs w:val="24"/>
        </w:rPr>
        <w:t>televisión</w:t>
      </w:r>
      <w:r w:rsidRPr="00944DEB">
        <w:rPr>
          <w:rFonts w:ascii="Times New Roman" w:hAnsi="Times New Roman" w:cs="Times New Roman"/>
          <w:sz w:val="24"/>
          <w:szCs w:val="24"/>
        </w:rPr>
        <w:t>, el futbol, la droga y el alcohol.</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No podemos ofrecerles una Europa de “avestruces” y “agujeros”.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¿Es posible que Europa no quiera “asumirse”?.</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claudicar europeo, su </w:t>
      </w:r>
      <w:r w:rsidR="007D67F3" w:rsidRPr="00944DEB">
        <w:rPr>
          <w:rFonts w:ascii="Times New Roman" w:hAnsi="Times New Roman" w:cs="Times New Roman"/>
          <w:sz w:val="24"/>
          <w:szCs w:val="24"/>
        </w:rPr>
        <w:t>resignación</w:t>
      </w:r>
      <w:r w:rsidRPr="00944DEB">
        <w:rPr>
          <w:rFonts w:ascii="Times New Roman" w:hAnsi="Times New Roman" w:cs="Times New Roman"/>
          <w:sz w:val="24"/>
          <w:szCs w:val="24"/>
        </w:rPr>
        <w:t xml:space="preserve"> a ser “solo” mercado anula las posibilidades de crecer (como Estados Unidos) y neutraliza las posibilidades de competir (como Estados Unidos, China o Japón). </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Ni corredore</w:t>
      </w:r>
      <w:r>
        <w:rPr>
          <w:rFonts w:ascii="Times New Roman" w:hAnsi="Times New Roman" w:cs="Times New Roman"/>
          <w:sz w:val="24"/>
          <w:szCs w:val="24"/>
        </w:rPr>
        <w:t xml:space="preserve">s de fondo, ni velocistas... </w:t>
      </w:r>
      <w:r w:rsidRPr="00944DEB">
        <w:rPr>
          <w:rFonts w:ascii="Times New Roman" w:hAnsi="Times New Roman" w:cs="Times New Roman"/>
          <w:sz w:val="24"/>
          <w:szCs w:val="24"/>
        </w:rPr>
        <w:t>solo avestruces y agujeros.</w:t>
      </w:r>
    </w:p>
    <w:p w:rsidR="00732791" w:rsidRPr="00944DEB"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w:t>
      </w:r>
      <w:r w:rsidR="007D67F3" w:rsidRPr="00944DEB">
        <w:rPr>
          <w:rFonts w:ascii="Times New Roman" w:hAnsi="Times New Roman" w:cs="Times New Roman"/>
          <w:sz w:val="24"/>
          <w:szCs w:val="24"/>
        </w:rPr>
        <w:t>Habrá</w:t>
      </w:r>
      <w:r w:rsidRPr="00944DEB">
        <w:rPr>
          <w:rFonts w:ascii="Times New Roman" w:hAnsi="Times New Roman" w:cs="Times New Roman"/>
          <w:sz w:val="24"/>
          <w:szCs w:val="24"/>
        </w:rPr>
        <w:t xml:space="preserve"> llegado el momento de pasar de la “</w:t>
      </w:r>
      <w:r w:rsidR="007D67F3" w:rsidRPr="00944DEB">
        <w:rPr>
          <w:rFonts w:ascii="Times New Roman" w:hAnsi="Times New Roman" w:cs="Times New Roman"/>
          <w:sz w:val="24"/>
          <w:szCs w:val="24"/>
        </w:rPr>
        <w:t>subvención</w:t>
      </w:r>
      <w:r w:rsidRPr="00944DEB">
        <w:rPr>
          <w:rFonts w:ascii="Times New Roman" w:hAnsi="Times New Roman" w:cs="Times New Roman"/>
          <w:sz w:val="24"/>
          <w:szCs w:val="24"/>
        </w:rPr>
        <w:t>” a la “</w:t>
      </w:r>
      <w:r w:rsidR="007D67F3" w:rsidRPr="00944DEB">
        <w:rPr>
          <w:rFonts w:ascii="Times New Roman" w:hAnsi="Times New Roman" w:cs="Times New Roman"/>
          <w:sz w:val="24"/>
          <w:szCs w:val="24"/>
        </w:rPr>
        <w:t>subversión</w:t>
      </w:r>
      <w:r w:rsidRPr="00944DEB">
        <w:rPr>
          <w:rFonts w:ascii="Times New Roman" w:hAnsi="Times New Roman" w:cs="Times New Roman"/>
          <w:sz w:val="24"/>
          <w:szCs w:val="24"/>
        </w:rPr>
        <w:t>”?.</w:t>
      </w:r>
    </w:p>
    <w:p w:rsidR="00732791" w:rsidRPr="00944DEB" w:rsidRDefault="007D67F3"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Como en mis E</w:t>
      </w:r>
      <w:r w:rsidR="00732791" w:rsidRPr="00944DEB">
        <w:rPr>
          <w:rFonts w:ascii="Times New Roman" w:hAnsi="Times New Roman" w:cs="Times New Roman"/>
          <w:sz w:val="24"/>
          <w:szCs w:val="24"/>
        </w:rPr>
        <w:t>nsayos</w:t>
      </w:r>
      <w:r>
        <w:rPr>
          <w:rFonts w:ascii="Times New Roman" w:hAnsi="Times New Roman" w:cs="Times New Roman"/>
          <w:sz w:val="24"/>
          <w:szCs w:val="24"/>
        </w:rPr>
        <w:t xml:space="preserve"> y P</w:t>
      </w:r>
      <w:r w:rsidR="00732791">
        <w:rPr>
          <w:rFonts w:ascii="Times New Roman" w:hAnsi="Times New Roman" w:cs="Times New Roman"/>
          <w:sz w:val="24"/>
          <w:szCs w:val="24"/>
        </w:rPr>
        <w:t>apers</w:t>
      </w:r>
      <w:r w:rsidR="00732791" w:rsidRPr="00944DEB">
        <w:rPr>
          <w:rFonts w:ascii="Times New Roman" w:hAnsi="Times New Roman" w:cs="Times New Roman"/>
          <w:sz w:val="24"/>
          <w:szCs w:val="24"/>
        </w:rPr>
        <w:t xml:space="preserve"> anteriores, el </w:t>
      </w:r>
      <w:r w:rsidRPr="00944DEB">
        <w:rPr>
          <w:rFonts w:ascii="Times New Roman" w:hAnsi="Times New Roman" w:cs="Times New Roman"/>
          <w:sz w:val="24"/>
          <w:szCs w:val="24"/>
        </w:rPr>
        <w:t>único</w:t>
      </w:r>
      <w:r w:rsidR="00732791" w:rsidRPr="00944DEB">
        <w:rPr>
          <w:rFonts w:ascii="Times New Roman" w:hAnsi="Times New Roman" w:cs="Times New Roman"/>
          <w:sz w:val="24"/>
          <w:szCs w:val="24"/>
        </w:rPr>
        <w:t xml:space="preserve"> objetivo de este estudio es el debate de ideas </w:t>
      </w:r>
      <w:r w:rsidRPr="00944DEB">
        <w:rPr>
          <w:rFonts w:ascii="Times New Roman" w:hAnsi="Times New Roman" w:cs="Times New Roman"/>
          <w:sz w:val="24"/>
          <w:szCs w:val="24"/>
        </w:rPr>
        <w:t>económicas</w:t>
      </w:r>
      <w:r w:rsidR="00732791" w:rsidRPr="00944DEB">
        <w:rPr>
          <w:rFonts w:ascii="Times New Roman" w:hAnsi="Times New Roman" w:cs="Times New Roman"/>
          <w:sz w:val="24"/>
          <w:szCs w:val="24"/>
        </w:rPr>
        <w:t xml:space="preserve">, cuestionar, desmitificar, advertir, esclarecer, en todo lo posible.Asumiendo el riesgo de </w:t>
      </w:r>
      <w:r w:rsidRPr="00944DEB">
        <w:rPr>
          <w:rFonts w:ascii="Times New Roman" w:hAnsi="Times New Roman" w:cs="Times New Roman"/>
          <w:sz w:val="24"/>
          <w:szCs w:val="24"/>
        </w:rPr>
        <w:t>equívocos</w:t>
      </w:r>
      <w:r w:rsidR="00732791" w:rsidRPr="00944DEB">
        <w:rPr>
          <w:rFonts w:ascii="Times New Roman" w:hAnsi="Times New Roman" w:cs="Times New Roman"/>
          <w:sz w:val="24"/>
          <w:szCs w:val="24"/>
        </w:rPr>
        <w:t xml:space="preserve"> y apresuramientos -a más de ignorancias y subjetividades- espero no ser acusado por “delitos de </w:t>
      </w:r>
      <w:r w:rsidRPr="00944DEB">
        <w:rPr>
          <w:rFonts w:ascii="Times New Roman" w:hAnsi="Times New Roman" w:cs="Times New Roman"/>
          <w:sz w:val="24"/>
          <w:szCs w:val="24"/>
        </w:rPr>
        <w:t>opinióneconómica</w:t>
      </w:r>
      <w:r w:rsidR="00732791" w:rsidRPr="00944DEB">
        <w:rPr>
          <w:rFonts w:ascii="Times New Roman" w:hAnsi="Times New Roman" w:cs="Times New Roman"/>
          <w:sz w:val="24"/>
          <w:szCs w:val="24"/>
        </w:rPr>
        <w:t>”.</w:t>
      </w:r>
    </w:p>
    <w:p w:rsidR="00732791" w:rsidRPr="00944DEB" w:rsidRDefault="007D67F3"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Deseo aclarar que este P</w:t>
      </w:r>
      <w:r w:rsidR="00732791" w:rsidRPr="00944DEB">
        <w:rPr>
          <w:rFonts w:ascii="Times New Roman" w:hAnsi="Times New Roman" w:cs="Times New Roman"/>
          <w:sz w:val="24"/>
          <w:szCs w:val="24"/>
        </w:rPr>
        <w:t xml:space="preserve">aper no </w:t>
      </w:r>
      <w:r w:rsidRPr="00944DEB">
        <w:rPr>
          <w:rFonts w:ascii="Times New Roman" w:hAnsi="Times New Roman" w:cs="Times New Roman"/>
          <w:sz w:val="24"/>
          <w:szCs w:val="24"/>
        </w:rPr>
        <w:t>está</w:t>
      </w:r>
      <w:r w:rsidR="00732791" w:rsidRPr="00944DEB">
        <w:rPr>
          <w:rFonts w:ascii="Times New Roman" w:hAnsi="Times New Roman" w:cs="Times New Roman"/>
          <w:sz w:val="24"/>
          <w:szCs w:val="24"/>
        </w:rPr>
        <w:t xml:space="preserve"> escrito contra nadie. A lo sumo -ojala- a favor de Europa. Fundamentalmente </w:t>
      </w:r>
      <w:r w:rsidRPr="00944DEB">
        <w:rPr>
          <w:rFonts w:ascii="Times New Roman" w:hAnsi="Times New Roman" w:cs="Times New Roman"/>
          <w:sz w:val="24"/>
          <w:szCs w:val="24"/>
        </w:rPr>
        <w:t>está</w:t>
      </w:r>
      <w:r w:rsidR="00732791" w:rsidRPr="00944DEB">
        <w:rPr>
          <w:rFonts w:ascii="Times New Roman" w:hAnsi="Times New Roman" w:cs="Times New Roman"/>
          <w:sz w:val="24"/>
          <w:szCs w:val="24"/>
        </w:rPr>
        <w:t xml:space="preserve"> dirigido a los </w:t>
      </w:r>
      <w:r w:rsidRPr="00944DEB">
        <w:rPr>
          <w:rFonts w:ascii="Times New Roman" w:hAnsi="Times New Roman" w:cs="Times New Roman"/>
          <w:sz w:val="24"/>
          <w:szCs w:val="24"/>
        </w:rPr>
        <w:t>jóvenes</w:t>
      </w:r>
      <w:r w:rsidR="00732791" w:rsidRPr="00944DEB">
        <w:rPr>
          <w:rFonts w:ascii="Times New Roman" w:hAnsi="Times New Roman" w:cs="Times New Roman"/>
          <w:sz w:val="24"/>
          <w:szCs w:val="24"/>
        </w:rPr>
        <w:t>. Para que piensen. Para despertar inquietudes. Para que estudien, discutan, se indignen y... luchen.</w:t>
      </w:r>
    </w:p>
    <w:p w:rsidR="00732791" w:rsidRDefault="00732791" w:rsidP="00732791">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futuro es vuestro, no se lo dejen robar, condicionar o amañar.No acepten como </w:t>
      </w:r>
      <w:r w:rsidR="007D67F3" w:rsidRPr="00944DEB">
        <w:rPr>
          <w:rFonts w:ascii="Times New Roman" w:hAnsi="Times New Roman" w:cs="Times New Roman"/>
          <w:sz w:val="24"/>
          <w:szCs w:val="24"/>
        </w:rPr>
        <w:t>únicas</w:t>
      </w:r>
      <w:r w:rsidRPr="00944DEB">
        <w:rPr>
          <w:rFonts w:ascii="Times New Roman" w:hAnsi="Times New Roman" w:cs="Times New Roman"/>
          <w:sz w:val="24"/>
          <w:szCs w:val="24"/>
        </w:rPr>
        <w:t xml:space="preserve"> alternativas el desempleo, la droga o la delincuencia.¡Por favor no abandonen la lucha! ¡No fracasen...como nosotros!</w:t>
      </w:r>
    </w:p>
    <w:p w:rsidR="00732791" w:rsidRPr="0060357E" w:rsidRDefault="00732791" w:rsidP="00732791">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-Antes del final un “</w:t>
      </w:r>
      <w:r w:rsidR="006658FB">
        <w:rPr>
          <w:rFonts w:ascii="Times New Roman" w:hAnsi="Times New Roman" w:cs="Times New Roman"/>
          <w:b/>
          <w:sz w:val="24"/>
          <w:szCs w:val="24"/>
        </w:rPr>
        <w:t>quiz show”: ¿h</w:t>
      </w:r>
      <w:r>
        <w:rPr>
          <w:rFonts w:ascii="Times New Roman" w:hAnsi="Times New Roman" w:cs="Times New Roman"/>
          <w:b/>
          <w:sz w:val="24"/>
          <w:szCs w:val="24"/>
        </w:rPr>
        <w:t xml:space="preserve">asta cuándo podrá seguir la UE esta tendencia? </w:t>
      </w:r>
    </w:p>
    <w:p w:rsidR="00732791" w:rsidRDefault="006658FB" w:rsidP="00732791">
      <w:pPr>
        <w:spacing w:line="240" w:lineRule="auto"/>
        <w:jc w:val="both"/>
        <w:rPr>
          <w:rFonts w:ascii="Times New Roman" w:hAnsi="Times New Roman" w:cs="Times New Roman"/>
          <w:b/>
          <w:sz w:val="24"/>
          <w:szCs w:val="24"/>
        </w:rPr>
      </w:pPr>
      <w:r>
        <w:rPr>
          <w:rFonts w:ascii="Times New Roman" w:hAnsi="Times New Roman" w:cs="Times New Roman"/>
          <w:b/>
          <w:sz w:val="24"/>
          <w:szCs w:val="24"/>
        </w:rPr>
        <w:t>“Chinafest</w:t>
      </w:r>
      <w:r w:rsidR="00732791">
        <w:rPr>
          <w:rFonts w:ascii="Times New Roman" w:hAnsi="Times New Roman" w:cs="Times New Roman"/>
          <w:b/>
          <w:sz w:val="24"/>
          <w:szCs w:val="24"/>
        </w:rPr>
        <w:t>”: e</w:t>
      </w:r>
      <w:r w:rsidR="00732791" w:rsidRPr="003B7283">
        <w:rPr>
          <w:rFonts w:ascii="Times New Roman" w:hAnsi="Times New Roman" w:cs="Times New Roman"/>
          <w:b/>
          <w:sz w:val="24"/>
          <w:szCs w:val="24"/>
        </w:rPr>
        <w:t>l huevo de la serpiente, o</w:t>
      </w:r>
      <w:r w:rsidR="00732791">
        <w:rPr>
          <w:rFonts w:ascii="Times New Roman" w:hAnsi="Times New Roman" w:cs="Times New Roman"/>
          <w:b/>
          <w:sz w:val="24"/>
          <w:szCs w:val="24"/>
        </w:rPr>
        <w:t xml:space="preserve"> las consecuencias de una globalización suicida</w:t>
      </w:r>
    </w:p>
    <w:p w:rsidR="00732791" w:rsidRPr="00D263AE" w:rsidRDefault="00732791" w:rsidP="00732791">
      <w:pPr>
        <w:spacing w:line="240" w:lineRule="auto"/>
        <w:jc w:val="both"/>
        <w:rPr>
          <w:rFonts w:ascii="Times New Roman" w:hAnsi="Times New Roman" w:cs="Times New Roman"/>
          <w:sz w:val="24"/>
          <w:szCs w:val="24"/>
        </w:rPr>
      </w:pPr>
      <w:r w:rsidRPr="00D263AE">
        <w:rPr>
          <w:rFonts w:ascii="Times New Roman" w:hAnsi="Times New Roman" w:cs="Times New Roman"/>
          <w:i/>
          <w:sz w:val="24"/>
          <w:szCs w:val="24"/>
        </w:rPr>
        <w:t>“No importa que el gato sea blanco o negro; mientras pueda cazar ratones, es un buen gato”.</w:t>
      </w:r>
      <w:r w:rsidRPr="00D263AE">
        <w:rPr>
          <w:rFonts w:ascii="Times New Roman" w:hAnsi="Times New Roman" w:cs="Times New Roman"/>
          <w:sz w:val="24"/>
          <w:szCs w:val="24"/>
        </w:rPr>
        <w:t xml:space="preserve">Esta frase realmente fue pronunciada en 1960 por </w:t>
      </w:r>
      <w:r w:rsidR="007D67F3" w:rsidRPr="00D263AE">
        <w:rPr>
          <w:rFonts w:ascii="Times New Roman" w:hAnsi="Times New Roman" w:cs="Times New Roman"/>
          <w:sz w:val="24"/>
          <w:szCs w:val="24"/>
        </w:rPr>
        <w:t>DenBiao</w:t>
      </w:r>
      <w:r w:rsidRPr="00D263AE">
        <w:rPr>
          <w:rFonts w:ascii="Times New Roman" w:hAnsi="Times New Roman" w:cs="Times New Roman"/>
          <w:sz w:val="24"/>
          <w:szCs w:val="24"/>
        </w:rPr>
        <w:t xml:space="preserve"> Ping, máximo </w:t>
      </w:r>
      <w:r w:rsidR="007D67F3" w:rsidRPr="00D263AE">
        <w:rPr>
          <w:rFonts w:ascii="Times New Roman" w:hAnsi="Times New Roman" w:cs="Times New Roman"/>
          <w:sz w:val="24"/>
          <w:szCs w:val="24"/>
        </w:rPr>
        <w:t>líder</w:t>
      </w:r>
      <w:r w:rsidRPr="00D263AE">
        <w:rPr>
          <w:rFonts w:ascii="Times New Roman" w:hAnsi="Times New Roman" w:cs="Times New Roman"/>
          <w:sz w:val="24"/>
          <w:szCs w:val="24"/>
        </w:rPr>
        <w:t xml:space="preserve"> de la República Popular China desde</w:t>
      </w:r>
      <w:r>
        <w:rPr>
          <w:rFonts w:ascii="Times New Roman" w:hAnsi="Times New Roman" w:cs="Times New Roman"/>
          <w:sz w:val="24"/>
          <w:szCs w:val="24"/>
        </w:rPr>
        <w:t xml:space="preserve"> 1978 hasta su muerte en 1997.</w:t>
      </w:r>
    </w:p>
    <w:p w:rsidR="00732791" w:rsidRPr="00D263AE"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A</w:t>
      </w:r>
      <w:r w:rsidRPr="00D263AE">
        <w:rPr>
          <w:rFonts w:ascii="Times New Roman" w:hAnsi="Times New Roman" w:cs="Times New Roman"/>
          <w:sz w:val="24"/>
          <w:szCs w:val="24"/>
        </w:rPr>
        <w:t>lgunas f</w:t>
      </w:r>
      <w:r w:rsidR="005757DE">
        <w:rPr>
          <w:rFonts w:ascii="Times New Roman" w:hAnsi="Times New Roman" w:cs="Times New Roman"/>
          <w:sz w:val="24"/>
          <w:szCs w:val="24"/>
        </w:rPr>
        <w:t>otos valen más que mil pal</w:t>
      </w:r>
      <w:r>
        <w:rPr>
          <w:rFonts w:ascii="Times New Roman" w:hAnsi="Times New Roman" w:cs="Times New Roman"/>
          <w:sz w:val="24"/>
          <w:szCs w:val="24"/>
        </w:rPr>
        <w:t>abras:</w:t>
      </w:r>
    </w:p>
    <w:p w:rsidR="00732791" w:rsidRPr="005757DE" w:rsidRDefault="00732791" w:rsidP="00732791">
      <w:pPr>
        <w:spacing w:line="240" w:lineRule="auto"/>
        <w:jc w:val="both"/>
        <w:rPr>
          <w:rFonts w:ascii="Times New Roman" w:hAnsi="Times New Roman" w:cs="Times New Roman"/>
          <w:b/>
          <w:sz w:val="20"/>
          <w:szCs w:val="20"/>
        </w:rPr>
      </w:pPr>
      <w:r w:rsidRPr="005757DE">
        <w:rPr>
          <w:rFonts w:ascii="Times New Roman" w:hAnsi="Times New Roman" w:cs="Times New Roman"/>
          <w:noProof/>
          <w:sz w:val="20"/>
          <w:szCs w:val="20"/>
          <w:lang w:val="en-GB" w:eastAsia="en-GB"/>
        </w:rPr>
        <w:drawing>
          <wp:inline distT="0" distB="0" distL="0" distR="0">
            <wp:extent cx="5731510" cy="3227036"/>
            <wp:effectExtent l="0" t="0" r="2540" b="0"/>
            <wp:docPr id="176" name="Imagen 176" descr="Ciclistas en la avenida ChangAn en Pekín,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clistas en la avenida ChangAn en Pekín, 1978."/>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7036"/>
                    </a:xfrm>
                    <a:prstGeom prst="rect">
                      <a:avLst/>
                    </a:prstGeom>
                    <a:noFill/>
                    <a:ln>
                      <a:noFill/>
                    </a:ln>
                  </pic:spPr>
                </pic:pic>
              </a:graphicData>
            </a:graphic>
          </wp:inline>
        </w:drawing>
      </w:r>
      <w:r w:rsidRPr="005757DE">
        <w:rPr>
          <w:rFonts w:ascii="Times New Roman" w:hAnsi="Times New Roman" w:cs="Times New Roman"/>
          <w:color w:val="ECECEC"/>
          <w:sz w:val="20"/>
          <w:szCs w:val="20"/>
          <w:shd w:val="clear" w:color="auto" w:fill="111111"/>
        </w:rPr>
        <w:t xml:space="preserve">Una de las estampas comunes en el Pekín de 1978: la avenida Chang </w:t>
      </w:r>
      <w:r w:rsidR="007D67F3" w:rsidRPr="005757DE">
        <w:rPr>
          <w:rFonts w:ascii="Times New Roman" w:hAnsi="Times New Roman" w:cs="Times New Roman"/>
          <w:color w:val="ECECEC"/>
          <w:sz w:val="20"/>
          <w:szCs w:val="20"/>
          <w:shd w:val="clear" w:color="auto" w:fill="111111"/>
        </w:rPr>
        <w:t>En</w:t>
      </w:r>
      <w:r w:rsidRPr="005757DE">
        <w:rPr>
          <w:rFonts w:ascii="Times New Roman" w:hAnsi="Times New Roman" w:cs="Times New Roman"/>
          <w:color w:val="ECECEC"/>
          <w:sz w:val="20"/>
          <w:szCs w:val="20"/>
          <w:shd w:val="clear" w:color="auto" w:fill="111111"/>
        </w:rPr>
        <w:t xml:space="preserve"> repleta de bicicletas.</w:t>
      </w:r>
    </w:p>
    <w:p w:rsidR="00732791" w:rsidRPr="003B7283" w:rsidRDefault="00732791" w:rsidP="00732791">
      <w:pPr>
        <w:spacing w:line="240" w:lineRule="auto"/>
        <w:jc w:val="both"/>
        <w:rPr>
          <w:rFonts w:ascii="Times New Roman" w:hAnsi="Times New Roman" w:cs="Times New Roman"/>
          <w:b/>
          <w:sz w:val="24"/>
          <w:szCs w:val="24"/>
        </w:rPr>
      </w:pPr>
      <w:r w:rsidRPr="003B7283">
        <w:rPr>
          <w:rFonts w:ascii="Times New Roman" w:hAnsi="Times New Roman" w:cs="Times New Roman"/>
          <w:b/>
          <w:noProof/>
          <w:sz w:val="24"/>
          <w:szCs w:val="24"/>
          <w:lang w:val="en-GB" w:eastAsia="en-GB"/>
        </w:rPr>
        <w:drawing>
          <wp:inline distT="0" distB="0" distL="0" distR="0">
            <wp:extent cx="5731873" cy="3263900"/>
            <wp:effectExtent l="0" t="0" r="254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3263693"/>
                    </a:xfrm>
                    <a:prstGeom prst="rect">
                      <a:avLst/>
                    </a:prstGeom>
                  </pic:spPr>
                </pic:pic>
              </a:graphicData>
            </a:graphic>
          </wp:inline>
        </w:drawing>
      </w:r>
    </w:p>
    <w:p w:rsidR="00732791" w:rsidRDefault="00732791" w:rsidP="00732791">
      <w:pPr>
        <w:spacing w:line="240" w:lineRule="auto"/>
        <w:jc w:val="both"/>
        <w:rPr>
          <w:rFonts w:ascii="Times New Roman" w:hAnsi="Times New Roman" w:cs="Times New Roman"/>
          <w:sz w:val="24"/>
          <w:szCs w:val="24"/>
        </w:rPr>
      </w:pPr>
    </w:p>
    <w:p w:rsidR="00732791" w:rsidRDefault="00732791" w:rsidP="00732791">
      <w:pPr>
        <w:spacing w:line="240" w:lineRule="auto"/>
        <w:jc w:val="both"/>
        <w:rPr>
          <w:rFonts w:ascii="Times New Roman" w:hAnsi="Times New Roman" w:cs="Times New Roman"/>
          <w:sz w:val="24"/>
          <w:szCs w:val="24"/>
        </w:rPr>
      </w:pPr>
      <w:r w:rsidRPr="003B7283">
        <w:rPr>
          <w:rFonts w:ascii="Times New Roman" w:hAnsi="Times New Roman" w:cs="Times New Roman"/>
          <w:noProof/>
          <w:sz w:val="24"/>
          <w:szCs w:val="24"/>
          <w:lang w:val="en-GB" w:eastAsia="en-GB"/>
        </w:rPr>
        <w:lastRenderedPageBreak/>
        <w:drawing>
          <wp:inline distT="0" distB="0" distL="0" distR="0">
            <wp:extent cx="5734050" cy="311150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110122"/>
                    </a:xfrm>
                    <a:prstGeom prst="rect">
                      <a:avLst/>
                    </a:prstGeom>
                  </pic:spPr>
                </pic:pic>
              </a:graphicData>
            </a:graphic>
          </wp:inline>
        </w:drawing>
      </w:r>
    </w:p>
    <w:p w:rsidR="00732791" w:rsidRDefault="00732791" w:rsidP="00732791">
      <w:pPr>
        <w:spacing w:line="240" w:lineRule="auto"/>
        <w:jc w:val="both"/>
        <w:rPr>
          <w:rFonts w:ascii="Times New Roman" w:hAnsi="Times New Roman" w:cs="Times New Roman"/>
          <w:sz w:val="24"/>
          <w:szCs w:val="24"/>
        </w:rPr>
      </w:pPr>
      <w:r w:rsidRPr="003B7283">
        <w:rPr>
          <w:rFonts w:ascii="Times New Roman" w:hAnsi="Times New Roman" w:cs="Times New Roman"/>
          <w:noProof/>
          <w:sz w:val="24"/>
          <w:szCs w:val="24"/>
          <w:lang w:val="en-GB" w:eastAsia="en-GB"/>
        </w:rPr>
        <w:drawing>
          <wp:inline distT="0" distB="0" distL="0" distR="0">
            <wp:extent cx="5728041" cy="5365750"/>
            <wp:effectExtent l="0" t="0" r="6350" b="635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5369000"/>
                    </a:xfrm>
                    <a:prstGeom prst="rect">
                      <a:avLst/>
                    </a:prstGeom>
                  </pic:spPr>
                </pic:pic>
              </a:graphicData>
            </a:graphic>
          </wp:inline>
        </w:drawing>
      </w:r>
    </w:p>
    <w:p w:rsidR="00732791" w:rsidRDefault="00732791" w:rsidP="00732791">
      <w:pPr>
        <w:spacing w:line="240" w:lineRule="auto"/>
        <w:jc w:val="both"/>
        <w:rPr>
          <w:rFonts w:ascii="Times New Roman" w:hAnsi="Times New Roman" w:cs="Times New Roman"/>
          <w:sz w:val="24"/>
          <w:szCs w:val="24"/>
        </w:rPr>
      </w:pPr>
      <w:r w:rsidRPr="003B7283">
        <w:rPr>
          <w:rFonts w:ascii="Times New Roman" w:hAnsi="Times New Roman" w:cs="Times New Roman"/>
          <w:noProof/>
          <w:sz w:val="24"/>
          <w:szCs w:val="24"/>
          <w:lang w:val="en-GB" w:eastAsia="en-GB"/>
        </w:rPr>
        <w:lastRenderedPageBreak/>
        <w:drawing>
          <wp:inline distT="0" distB="0" distL="0" distR="0">
            <wp:extent cx="5726079" cy="3009900"/>
            <wp:effectExtent l="0" t="0" r="8255"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012755"/>
                    </a:xfrm>
                    <a:prstGeom prst="rect">
                      <a:avLst/>
                    </a:prstGeom>
                  </pic:spPr>
                </pic:pic>
              </a:graphicData>
            </a:graphic>
          </wp:inline>
        </w:drawing>
      </w:r>
    </w:p>
    <w:p w:rsidR="00732791"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(Fuente: BBCMundo - Septiembre 2019)</w:t>
      </w:r>
    </w:p>
    <w:p w:rsidR="00732791" w:rsidRDefault="00732791" w:rsidP="00732791">
      <w:pPr>
        <w:spacing w:line="240" w:lineRule="auto"/>
        <w:jc w:val="both"/>
        <w:rPr>
          <w:rFonts w:ascii="Times New Roman" w:hAnsi="Times New Roman" w:cs="Times New Roman"/>
          <w:sz w:val="24"/>
          <w:szCs w:val="24"/>
        </w:rPr>
      </w:pPr>
      <w:r>
        <w:rPr>
          <w:noProof/>
          <w:lang w:val="en-GB" w:eastAsia="en-GB"/>
        </w:rPr>
        <w:drawing>
          <wp:inline distT="0" distB="0" distL="0" distR="0">
            <wp:extent cx="5732238" cy="4730750"/>
            <wp:effectExtent l="0" t="0" r="1905" b="0"/>
            <wp:docPr id="181" name="Imagen 181" descr="https://s03.s3c.es/imag/_v0/770x671/0/d/f/280919-Guerra-Comerci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671/0/d/f/280919-Guerra-Comercial.gif"/>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730149"/>
                    </a:xfrm>
                    <a:prstGeom prst="rect">
                      <a:avLst/>
                    </a:prstGeom>
                    <a:noFill/>
                    <a:ln>
                      <a:noFill/>
                    </a:ln>
                  </pic:spPr>
                </pic:pic>
              </a:graphicData>
            </a:graphic>
          </wp:inline>
        </w:drawing>
      </w:r>
      <w:r w:rsidRPr="00615EDB">
        <w:rPr>
          <w:rFonts w:ascii="Times New Roman" w:hAnsi="Times New Roman" w:cs="Times New Roman"/>
          <w:sz w:val="24"/>
          <w:szCs w:val="24"/>
        </w:rPr>
        <w:t xml:space="preserve">Los 10 países ganadores de la batalla comercial entre China y EEUU </w:t>
      </w:r>
    </w:p>
    <w:p w:rsidR="00732791" w:rsidRDefault="00732791" w:rsidP="0073279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Economista - Les </w:t>
      </w:r>
      <w:r w:rsidR="007D67F3">
        <w:rPr>
          <w:rFonts w:ascii="Times New Roman" w:hAnsi="Times New Roman" w:cs="Times New Roman"/>
          <w:sz w:val="24"/>
          <w:szCs w:val="24"/>
        </w:rPr>
        <w:t>Achos</w:t>
      </w:r>
      <w:r>
        <w:rPr>
          <w:rFonts w:ascii="Times New Roman" w:hAnsi="Times New Roman" w:cs="Times New Roman"/>
          <w:sz w:val="24"/>
          <w:szCs w:val="24"/>
        </w:rPr>
        <w:t xml:space="preserve"> - </w:t>
      </w:r>
      <w:r w:rsidRPr="00615EDB">
        <w:rPr>
          <w:rFonts w:ascii="Times New Roman" w:hAnsi="Times New Roman" w:cs="Times New Roman"/>
          <w:b/>
          <w:sz w:val="24"/>
          <w:szCs w:val="24"/>
        </w:rPr>
        <w:t>29/9/19</w:t>
      </w:r>
      <w:r>
        <w:rPr>
          <w:rFonts w:ascii="Times New Roman" w:hAnsi="Times New Roman" w:cs="Times New Roman"/>
          <w:sz w:val="24"/>
          <w:szCs w:val="24"/>
        </w:rPr>
        <w:t>)</w:t>
      </w:r>
    </w:p>
    <w:p w:rsidR="00732791" w:rsidRPr="005757DE" w:rsidRDefault="00732791" w:rsidP="00732791">
      <w:pPr>
        <w:spacing w:line="240" w:lineRule="auto"/>
        <w:jc w:val="both"/>
        <w:rPr>
          <w:rFonts w:ascii="Times New Roman" w:hAnsi="Times New Roman" w:cs="Times New Roman"/>
          <w:color w:val="ECECEC"/>
          <w:sz w:val="20"/>
          <w:szCs w:val="20"/>
          <w:shd w:val="clear" w:color="auto" w:fill="111111"/>
        </w:rPr>
      </w:pPr>
      <w:r>
        <w:rPr>
          <w:noProof/>
          <w:lang w:val="en-GB" w:eastAsia="en-GB"/>
        </w:rPr>
        <w:lastRenderedPageBreak/>
        <w:drawing>
          <wp:inline distT="0" distB="0" distL="0" distR="0">
            <wp:extent cx="5731510" cy="3227036"/>
            <wp:effectExtent l="0" t="0" r="2540" b="0"/>
            <wp:docPr id="182" name="Imagen 182" descr="tienda de Apple en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enda de Apple en 2017."/>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7036"/>
                    </a:xfrm>
                    <a:prstGeom prst="rect">
                      <a:avLst/>
                    </a:prstGeom>
                    <a:noFill/>
                    <a:ln>
                      <a:noFill/>
                    </a:ln>
                  </pic:spPr>
                </pic:pic>
              </a:graphicData>
            </a:graphic>
          </wp:inline>
        </w:drawing>
      </w:r>
      <w:r w:rsidRPr="005757DE">
        <w:rPr>
          <w:rFonts w:ascii="Times New Roman" w:hAnsi="Times New Roman" w:cs="Times New Roman"/>
          <w:color w:val="ECECEC"/>
          <w:sz w:val="20"/>
          <w:szCs w:val="20"/>
          <w:shd w:val="clear" w:color="auto" w:fill="111111"/>
        </w:rPr>
        <w:t>En China, ir a una tienda de Apple puede ser un dolor de cabeza.</w:t>
      </w:r>
    </w:p>
    <w:p w:rsidR="00732791" w:rsidRDefault="00732791" w:rsidP="00732791">
      <w:pPr>
        <w:spacing w:line="240" w:lineRule="auto"/>
        <w:jc w:val="both"/>
        <w:rPr>
          <w:rFonts w:ascii="Times New Roman" w:hAnsi="Times New Roman" w:cs="Times New Roman"/>
          <w:sz w:val="24"/>
          <w:szCs w:val="24"/>
        </w:rPr>
      </w:pPr>
      <w:r w:rsidRPr="00BA0B5A">
        <w:rPr>
          <w:rFonts w:ascii="Times New Roman" w:hAnsi="Times New Roman" w:cs="Times New Roman"/>
          <w:noProof/>
          <w:sz w:val="24"/>
          <w:szCs w:val="24"/>
          <w:lang w:val="en-GB" w:eastAsia="en-GB"/>
        </w:rPr>
        <w:drawing>
          <wp:inline distT="0" distB="0" distL="0" distR="0">
            <wp:extent cx="5731510" cy="4687469"/>
            <wp:effectExtent l="0" t="0" r="254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4687469"/>
                    </a:xfrm>
                    <a:prstGeom prst="rect">
                      <a:avLst/>
                    </a:prstGeom>
                  </pic:spPr>
                </pic:pic>
              </a:graphicData>
            </a:graphic>
          </wp:inline>
        </w:drawing>
      </w:r>
      <w:r>
        <w:rPr>
          <w:rFonts w:ascii="Times New Roman" w:hAnsi="Times New Roman" w:cs="Times New Roman"/>
          <w:sz w:val="24"/>
          <w:szCs w:val="24"/>
        </w:rPr>
        <w:t xml:space="preserve">(The Wall Street </w:t>
      </w:r>
      <w:r w:rsidR="007D67F3">
        <w:rPr>
          <w:rFonts w:ascii="Times New Roman" w:hAnsi="Times New Roman" w:cs="Times New Roman"/>
          <w:sz w:val="24"/>
          <w:szCs w:val="24"/>
        </w:rPr>
        <w:t>Jornal</w:t>
      </w:r>
      <w:r>
        <w:rPr>
          <w:rFonts w:ascii="Times New Roman" w:hAnsi="Times New Roman" w:cs="Times New Roman"/>
          <w:sz w:val="24"/>
          <w:szCs w:val="24"/>
        </w:rPr>
        <w:t xml:space="preserve"> - </w:t>
      </w:r>
      <w:r w:rsidRPr="00BA0B5A">
        <w:rPr>
          <w:rFonts w:ascii="Times New Roman" w:hAnsi="Times New Roman" w:cs="Times New Roman"/>
          <w:b/>
          <w:sz w:val="24"/>
          <w:szCs w:val="24"/>
        </w:rPr>
        <w:t>29/9/19</w:t>
      </w:r>
      <w:r>
        <w:rPr>
          <w:rFonts w:ascii="Times New Roman" w:hAnsi="Times New Roman" w:cs="Times New Roman"/>
          <w:sz w:val="24"/>
          <w:szCs w:val="24"/>
        </w:rPr>
        <w:t>)</w:t>
      </w:r>
    </w:p>
    <w:p w:rsidR="00732791" w:rsidRPr="00CC4353" w:rsidRDefault="00732791" w:rsidP="00732791">
      <w:pPr>
        <w:spacing w:line="240" w:lineRule="auto"/>
        <w:jc w:val="both"/>
        <w:rPr>
          <w:rFonts w:ascii="Times New Roman" w:hAnsi="Times New Roman" w:cs="Times New Roman"/>
          <w:sz w:val="20"/>
          <w:szCs w:val="20"/>
        </w:rPr>
      </w:pPr>
      <w:r w:rsidRPr="00CC4353">
        <w:rPr>
          <w:rFonts w:ascii="Times New Roman" w:hAnsi="Times New Roman" w:cs="Times New Roman"/>
          <w:color w:val="ECECEC"/>
          <w:sz w:val="20"/>
          <w:szCs w:val="20"/>
          <w:shd w:val="clear" w:color="auto" w:fill="111111"/>
        </w:rPr>
        <w:t>¿La globalización ha fracasado, o es solo un fallo del pensamiento económico?</w:t>
      </w:r>
    </w:p>
    <w:p w:rsidR="00732791" w:rsidRPr="005D6436" w:rsidRDefault="00732791" w:rsidP="00732791">
      <w:pPr>
        <w:spacing w:line="240" w:lineRule="auto"/>
        <w:jc w:val="both"/>
        <w:rPr>
          <w:rFonts w:ascii="Times New Roman" w:hAnsi="Times New Roman" w:cs="Times New Roman"/>
          <w:sz w:val="24"/>
          <w:szCs w:val="24"/>
        </w:rPr>
      </w:pPr>
      <w:r>
        <w:rPr>
          <w:noProof/>
          <w:lang w:val="en-GB" w:eastAsia="en-GB"/>
        </w:rPr>
        <w:lastRenderedPageBreak/>
        <w:drawing>
          <wp:inline distT="0" distB="0" distL="0" distR="0">
            <wp:extent cx="5731510" cy="2398379"/>
            <wp:effectExtent l="0" t="0" r="2540" b="2540"/>
            <wp:docPr id="184" name="Imagen 184" descr="Image result for fotos sobre el empobrecimiento de la clase media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fotos sobre el empobrecimiento de la clase media en europa"/>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398379"/>
                    </a:xfrm>
                    <a:prstGeom prst="rect">
                      <a:avLst/>
                    </a:prstGeom>
                    <a:noFill/>
                    <a:ln>
                      <a:noFill/>
                    </a:ln>
                  </pic:spPr>
                </pic:pic>
              </a:graphicData>
            </a:graphic>
          </wp:inline>
        </w:drawing>
      </w:r>
      <w:r w:rsidRPr="00704272">
        <w:rPr>
          <w:rFonts w:ascii="Palatino Linotype" w:hAnsi="Palatino Linotype"/>
          <w:b/>
          <w:color w:val="333333"/>
          <w:spacing w:val="-15"/>
          <w:sz w:val="24"/>
          <w:szCs w:val="24"/>
        </w:rPr>
        <w:t>Clase media europea: tirarla después de usarla</w:t>
      </w:r>
    </w:p>
    <w:p w:rsidR="00732791" w:rsidRPr="00704272" w:rsidRDefault="00732791" w:rsidP="00732791">
      <w:pPr>
        <w:pStyle w:val="Subttulo1"/>
        <w:shd w:val="clear" w:color="auto" w:fill="FFFFFF"/>
        <w:spacing w:before="0" w:beforeAutospacing="0" w:after="375" w:afterAutospacing="0"/>
        <w:jc w:val="both"/>
        <w:textAlignment w:val="baseline"/>
        <w:rPr>
          <w:rFonts w:ascii="Georgia" w:hAnsi="Georgia"/>
          <w:i/>
          <w:iCs/>
          <w:color w:val="333333"/>
        </w:rPr>
      </w:pPr>
      <w:r w:rsidRPr="00615EDB">
        <w:rPr>
          <w:rFonts w:ascii="Georgia" w:hAnsi="Georgia"/>
          <w:i/>
          <w:iCs/>
          <w:color w:val="333333"/>
        </w:rPr>
        <w:t>Miles y miles de personas perdieron el trabajo y con ello su nivel de vida que pensaron perpetuo; hay además otros miles que con trabajos precarios y mal pagados, hoy tampoco pueden llegar con dignidad a fin de mes.</w:t>
      </w:r>
    </w:p>
    <w:p w:rsidR="00732791" w:rsidRDefault="00732791" w:rsidP="00732791">
      <w:pPr>
        <w:spacing w:line="240" w:lineRule="auto"/>
        <w:jc w:val="both"/>
        <w:rPr>
          <w:rFonts w:ascii="Times New Roman" w:hAnsi="Times New Roman" w:cs="Times New Roman"/>
          <w:sz w:val="24"/>
          <w:szCs w:val="24"/>
        </w:rPr>
      </w:pPr>
      <w:r w:rsidRPr="004A7FEF">
        <w:rPr>
          <w:rFonts w:ascii="Times New Roman" w:hAnsi="Times New Roman" w:cs="Times New Roman"/>
          <w:noProof/>
          <w:sz w:val="24"/>
          <w:szCs w:val="24"/>
          <w:lang w:val="en-GB" w:eastAsia="en-GB"/>
        </w:rPr>
        <w:drawing>
          <wp:inline distT="0" distB="0" distL="0" distR="0">
            <wp:extent cx="5727700" cy="3130550"/>
            <wp:effectExtent l="0" t="0" r="635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132632"/>
                    </a:xfrm>
                    <a:prstGeom prst="rect">
                      <a:avLst/>
                    </a:prstGeom>
                  </pic:spPr>
                </pic:pic>
              </a:graphicData>
            </a:graphic>
          </wp:inline>
        </w:drawing>
      </w:r>
    </w:p>
    <w:p w:rsidR="00732791" w:rsidRPr="00CC4353" w:rsidRDefault="00732791" w:rsidP="00732791">
      <w:pPr>
        <w:spacing w:line="240" w:lineRule="auto"/>
        <w:jc w:val="both"/>
        <w:rPr>
          <w:rFonts w:ascii="Times New Roman" w:hAnsi="Times New Roman" w:cs="Times New Roman"/>
          <w:color w:val="ECECEC"/>
          <w:sz w:val="20"/>
          <w:szCs w:val="20"/>
          <w:shd w:val="clear" w:color="auto" w:fill="111111"/>
        </w:rPr>
      </w:pPr>
      <w:r w:rsidRPr="00CC4353">
        <w:rPr>
          <w:rFonts w:ascii="Times New Roman" w:hAnsi="Times New Roman" w:cs="Times New Roman"/>
          <w:color w:val="ECECEC"/>
          <w:sz w:val="20"/>
          <w:szCs w:val="20"/>
          <w:shd w:val="clear" w:color="auto" w:fill="111111"/>
        </w:rPr>
        <w:t>¿La globalización ha fracasado, o es solo un fallo del pensamiento económico?</w:t>
      </w:r>
    </w:p>
    <w:p w:rsidR="00732791" w:rsidRDefault="00732791" w:rsidP="00732791">
      <w:pPr>
        <w:spacing w:line="240" w:lineRule="auto"/>
        <w:jc w:val="both"/>
        <w:rPr>
          <w:rFonts w:ascii="Times New Roman" w:hAnsi="Times New Roman" w:cs="Times New Roman"/>
          <w:sz w:val="24"/>
          <w:szCs w:val="24"/>
        </w:rPr>
      </w:pPr>
      <w:r w:rsidRPr="00BA0B5A">
        <w:rPr>
          <w:rFonts w:ascii="Times New Roman" w:hAnsi="Times New Roman" w:cs="Times New Roman"/>
          <w:sz w:val="24"/>
          <w:szCs w:val="24"/>
        </w:rPr>
        <w:t>La clase media de los 36 países más desarrollados del mundo se ha debilitado. “Está exprimida”, concluye la Organización para la Cooperación y el Desarrollo Económico (OCDE). El club de los países más ricos del mundo presentó este miércoles en Naciones Unidas un estudio para avisar de que este grupo social está menguando debido a que su nivel de vida se estanca o va en declive, mientras que el de las rentas más altas mejora. España es uno de los países donde los problemas de este colectivo crecen más, según la OCDE. Entre los motivos de este declive está el aumento del coste de la vida, superior al crecimiento de sus rentas. “La vivienda, por ejemplo, representa un tercio del ingreso disponible, frente a un cuarto en los años noventa”</w:t>
      </w:r>
      <w:r>
        <w:rPr>
          <w:rFonts w:ascii="Times New Roman" w:hAnsi="Times New Roman" w:cs="Times New Roman"/>
          <w:sz w:val="24"/>
          <w:szCs w:val="24"/>
        </w:rPr>
        <w:t xml:space="preserve">… (El País - </w:t>
      </w:r>
      <w:r w:rsidRPr="00BA0B5A">
        <w:rPr>
          <w:rFonts w:ascii="Times New Roman" w:hAnsi="Times New Roman" w:cs="Times New Roman"/>
          <w:b/>
          <w:sz w:val="24"/>
          <w:szCs w:val="24"/>
        </w:rPr>
        <w:t>11/4/19</w:t>
      </w:r>
      <w:r>
        <w:rPr>
          <w:rFonts w:ascii="Times New Roman" w:hAnsi="Times New Roman" w:cs="Times New Roman"/>
          <w:sz w:val="24"/>
          <w:szCs w:val="24"/>
        </w:rPr>
        <w:t>)</w:t>
      </w:r>
    </w:p>
    <w:p w:rsidR="00732791" w:rsidRDefault="00732791" w:rsidP="0073279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La única “curva invertida”, es la de la inteligencia. </w:t>
      </w:r>
      <w:r w:rsidRPr="00785B81">
        <w:rPr>
          <w:rFonts w:ascii="Times New Roman" w:hAnsi="Times New Roman" w:cs="Times New Roman"/>
          <w:b/>
          <w:sz w:val="24"/>
          <w:szCs w:val="24"/>
        </w:rPr>
        <w:t>La “globalización” no da más sí. Ha llegado a su fin. Hay que pasar de las musas al teat</w:t>
      </w:r>
      <w:r>
        <w:rPr>
          <w:rFonts w:ascii="Times New Roman" w:hAnsi="Times New Roman" w:cs="Times New Roman"/>
          <w:b/>
          <w:sz w:val="24"/>
          <w:szCs w:val="24"/>
        </w:rPr>
        <w:t xml:space="preserve">ro. Lo contrario es el hartazgo, el populismo y el nacionalismo. </w:t>
      </w:r>
    </w:p>
    <w:p w:rsidR="00732791" w:rsidRDefault="00732791" w:rsidP="0073279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La avaricia de los “global </w:t>
      </w:r>
      <w:r w:rsidR="00903D67">
        <w:rPr>
          <w:rFonts w:ascii="Times New Roman" w:hAnsi="Times New Roman" w:cs="Times New Roman"/>
          <w:b/>
          <w:sz w:val="24"/>
          <w:szCs w:val="24"/>
        </w:rPr>
        <w:t>player</w:t>
      </w:r>
      <w:r w:rsidR="007D67F3">
        <w:rPr>
          <w:rFonts w:ascii="Times New Roman" w:hAnsi="Times New Roman" w:cs="Times New Roman"/>
          <w:b/>
          <w:sz w:val="24"/>
          <w:szCs w:val="24"/>
        </w:rPr>
        <w:t>s</w:t>
      </w:r>
      <w:r>
        <w:rPr>
          <w:rFonts w:ascii="Times New Roman" w:hAnsi="Times New Roman" w:cs="Times New Roman"/>
          <w:b/>
          <w:sz w:val="24"/>
          <w:szCs w:val="24"/>
        </w:rPr>
        <w:t xml:space="preserve">” tiene un límite. Si no cambian de paradigma por espíritu de “autocrítica”, al menos deberían hacerlo por instinto de “supervivencia”. </w:t>
      </w:r>
    </w:p>
    <w:p w:rsidR="00732791" w:rsidRPr="00785B81" w:rsidRDefault="00732791" w:rsidP="00732791">
      <w:pPr>
        <w:spacing w:line="240" w:lineRule="auto"/>
        <w:jc w:val="both"/>
        <w:rPr>
          <w:rFonts w:ascii="Times New Roman" w:hAnsi="Times New Roman" w:cs="Times New Roman"/>
          <w:b/>
          <w:sz w:val="24"/>
          <w:szCs w:val="24"/>
        </w:rPr>
      </w:pPr>
      <w:r>
        <w:rPr>
          <w:noProof/>
          <w:lang w:val="en-GB" w:eastAsia="en-GB"/>
        </w:rPr>
        <w:drawing>
          <wp:inline distT="0" distB="0" distL="0" distR="0">
            <wp:extent cx="5721350" cy="2762250"/>
            <wp:effectExtent l="0" t="0" r="0" b="0"/>
            <wp:docPr id="186" name="Imagen 186" descr="A clothing factory in China's Jiangsu provi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clothing factory in China's Jiangsu province."/>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1350" cy="2762250"/>
                    </a:xfrm>
                    <a:prstGeom prst="rect">
                      <a:avLst/>
                    </a:prstGeom>
                    <a:noFill/>
                    <a:ln>
                      <a:noFill/>
                    </a:ln>
                  </pic:spPr>
                </pic:pic>
              </a:graphicData>
            </a:graphic>
          </wp:inline>
        </w:drawing>
      </w:r>
    </w:p>
    <w:p w:rsidR="00732791" w:rsidRPr="005757DE" w:rsidRDefault="00732791" w:rsidP="00732791">
      <w:pPr>
        <w:spacing w:line="240" w:lineRule="auto"/>
        <w:jc w:val="both"/>
        <w:rPr>
          <w:rFonts w:ascii="Times New Roman" w:hAnsi="Times New Roman" w:cs="Times New Roman"/>
          <w:b/>
          <w:color w:val="FF0000"/>
          <w:sz w:val="20"/>
          <w:szCs w:val="20"/>
        </w:rPr>
      </w:pPr>
      <w:r w:rsidRPr="005757DE">
        <w:rPr>
          <w:rFonts w:ascii="Times New Roman" w:hAnsi="Times New Roman" w:cs="Times New Roman"/>
          <w:b/>
          <w:color w:val="FF0000"/>
          <w:sz w:val="20"/>
          <w:szCs w:val="20"/>
        </w:rPr>
        <w:t>Al final: ¿Ustedes creen que se puede competir con China en pie de igualdad? Con jornadas laborales de 16 horas, con permiso (y tiempo tasado) del capataz para ir a mear,</w:t>
      </w:r>
      <w:r w:rsidR="00CC4353" w:rsidRPr="005757DE">
        <w:rPr>
          <w:rFonts w:ascii="Times New Roman" w:hAnsi="Times New Roman" w:cs="Times New Roman"/>
          <w:b/>
          <w:color w:val="FF0000"/>
          <w:sz w:val="20"/>
          <w:szCs w:val="20"/>
        </w:rPr>
        <w:t xml:space="preserve"> con un salario mínimo de USD 146 al mes en </w:t>
      </w:r>
      <w:r w:rsidR="007D67F3" w:rsidRPr="005757DE">
        <w:rPr>
          <w:rFonts w:ascii="Times New Roman" w:hAnsi="Times New Roman" w:cs="Times New Roman"/>
          <w:b/>
          <w:color w:val="FF0000"/>
          <w:sz w:val="20"/>
          <w:szCs w:val="20"/>
        </w:rPr>
        <w:t>Jiangxi</w:t>
      </w:r>
      <w:r w:rsidR="00CC4353" w:rsidRPr="005757DE">
        <w:rPr>
          <w:rFonts w:ascii="Times New Roman" w:hAnsi="Times New Roman" w:cs="Times New Roman"/>
          <w:b/>
          <w:color w:val="FF0000"/>
          <w:sz w:val="20"/>
          <w:szCs w:val="20"/>
        </w:rPr>
        <w:t xml:space="preserve"> a USD 321 en Shanghái, con un sueldo medio del operario textil de USD 582,</w:t>
      </w:r>
      <w:r w:rsidRPr="005757DE">
        <w:rPr>
          <w:rFonts w:ascii="Times New Roman" w:hAnsi="Times New Roman" w:cs="Times New Roman"/>
          <w:b/>
          <w:color w:val="FF0000"/>
          <w:sz w:val="20"/>
          <w:szCs w:val="20"/>
        </w:rPr>
        <w:t xml:space="preserve"> con vacaciones de una semana al año, con despido libre… ¡No jodamos! </w:t>
      </w:r>
    </w:p>
    <w:p w:rsidR="00732791" w:rsidRPr="001C1FAD" w:rsidRDefault="00732791" w:rsidP="00732791">
      <w:pPr>
        <w:spacing w:line="240" w:lineRule="auto"/>
        <w:jc w:val="both"/>
        <w:rPr>
          <w:rFonts w:ascii="Times New Roman" w:hAnsi="Times New Roman" w:cs="Times New Roman"/>
          <w:b/>
          <w:sz w:val="24"/>
          <w:szCs w:val="24"/>
        </w:rPr>
      </w:pPr>
      <w:r w:rsidRPr="001C1FAD">
        <w:rPr>
          <w:rFonts w:ascii="Times New Roman" w:hAnsi="Times New Roman" w:cs="Times New Roman"/>
          <w:b/>
          <w:sz w:val="24"/>
          <w:szCs w:val="24"/>
        </w:rPr>
        <w:t>¿Hasta d</w:t>
      </w:r>
      <w:r>
        <w:rPr>
          <w:rFonts w:ascii="Times New Roman" w:hAnsi="Times New Roman" w:cs="Times New Roman"/>
          <w:b/>
          <w:sz w:val="24"/>
          <w:szCs w:val="24"/>
        </w:rPr>
        <w:t>ónde debe llegar el proceso de “devaluación interna”</w:t>
      </w:r>
      <w:r w:rsidRPr="001C1FAD">
        <w:rPr>
          <w:rFonts w:ascii="Times New Roman" w:hAnsi="Times New Roman" w:cs="Times New Roman"/>
          <w:b/>
          <w:sz w:val="24"/>
          <w:szCs w:val="24"/>
        </w:rPr>
        <w:t>, para que la UE</w:t>
      </w:r>
      <w:r>
        <w:rPr>
          <w:rFonts w:ascii="Times New Roman" w:hAnsi="Times New Roman" w:cs="Times New Roman"/>
          <w:b/>
          <w:sz w:val="24"/>
          <w:szCs w:val="24"/>
        </w:rPr>
        <w:t>,</w:t>
      </w:r>
      <w:r w:rsidRPr="001C1FAD">
        <w:rPr>
          <w:rFonts w:ascii="Times New Roman" w:hAnsi="Times New Roman" w:cs="Times New Roman"/>
          <w:b/>
          <w:sz w:val="24"/>
          <w:szCs w:val="24"/>
        </w:rPr>
        <w:t xml:space="preserve"> o los EEUU</w:t>
      </w:r>
      <w:r>
        <w:rPr>
          <w:rFonts w:ascii="Times New Roman" w:hAnsi="Times New Roman" w:cs="Times New Roman"/>
          <w:b/>
          <w:sz w:val="24"/>
          <w:szCs w:val="24"/>
        </w:rPr>
        <w:t>,</w:t>
      </w:r>
      <w:r w:rsidRPr="001C1FAD">
        <w:rPr>
          <w:rFonts w:ascii="Times New Roman" w:hAnsi="Times New Roman" w:cs="Times New Roman"/>
          <w:b/>
          <w:sz w:val="24"/>
          <w:szCs w:val="24"/>
        </w:rPr>
        <w:t xml:space="preserve"> recuperen la competitividad?</w:t>
      </w:r>
      <w:r>
        <w:rPr>
          <w:rFonts w:ascii="Times New Roman" w:hAnsi="Times New Roman" w:cs="Times New Roman"/>
          <w:b/>
          <w:sz w:val="24"/>
          <w:szCs w:val="24"/>
        </w:rPr>
        <w:t xml:space="preserve"> ¿Cuál es el “umbral de dolor” en la era del feudalismo digital?</w:t>
      </w:r>
    </w:p>
    <w:p w:rsidR="00732791" w:rsidRPr="001C1FAD" w:rsidRDefault="00732791" w:rsidP="00732791">
      <w:pPr>
        <w:spacing w:line="240" w:lineRule="auto"/>
        <w:jc w:val="both"/>
        <w:rPr>
          <w:rFonts w:ascii="Times New Roman" w:hAnsi="Times New Roman" w:cs="Times New Roman"/>
          <w:b/>
          <w:sz w:val="24"/>
          <w:szCs w:val="24"/>
        </w:rPr>
      </w:pPr>
      <w:r w:rsidRPr="001C1FAD">
        <w:rPr>
          <w:rFonts w:ascii="Times New Roman" w:hAnsi="Times New Roman" w:cs="Times New Roman"/>
          <w:b/>
          <w:sz w:val="24"/>
          <w:szCs w:val="24"/>
        </w:rPr>
        <w:t>¿Cuánta “avaricia” (de los empresarios), “ceguera voluntaria” o “connivencia” (de los políticos), “abducción”, “anestesia”, o “estolidez” (de los consumidores), será “soportable”, por los trabajadores, contribuyentes, desocupados, pensionistas, o jóvenes, de los países avanzados (ahora en vías de subdesarrollo) antes que “estalle” el conflicto social?</w:t>
      </w:r>
    </w:p>
    <w:p w:rsidR="00732791" w:rsidRPr="001C1FAD" w:rsidRDefault="00732791" w:rsidP="00732791">
      <w:pPr>
        <w:spacing w:line="240" w:lineRule="auto"/>
        <w:jc w:val="both"/>
        <w:rPr>
          <w:rFonts w:ascii="Times New Roman" w:hAnsi="Times New Roman" w:cs="Times New Roman"/>
          <w:b/>
          <w:sz w:val="24"/>
          <w:szCs w:val="24"/>
        </w:rPr>
      </w:pPr>
      <w:r w:rsidRPr="001C1FAD">
        <w:rPr>
          <w:rFonts w:ascii="Times New Roman" w:hAnsi="Times New Roman" w:cs="Times New Roman"/>
          <w:b/>
          <w:sz w:val="24"/>
          <w:szCs w:val="24"/>
        </w:rPr>
        <w:t>¿Cuándo se entenderá que el multilateralismo resulta impracticable si no hay “equilibrio” en el costo de los factores (o aranceles compensatorios de la asimetría)?</w:t>
      </w:r>
    </w:p>
    <w:p w:rsidR="00732791" w:rsidRPr="001C1FAD" w:rsidRDefault="00732791" w:rsidP="00732791">
      <w:pPr>
        <w:spacing w:line="240" w:lineRule="auto"/>
        <w:jc w:val="both"/>
        <w:rPr>
          <w:rFonts w:ascii="Times New Roman" w:hAnsi="Times New Roman" w:cs="Times New Roman"/>
          <w:b/>
          <w:sz w:val="24"/>
          <w:szCs w:val="24"/>
        </w:rPr>
      </w:pPr>
      <w:r w:rsidRPr="001C1FAD">
        <w:rPr>
          <w:rFonts w:ascii="Times New Roman" w:hAnsi="Times New Roman" w:cs="Times New Roman"/>
          <w:b/>
          <w:sz w:val="24"/>
          <w:szCs w:val="24"/>
        </w:rPr>
        <w:t>¿Qué crisis (económica, social, o política) hace falta que “explote”, para reestablecer el bilateralismo, el intercambio compensado, o el proteccionismo?</w:t>
      </w:r>
    </w:p>
    <w:p w:rsidR="00732791" w:rsidRDefault="00732791" w:rsidP="00732791">
      <w:pPr>
        <w:spacing w:line="240" w:lineRule="auto"/>
        <w:jc w:val="both"/>
        <w:rPr>
          <w:rFonts w:ascii="Times New Roman" w:hAnsi="Times New Roman" w:cs="Times New Roman"/>
          <w:b/>
          <w:sz w:val="24"/>
          <w:szCs w:val="24"/>
        </w:rPr>
      </w:pPr>
      <w:r w:rsidRPr="001C1FAD">
        <w:rPr>
          <w:rFonts w:ascii="Times New Roman" w:hAnsi="Times New Roman" w:cs="Times New Roman"/>
          <w:b/>
          <w:sz w:val="24"/>
          <w:szCs w:val="24"/>
        </w:rPr>
        <w:t>¿Hasta dónde van a seguir destruyendo la economía productiva de los países avanzados, para mantener (o mejorar) la economía especulativa, disruptiva, as</w:t>
      </w:r>
      <w:r>
        <w:rPr>
          <w:rFonts w:ascii="Times New Roman" w:hAnsi="Times New Roman" w:cs="Times New Roman"/>
          <w:b/>
          <w:sz w:val="24"/>
          <w:szCs w:val="24"/>
        </w:rPr>
        <w:t xml:space="preserve">ociativa, o de entretenimiento? </w:t>
      </w:r>
      <w:r w:rsidRPr="001C1FAD">
        <w:rPr>
          <w:rFonts w:ascii="Times New Roman" w:hAnsi="Times New Roman" w:cs="Times New Roman"/>
          <w:b/>
          <w:sz w:val="24"/>
          <w:szCs w:val="24"/>
        </w:rPr>
        <w:t>¿Tiene alguna “lógica” económica (ética, moral o histórica) eliminar o reducir la clase media de los países desarrollados, para crear o ampliar la clase media de los países emergentes?</w:t>
      </w:r>
    </w:p>
    <w:p w:rsidR="00732791" w:rsidRPr="001C1FAD" w:rsidRDefault="00732791" w:rsidP="00732791">
      <w:pPr>
        <w:spacing w:line="240" w:lineRule="auto"/>
        <w:jc w:val="both"/>
        <w:rPr>
          <w:rFonts w:ascii="Times New Roman" w:hAnsi="Times New Roman" w:cs="Times New Roman"/>
          <w:b/>
          <w:sz w:val="24"/>
          <w:szCs w:val="24"/>
        </w:rPr>
      </w:pPr>
      <w:r w:rsidRPr="001C1FAD">
        <w:rPr>
          <w:rFonts w:ascii="Times New Roman" w:hAnsi="Times New Roman" w:cs="Times New Roman"/>
          <w:b/>
          <w:sz w:val="24"/>
          <w:szCs w:val="24"/>
        </w:rPr>
        <w:t xml:space="preserve">¿Hacen falta más “dosis” de surrealismo intrínseco, para aceptar el fracaso de la globalización, el librecambio, la financierización, la deslocalización, la tercerización, el </w:t>
      </w:r>
      <w:r w:rsidRPr="001C1FAD">
        <w:rPr>
          <w:rFonts w:ascii="Times New Roman" w:hAnsi="Times New Roman" w:cs="Times New Roman"/>
          <w:b/>
          <w:sz w:val="24"/>
          <w:szCs w:val="24"/>
        </w:rPr>
        <w:lastRenderedPageBreak/>
        <w:t xml:space="preserve">asociacionismo, la disrupción, el precariado, la privatización, la desregulación, el “too big to fail”, el “too big to </w:t>
      </w:r>
      <w:r w:rsidR="007D67F3" w:rsidRPr="001C1FAD">
        <w:rPr>
          <w:rFonts w:ascii="Times New Roman" w:hAnsi="Times New Roman" w:cs="Times New Roman"/>
          <w:b/>
          <w:sz w:val="24"/>
          <w:szCs w:val="24"/>
        </w:rPr>
        <w:t>juil</w:t>
      </w:r>
      <w:r w:rsidRPr="001C1FAD">
        <w:rPr>
          <w:rFonts w:ascii="Times New Roman" w:hAnsi="Times New Roman" w:cs="Times New Roman"/>
          <w:b/>
          <w:sz w:val="24"/>
          <w:szCs w:val="24"/>
        </w:rPr>
        <w:t xml:space="preserve">”, la socialización de las pérdidas, la privatización de las ganancias, la monetización de la deuda, la represión financiera, los algoritmos, las aplicaciones, las redes sociales y otras tramas, para pescar “incautos”, “codiciosos”, o “miserables”? </w:t>
      </w:r>
    </w:p>
    <w:p w:rsidR="00732791" w:rsidRPr="001C1FAD" w:rsidRDefault="00732791" w:rsidP="00732791">
      <w:pPr>
        <w:spacing w:line="240" w:lineRule="auto"/>
        <w:jc w:val="both"/>
        <w:rPr>
          <w:rFonts w:ascii="Times New Roman" w:hAnsi="Times New Roman" w:cs="Times New Roman"/>
          <w:b/>
          <w:sz w:val="24"/>
          <w:szCs w:val="24"/>
        </w:rPr>
      </w:pPr>
      <w:r w:rsidRPr="001C1FAD">
        <w:rPr>
          <w:rFonts w:ascii="Times New Roman" w:hAnsi="Times New Roman" w:cs="Times New Roman"/>
          <w:b/>
          <w:sz w:val="24"/>
          <w:szCs w:val="24"/>
        </w:rPr>
        <w:t>¿Por cuánto tiempo más, van a prolongar este “matadero” cínico de la gente común (de los países avanzados), para sostener las cotización y los dividendos de Wall Street?</w:t>
      </w:r>
    </w:p>
    <w:p w:rsidR="00732791" w:rsidRDefault="00732791" w:rsidP="00732791">
      <w:pPr>
        <w:spacing w:line="240" w:lineRule="auto"/>
        <w:jc w:val="both"/>
        <w:rPr>
          <w:rFonts w:ascii="Times New Roman" w:hAnsi="Times New Roman" w:cs="Times New Roman"/>
          <w:sz w:val="24"/>
          <w:szCs w:val="24"/>
        </w:rPr>
      </w:pPr>
      <w:r>
        <w:rPr>
          <w:noProof/>
          <w:lang w:val="en-GB" w:eastAsia="en-GB"/>
        </w:rPr>
        <w:drawing>
          <wp:inline distT="0" distB="0" distL="0" distR="0">
            <wp:extent cx="5725962" cy="2984500"/>
            <wp:effectExtent l="0" t="0" r="8255" b="6350"/>
            <wp:docPr id="187" name="Imagen 187" descr="delong213_MarioTamaGettyImages_businessmenjob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long213_MarioTamaGettyImages_businessmenjobline"/>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87392"/>
                    </a:xfrm>
                    <a:prstGeom prst="rect">
                      <a:avLst/>
                    </a:prstGeom>
                    <a:noFill/>
                    <a:ln>
                      <a:noFill/>
                    </a:ln>
                  </pic:spPr>
                </pic:pic>
              </a:graphicData>
            </a:graphic>
          </wp:inline>
        </w:drawing>
      </w:r>
    </w:p>
    <w:p w:rsidR="00732791" w:rsidRPr="00CC4353" w:rsidRDefault="00732791" w:rsidP="00732791">
      <w:pPr>
        <w:spacing w:line="240" w:lineRule="auto"/>
        <w:jc w:val="both"/>
        <w:rPr>
          <w:rFonts w:ascii="Times New Roman" w:hAnsi="Times New Roman" w:cs="Times New Roman"/>
          <w:sz w:val="20"/>
          <w:szCs w:val="20"/>
        </w:rPr>
      </w:pPr>
      <w:r w:rsidRPr="00CC4353">
        <w:rPr>
          <w:rFonts w:ascii="Times New Roman" w:hAnsi="Times New Roman" w:cs="Times New Roman"/>
          <w:sz w:val="20"/>
          <w:szCs w:val="20"/>
        </w:rPr>
        <w:t>Mientras en China, la clase media (nuevos ricos) hace cola para comprar el último modelo de iPad, en EEUU o la UE,  la clase media (nuevos pobres) hace cola en las oficinas de empleo.</w:t>
      </w:r>
    </w:p>
    <w:p w:rsidR="00732791" w:rsidRPr="005757DE" w:rsidRDefault="00732791" w:rsidP="00732791">
      <w:pPr>
        <w:spacing w:line="240" w:lineRule="auto"/>
        <w:jc w:val="both"/>
        <w:rPr>
          <w:rFonts w:ascii="Times New Roman" w:hAnsi="Times New Roman" w:cs="Times New Roman"/>
          <w:b/>
          <w:color w:val="FF0000"/>
          <w:sz w:val="20"/>
          <w:szCs w:val="20"/>
        </w:rPr>
      </w:pPr>
      <w:r>
        <w:rPr>
          <w:noProof/>
          <w:lang w:val="en-GB" w:eastAsia="en-GB"/>
        </w:rPr>
        <w:drawing>
          <wp:inline distT="0" distB="0" distL="0" distR="0">
            <wp:extent cx="5732146" cy="2794000"/>
            <wp:effectExtent l="0" t="0" r="1905" b="6350"/>
            <wp:docPr id="188" name="Imagen 188" descr="Bruselas denuncia a España por desproteger el humedal de Doñ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uselas denuncia a España por desproteger el humedal de Doñana"/>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93690"/>
                    </a:xfrm>
                    <a:prstGeom prst="rect">
                      <a:avLst/>
                    </a:prstGeom>
                    <a:noFill/>
                    <a:ln>
                      <a:noFill/>
                    </a:ln>
                  </pic:spPr>
                </pic:pic>
              </a:graphicData>
            </a:graphic>
          </wp:inline>
        </w:drawing>
      </w:r>
      <w:r w:rsidR="007D67F3" w:rsidRPr="005757DE">
        <w:rPr>
          <w:rFonts w:ascii="Times New Roman" w:hAnsi="Times New Roman" w:cs="Times New Roman"/>
          <w:b/>
          <w:color w:val="FF0000"/>
          <w:sz w:val="20"/>
          <w:szCs w:val="20"/>
        </w:rPr>
        <w:t>Ness unforma</w:t>
      </w:r>
      <w:r w:rsidRPr="005757DE">
        <w:rPr>
          <w:rFonts w:ascii="Times New Roman" w:hAnsi="Times New Roman" w:cs="Times New Roman"/>
          <w:b/>
          <w:color w:val="FF0000"/>
          <w:sz w:val="20"/>
          <w:szCs w:val="20"/>
        </w:rPr>
        <w:t xml:space="preserve">: Esta fotografía no es de “cisnes negros”, pero por la cantidad de aves que tienen la cabeza metida en el agua (¿para no ver lo que pasa?), es posible que sean “funcionarios de las instituciones europeas”: trabajando “poco a poco” y, antes que nada, haciendo un “estudio de demanda”, para saber cuánta gente podría salir perjudicada… y posteriormente, trabajar en un documento para saber cuánto costaría el proyecto”… (sic) </w:t>
      </w:r>
    </w:p>
    <w:p w:rsidR="005757DE" w:rsidRDefault="005757DE" w:rsidP="00732791">
      <w:pPr>
        <w:spacing w:line="240" w:lineRule="auto"/>
        <w:jc w:val="both"/>
        <w:rPr>
          <w:rFonts w:ascii="Times New Roman" w:hAnsi="Times New Roman" w:cs="Times New Roman"/>
          <w:b/>
          <w:sz w:val="24"/>
          <w:szCs w:val="24"/>
        </w:rPr>
      </w:pPr>
    </w:p>
    <w:p w:rsidR="00732791" w:rsidRPr="0060357E" w:rsidRDefault="007D67F3" w:rsidP="0073279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Fotograma</w:t>
      </w:r>
      <w:r w:rsidR="00732791">
        <w:rPr>
          <w:rFonts w:ascii="Times New Roman" w:hAnsi="Times New Roman" w:cs="Times New Roman"/>
          <w:b/>
          <w:sz w:val="24"/>
          <w:szCs w:val="24"/>
        </w:rPr>
        <w:t xml:space="preserve">: ¿quedará alguna capacidad de reacción después de tanta ignominia? </w:t>
      </w:r>
    </w:p>
    <w:p w:rsidR="00732791" w:rsidRDefault="00732791" w:rsidP="00732791">
      <w:pPr>
        <w:spacing w:line="240" w:lineRule="auto"/>
        <w:jc w:val="both"/>
        <w:rPr>
          <w:rFonts w:ascii="Times New Roman" w:hAnsi="Times New Roman" w:cs="Times New Roman"/>
          <w:sz w:val="24"/>
          <w:szCs w:val="24"/>
        </w:rPr>
      </w:pPr>
      <w:r>
        <w:rPr>
          <w:noProof/>
          <w:lang w:val="en-GB" w:eastAsia="en-GB"/>
        </w:rPr>
        <w:drawing>
          <wp:inline distT="0" distB="0" distL="0" distR="0">
            <wp:extent cx="5727700" cy="2419350"/>
            <wp:effectExtent l="0" t="0" r="6350" b="0"/>
            <wp:docPr id="189" name="Imagen 189" descr="Trabajadores de empresas de reparto, entre ellos Deliveroo y Glovo en la plaza de Alonso MartÃ­nez (Madrid) el pasado mes de mar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bajadores de empresas de reparto, entre ellos Deliveroo y Glovo en la plaza de Alonso MartÃ­nez (Madrid) el pasado mes de marzo."/>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20959"/>
                    </a:xfrm>
                    <a:prstGeom prst="rect">
                      <a:avLst/>
                    </a:prstGeom>
                    <a:noFill/>
                    <a:ln>
                      <a:noFill/>
                    </a:ln>
                  </pic:spPr>
                </pic:pic>
              </a:graphicData>
            </a:graphic>
          </wp:inline>
        </w:drawing>
      </w:r>
    </w:p>
    <w:p w:rsidR="00732791" w:rsidRDefault="00732791" w:rsidP="00732791">
      <w:pPr>
        <w:spacing w:line="240" w:lineRule="auto"/>
        <w:jc w:val="both"/>
        <w:rPr>
          <w:rFonts w:ascii="Times New Roman" w:hAnsi="Times New Roman" w:cs="Times New Roman"/>
          <w:sz w:val="24"/>
          <w:szCs w:val="24"/>
        </w:rPr>
      </w:pPr>
      <w:r>
        <w:rPr>
          <w:noProof/>
          <w:lang w:val="en-GB" w:eastAsia="en-GB"/>
        </w:rPr>
        <w:drawing>
          <wp:inline distT="0" distB="0" distL="0" distR="0">
            <wp:extent cx="5721348" cy="2330450"/>
            <wp:effectExtent l="0" t="0" r="0" b="0"/>
            <wp:docPr id="190" name="Imagen 190" descr="Foto de El invento espaÃ±ol para que WhatsAppno se colapse en conciertos o manif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Foto de El invento espaÃ±ol para que WhatsAppno se colapse en conciertos o manifas"/>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334589"/>
                    </a:xfrm>
                    <a:prstGeom prst="rect">
                      <a:avLst/>
                    </a:prstGeom>
                    <a:noFill/>
                    <a:ln>
                      <a:noFill/>
                    </a:ln>
                  </pic:spPr>
                </pic:pic>
              </a:graphicData>
            </a:graphic>
          </wp:inline>
        </w:drawing>
      </w:r>
    </w:p>
    <w:p w:rsidR="005C2B71" w:rsidRPr="005757DE" w:rsidRDefault="00732791" w:rsidP="00732791">
      <w:pPr>
        <w:spacing w:line="240" w:lineRule="auto"/>
        <w:jc w:val="both"/>
        <w:rPr>
          <w:rFonts w:ascii="Times New Roman" w:hAnsi="Times New Roman" w:cs="Times New Roman"/>
          <w:b/>
          <w:color w:val="FF0000"/>
          <w:sz w:val="20"/>
          <w:szCs w:val="20"/>
        </w:rPr>
      </w:pPr>
      <w:r w:rsidRPr="005757DE">
        <w:rPr>
          <w:noProof/>
          <w:color w:val="FF0000"/>
          <w:sz w:val="20"/>
          <w:szCs w:val="20"/>
          <w:lang w:val="en-GB" w:eastAsia="en-GB"/>
        </w:rPr>
        <w:drawing>
          <wp:inline distT="0" distB="0" distL="0" distR="0">
            <wp:extent cx="5725528" cy="2406650"/>
            <wp:effectExtent l="0" t="0" r="8890" b="0"/>
            <wp:docPr id="191" name="Imagen 191" descr="https://images.theconversation.com/files/294883/original/file-20190930-194884-bqt94q.jpg?ixlib=rb-1.1.0&amp;q=45&amp;auto=format&amp;w=754&amp;fit=cl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s.theconversation.com/files/294883/original/file-20190930-194884-bqt94q.jpg?ixlib=rb-1.1.0&amp;q=45&amp;auto=format&amp;w=754&amp;fit=clip"/>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09164"/>
                    </a:xfrm>
                    <a:prstGeom prst="rect">
                      <a:avLst/>
                    </a:prstGeom>
                    <a:noFill/>
                    <a:ln>
                      <a:noFill/>
                    </a:ln>
                  </pic:spPr>
                </pic:pic>
              </a:graphicData>
            </a:graphic>
          </wp:inline>
        </w:drawing>
      </w:r>
      <w:r w:rsidR="007D67F3" w:rsidRPr="005757DE">
        <w:rPr>
          <w:rFonts w:ascii="Times New Roman" w:hAnsi="Times New Roman" w:cs="Times New Roman"/>
          <w:b/>
          <w:color w:val="FF0000"/>
          <w:sz w:val="20"/>
          <w:szCs w:val="20"/>
        </w:rPr>
        <w:t>Cosí</w:t>
      </w:r>
      <w:r w:rsidRPr="005757DE">
        <w:rPr>
          <w:rFonts w:ascii="Times New Roman" w:hAnsi="Times New Roman" w:cs="Times New Roman"/>
          <w:b/>
          <w:color w:val="FF0000"/>
          <w:sz w:val="20"/>
          <w:szCs w:val="20"/>
        </w:rPr>
        <w:t xml:space="preserve"> fan </w:t>
      </w:r>
      <w:r w:rsidR="007D67F3" w:rsidRPr="005757DE">
        <w:rPr>
          <w:rFonts w:ascii="Times New Roman" w:hAnsi="Times New Roman" w:cs="Times New Roman"/>
          <w:b/>
          <w:color w:val="FF0000"/>
          <w:sz w:val="20"/>
          <w:szCs w:val="20"/>
        </w:rPr>
        <w:t>tute</w:t>
      </w:r>
      <w:r w:rsidRPr="005757DE">
        <w:rPr>
          <w:rFonts w:ascii="Times New Roman" w:hAnsi="Times New Roman" w:cs="Times New Roman"/>
          <w:b/>
          <w:color w:val="FF0000"/>
          <w:sz w:val="20"/>
          <w:szCs w:val="20"/>
        </w:rPr>
        <w:t xml:space="preserve">: con este panorama (fotos y fatos), frente a la evidencia y la lógica, lo </w:t>
      </w:r>
      <w:r w:rsidR="00FA2137" w:rsidRPr="005757DE">
        <w:rPr>
          <w:rFonts w:ascii="Times New Roman" w:hAnsi="Times New Roman" w:cs="Times New Roman"/>
          <w:b/>
          <w:color w:val="FF0000"/>
          <w:sz w:val="20"/>
          <w:szCs w:val="20"/>
        </w:rPr>
        <w:t xml:space="preserve">único que “atino” a decir es </w:t>
      </w:r>
      <w:r w:rsidR="007D67F3" w:rsidRPr="005757DE">
        <w:rPr>
          <w:rFonts w:ascii="Times New Roman" w:hAnsi="Times New Roman" w:cs="Times New Roman"/>
          <w:b/>
          <w:color w:val="FF0000"/>
          <w:sz w:val="20"/>
          <w:szCs w:val="20"/>
        </w:rPr>
        <w:t>que</w:t>
      </w:r>
      <w:r w:rsidR="00FA2137" w:rsidRPr="005757DE">
        <w:rPr>
          <w:rFonts w:ascii="Times New Roman" w:hAnsi="Times New Roman" w:cs="Times New Roman"/>
          <w:b/>
          <w:color w:val="FF0000"/>
          <w:sz w:val="20"/>
          <w:szCs w:val="20"/>
        </w:rPr>
        <w:t>,</w:t>
      </w:r>
      <w:r w:rsidRPr="005757DE">
        <w:rPr>
          <w:rFonts w:ascii="Times New Roman" w:hAnsi="Times New Roman" w:cs="Times New Roman"/>
          <w:b/>
          <w:color w:val="FF0000"/>
          <w:sz w:val="20"/>
          <w:szCs w:val="20"/>
        </w:rPr>
        <w:t xml:space="preserve"> de seguir todo igual (“más de lo mismo”) en la Unión Europea: “nos vamos a la mierda, pero lo peor es, que la mierda no va a alcanzar para todos”. Pero no por los problemas “coyunturales”, que tantos analistas anuncian, sino por los problemas “estructurales”, que tantos analistas silencian, esas “percepciones erróneas nominales” de seguir un modelo económico neoliberal miope, falaz y fugaz</w:t>
      </w:r>
      <w:r w:rsidR="00F1176B">
        <w:rPr>
          <w:rFonts w:ascii="Times New Roman" w:hAnsi="Times New Roman" w:cs="Times New Roman"/>
          <w:b/>
          <w:color w:val="FF0000"/>
          <w:sz w:val="20"/>
          <w:szCs w:val="20"/>
        </w:rPr>
        <w:t>.</w:t>
      </w:r>
    </w:p>
    <w:p w:rsidR="00774A8A" w:rsidRDefault="00C06514" w:rsidP="009827A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Antes que </w:t>
      </w:r>
      <w:r w:rsidR="00A82F11">
        <w:rPr>
          <w:rFonts w:ascii="Times New Roman" w:hAnsi="Times New Roman" w:cs="Times New Roman"/>
          <w:b/>
          <w:sz w:val="24"/>
          <w:szCs w:val="24"/>
        </w:rPr>
        <w:t xml:space="preserve"> nos “borren” la memoria: un </w:t>
      </w:r>
      <w:r w:rsidR="00774A8A">
        <w:rPr>
          <w:rFonts w:ascii="Times New Roman" w:hAnsi="Times New Roman" w:cs="Times New Roman"/>
          <w:b/>
          <w:sz w:val="24"/>
          <w:szCs w:val="24"/>
        </w:rPr>
        <w:t>breve r</w:t>
      </w:r>
      <w:r w:rsidR="00774A8A" w:rsidRPr="00774A8A">
        <w:rPr>
          <w:rFonts w:ascii="Times New Roman" w:hAnsi="Times New Roman" w:cs="Times New Roman"/>
          <w:b/>
          <w:sz w:val="24"/>
          <w:szCs w:val="24"/>
        </w:rPr>
        <w:t>ecorrido por la “maldita</w:t>
      </w:r>
      <w:r w:rsidR="00A82F11">
        <w:rPr>
          <w:rFonts w:ascii="Times New Roman" w:hAnsi="Times New Roman" w:cs="Times New Roman"/>
          <w:b/>
          <w:sz w:val="24"/>
          <w:szCs w:val="24"/>
        </w:rPr>
        <w:t>” hemeroteca del año 2019 -ene./ago. + oct.</w:t>
      </w:r>
      <w:r w:rsidR="00F01646">
        <w:rPr>
          <w:rFonts w:ascii="Times New Roman" w:hAnsi="Times New Roman" w:cs="Times New Roman"/>
          <w:b/>
          <w:sz w:val="24"/>
          <w:szCs w:val="24"/>
        </w:rPr>
        <w:t xml:space="preserve">- </w:t>
      </w:r>
      <w:r w:rsidR="00A82F11">
        <w:rPr>
          <w:rFonts w:ascii="Times New Roman" w:hAnsi="Times New Roman" w:cs="Times New Roman"/>
          <w:b/>
          <w:sz w:val="24"/>
          <w:szCs w:val="24"/>
        </w:rPr>
        <w:t>en busca de los “cisnes negros” que sobrevuelan la UE</w:t>
      </w:r>
    </w:p>
    <w:p w:rsidR="00C53DA2" w:rsidRPr="00FC37DB" w:rsidRDefault="005C2B71" w:rsidP="009827AD">
      <w:pPr>
        <w:spacing w:line="240" w:lineRule="auto"/>
        <w:jc w:val="both"/>
        <w:rPr>
          <w:rFonts w:ascii="Times New Roman" w:hAnsi="Times New Roman" w:cs="Times New Roman"/>
          <w:sz w:val="24"/>
          <w:szCs w:val="24"/>
        </w:rPr>
      </w:pPr>
      <w:r>
        <w:rPr>
          <w:noProof/>
          <w:lang w:val="en-GB" w:eastAsia="en-GB"/>
        </w:rPr>
        <w:drawing>
          <wp:inline distT="0" distB="0" distL="0" distR="0">
            <wp:extent cx="5726218" cy="2832100"/>
            <wp:effectExtent l="0" t="0" r="8255" b="6350"/>
            <wp:docPr id="170" name="Imagen 170" descr="europa-banderas-bruselas-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ropa-banderas-bruselas-770.jpg"/>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34717"/>
                    </a:xfrm>
                    <a:prstGeom prst="rect">
                      <a:avLst/>
                    </a:prstGeom>
                    <a:noFill/>
                    <a:ln>
                      <a:noFill/>
                    </a:ln>
                  </pic:spPr>
                </pic:pic>
              </a:graphicData>
            </a:graphic>
          </wp:inline>
        </w:drawing>
      </w:r>
    </w:p>
    <w:p w:rsidR="00F01646" w:rsidRPr="00592665" w:rsidRDefault="00592665" w:rsidP="004661B8">
      <w:pPr>
        <w:spacing w:after="0" w:line="240" w:lineRule="auto"/>
        <w:jc w:val="both"/>
        <w:textAlignment w:val="baseline"/>
        <w:rPr>
          <w:rFonts w:ascii="Times New Roman" w:eastAsia="Times New Roman" w:hAnsi="Times New Roman" w:cs="Times New Roman"/>
          <w:b/>
          <w:color w:val="000000"/>
          <w:sz w:val="24"/>
          <w:szCs w:val="24"/>
        </w:rPr>
      </w:pPr>
      <w:r w:rsidRPr="00592665">
        <w:rPr>
          <w:rFonts w:ascii="Times New Roman" w:eastAsia="Times New Roman" w:hAnsi="Times New Roman" w:cs="Times New Roman"/>
          <w:b/>
          <w:color w:val="000000"/>
          <w:sz w:val="24"/>
          <w:szCs w:val="24"/>
        </w:rPr>
        <w:t>Lecturas recomendadas</w:t>
      </w:r>
    </w:p>
    <w:p w:rsidR="00FC37DB" w:rsidRDefault="00FC37DB" w:rsidP="004661B8">
      <w:pPr>
        <w:spacing w:after="0" w:line="240" w:lineRule="auto"/>
        <w:jc w:val="both"/>
        <w:textAlignment w:val="baseline"/>
        <w:rPr>
          <w:rFonts w:ascii="Times New Roman" w:eastAsia="Times New Roman" w:hAnsi="Times New Roman" w:cs="Times New Roman"/>
          <w:sz w:val="24"/>
          <w:szCs w:val="24"/>
        </w:rPr>
      </w:pPr>
    </w:p>
    <w:p w:rsidR="004661B8" w:rsidRDefault="00CE7CDE" w:rsidP="004661B8">
      <w:pPr>
        <w:spacing w:after="0" w:line="240" w:lineRule="auto"/>
        <w:jc w:val="both"/>
        <w:textAlignment w:val="baseline"/>
        <w:rPr>
          <w:rFonts w:ascii="Times New Roman" w:eastAsia="Times New Roman" w:hAnsi="Times New Roman" w:cs="Times New Roman"/>
          <w:sz w:val="24"/>
          <w:szCs w:val="24"/>
        </w:rPr>
      </w:pPr>
      <w:r w:rsidRPr="009C38F1">
        <w:rPr>
          <w:rFonts w:ascii="Times New Roman" w:eastAsia="Times New Roman" w:hAnsi="Times New Roman" w:cs="Times New Roman"/>
          <w:sz w:val="24"/>
          <w:szCs w:val="24"/>
        </w:rPr>
        <w:t xml:space="preserve">(La hemeroteca reciente está dividida en </w:t>
      </w:r>
      <w:r w:rsidR="00A82F11" w:rsidRPr="009C38F1">
        <w:rPr>
          <w:rFonts w:ascii="Times New Roman" w:eastAsia="Times New Roman" w:hAnsi="Times New Roman" w:cs="Times New Roman"/>
          <w:sz w:val="24"/>
          <w:szCs w:val="24"/>
        </w:rPr>
        <w:t>Anexos según las amenazas</w:t>
      </w:r>
      <w:r w:rsidRPr="009C38F1">
        <w:rPr>
          <w:rFonts w:ascii="Times New Roman" w:eastAsia="Times New Roman" w:hAnsi="Times New Roman" w:cs="Times New Roman"/>
          <w:sz w:val="24"/>
          <w:szCs w:val="24"/>
        </w:rPr>
        <w:t xml:space="preserve"> principales</w:t>
      </w:r>
      <w:r w:rsidR="007D67F3" w:rsidRPr="009C38F1">
        <w:rPr>
          <w:rFonts w:ascii="Times New Roman" w:eastAsia="Times New Roman" w:hAnsi="Times New Roman" w:cs="Times New Roman"/>
          <w:sz w:val="24"/>
          <w:szCs w:val="24"/>
        </w:rPr>
        <w:t>señaladas</w:t>
      </w:r>
      <w:r w:rsidR="00C06514" w:rsidRPr="009C38F1">
        <w:rPr>
          <w:rFonts w:ascii="Times New Roman" w:eastAsia="Times New Roman" w:hAnsi="Times New Roman" w:cs="Times New Roman"/>
          <w:sz w:val="24"/>
          <w:szCs w:val="24"/>
        </w:rPr>
        <w:t xml:space="preserve"> por PIMCO</w:t>
      </w:r>
      <w:r w:rsidR="009C38F1">
        <w:rPr>
          <w:rFonts w:ascii="Times New Roman" w:eastAsia="Times New Roman" w:hAnsi="Times New Roman" w:cs="Times New Roman"/>
          <w:sz w:val="24"/>
          <w:szCs w:val="24"/>
        </w:rPr>
        <w:t xml:space="preserve"> para la Eurozona</w:t>
      </w:r>
      <w:r w:rsidR="00A82F11" w:rsidRPr="009C38F1">
        <w:rPr>
          <w:rFonts w:ascii="Times New Roman" w:eastAsia="Times New Roman" w:hAnsi="Times New Roman" w:cs="Times New Roman"/>
          <w:sz w:val="24"/>
          <w:szCs w:val="24"/>
        </w:rPr>
        <w:t xml:space="preserve">. A efectos limitar la </w:t>
      </w:r>
      <w:r w:rsidR="007D67F3" w:rsidRPr="009C38F1">
        <w:rPr>
          <w:rFonts w:ascii="Times New Roman" w:eastAsia="Times New Roman" w:hAnsi="Times New Roman" w:cs="Times New Roman"/>
          <w:sz w:val="24"/>
          <w:szCs w:val="24"/>
        </w:rPr>
        <w:t>extensión</w:t>
      </w:r>
      <w:r w:rsidR="00A82F11" w:rsidRPr="009C38F1">
        <w:rPr>
          <w:rFonts w:ascii="Times New Roman" w:eastAsia="Times New Roman" w:hAnsi="Times New Roman" w:cs="Times New Roman"/>
          <w:sz w:val="24"/>
          <w:szCs w:val="24"/>
        </w:rPr>
        <w:t xml:space="preserve"> del texto, en la medida de lo posible</w:t>
      </w:r>
      <w:r w:rsidR="009C38F1" w:rsidRPr="009C38F1">
        <w:rPr>
          <w:rFonts w:ascii="Times New Roman" w:eastAsia="Times New Roman" w:hAnsi="Times New Roman" w:cs="Times New Roman"/>
          <w:sz w:val="24"/>
          <w:szCs w:val="24"/>
        </w:rPr>
        <w:t>, se ha tratado</w:t>
      </w:r>
      <w:r w:rsidR="009C38F1">
        <w:rPr>
          <w:rFonts w:ascii="Times New Roman" w:eastAsia="Times New Roman" w:hAnsi="Times New Roman" w:cs="Times New Roman"/>
          <w:sz w:val="24"/>
          <w:szCs w:val="24"/>
        </w:rPr>
        <w:t xml:space="preserve"> de seleccionar un artícu</w:t>
      </w:r>
      <w:r w:rsidR="00592665">
        <w:rPr>
          <w:rFonts w:ascii="Times New Roman" w:eastAsia="Times New Roman" w:hAnsi="Times New Roman" w:cs="Times New Roman"/>
          <w:sz w:val="24"/>
          <w:szCs w:val="24"/>
        </w:rPr>
        <w:t>lo por mes -el más destacado</w:t>
      </w:r>
      <w:r w:rsidR="009C38F1">
        <w:rPr>
          <w:rFonts w:ascii="Times New Roman" w:eastAsia="Times New Roman" w:hAnsi="Times New Roman" w:cs="Times New Roman"/>
          <w:sz w:val="24"/>
          <w:szCs w:val="24"/>
        </w:rPr>
        <w:t>-</w:t>
      </w:r>
      <w:r w:rsidR="009C38F1" w:rsidRPr="009C38F1">
        <w:rPr>
          <w:rFonts w:ascii="Times New Roman" w:eastAsia="Times New Roman" w:hAnsi="Times New Roman" w:cs="Times New Roman"/>
          <w:sz w:val="24"/>
          <w:szCs w:val="24"/>
        </w:rPr>
        <w:t xml:space="preserve"> para cada tema)</w:t>
      </w:r>
    </w:p>
    <w:p w:rsidR="009C38F1" w:rsidRDefault="009C38F1" w:rsidP="004661B8">
      <w:pPr>
        <w:spacing w:after="0" w:line="240" w:lineRule="auto"/>
        <w:jc w:val="both"/>
        <w:textAlignment w:val="baseline"/>
        <w:rPr>
          <w:rFonts w:ascii="Times New Roman" w:eastAsia="Times New Roman" w:hAnsi="Times New Roman" w:cs="Times New Roman"/>
          <w:sz w:val="24"/>
          <w:szCs w:val="24"/>
        </w:rPr>
      </w:pPr>
    </w:p>
    <w:p w:rsidR="009C38F1" w:rsidRDefault="009C38F1" w:rsidP="009C38F1">
      <w:pPr>
        <w:rPr>
          <w:rFonts w:ascii="Times New Roman" w:hAnsi="Times New Roman" w:cs="Times New Roman"/>
          <w:b/>
          <w:sz w:val="24"/>
          <w:szCs w:val="24"/>
        </w:rPr>
      </w:pPr>
      <w:r w:rsidRPr="001D3DFD">
        <w:rPr>
          <w:rFonts w:ascii="Times New Roman" w:hAnsi="Times New Roman" w:cs="Times New Roman"/>
          <w:b/>
          <w:sz w:val="24"/>
          <w:szCs w:val="24"/>
        </w:rPr>
        <w:t>Anexo Euro punto de vista CHINA</w:t>
      </w:r>
      <w:r>
        <w:rPr>
          <w:rFonts w:ascii="Times New Roman" w:hAnsi="Times New Roman" w:cs="Times New Roman"/>
          <w:b/>
          <w:sz w:val="24"/>
          <w:szCs w:val="24"/>
        </w:rPr>
        <w:t xml:space="preserve"> (GUERRA COMERCIAL)</w:t>
      </w:r>
    </w:p>
    <w:p w:rsidR="009C38F1" w:rsidRDefault="009C38F1" w:rsidP="009C38F1">
      <w:pPr>
        <w:rPr>
          <w:rFonts w:ascii="Times New Roman" w:hAnsi="Times New Roman" w:cs="Times New Roman"/>
          <w:b/>
          <w:sz w:val="24"/>
          <w:szCs w:val="24"/>
        </w:rPr>
      </w:pPr>
      <w:r>
        <w:rPr>
          <w:noProof/>
          <w:lang w:val="en-GB" w:eastAsia="en-GB"/>
        </w:rPr>
        <w:drawing>
          <wp:inline distT="0" distB="0" distL="0" distR="0">
            <wp:extent cx="5726218" cy="3086100"/>
            <wp:effectExtent l="0" t="0" r="8255" b="0"/>
            <wp:docPr id="22" name="Imagen 22" descr="Image result for fotos sobre la guerra comercial entre eeuu y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result for fotos sobre la guerra comercial entre eeuu y china"/>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88952"/>
                    </a:xfrm>
                    <a:prstGeom prst="rect">
                      <a:avLst/>
                    </a:prstGeom>
                    <a:noFill/>
                    <a:ln>
                      <a:noFill/>
                    </a:ln>
                  </pic:spPr>
                </pic:pic>
              </a:graphicData>
            </a:graphic>
          </wp:inline>
        </w:drawing>
      </w:r>
    </w:p>
    <w:p w:rsidR="009C38F1" w:rsidRPr="00F01646" w:rsidRDefault="009C38F1" w:rsidP="009C38F1">
      <w:pPr>
        <w:spacing w:after="0" w:line="240" w:lineRule="auto"/>
        <w:jc w:val="both"/>
        <w:textAlignment w:val="baseline"/>
        <w:rPr>
          <w:rFonts w:ascii="Times New Roman" w:eastAsia="Times New Roman" w:hAnsi="Times New Roman" w:cs="Times New Roman"/>
          <w:color w:val="FF0000"/>
          <w:sz w:val="24"/>
          <w:szCs w:val="24"/>
        </w:rPr>
      </w:pPr>
      <w:r w:rsidRPr="004661B8">
        <w:rPr>
          <w:rFonts w:ascii="Times New Roman" w:eastAsia="Times New Roman" w:hAnsi="Times New Roman" w:cs="Times New Roman"/>
          <w:color w:val="000000"/>
          <w:sz w:val="24"/>
          <w:szCs w:val="24"/>
        </w:rPr>
        <w:t>- ¿</w:t>
      </w:r>
      <w:r w:rsidRPr="004661B8">
        <w:rPr>
          <w:rFonts w:ascii="Times New Roman" w:eastAsia="Times New Roman" w:hAnsi="Times New Roman" w:cs="Times New Roman"/>
          <w:color w:val="000000"/>
          <w:sz w:val="24"/>
          <w:szCs w:val="24"/>
          <w:u w:val="single"/>
        </w:rPr>
        <w:t>Qué bando tiene ventaja en la guerra comercial entre EEUU y China</w:t>
      </w:r>
      <w:r w:rsidRPr="004661B8">
        <w:rPr>
          <w:rFonts w:ascii="Times New Roman" w:eastAsia="Times New Roman" w:hAnsi="Times New Roman" w:cs="Times New Roman"/>
          <w:color w:val="000000"/>
          <w:sz w:val="24"/>
          <w:szCs w:val="24"/>
        </w:rPr>
        <w:t xml:space="preserve">? (Expansión - FT - </w:t>
      </w:r>
      <w:r w:rsidRPr="004661B8">
        <w:rPr>
          <w:rFonts w:ascii="Times New Roman" w:eastAsia="Times New Roman" w:hAnsi="Times New Roman" w:cs="Times New Roman"/>
          <w:b/>
          <w:color w:val="000000"/>
          <w:sz w:val="24"/>
          <w:szCs w:val="24"/>
        </w:rPr>
        <w:t>9/1/19</w:t>
      </w:r>
      <w:r w:rsidRPr="004661B8">
        <w:rPr>
          <w:rFonts w:ascii="Times New Roman" w:eastAsia="Times New Roman" w:hAnsi="Times New Roman" w:cs="Times New Roman"/>
          <w:color w:val="000000"/>
          <w:sz w:val="24"/>
          <w:szCs w:val="24"/>
        </w:rPr>
        <w:t>)</w:t>
      </w:r>
    </w:p>
    <w:p w:rsidR="009C38F1"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(Por L</w:t>
      </w:r>
      <w:r>
        <w:rPr>
          <w:rFonts w:ascii="Times New Roman" w:eastAsia="Times New Roman" w:hAnsi="Times New Roman" w:cs="Times New Roman"/>
          <w:color w:val="000000"/>
          <w:sz w:val="24"/>
          <w:szCs w:val="24"/>
        </w:rPr>
        <w:t xml:space="preserve">ucy </w:t>
      </w:r>
      <w:r w:rsidR="007D67F3">
        <w:rPr>
          <w:rFonts w:ascii="Times New Roman" w:eastAsia="Times New Roman" w:hAnsi="Times New Roman" w:cs="Times New Roman"/>
          <w:color w:val="000000"/>
          <w:sz w:val="24"/>
          <w:szCs w:val="24"/>
        </w:rPr>
        <w:t>Horeb</w:t>
      </w:r>
      <w:r>
        <w:rPr>
          <w:rFonts w:ascii="Times New Roman" w:eastAsia="Times New Roman" w:hAnsi="Times New Roman" w:cs="Times New Roman"/>
          <w:color w:val="000000"/>
          <w:sz w:val="24"/>
          <w:szCs w:val="24"/>
        </w:rPr>
        <w:t xml:space="preserve"> / James </w:t>
      </w:r>
      <w:r w:rsidR="007D67F3">
        <w:rPr>
          <w:rFonts w:ascii="Times New Roman" w:eastAsia="Times New Roman" w:hAnsi="Times New Roman" w:cs="Times New Roman"/>
          <w:color w:val="000000"/>
          <w:sz w:val="24"/>
          <w:szCs w:val="24"/>
        </w:rPr>
        <w:t>Polito</w:t>
      </w:r>
      <w:r>
        <w:rPr>
          <w:rFonts w:ascii="Times New Roman" w:eastAsia="Times New Roman" w:hAnsi="Times New Roman" w:cs="Times New Roman"/>
          <w:color w:val="000000"/>
          <w:sz w:val="24"/>
          <w:szCs w:val="24"/>
        </w:rPr>
        <w:t xml:space="preserve"> - Financial Times)</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lastRenderedPageBreak/>
        <w:t>Trump piensa que la mejor defensa es un buen ataque, mientra</w:t>
      </w:r>
      <w:r>
        <w:rPr>
          <w:rFonts w:ascii="Times New Roman" w:eastAsia="Times New Roman" w:hAnsi="Times New Roman" w:cs="Times New Roman"/>
          <w:color w:val="000000"/>
          <w:sz w:val="24"/>
          <w:szCs w:val="24"/>
        </w:rPr>
        <w:t>s que Xi aboga por mantener el “statu quo”</w:t>
      </w:r>
      <w:r w:rsidRPr="004661B8">
        <w:rPr>
          <w:rFonts w:ascii="Times New Roman" w:eastAsia="Times New Roman" w:hAnsi="Times New Roman" w:cs="Times New Roman"/>
          <w:color w:val="000000"/>
          <w:sz w:val="24"/>
          <w:szCs w:val="24"/>
        </w:rPr>
        <w:t xml:space="preserve"> que ha propiciado un extraordinario crecimiento económico en China.</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Los equipos negociadores de EEUU y China se reunieron ayer en Pekín por segunda vez para tratar de poner fin a una de las situaciones de estancamiento geopolítico más graves desde el final de la Guerra Fría: una guerra comercial entre las dos mayores economías mundiales.</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Las conversaciones siguen a una reunión entre el presidente estadounidense Donald Trump y su homólogo chino Xi Jinping en la cumbre del G20 en Buenos Aires el mes pasado, donde acordaron una tregua de 90 días.</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Trump utiliza una política arriesgada para intentar poner fin a años de transferencias de tecnología forzadas y exportaciones chinas que compiten con las compañías estadounidenses. Xi defiende un statu quo que ha propiciado un extraordinario crecimiento económico en China y que también ha enriquecido a muchas empresas de EEUU.</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Ambos presidentes afrontan una situación cada vez más vulnerable en casa. Trump se enfrenta a un Partido Demócrata renaciente, y Xi a la ralentización del crecimiento económico. Ambos afrontan mercados volátiles. Los analistas creen que todo ello ha acercado las posturas de las dos partes, aunque la brecha sigue siendo amplia.</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Estas son algunas de las fortalezas y debilidades de ambos países.</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Economía: Ventaja para Trump</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El impacto de los aranceles estadounidenses es evidente. Las estadísticas oficiales muestran que la economía de China creció un 6,7% en los tres primeros trimestres de este año, camino de superar a la de EEUU a largo plazo. Pero cuesta encontrar a alguien en Pekín que crea esa cifra, ya que otros datos reflejan que el crecimiento está sufriendo una fuerte ralentización. Las exportaciones siguen teniendo un peso mayor de lo que le gustaría a China en la actividad económica real, y hay dudas de que la respuesta tradicional de Pekín de aplicar estímulos financiados mediante deuda sea tan eficaz en esta ocasión.</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La situación de EEUU parece más optimista. Hay signos de advertencia sobre un empeoramiento cíclico y problemas en los sectores afectados por los impuestos aplicados en represalia por China. Pero en diciembre, la creación de empleo en el país superó con creces las expectativas, reforzando la creencia de Trump de que sus políticas comerciales no han dañado la economía estadounidense, sino que pueden incluso estar beneficiándola.</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Política: Ventaja para Xi</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Decir que Xi no afronta presiones políticas porque China no celebra elecciones es una visión simplista. La percepción de la opinión pública, y en especial lo que piensan las familias elitistas, sigue influyendo en la toma de decisiones. Algunos de los aliados de Xi no están cómodos con la amenaza que la guerra comercial supone para sus intereses personales, según personas al corriente de la situación. La opinión pública está preocupada por el conflicto con EEUU, que coincide con un endurecimiento de la política nacional.</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 xml:space="preserve">Trump afronta presiones mucho más inmediatas. Arranca una dura campaña de reelección a la presidencia en 2020 con el telón de fondo de unos bajos índices de aprobación y la hiriente </w:t>
      </w:r>
      <w:r w:rsidRPr="004661B8">
        <w:rPr>
          <w:rFonts w:ascii="Times New Roman" w:eastAsia="Times New Roman" w:hAnsi="Times New Roman" w:cs="Times New Roman"/>
          <w:color w:val="000000"/>
          <w:sz w:val="24"/>
          <w:szCs w:val="24"/>
        </w:rPr>
        <w:lastRenderedPageBreak/>
        <w:t>derrota en las elecciones de mitad de legislatura de noviembre, que dieron el control de la Cámara de Repre</w:t>
      </w:r>
      <w:r>
        <w:rPr>
          <w:rFonts w:ascii="Times New Roman" w:eastAsia="Times New Roman" w:hAnsi="Times New Roman" w:cs="Times New Roman"/>
          <w:color w:val="000000"/>
          <w:sz w:val="24"/>
          <w:szCs w:val="24"/>
        </w:rPr>
        <w:t>sentantes a los demócratas. La “dureza con China”</w:t>
      </w:r>
      <w:r w:rsidRPr="004661B8">
        <w:rPr>
          <w:rFonts w:ascii="Times New Roman" w:eastAsia="Times New Roman" w:hAnsi="Times New Roman" w:cs="Times New Roman"/>
          <w:color w:val="000000"/>
          <w:sz w:val="24"/>
          <w:szCs w:val="24"/>
        </w:rPr>
        <w:t xml:space="preserve"> fue el lema de su campaña, pero ha prometido llegar a un acuerdo con Xi. Esto da a China ventaja en las negociaciones. Pekín espera que Trump acepte un acuerdo que le permita declararse vencedor.</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Mercados: Ventaja para Xi</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Las Bolsas de ambos países están a punto de desmoronarse. El índice Shanghai Composite cotiza en niveles de 2014, mientras que el Dow Jones Industrial Average ha sufrido una corrección brutal. Ambos presidentes ven en el comportamiento de los mercados bursátiles un referéndum de los mercados financieros sobre sus políticas.</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Trump está obsesionado con la Bolsa. Nada más registrarse la primera oleada de ventas en octubre, el presidente descolgó el teléfono para acordar la cena de Buenos Aires que culminó en las conversaciones de esta semana. Nuevas caídas podrían ponerle a la defensiva.</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Xi, seguidor de la teoría marxista, tiene una relación más complicada con el movimiento de los mercados. Cuando asumió el cargo, ensalzó un mercado alcista. El posterior desplome desacreditó a los tecnócratas financieros que podrían haberse opuesto a sus políticas dirigistas. La ralentización de los últimos años y la sombra de una crisis bancaria han provocado la desaparición de muchas empresas privadas, haciendo que China sea mucho más dependiente del aparato estatal.</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Historia: Empate</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EEUU y China chocan en muchos frentes, y los dos usan diferentes analogía</w:t>
      </w:r>
      <w:r>
        <w:rPr>
          <w:rFonts w:ascii="Times New Roman" w:eastAsia="Times New Roman" w:hAnsi="Times New Roman" w:cs="Times New Roman"/>
          <w:color w:val="000000"/>
          <w:sz w:val="24"/>
          <w:szCs w:val="24"/>
        </w:rPr>
        <w:t>s para mostrar que están en el “bando bueno de la historia”</w:t>
      </w:r>
      <w:r w:rsidRPr="004661B8">
        <w:rPr>
          <w:rFonts w:ascii="Times New Roman" w:eastAsia="Times New Roman" w:hAnsi="Times New Roman" w:cs="Times New Roman"/>
          <w:color w:val="000000"/>
          <w:sz w:val="24"/>
          <w:szCs w:val="24"/>
        </w:rPr>
        <w:t>. El Gobierno de Trump rememora la era Reagan. Robert Lighthizer, el representante de Comercio de EEUU, es un veterano de las negociaciones que trató con Japón durante la era de la burbuja, y es el cerebro detrás de los aranceles.</w:t>
      </w:r>
    </w:p>
    <w:p w:rsidR="009C38F1" w:rsidRPr="004661B8" w:rsidRDefault="009C38F1" w:rsidP="009C38F1">
      <w:pPr>
        <w:spacing w:after="0" w:line="240" w:lineRule="auto"/>
        <w:jc w:val="both"/>
        <w:textAlignment w:val="baseline"/>
        <w:rPr>
          <w:rFonts w:ascii="Times New Roman" w:eastAsia="Times New Roman" w:hAnsi="Times New Roman" w:cs="Times New Roman"/>
          <w:color w:val="000000"/>
          <w:sz w:val="24"/>
          <w:szCs w:val="24"/>
        </w:rPr>
      </w:pPr>
    </w:p>
    <w:p w:rsidR="009C38F1" w:rsidRDefault="009C38F1" w:rsidP="009C38F1">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Otros recuerdan el colapso de la Unión Soviética, que no pudo mantener su economía planificada ante el aumento del gasto militar de Reagan. Xi está decidido a no dejar que el Partido Comunista chino sufra la suerte de la Unión Soviética. Cuenta con su legado familiar: al final de la Segunda Guerra Mundial, cuando los comunistas de Mao Zedong daban muestras de debilidad, su padre Xi Zhongxun coordinó una retirada de su capital Yan'an. Justo cuando parecían haber cedido Yan'an, lanzaron un contraataque masivo y ganaron la guerra civil. EEUU haría bien en no ignorar el uso de la debilidad estratégica en China.</w:t>
      </w:r>
    </w:p>
    <w:p w:rsidR="009C38F1" w:rsidRPr="00B97CD8" w:rsidRDefault="009C38F1" w:rsidP="009C38F1">
      <w:pPr>
        <w:pStyle w:val="NormalWeb"/>
        <w:shd w:val="clear" w:color="auto" w:fill="FFFFFF"/>
        <w:spacing w:after="0"/>
        <w:jc w:val="both"/>
        <w:textAlignment w:val="baseline"/>
        <w:rPr>
          <w:color w:val="FF0000"/>
        </w:rPr>
      </w:pPr>
      <w:r>
        <w:rPr>
          <w:color w:val="1A1A1A"/>
        </w:rPr>
        <w:t xml:space="preserve">- </w:t>
      </w:r>
      <w:r w:rsidRPr="00944D4F">
        <w:rPr>
          <w:color w:val="1A1A1A"/>
          <w:u w:val="single"/>
        </w:rPr>
        <w:t>La guerra comercial China-EEUU provoca la primera recesión de la industria europea en cinco años</w:t>
      </w:r>
      <w:r>
        <w:rPr>
          <w:color w:val="1A1A1A"/>
        </w:rPr>
        <w:t xml:space="preserve"> (Voxpópuli - </w:t>
      </w:r>
      <w:r w:rsidRPr="00944D4F">
        <w:rPr>
          <w:b/>
          <w:color w:val="1A1A1A"/>
        </w:rPr>
        <w:t>22/2/19</w:t>
      </w:r>
      <w:r>
        <w:rPr>
          <w:color w:val="1A1A1A"/>
        </w:rPr>
        <w:t xml:space="preserve">) </w:t>
      </w:r>
    </w:p>
    <w:p w:rsidR="009C38F1" w:rsidRPr="00A031E1" w:rsidRDefault="009C38F1" w:rsidP="009C38F1">
      <w:pPr>
        <w:pStyle w:val="NormalWeb"/>
        <w:shd w:val="clear" w:color="auto" w:fill="FFFFFF"/>
        <w:spacing w:before="0" w:beforeAutospacing="0" w:after="0" w:afterAutospacing="0"/>
        <w:jc w:val="both"/>
        <w:textAlignment w:val="baseline"/>
        <w:rPr>
          <w:color w:val="FF0000"/>
        </w:rPr>
      </w:pPr>
      <w:r w:rsidRPr="00A031E1">
        <w:rPr>
          <w:color w:val="FF0000"/>
        </w:rPr>
        <w:t>El frenazo del comercio mundial por el conflicto arancelario entre las dos primeras potencias económicas, unido a la desaceleración de China y a los problemas que atraviesa el sector del automóvil, han llevado a la recesión a las fábricas europeas</w:t>
      </w:r>
    </w:p>
    <w:p w:rsidR="009C38F1" w:rsidRPr="00A031E1" w:rsidRDefault="009C38F1" w:rsidP="009C38F1">
      <w:pPr>
        <w:pStyle w:val="NormalWeb"/>
        <w:shd w:val="clear" w:color="auto" w:fill="FFFFFF"/>
        <w:spacing w:before="0" w:beforeAutospacing="0" w:after="0" w:afterAutospacing="0"/>
        <w:jc w:val="both"/>
        <w:textAlignment w:val="baseline"/>
        <w:rPr>
          <w:color w:val="FF0000"/>
        </w:rPr>
      </w:pPr>
    </w:p>
    <w:p w:rsidR="009C38F1" w:rsidRDefault="009C38F1" w:rsidP="009C38F1">
      <w:pPr>
        <w:pStyle w:val="NormalWeb"/>
        <w:shd w:val="clear" w:color="auto" w:fill="FFFFFF"/>
        <w:spacing w:before="0" w:beforeAutospacing="0" w:after="0" w:afterAutospacing="0"/>
        <w:jc w:val="both"/>
        <w:textAlignment w:val="baseline"/>
        <w:rPr>
          <w:color w:val="1A1A1A"/>
        </w:rPr>
      </w:pPr>
      <w:r>
        <w:rPr>
          <w:color w:val="1A1A1A"/>
        </w:rPr>
        <w:t>(Por Alejandra Olcese)</w:t>
      </w:r>
    </w:p>
    <w:p w:rsidR="009C38F1" w:rsidRPr="00A031E1" w:rsidRDefault="009C38F1" w:rsidP="009C38F1">
      <w:pPr>
        <w:pStyle w:val="NormalWeb"/>
        <w:shd w:val="clear" w:color="auto" w:fill="FFFFFF"/>
        <w:spacing w:after="0"/>
        <w:jc w:val="both"/>
        <w:textAlignment w:val="baseline"/>
        <w:rPr>
          <w:color w:val="FF0000"/>
          <w:u w:val="single"/>
        </w:rPr>
      </w:pPr>
      <w:r w:rsidRPr="00A031E1">
        <w:rPr>
          <w:color w:val="FF0000"/>
          <w:u w:val="single"/>
        </w:rPr>
        <w:lastRenderedPageBreak/>
        <w:t>La industria de Alemania (su producción y sus exportaciones) ha sufrido en febrero la caída más acusada de los últimos seis años y se considera que ha entrado en recesión, ya que el número de subsectores industriales en contracción es superior al de aquellos que están en expansión.</w:t>
      </w:r>
    </w:p>
    <w:p w:rsidR="009C38F1" w:rsidRPr="00944D4F" w:rsidRDefault="009C38F1" w:rsidP="009C38F1">
      <w:pPr>
        <w:pStyle w:val="NormalWeb"/>
        <w:shd w:val="clear" w:color="auto" w:fill="FFFFFF"/>
        <w:spacing w:after="0"/>
        <w:jc w:val="both"/>
        <w:textAlignment w:val="baseline"/>
        <w:rPr>
          <w:color w:val="1A1A1A"/>
        </w:rPr>
      </w:pPr>
      <w:r w:rsidRPr="00944D4F">
        <w:rPr>
          <w:color w:val="1A1A1A"/>
        </w:rPr>
        <w:t>Así lo refleja el índice PMI manufacturero divulgado por Markit, que se ha situado en un nivel de 47,6 puntos, es decir, por debajo de 50, la nota que marca la diferenci</w:t>
      </w:r>
      <w:r>
        <w:rPr>
          <w:color w:val="1A1A1A"/>
        </w:rPr>
        <w:t>a entre crecimiento y recesión.</w:t>
      </w:r>
    </w:p>
    <w:p w:rsidR="009C38F1" w:rsidRPr="00944D4F" w:rsidRDefault="008107E8" w:rsidP="009C38F1">
      <w:pPr>
        <w:pStyle w:val="NormalWeb"/>
        <w:shd w:val="clear" w:color="auto" w:fill="FFFFFF"/>
        <w:spacing w:after="0"/>
        <w:jc w:val="both"/>
        <w:textAlignment w:val="baseline"/>
        <w:rPr>
          <w:color w:val="1A1A1A"/>
        </w:rPr>
      </w:pPr>
      <w:r>
        <w:rPr>
          <w:color w:val="1A1A1A"/>
        </w:rPr>
        <w:t>“</w:t>
      </w:r>
      <w:r w:rsidR="009C38F1" w:rsidRPr="00944D4F">
        <w:rPr>
          <w:color w:val="1A1A1A"/>
        </w:rPr>
        <w:t>Además de la caída de la producción, el descenso en el índice refleja también una contribución negativa de los nuevos pedidos, el stock de compras y el envío de proveedores, que ha caído por primera vez</w:t>
      </w:r>
      <w:r>
        <w:rPr>
          <w:color w:val="1A1A1A"/>
        </w:rPr>
        <w:t xml:space="preserve"> en tres años”</w:t>
      </w:r>
      <w:r w:rsidR="009C38F1">
        <w:rPr>
          <w:color w:val="1A1A1A"/>
        </w:rPr>
        <w:t>, explica Markit.</w:t>
      </w:r>
    </w:p>
    <w:p w:rsidR="009C38F1" w:rsidRPr="00A031E1" w:rsidRDefault="009C38F1" w:rsidP="009C38F1">
      <w:pPr>
        <w:pStyle w:val="NormalWeb"/>
        <w:shd w:val="clear" w:color="auto" w:fill="FFFFFF"/>
        <w:spacing w:after="0"/>
        <w:jc w:val="both"/>
        <w:textAlignment w:val="baseline"/>
        <w:rPr>
          <w:color w:val="FF0000"/>
          <w:u w:val="single"/>
        </w:rPr>
      </w:pPr>
      <w:r w:rsidRPr="00A031E1">
        <w:rPr>
          <w:color w:val="FF0000"/>
          <w:u w:val="single"/>
        </w:rPr>
        <w:t>El problema principal de las fábricas alemanas es la menor demanda de pedidos, más grave en las fabricantes de automóviles y sobre todo por parte de China, el tercer mayor comprador de productos alemanes del mundo. Esta caída de pedidos provocará en los próximos mese</w:t>
      </w:r>
      <w:r>
        <w:rPr>
          <w:color w:val="FF0000"/>
          <w:u w:val="single"/>
        </w:rPr>
        <w:t>s un descenso de la producción.</w:t>
      </w:r>
    </w:p>
    <w:p w:rsidR="009C38F1" w:rsidRPr="00944D4F" w:rsidRDefault="009C38F1" w:rsidP="009C38F1">
      <w:pPr>
        <w:pStyle w:val="NormalWeb"/>
        <w:shd w:val="clear" w:color="auto" w:fill="FFFFFF"/>
        <w:spacing w:after="0"/>
        <w:jc w:val="both"/>
        <w:textAlignment w:val="baseline"/>
        <w:rPr>
          <w:color w:val="1A1A1A"/>
        </w:rPr>
      </w:pPr>
      <w:r w:rsidRPr="00944D4F">
        <w:rPr>
          <w:color w:val="1A1A1A"/>
        </w:rPr>
        <w:t>Los problemas que atraviesa el gigante asiático -que creció en 2018 un 6,6%, al menor ritmo desde 1990, y que se encuentra inmerso en plena guerra comercial con Estados Unidos- han afectado dire</w:t>
      </w:r>
      <w:r>
        <w:rPr>
          <w:color w:val="1A1A1A"/>
        </w:rPr>
        <w:t>ctamente a la economía germana.</w:t>
      </w:r>
    </w:p>
    <w:p w:rsidR="009C38F1" w:rsidRPr="00A031E1" w:rsidRDefault="009C38F1" w:rsidP="009C38F1">
      <w:pPr>
        <w:pStyle w:val="NormalWeb"/>
        <w:shd w:val="clear" w:color="auto" w:fill="FFFFFF"/>
        <w:spacing w:after="0"/>
        <w:jc w:val="both"/>
        <w:textAlignment w:val="baseline"/>
        <w:rPr>
          <w:color w:val="1A1A1A"/>
          <w:u w:val="single"/>
        </w:rPr>
      </w:pPr>
      <w:r w:rsidRPr="00A031E1">
        <w:rPr>
          <w:color w:val="1A1A1A"/>
          <w:u w:val="single"/>
        </w:rPr>
        <w:t>Las exportaciones de Alemania a China alcanzan un volumen de 86.184 millones de euros, según los últimos datos del ICEX, lo que la sitúa como el tercer país que más le compra. Por ello, la menor demanda procedente de ese país asiático ha sido muy perjudicial para el país que dirige Angela Merkel, a lo que se suma la creciente competencia de otros países europeos.</w:t>
      </w:r>
    </w:p>
    <w:p w:rsidR="009C38F1" w:rsidRPr="00944D4F" w:rsidRDefault="009C38F1" w:rsidP="009C38F1">
      <w:pPr>
        <w:pStyle w:val="NormalWeb"/>
        <w:shd w:val="clear" w:color="auto" w:fill="FFFFFF"/>
        <w:spacing w:after="0"/>
        <w:jc w:val="both"/>
        <w:textAlignment w:val="baseline"/>
        <w:rPr>
          <w:color w:val="1A1A1A"/>
        </w:rPr>
      </w:pPr>
      <w:r w:rsidRPr="00944D4F">
        <w:rPr>
          <w:noProof/>
          <w:color w:val="1A1A1A"/>
          <w:lang w:val="en-GB" w:eastAsia="en-GB"/>
        </w:rPr>
        <w:drawing>
          <wp:inline distT="0" distB="0" distL="0" distR="0">
            <wp:extent cx="5397500" cy="39306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00040" cy="3932500"/>
                    </a:xfrm>
                    <a:prstGeom prst="rect">
                      <a:avLst/>
                    </a:prstGeom>
                  </pic:spPr>
                </pic:pic>
              </a:graphicData>
            </a:graphic>
          </wp:inline>
        </w:drawing>
      </w:r>
    </w:p>
    <w:p w:rsidR="009C38F1" w:rsidRPr="00944D4F" w:rsidRDefault="009C38F1" w:rsidP="009C38F1">
      <w:pPr>
        <w:pStyle w:val="NormalWeb"/>
        <w:shd w:val="clear" w:color="auto" w:fill="FFFFFF"/>
        <w:spacing w:after="0"/>
        <w:jc w:val="both"/>
        <w:textAlignment w:val="baseline"/>
        <w:rPr>
          <w:color w:val="1A1A1A"/>
        </w:rPr>
      </w:pPr>
      <w:r w:rsidRPr="00944D4F">
        <w:rPr>
          <w:color w:val="1A1A1A"/>
        </w:rPr>
        <w:lastRenderedPageBreak/>
        <w:t>Alemania arrastra a Europa</w:t>
      </w:r>
    </w:p>
    <w:p w:rsidR="009C38F1" w:rsidRPr="00A031E1" w:rsidRDefault="009C38F1" w:rsidP="009C38F1">
      <w:pPr>
        <w:pStyle w:val="NormalWeb"/>
        <w:shd w:val="clear" w:color="auto" w:fill="FFFFFF"/>
        <w:spacing w:after="0"/>
        <w:jc w:val="both"/>
        <w:textAlignment w:val="baseline"/>
        <w:rPr>
          <w:color w:val="FF0000"/>
          <w:u w:val="single"/>
        </w:rPr>
      </w:pPr>
      <w:r w:rsidRPr="00A031E1">
        <w:rPr>
          <w:color w:val="FF0000"/>
          <w:u w:val="single"/>
        </w:rPr>
        <w:t>La debilidad de la industria alemana ejerce un efecto arrastre sobre todo el continente europeo, cuyo índice PMI manufacturero se ha situado en el 49,2 en febrero, el peor dato de los últimos cinco años.</w:t>
      </w:r>
    </w:p>
    <w:p w:rsidR="009C38F1" w:rsidRPr="00944D4F" w:rsidRDefault="009C38F1" w:rsidP="009C38F1">
      <w:pPr>
        <w:pStyle w:val="NormalWeb"/>
        <w:shd w:val="clear" w:color="auto" w:fill="FFFFFF"/>
        <w:spacing w:after="0"/>
        <w:jc w:val="both"/>
        <w:textAlignment w:val="baseline"/>
        <w:rPr>
          <w:color w:val="1A1A1A"/>
        </w:rPr>
      </w:pPr>
      <w:r w:rsidRPr="00944D4F">
        <w:rPr>
          <w:color w:val="1A1A1A"/>
        </w:rPr>
        <w:t>El índice PMI, que es uno de los indicadores más interesantes ya que adelanta hacia qué dirección se moverá la economía, va acompañado de una previsión de crecimiento p</w:t>
      </w:r>
      <w:r>
        <w:rPr>
          <w:color w:val="1A1A1A"/>
        </w:rPr>
        <w:t>ara los países de la zona euro.</w:t>
      </w:r>
    </w:p>
    <w:p w:rsidR="009C38F1" w:rsidRPr="00A031E1" w:rsidRDefault="009C38F1" w:rsidP="009C38F1">
      <w:pPr>
        <w:pStyle w:val="NormalWeb"/>
        <w:shd w:val="clear" w:color="auto" w:fill="FFFFFF"/>
        <w:spacing w:after="0"/>
        <w:jc w:val="both"/>
        <w:textAlignment w:val="baseline"/>
        <w:rPr>
          <w:color w:val="FF0000"/>
          <w:u w:val="single"/>
        </w:rPr>
      </w:pPr>
      <w:r w:rsidRPr="00A031E1">
        <w:rPr>
          <w:color w:val="FF0000"/>
          <w:u w:val="single"/>
        </w:rPr>
        <w:t>Para Alemania, pronostican un crecimiento del 0,2% en el primer trimestre de 2019, mientras que para</w:t>
      </w:r>
      <w:r w:rsidR="008107E8">
        <w:rPr>
          <w:color w:val="FF0000"/>
          <w:u w:val="single"/>
        </w:rPr>
        <w:t xml:space="preserve"> Francia auguran que se dirige “</w:t>
      </w:r>
      <w:r w:rsidRPr="00A031E1">
        <w:rPr>
          <w:color w:val="FF0000"/>
          <w:u w:val="single"/>
        </w:rPr>
        <w:t>hacia el estancamiento o inclu</w:t>
      </w:r>
      <w:r w:rsidR="008107E8">
        <w:rPr>
          <w:color w:val="FF0000"/>
          <w:u w:val="single"/>
        </w:rPr>
        <w:t>so hacia una ligera contracción”</w:t>
      </w:r>
      <w:r w:rsidRPr="00A031E1">
        <w:rPr>
          <w:color w:val="FF0000"/>
          <w:u w:val="single"/>
        </w:rPr>
        <w:t>.</w:t>
      </w:r>
    </w:p>
    <w:p w:rsidR="009C38F1" w:rsidRPr="00A031E1" w:rsidRDefault="009C38F1" w:rsidP="009C38F1">
      <w:pPr>
        <w:pStyle w:val="NormalWeb"/>
        <w:shd w:val="clear" w:color="auto" w:fill="FFFFFF"/>
        <w:spacing w:after="0"/>
        <w:jc w:val="both"/>
        <w:textAlignment w:val="baseline"/>
        <w:rPr>
          <w:color w:val="FF0000"/>
          <w:u w:val="single"/>
        </w:rPr>
      </w:pPr>
      <w:r w:rsidRPr="00A031E1">
        <w:rPr>
          <w:color w:val="FF0000"/>
          <w:u w:val="single"/>
        </w:rPr>
        <w:t>Esto último perjudicará a su vez a Alemania, ya que Francia es el segundo cliente de sus exportaciones (por detrás de EEUU, su primer socio comercial), y también a la economía española, para la que Francia es el primer destino de las exportaciones.</w:t>
      </w:r>
    </w:p>
    <w:p w:rsidR="009C38F1" w:rsidRPr="00A031E1" w:rsidRDefault="009C38F1" w:rsidP="009C38F1">
      <w:pPr>
        <w:pStyle w:val="NormalWeb"/>
        <w:shd w:val="clear" w:color="auto" w:fill="FFFFFF"/>
        <w:spacing w:after="0"/>
        <w:jc w:val="both"/>
        <w:textAlignment w:val="baseline"/>
        <w:rPr>
          <w:color w:val="FF0000"/>
          <w:u w:val="single"/>
        </w:rPr>
      </w:pPr>
      <w:r w:rsidRPr="00A031E1">
        <w:rPr>
          <w:color w:val="FF0000"/>
          <w:u w:val="single"/>
        </w:rPr>
        <w:t>El mal comportamiento de la industria europea parece acercar aún más la ralentización prevista para el viejo continente. El Banco Central Europeo ya lo auguraba en la reunión que mantuvo en enero y cuyas actas se han publicado este</w:t>
      </w:r>
      <w:r w:rsidR="00732791">
        <w:rPr>
          <w:color w:val="FF0000"/>
          <w:u w:val="single"/>
        </w:rPr>
        <w:t xml:space="preserve"> jueves, en las que señala que “</w:t>
      </w:r>
      <w:r w:rsidRPr="00A031E1">
        <w:rPr>
          <w:color w:val="FF0000"/>
          <w:u w:val="single"/>
        </w:rPr>
        <w:t>el crecimiento económico de la zona del euro a corto plazo va a ser más déb</w:t>
      </w:r>
      <w:r w:rsidR="00732791">
        <w:rPr>
          <w:color w:val="FF0000"/>
          <w:u w:val="single"/>
        </w:rPr>
        <w:t>il de lo anticipado previamente”</w:t>
      </w:r>
      <w:r w:rsidRPr="00A031E1">
        <w:rPr>
          <w:color w:val="FF0000"/>
          <w:u w:val="single"/>
        </w:rPr>
        <w:t>, por lo que quiere preparar rápidamente más liquidez a largo plazo para afrontarlo.</w:t>
      </w:r>
    </w:p>
    <w:p w:rsidR="009C38F1" w:rsidRPr="00944D4F" w:rsidRDefault="009C38F1" w:rsidP="009C38F1">
      <w:pPr>
        <w:pStyle w:val="NormalWeb"/>
        <w:shd w:val="clear" w:color="auto" w:fill="FFFFFF"/>
        <w:spacing w:after="0"/>
        <w:jc w:val="both"/>
        <w:textAlignment w:val="baseline"/>
        <w:rPr>
          <w:color w:val="1A1A1A"/>
        </w:rPr>
      </w:pPr>
      <w:r w:rsidRPr="00944D4F">
        <w:rPr>
          <w:color w:val="1A1A1A"/>
        </w:rPr>
        <w:t>El economista jefe del BCE, Peter Praet, dijo</w:t>
      </w:r>
      <w:r w:rsidR="00732791">
        <w:rPr>
          <w:color w:val="1A1A1A"/>
        </w:rPr>
        <w:t xml:space="preserve"> el miércoles en Fráncfort que “</w:t>
      </w:r>
      <w:r w:rsidRPr="00944D4F">
        <w:rPr>
          <w:color w:val="1A1A1A"/>
        </w:rPr>
        <w:t>el clima económico de la zona del euro cambia de forma fundamen</w:t>
      </w:r>
      <w:r w:rsidR="00732791">
        <w:rPr>
          <w:color w:val="1A1A1A"/>
        </w:rPr>
        <w:t>tal y no sólo de forma temporal”</w:t>
      </w:r>
      <w:r w:rsidRPr="00944D4F">
        <w:rPr>
          <w:color w:val="1A1A1A"/>
        </w:rPr>
        <w:t>, debido a los conflictos comerciales y la incertidumbre</w:t>
      </w:r>
      <w:r w:rsidR="007D67F3">
        <w:rPr>
          <w:color w:val="1A1A1A"/>
        </w:rPr>
        <w:t xml:space="preserve"> política por factores como el “brexit”</w:t>
      </w:r>
      <w:r w:rsidRPr="00944D4F">
        <w:rPr>
          <w:color w:val="1A1A1A"/>
        </w:rPr>
        <w:t xml:space="preserve"> o la situació</w:t>
      </w:r>
      <w:r>
        <w:rPr>
          <w:color w:val="1A1A1A"/>
        </w:rPr>
        <w:t>n de Italia, según recogió Efe.</w:t>
      </w:r>
    </w:p>
    <w:p w:rsidR="009C38F1" w:rsidRPr="00944D4F" w:rsidRDefault="009C38F1" w:rsidP="009C38F1">
      <w:pPr>
        <w:pStyle w:val="NormalWeb"/>
        <w:shd w:val="clear" w:color="auto" w:fill="FFFFFF"/>
        <w:spacing w:after="0"/>
        <w:jc w:val="both"/>
        <w:textAlignment w:val="baseline"/>
        <w:rPr>
          <w:color w:val="1A1A1A"/>
        </w:rPr>
      </w:pPr>
      <w:r w:rsidRPr="00944D4F">
        <w:rPr>
          <w:color w:val="1A1A1A"/>
        </w:rPr>
        <w:t>Previsiblemente Alemania estará expectante ante los posibles avances de las negociaciones entre China y EEUU, que han retomado este jueves las conversaciones en Washington para intentar encontrar una solución a su disputa arancelaria antes de que el 1 de marzo concluya la tregua de 90 días que se dieron sus presidentes Xi Jinpi</w:t>
      </w:r>
      <w:r>
        <w:rPr>
          <w:color w:val="1A1A1A"/>
        </w:rPr>
        <w:t>ng y Donald Trump en diciembre</w:t>
      </w:r>
      <w:r w:rsidR="008107E8">
        <w:rPr>
          <w:color w:val="1A1A1A"/>
        </w:rPr>
        <w:t>…</w:t>
      </w:r>
    </w:p>
    <w:p w:rsidR="008107E8" w:rsidRPr="00B97CD8" w:rsidRDefault="008107E8" w:rsidP="008107E8">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5B44BF">
        <w:rPr>
          <w:rFonts w:ascii="Times New Roman" w:hAnsi="Times New Roman" w:cs="Times New Roman"/>
          <w:sz w:val="24"/>
          <w:szCs w:val="24"/>
          <w:u w:val="single"/>
        </w:rPr>
        <w:t>Las guerras comerciales de Estados Unidos, un peligro absurdo</w:t>
      </w:r>
      <w:r>
        <w:rPr>
          <w:rFonts w:ascii="Times New Roman" w:hAnsi="Times New Roman" w:cs="Times New Roman"/>
          <w:sz w:val="24"/>
          <w:szCs w:val="24"/>
        </w:rPr>
        <w:t xml:space="preserve"> (Project Syndicate - </w:t>
      </w:r>
      <w:r w:rsidRPr="005B44BF">
        <w:rPr>
          <w:rFonts w:ascii="Times New Roman" w:hAnsi="Times New Roman" w:cs="Times New Roman"/>
          <w:b/>
          <w:sz w:val="24"/>
          <w:szCs w:val="24"/>
        </w:rPr>
        <w:t>14/3/19</w:t>
      </w:r>
      <w:r>
        <w:rPr>
          <w:rFonts w:ascii="Times New Roman" w:hAnsi="Times New Roman" w:cs="Times New Roman"/>
          <w:sz w:val="24"/>
          <w:szCs w:val="24"/>
        </w:rPr>
        <w:t xml:space="preserve">) </w:t>
      </w:r>
    </w:p>
    <w:p w:rsidR="008107E8" w:rsidRPr="00D5323A" w:rsidRDefault="008107E8" w:rsidP="008107E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D5323A">
        <w:rPr>
          <w:rFonts w:ascii="Times New Roman" w:hAnsi="Times New Roman" w:cs="Times New Roman"/>
          <w:sz w:val="24"/>
          <w:szCs w:val="24"/>
          <w:u w:val="single"/>
        </w:rPr>
        <w:t>Don Quijote peleaba contra molinos de viento; el presidente estadounidense Donald Trump, contra el déficit comercial. Ambos combates son absurdos, pero al menos el del Quijote tenía un dejo de idealismo. El de Trump está imbuido de una rabiosa ignorancia.</w:t>
      </w:r>
    </w:p>
    <w:p w:rsidR="008107E8" w:rsidRPr="005B44BF" w:rsidRDefault="008107E8" w:rsidP="008107E8">
      <w:pPr>
        <w:spacing w:line="240" w:lineRule="auto"/>
        <w:jc w:val="both"/>
        <w:rPr>
          <w:rFonts w:ascii="Times New Roman" w:hAnsi="Times New Roman" w:cs="Times New Roman"/>
          <w:sz w:val="24"/>
          <w:szCs w:val="24"/>
        </w:rPr>
      </w:pPr>
      <w:r w:rsidRPr="005B44BF">
        <w:rPr>
          <w:rFonts w:ascii="Times New Roman" w:hAnsi="Times New Roman" w:cs="Times New Roman"/>
          <w:sz w:val="24"/>
          <w:szCs w:val="24"/>
        </w:rPr>
        <w:t xml:space="preserve">La semana pasada, se anunció que el déficit externo de Estados Unidos en </w:t>
      </w:r>
      <w:r>
        <w:rPr>
          <w:rFonts w:ascii="Times New Roman" w:hAnsi="Times New Roman" w:cs="Times New Roman"/>
          <w:sz w:val="24"/>
          <w:szCs w:val="24"/>
        </w:rPr>
        <w:t>bienes y servicios creció a 621.</w:t>
      </w:r>
      <w:r w:rsidRPr="005B44BF">
        <w:rPr>
          <w:rFonts w:ascii="Times New Roman" w:hAnsi="Times New Roman" w:cs="Times New Roman"/>
          <w:sz w:val="24"/>
          <w:szCs w:val="24"/>
        </w:rPr>
        <w:t>000 millones de dólares, pese a la promesa de Trump de recortarlo con sus estrictas políticas comerciales hacia Canadá/México, Europa y China. Trump cree que ese déficit se debe a prácticas desleales de los socios comerciales de Estados Unidos, y juró ponerles fin y renegociar los tratad</w:t>
      </w:r>
      <w:r>
        <w:rPr>
          <w:rFonts w:ascii="Times New Roman" w:hAnsi="Times New Roman" w:cs="Times New Roman"/>
          <w:sz w:val="24"/>
          <w:szCs w:val="24"/>
        </w:rPr>
        <w:t>os de comercio con esos países.</w:t>
      </w:r>
    </w:p>
    <w:p w:rsidR="008107E8" w:rsidRPr="00D5323A" w:rsidRDefault="008107E8" w:rsidP="008107E8">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Pero el déficit comercial estadounidense no es indicador de prácticas desleales ajenas, ni dejará de crecer como resultado de las negociaciones de Trump. El déficit es una medida de desequilibrio macroeconómico, que</w:t>
      </w:r>
      <w:r w:rsidR="005757DE">
        <w:rPr>
          <w:rFonts w:ascii="Times New Roman" w:hAnsi="Times New Roman" w:cs="Times New Roman"/>
          <w:color w:val="FF0000"/>
          <w:sz w:val="24"/>
          <w:szCs w:val="24"/>
          <w:u w:val="single"/>
        </w:rPr>
        <w:t xml:space="preserve"> las mismas políticas de Trump -</w:t>
      </w:r>
      <w:r w:rsidRPr="00D5323A">
        <w:rPr>
          <w:rFonts w:ascii="Times New Roman" w:hAnsi="Times New Roman" w:cs="Times New Roman"/>
          <w:color w:val="FF0000"/>
          <w:sz w:val="24"/>
          <w:szCs w:val="24"/>
          <w:u w:val="single"/>
        </w:rPr>
        <w:t xml:space="preserve">especialmente la rebaja </w:t>
      </w:r>
      <w:r w:rsidR="00732791">
        <w:rPr>
          <w:rFonts w:ascii="Times New Roman" w:hAnsi="Times New Roman" w:cs="Times New Roman"/>
          <w:color w:val="FF0000"/>
          <w:sz w:val="24"/>
          <w:szCs w:val="24"/>
          <w:u w:val="single"/>
        </w:rPr>
        <w:lastRenderedPageBreak/>
        <w:t>impositiva de 2017 -</w:t>
      </w:r>
      <w:r>
        <w:rPr>
          <w:rFonts w:ascii="Times New Roman" w:hAnsi="Times New Roman" w:cs="Times New Roman"/>
          <w:color w:val="FF0000"/>
          <w:sz w:val="24"/>
          <w:szCs w:val="24"/>
          <w:u w:val="single"/>
        </w:rPr>
        <w:t>han agravado. Su persistencia -de hecho, su aumento-</w:t>
      </w:r>
      <w:r w:rsidRPr="00D5323A">
        <w:rPr>
          <w:rFonts w:ascii="Times New Roman" w:hAnsi="Times New Roman" w:cs="Times New Roman"/>
          <w:color w:val="FF0000"/>
          <w:sz w:val="24"/>
          <w:szCs w:val="24"/>
          <w:u w:val="single"/>
        </w:rPr>
        <w:t xml:space="preserve"> era totalmente predecible para cualquiera que haya llegado a la segunda semana de un curso de pregrado sobre macroeconomía internacional.</w:t>
      </w:r>
    </w:p>
    <w:p w:rsidR="008107E8" w:rsidRPr="00D5323A" w:rsidRDefault="008107E8" w:rsidP="008107E8">
      <w:pPr>
        <w:spacing w:line="240" w:lineRule="auto"/>
        <w:jc w:val="both"/>
        <w:rPr>
          <w:rFonts w:ascii="Times New Roman" w:hAnsi="Times New Roman" w:cs="Times New Roman"/>
          <w:sz w:val="24"/>
          <w:szCs w:val="24"/>
          <w:u w:val="single"/>
        </w:rPr>
      </w:pPr>
      <w:r w:rsidRPr="00D5323A">
        <w:rPr>
          <w:rFonts w:ascii="Times New Roman" w:hAnsi="Times New Roman" w:cs="Times New Roman"/>
          <w:sz w:val="24"/>
          <w:szCs w:val="24"/>
          <w:u w:val="single"/>
        </w:rPr>
        <w:t>Supongamos que una persona tiene un ingreso igual a X y un gasto igual a Y. Si decimos que el ingreso es lo que “exporta” en bienes y servicios, y que el gasto es lo que “importa”, es evidente que tendrá superávit comercial si gana más de lo que gasta, y déficit si gasta más de lo que gana.</w:t>
      </w:r>
    </w:p>
    <w:p w:rsidR="008107E8" w:rsidRPr="00D5323A" w:rsidRDefault="008107E8" w:rsidP="008107E8">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Lo mismo ocurre al sumar los ingresos y gastos de toda la economía, incluidos los sectores privado y público. Una economía tendrá superávit de cuenta corriente (la medida más amplia de su balanza internacional) cuando la renta nacional bruta (RNB) supere al gasto interno, y déficit cuando el gasto interno supere a la RNB. Los economistas usan el término “absorción interna” para referirse al gasto total, sumando el gasto interno en consumo e inversión. De modo que la cuenta corriente se puede definir como la diferencia entre la RNB y la absorción interna.</w:t>
      </w:r>
    </w:p>
    <w:p w:rsidR="008107E8" w:rsidRPr="00D5323A" w:rsidRDefault="008107E8" w:rsidP="008107E8">
      <w:pPr>
        <w:spacing w:line="240" w:lineRule="auto"/>
        <w:jc w:val="both"/>
        <w:rPr>
          <w:rFonts w:ascii="Times New Roman" w:hAnsi="Times New Roman" w:cs="Times New Roman"/>
          <w:color w:val="FF0000"/>
          <w:sz w:val="24"/>
          <w:szCs w:val="24"/>
          <w:u w:val="single"/>
        </w:rPr>
      </w:pPr>
      <w:r w:rsidRPr="005B44BF">
        <w:rPr>
          <w:rFonts w:ascii="Times New Roman" w:hAnsi="Times New Roman" w:cs="Times New Roman"/>
          <w:sz w:val="24"/>
          <w:szCs w:val="24"/>
        </w:rPr>
        <w:t xml:space="preserve">Es importante señalar que la diferencia entre la renta nacional y el consumo es igual al ahorro interno. Por tanto, la diferencia entre la renta y la absorción se puede expresar en forma equivalente como la diferencia entre el ahorro interno y la inversión interna. </w:t>
      </w:r>
      <w:r w:rsidRPr="00D5323A">
        <w:rPr>
          <w:rFonts w:ascii="Times New Roman" w:hAnsi="Times New Roman" w:cs="Times New Roman"/>
          <w:color w:val="FF0000"/>
          <w:sz w:val="24"/>
          <w:szCs w:val="24"/>
          <w:u w:val="single"/>
        </w:rPr>
        <w:t>Una economía que ahorra más de lo que invierte tendrá superávit de cuenta corriente; si ahorra menos de lo que invierte, tendrá déficit.</w:t>
      </w:r>
    </w:p>
    <w:p w:rsidR="008107E8" w:rsidRPr="00D5323A" w:rsidRDefault="008107E8" w:rsidP="008107E8">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Nótese que la política comercial está totalmente ausente en esta ecuación. El déficit de cuenta corriente es una medida puramente macroeconómica: es el faltante de ahorro respecto de la inversión. El déficit externo de Estados Unidos no es en modo, forma o circunstancia alguna indicador de prácticas comerciales desleales por parte de Canadá/México, la Unión Europea o China.</w:t>
      </w:r>
    </w:p>
    <w:p w:rsidR="008107E8" w:rsidRPr="005B44BF" w:rsidRDefault="008107E8" w:rsidP="008107E8">
      <w:pPr>
        <w:spacing w:line="240" w:lineRule="auto"/>
        <w:jc w:val="both"/>
        <w:rPr>
          <w:rFonts w:ascii="Times New Roman" w:hAnsi="Times New Roman" w:cs="Times New Roman"/>
          <w:sz w:val="24"/>
          <w:szCs w:val="24"/>
        </w:rPr>
      </w:pPr>
      <w:r w:rsidRPr="00D5323A">
        <w:rPr>
          <w:rFonts w:ascii="Times New Roman" w:hAnsi="Times New Roman" w:cs="Times New Roman"/>
          <w:color w:val="FF0000"/>
          <w:sz w:val="24"/>
          <w:szCs w:val="24"/>
          <w:u w:val="single"/>
        </w:rPr>
        <w:t>Trump cree que sí lo es, porque es un ignorante</w:t>
      </w:r>
      <w:r w:rsidRPr="005B44BF">
        <w:rPr>
          <w:rFonts w:ascii="Times New Roman" w:hAnsi="Times New Roman" w:cs="Times New Roman"/>
          <w:sz w:val="24"/>
          <w:szCs w:val="24"/>
        </w:rPr>
        <w:t>. Y que su ignorancia domine el discurso público estadounidense se debe ante todo a la pusilanimidad de sus asesores (aunque hay que admitir que los que se atreven a contradecirlo se quedan sin empleo), al Partido Republicano y a los directores de empresas estadounidenses (que se niegan a den</w:t>
      </w:r>
      <w:r>
        <w:rPr>
          <w:rFonts w:ascii="Times New Roman" w:hAnsi="Times New Roman" w:cs="Times New Roman"/>
          <w:sz w:val="24"/>
          <w:szCs w:val="24"/>
        </w:rPr>
        <w:t>unciar las tonterías de Trump).</w:t>
      </w:r>
    </w:p>
    <w:p w:rsidR="008107E8" w:rsidRPr="00D5323A" w:rsidRDefault="008107E8" w:rsidP="008107E8">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Estados Unidos pasó de tener superávit de cuenta corriente a déficit crónico a partir de los ochenta, y este se debió sobre todo a una serie de rebajas impositivas aprobadas durante las presidencias de Ronald Reagan, George Bush (hijo) y Trump</w:t>
      </w:r>
      <w:r w:rsidRPr="005B44BF">
        <w:rPr>
          <w:rFonts w:ascii="Times New Roman" w:hAnsi="Times New Roman" w:cs="Times New Roman"/>
          <w:sz w:val="24"/>
          <w:szCs w:val="24"/>
        </w:rPr>
        <w:t xml:space="preserve">. Una rebaja impositiva sin un correspondiente recorte del gasto público reduce el ahorro público. Esto puede compensarlo en parte un aumento del ahorro privado, que se dará, por ejemplo, si las empresas y las familias creen que la rebaja impositiva será temporal. Pero en general, la compensación será insuficiente. </w:t>
      </w:r>
      <w:r w:rsidRPr="00D5323A">
        <w:rPr>
          <w:rFonts w:ascii="Times New Roman" w:hAnsi="Times New Roman" w:cs="Times New Roman"/>
          <w:color w:val="FF0000"/>
          <w:sz w:val="24"/>
          <w:szCs w:val="24"/>
          <w:u w:val="single"/>
        </w:rPr>
        <w:t>De modo que las rebajas impositivas tienden a reducir el ahorro interno, lo que a su vez aumenta todavía más el déficit de cuenta corriente.</w:t>
      </w:r>
    </w:p>
    <w:p w:rsidR="008107E8" w:rsidRPr="005B44BF" w:rsidRDefault="008107E8" w:rsidP="008107E8">
      <w:pPr>
        <w:spacing w:line="240" w:lineRule="auto"/>
        <w:jc w:val="both"/>
        <w:rPr>
          <w:rFonts w:ascii="Times New Roman" w:hAnsi="Times New Roman" w:cs="Times New Roman"/>
          <w:sz w:val="24"/>
          <w:szCs w:val="24"/>
        </w:rPr>
      </w:pPr>
      <w:r w:rsidRPr="005B44BF">
        <w:rPr>
          <w:rFonts w:ascii="Times New Roman" w:hAnsi="Times New Roman" w:cs="Times New Roman"/>
          <w:sz w:val="24"/>
          <w:szCs w:val="24"/>
        </w:rPr>
        <w:t>Datos del Banco de la Reserva Federal de Saint Louis muestran que en los setenta, el ahorro público promedio en Estados Unidos fue -0,1% de la RNB, mientras que el ahorro privado promedio fue 22,2% de la RNB. De modo que el ahorro interno fue 22,1% de la RNB. En los primeros tres trimestres de 2018, el ahorro público estadounidense fue -3,1% de la RNB, mientras que el ahorro privado fue 21,8% de la RNB, de modo que el ahorro interno fue 18,7% de la RNB. Al mismo tiempo, la cuenta corriente de Estados Unidos pasó de un pequeño superávit del 0,2% de la RNB en los setenta a un déficit del 2,4% de la RNB en los pr</w:t>
      </w:r>
      <w:r>
        <w:rPr>
          <w:rFonts w:ascii="Times New Roman" w:hAnsi="Times New Roman" w:cs="Times New Roman"/>
          <w:sz w:val="24"/>
          <w:szCs w:val="24"/>
        </w:rPr>
        <w:t>imeros tres trimestres de 2018.</w:t>
      </w:r>
    </w:p>
    <w:p w:rsidR="008107E8" w:rsidRPr="005B44BF" w:rsidRDefault="008107E8" w:rsidP="008107E8">
      <w:pPr>
        <w:spacing w:line="240" w:lineRule="auto"/>
        <w:jc w:val="both"/>
        <w:rPr>
          <w:rFonts w:ascii="Times New Roman" w:hAnsi="Times New Roman" w:cs="Times New Roman"/>
          <w:sz w:val="24"/>
          <w:szCs w:val="24"/>
        </w:rPr>
      </w:pPr>
      <w:r w:rsidRPr="005B44BF">
        <w:rPr>
          <w:rFonts w:ascii="Times New Roman" w:hAnsi="Times New Roman" w:cs="Times New Roman"/>
          <w:sz w:val="24"/>
          <w:szCs w:val="24"/>
        </w:rPr>
        <w:lastRenderedPageBreak/>
        <w:t>Es probable que como consecuencia de la rebaja impositiva de 2017 en Estados Unidos, el ahorro público se reduzca alrededor del 1% de la RNB. El ahorro privado tal vez aumente la mitad de eso, en previsión de futuras subas de impuestos; a la par de un incremento marginal de la inversión empresarial y una caída de la inversión en vivienda con escaso efecto combinado. De modo que el resultado neto más probable es un aumento del déficit de cuenta corriente, tal ve</w:t>
      </w:r>
      <w:r>
        <w:rPr>
          <w:rFonts w:ascii="Times New Roman" w:hAnsi="Times New Roman" w:cs="Times New Roman"/>
          <w:sz w:val="24"/>
          <w:szCs w:val="24"/>
        </w:rPr>
        <w:t>z del orden del 0,5% de la RNB.</w:t>
      </w:r>
    </w:p>
    <w:p w:rsidR="008107E8" w:rsidRPr="00D5323A" w:rsidRDefault="008107E8" w:rsidP="008107E8">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Así que el ligero aumento del desequilibrio externo es atribuible ante todo a la política impositiva insignia de Trump. Y en esto también la política comercial es básicamente irrelevante.</w:t>
      </w:r>
    </w:p>
    <w:p w:rsidR="008107E8" w:rsidRPr="00D5323A" w:rsidRDefault="008107E8" w:rsidP="008107E8">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Pero la política comercial no es irrelevante para la economía global. Todo lo contrario. Mientras Trump persigue su quimera, la economía mundial se ha vuelto más inestable, y las relaciones entre Estados Unidos y la mayor parte del mundo han empeorado palpablemente. Trump es visto con desdén en casi todas partes, y el prestigio del liderazgo estadounidense se derrumbó en todo el mundo.</w:t>
      </w:r>
    </w:p>
    <w:p w:rsidR="008107E8" w:rsidRPr="00B107C5" w:rsidRDefault="008107E8" w:rsidP="008107E8">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sz w:val="24"/>
          <w:szCs w:val="24"/>
          <w:u w:val="single"/>
        </w:rPr>
        <w:t>Es verdad que las políticas comerciales de Trump no buscan solamente corregir el desequilibrio externo de Estados Unidos, sino que también constituyen un errado intento de contener a China e incluso de debilitar a Europa.</w:t>
      </w:r>
      <w:r w:rsidRPr="00B107C5">
        <w:rPr>
          <w:rFonts w:ascii="Times New Roman" w:hAnsi="Times New Roman" w:cs="Times New Roman"/>
          <w:color w:val="FF0000"/>
          <w:sz w:val="24"/>
          <w:szCs w:val="24"/>
          <w:u w:val="single"/>
        </w:rPr>
        <w:t>Este objetivo parte de una cosmovisión neoconservadora según la cual la seguridad nacional es un juego de suma cero entre estados‑nación; los logros económicos de los competidores de Estados Unidos se ven como amenazas a la primacía mundial estadounidense, y por ende, a la seguridad nacional.</w:t>
      </w:r>
    </w:p>
    <w:p w:rsidR="008107E8" w:rsidRPr="005B44BF" w:rsidRDefault="008107E8" w:rsidP="008107E8">
      <w:pPr>
        <w:spacing w:line="240" w:lineRule="auto"/>
        <w:jc w:val="both"/>
        <w:rPr>
          <w:rFonts w:ascii="Times New Roman" w:hAnsi="Times New Roman" w:cs="Times New Roman"/>
          <w:sz w:val="24"/>
          <w:szCs w:val="24"/>
        </w:rPr>
      </w:pPr>
      <w:r w:rsidRPr="00B107C5">
        <w:rPr>
          <w:rFonts w:ascii="Times New Roman" w:hAnsi="Times New Roman" w:cs="Times New Roman"/>
          <w:color w:val="FF0000"/>
          <w:sz w:val="24"/>
          <w:szCs w:val="24"/>
          <w:u w:val="single"/>
        </w:rPr>
        <w:t xml:space="preserve">Estas ideas son reflejo de formas de beligerancia y paranoia que están presentes en la política estadounidense hace ya mucho tiempo, y que alientan un conflicto internacional tras otro. </w:t>
      </w:r>
      <w:r w:rsidRPr="005B44BF">
        <w:rPr>
          <w:rFonts w:ascii="Times New Roman" w:hAnsi="Times New Roman" w:cs="Times New Roman"/>
          <w:sz w:val="24"/>
          <w:szCs w:val="24"/>
        </w:rPr>
        <w:t>Trump y sus cómplices les están dando vía libre. Vistas en este contexto, las desacertadas guerras comerciales de Trump eran casi tan predecibles como los desequilibrios macroeconómicos en cuya solución han fracasado tan estrepitosamente.</w:t>
      </w:r>
    </w:p>
    <w:p w:rsidR="008107E8" w:rsidRDefault="008107E8" w:rsidP="008107E8">
      <w:pPr>
        <w:spacing w:line="240" w:lineRule="auto"/>
        <w:jc w:val="both"/>
        <w:rPr>
          <w:rFonts w:ascii="Times New Roman" w:hAnsi="Times New Roman" w:cs="Times New Roman"/>
          <w:sz w:val="24"/>
          <w:szCs w:val="24"/>
          <w:lang w:val="en-US"/>
        </w:rPr>
      </w:pPr>
      <w:r w:rsidRPr="005B44BF">
        <w:rPr>
          <w:rFonts w:ascii="Times New Roman" w:hAnsi="Times New Roman" w:cs="Times New Roman"/>
          <w:sz w:val="24"/>
          <w:szCs w:val="24"/>
          <w:lang w:val="en-US"/>
        </w:rPr>
        <w:t>(Jeffrey D. Sachs, Professor of Sustainable Development and Professor of Health Policy and Management at Columbia University, is Director of Columbia’s Center for Sustainable Development and of the UN Sustainable Development Solutions Network. His books include The End of Poverty, Common Wealth, The Age of Sustainable Development, Building the New American Economy, and most recently, A New Foreign Policy:</w:t>
      </w:r>
      <w:r>
        <w:rPr>
          <w:rFonts w:ascii="Times New Roman" w:hAnsi="Times New Roman" w:cs="Times New Roman"/>
          <w:sz w:val="24"/>
          <w:szCs w:val="24"/>
          <w:lang w:val="en-US"/>
        </w:rPr>
        <w:t xml:space="preserve"> Beyond American Exceptionalism)</w:t>
      </w:r>
    </w:p>
    <w:p w:rsidR="008107E8" w:rsidRPr="00EF1450" w:rsidRDefault="008107E8" w:rsidP="008107E8">
      <w:pPr>
        <w:spacing w:line="240" w:lineRule="auto"/>
        <w:jc w:val="both"/>
        <w:rPr>
          <w:rFonts w:ascii="Times New Roman" w:hAnsi="Times New Roman" w:cs="Times New Roman"/>
          <w:color w:val="FF0000"/>
          <w:sz w:val="24"/>
          <w:szCs w:val="24"/>
        </w:rPr>
      </w:pPr>
      <w:r w:rsidRPr="00EF1450">
        <w:rPr>
          <w:rFonts w:ascii="Times New Roman" w:hAnsi="Times New Roman" w:cs="Times New Roman"/>
          <w:sz w:val="24"/>
          <w:szCs w:val="24"/>
        </w:rPr>
        <w:t xml:space="preserve">- </w:t>
      </w:r>
      <w:r w:rsidRPr="00EF1450">
        <w:rPr>
          <w:rFonts w:ascii="Times New Roman" w:hAnsi="Times New Roman" w:cs="Times New Roman"/>
          <w:sz w:val="24"/>
          <w:szCs w:val="24"/>
          <w:u w:val="single"/>
        </w:rPr>
        <w:t>El enigma chino de la UE</w:t>
      </w:r>
      <w:r w:rsidRPr="00EF1450">
        <w:rPr>
          <w:rFonts w:ascii="Times New Roman" w:hAnsi="Times New Roman" w:cs="Times New Roman"/>
          <w:sz w:val="24"/>
          <w:szCs w:val="24"/>
        </w:rPr>
        <w:t xml:space="preserve"> (Project Syndicate - </w:t>
      </w:r>
      <w:r w:rsidRPr="00EF1450">
        <w:rPr>
          <w:rFonts w:ascii="Times New Roman" w:hAnsi="Times New Roman" w:cs="Times New Roman"/>
          <w:b/>
          <w:sz w:val="24"/>
          <w:szCs w:val="24"/>
        </w:rPr>
        <w:t>5/4/19</w:t>
      </w:r>
      <w:r w:rsidRPr="00EF1450">
        <w:rPr>
          <w:rFonts w:ascii="Times New Roman" w:hAnsi="Times New Roman" w:cs="Times New Roman"/>
          <w:sz w:val="24"/>
          <w:szCs w:val="24"/>
        </w:rPr>
        <w:t xml:space="preserve">) </w:t>
      </w:r>
    </w:p>
    <w:p w:rsidR="008107E8" w:rsidRPr="00590238" w:rsidRDefault="008107E8" w:rsidP="008107E8">
      <w:pPr>
        <w:spacing w:line="240" w:lineRule="auto"/>
        <w:jc w:val="both"/>
        <w:rPr>
          <w:rFonts w:ascii="Times New Roman" w:hAnsi="Times New Roman" w:cs="Times New Roman"/>
          <w:sz w:val="24"/>
          <w:szCs w:val="24"/>
        </w:rPr>
      </w:pPr>
      <w:r>
        <w:rPr>
          <w:rFonts w:ascii="Times New Roman" w:hAnsi="Times New Roman" w:cs="Times New Roman"/>
          <w:sz w:val="24"/>
          <w:szCs w:val="24"/>
        </w:rPr>
        <w:t>Londres.-</w:t>
      </w:r>
      <w:r w:rsidRPr="00572630">
        <w:rPr>
          <w:rFonts w:ascii="Times New Roman" w:hAnsi="Times New Roman" w:cs="Times New Roman"/>
          <w:sz w:val="24"/>
          <w:szCs w:val="24"/>
          <w:u w:val="single"/>
        </w:rPr>
        <w:t>Los europeos no pueden ponerse de acuerdo sobre cómo manejar a una China en ascenso</w:t>
      </w:r>
      <w:r w:rsidRPr="00590238">
        <w:rPr>
          <w:rFonts w:ascii="Times New Roman" w:hAnsi="Times New Roman" w:cs="Times New Roman"/>
          <w:sz w:val="24"/>
          <w:szCs w:val="24"/>
        </w:rPr>
        <w:t xml:space="preserve">. Mientras los líderes de la Unión Europea se reunían en Bruselas recientemente para discutir una estrategia común más asertiva, el presidente chino, Xi Jinping, visitaba Roma. Xi estaba allí para celebrar el respaldo independiente por parte de Italia de la Iniciativa Un Cinturón, Una Ruta (BRI), su plan de inversiones en infraestructura pan-eurasiática de 1 billón de dólares que apunta a impulsar la influencia económica y política de China. Demasiado para una postura unificada de la UE. </w:t>
      </w:r>
    </w:p>
    <w:p w:rsidR="008107E8" w:rsidRPr="00572630" w:rsidRDefault="008107E8" w:rsidP="008107E8">
      <w:pPr>
        <w:spacing w:line="240" w:lineRule="auto"/>
        <w:jc w:val="both"/>
        <w:rPr>
          <w:rFonts w:ascii="Times New Roman" w:hAnsi="Times New Roman" w:cs="Times New Roman"/>
          <w:sz w:val="24"/>
          <w:szCs w:val="24"/>
          <w:u w:val="single"/>
        </w:rPr>
      </w:pPr>
      <w:r w:rsidRPr="00572630">
        <w:rPr>
          <w:rFonts w:ascii="Times New Roman" w:hAnsi="Times New Roman" w:cs="Times New Roman"/>
          <w:color w:val="FF0000"/>
          <w:sz w:val="24"/>
          <w:szCs w:val="24"/>
          <w:u w:val="single"/>
        </w:rPr>
        <w:t>¿Cómo debería ser entonces la relación de la UE con China? En tanto Estados Unidos y China trastabillan hacia una nueva Guerra Fría, cada uno quiere a los europeos de su lado</w:t>
      </w:r>
      <w:r w:rsidRPr="00572630">
        <w:rPr>
          <w:rFonts w:ascii="Times New Roman" w:hAnsi="Times New Roman" w:cs="Times New Roman"/>
          <w:sz w:val="24"/>
          <w:szCs w:val="24"/>
          <w:u w:val="single"/>
        </w:rPr>
        <w:t xml:space="preserve">. La administración del presidente norteamericano, Donald Trump, insta a los europeos a seguir su liderazgo agresivo y enfrentar a China en el campo del comercio, la tecnología y la seguridad. Mientras tanto, China seduce a la UE apuntando a su interés compartido de defender el </w:t>
      </w:r>
      <w:r w:rsidRPr="00572630">
        <w:rPr>
          <w:rFonts w:ascii="Times New Roman" w:hAnsi="Times New Roman" w:cs="Times New Roman"/>
          <w:sz w:val="24"/>
          <w:szCs w:val="24"/>
          <w:u w:val="single"/>
        </w:rPr>
        <w:lastRenderedPageBreak/>
        <w:t xml:space="preserve">sistema comercial multilateral, el Acuerdo de París sobre cambio climático y el acuerdo nuclear iraní contra los ataques de Trump. </w:t>
      </w:r>
    </w:p>
    <w:p w:rsidR="008107E8" w:rsidRPr="00572630" w:rsidRDefault="008107E8" w:rsidP="008107E8">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En términos ideales, la UE debería trazar su propio curso. Pero mientras siga débil y dividida, le costará hacerlo.</w:t>
      </w:r>
    </w:p>
    <w:p w:rsidR="008107E8" w:rsidRPr="00572630" w:rsidRDefault="008107E8" w:rsidP="008107E8">
      <w:pPr>
        <w:spacing w:line="240" w:lineRule="auto"/>
        <w:jc w:val="both"/>
        <w:rPr>
          <w:rFonts w:ascii="Times New Roman" w:hAnsi="Times New Roman" w:cs="Times New Roman"/>
          <w:sz w:val="24"/>
          <w:szCs w:val="24"/>
          <w:u w:val="single"/>
        </w:rPr>
      </w:pPr>
      <w:r w:rsidRPr="00572630">
        <w:rPr>
          <w:rFonts w:ascii="Times New Roman" w:hAnsi="Times New Roman" w:cs="Times New Roman"/>
          <w:sz w:val="24"/>
          <w:szCs w:val="24"/>
          <w:u w:val="single"/>
        </w:rPr>
        <w:t>Hasta hace poco, la UE considerab</w:t>
      </w:r>
      <w:r>
        <w:rPr>
          <w:rFonts w:ascii="Times New Roman" w:hAnsi="Times New Roman" w:cs="Times New Roman"/>
          <w:sz w:val="24"/>
          <w:szCs w:val="24"/>
          <w:u w:val="single"/>
        </w:rPr>
        <w:t>a a China un socio estratégico -</w:t>
      </w:r>
      <w:r w:rsidRPr="00572630">
        <w:rPr>
          <w:rFonts w:ascii="Times New Roman" w:hAnsi="Times New Roman" w:cs="Times New Roman"/>
          <w:sz w:val="24"/>
          <w:szCs w:val="24"/>
          <w:u w:val="single"/>
        </w:rPr>
        <w:t>y principalmente una fuente de crecimiento y empleos-. Pero su nuevo bosquejo de estrategia hacia China, desarrollado por la Comisión Europea y el Servicio Europeo de Acción Exterior, es más duro y más matizado. China hoy es vista simultáneamente como “un socio de cooperación con el cual la UE tiene objetivos muy alineados, un socio de negociación con el cual la UE necesita encontrar un equilibrio de intereses, un competidor económico en busca de un liderazgo tecnológico y un rival sistémico que promueve modelos de gobernanza alternativos”.</w:t>
      </w:r>
    </w:p>
    <w:p w:rsidR="008107E8" w:rsidRPr="00572630" w:rsidRDefault="008107E8" w:rsidP="008107E8">
      <w:pPr>
        <w:spacing w:line="240" w:lineRule="auto"/>
        <w:jc w:val="both"/>
        <w:rPr>
          <w:rFonts w:ascii="Times New Roman" w:hAnsi="Times New Roman" w:cs="Times New Roman"/>
          <w:sz w:val="24"/>
          <w:szCs w:val="24"/>
          <w:u w:val="single"/>
        </w:rPr>
      </w:pPr>
      <w:r w:rsidRPr="00572630">
        <w:rPr>
          <w:rFonts w:ascii="Times New Roman" w:hAnsi="Times New Roman" w:cs="Times New Roman"/>
          <w:color w:val="FF0000"/>
          <w:sz w:val="24"/>
          <w:szCs w:val="24"/>
          <w:u w:val="single"/>
        </w:rPr>
        <w:t>Al igual que sus pares norteamericanos, aunque de manera menos vehemente, los responsables de las políticas europeos cada vez se inquietan más por el reto de una China autoritaria, estatista y tecnológicamente dominante</w:t>
      </w:r>
      <w:r w:rsidRPr="00590238">
        <w:rPr>
          <w:rFonts w:ascii="Times New Roman" w:hAnsi="Times New Roman" w:cs="Times New Roman"/>
          <w:sz w:val="24"/>
          <w:szCs w:val="24"/>
        </w:rPr>
        <w:t xml:space="preserve">. </w:t>
      </w:r>
      <w:r w:rsidRPr="00572630">
        <w:rPr>
          <w:rFonts w:ascii="Times New Roman" w:hAnsi="Times New Roman" w:cs="Times New Roman"/>
          <w:sz w:val="24"/>
          <w:szCs w:val="24"/>
          <w:u w:val="single"/>
        </w:rPr>
        <w:t xml:space="preserve">La centralización del poder en manos de Xi y el carácter manifiesto de su política industrial “Hecho en China 2025”, que busca un dominio chino en diez sectores clave de alta tecnología, han frustrado las esperanzas europeas iniciales de una liberalización política y económica. Los políticos de Europa cada vez son más receptivos a las quejas comerciales de que China está comprando firmas de la UE y sus tecnologías a la vez que niega un acceso recíproco a los mercados chinos. </w:t>
      </w:r>
    </w:p>
    <w:p w:rsidR="008107E8" w:rsidRPr="00572630" w:rsidRDefault="008107E8" w:rsidP="008107E8">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Frente a esto, la UE debería ser un aliado natural de Estados Unidos en el intento de abrir los mercados chinos y salvaguardar la propiedad intelectual de los inversores extranjeros. Pero Trump no tiene tiempo para aliados, etiqueta a la UE de “enemigo” y amenaza con una guerra comercial con Europa por su enorme superávit comercial con Estados Unidos, especialmente en materia de automóviles. Los responsables de las políticas de la UE odian el proteccionismo unilateral de Trump y su visión del mundo de “Estados Unidos primero”. Y no confían en él: creen con razón que Trump podría fácilmente cerrar un acuerdo con China a expensas de la UE. Como resultado de ello, la UE es comprensiblemente reacia a alinearse detrás de la política de Trump hacia China.</w:t>
      </w:r>
    </w:p>
    <w:p w:rsidR="008107E8" w:rsidRPr="00572630" w:rsidRDefault="008107E8" w:rsidP="008107E8">
      <w:pPr>
        <w:spacing w:line="240" w:lineRule="auto"/>
        <w:jc w:val="both"/>
        <w:rPr>
          <w:rFonts w:ascii="Times New Roman" w:hAnsi="Times New Roman" w:cs="Times New Roman"/>
          <w:sz w:val="24"/>
          <w:szCs w:val="24"/>
          <w:u w:val="single"/>
        </w:rPr>
      </w:pPr>
      <w:r w:rsidRPr="00572630">
        <w:rPr>
          <w:rFonts w:ascii="Times New Roman" w:hAnsi="Times New Roman" w:cs="Times New Roman"/>
          <w:sz w:val="24"/>
          <w:szCs w:val="24"/>
          <w:u w:val="single"/>
        </w:rPr>
        <w:t>Eso le abre una oportunidad a China, que se muestra entusiasta a favor del multilaterali</w:t>
      </w:r>
      <w:r w:rsidR="00732791">
        <w:rPr>
          <w:rFonts w:ascii="Times New Roman" w:hAnsi="Times New Roman" w:cs="Times New Roman"/>
          <w:sz w:val="24"/>
          <w:szCs w:val="24"/>
          <w:u w:val="single"/>
        </w:rPr>
        <w:t>smo y tiene un interés genuino -</w:t>
      </w:r>
      <w:r w:rsidRPr="00572630">
        <w:rPr>
          <w:rFonts w:ascii="Times New Roman" w:hAnsi="Times New Roman" w:cs="Times New Roman"/>
          <w:sz w:val="24"/>
          <w:szCs w:val="24"/>
          <w:u w:val="single"/>
        </w:rPr>
        <w:t>al menos por ahora- en sustentar el sistema internacional abierto y basado en reglas. Es más, interactúa seriamente con la UE; el premier Li Keqiang se comprometió a estar en Bruselas el 9 de abril para la cumbre anual entre la UE y China. Pero, al mismo tiempo, China mina a la UE al negociar con los gobiernos europeos de manera bilateral, enfrentándolos entre sí.</w:t>
      </w:r>
    </w:p>
    <w:p w:rsidR="008107E8" w:rsidRPr="00572630" w:rsidRDefault="008107E8" w:rsidP="008107E8">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 xml:space="preserve">En este sentido, China ha creado el foro “16+1” para interactuar con 16 países en Europa central y del este, 11 de los cuales son miembros de la UE. Como estos países son más pobres y suelen ser tratados como europeos de segunda clase por países como Francia y Alemania, aprecian particularmente la atención y la inversión de China. </w:t>
      </w:r>
    </w:p>
    <w:p w:rsidR="008107E8" w:rsidRPr="00572630" w:rsidRDefault="008107E8" w:rsidP="008107E8">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China también está derramando fondos en las economías del sur de Europa que han estado privadas de inversión desde la crisis de la eurozona. Ha invertido en el puerto de Pireo en Grecia y en compañías energéticas portuguesas, y ahora planea renovar el puerto italiano de Trieste. En total, 15 de los 28 estados miembro de la UE hasta el momento han firmado la iniciativa BRI.</w:t>
      </w:r>
    </w:p>
    <w:p w:rsidR="008107E8" w:rsidRPr="00572630" w:rsidRDefault="008107E8" w:rsidP="008107E8">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lastRenderedPageBreak/>
        <w:t>Sin duda, la inversión china en Europa suele ser beneficiosa, mientras que un mayor comercio y una mejor infraestructura son mutuamente ventajosos. Pero, al igual que el Plan Marshall de Estados Unidos después de la Segunda Guerra Mundial, la iniciativa BRI tambié</w:t>
      </w:r>
      <w:r w:rsidR="00732791">
        <w:rPr>
          <w:rFonts w:ascii="Times New Roman" w:hAnsi="Times New Roman" w:cs="Times New Roman"/>
          <w:color w:val="FF0000"/>
          <w:sz w:val="24"/>
          <w:szCs w:val="24"/>
          <w:u w:val="single"/>
        </w:rPr>
        <w:t>n tiene una dimensión política -</w:t>
      </w:r>
      <w:r w:rsidRPr="00572630">
        <w:rPr>
          <w:rFonts w:ascii="Times New Roman" w:hAnsi="Times New Roman" w:cs="Times New Roman"/>
          <w:color w:val="FF0000"/>
          <w:sz w:val="24"/>
          <w:szCs w:val="24"/>
          <w:u w:val="single"/>
        </w:rPr>
        <w:t xml:space="preserve">concretamente, integrar a Europa a la esfera de influencia de China.  </w:t>
      </w:r>
    </w:p>
    <w:p w:rsidR="008107E8" w:rsidRPr="00572630" w:rsidRDefault="008107E8" w:rsidP="008107E8">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t>Eso plantea interrogantes estratégicos de largo plazo que resultan fundamentales. ¿El futuro de Europa en verdad descansa principalmente en Eurasia y no en Occidente? De ser así, ¿qué implicaría ser el socio junior de China? ¿Y cómo podría Europa entonces defender mejor sus intereses? Desafortunadamente, casi nadie está formulando estas preguntas.</w:t>
      </w:r>
    </w:p>
    <w:p w:rsidR="008107E8" w:rsidRPr="00590238" w:rsidRDefault="008107E8" w:rsidP="008107E8">
      <w:pPr>
        <w:spacing w:line="240" w:lineRule="auto"/>
        <w:jc w:val="both"/>
        <w:rPr>
          <w:rFonts w:ascii="Times New Roman" w:hAnsi="Times New Roman" w:cs="Times New Roman"/>
          <w:sz w:val="24"/>
          <w:szCs w:val="24"/>
        </w:rPr>
      </w:pPr>
      <w:r w:rsidRPr="00572630">
        <w:rPr>
          <w:rFonts w:ascii="Times New Roman" w:hAnsi="Times New Roman" w:cs="Times New Roman"/>
          <w:b/>
          <w:color w:val="FF0000"/>
          <w:sz w:val="24"/>
          <w:szCs w:val="24"/>
          <w:u w:val="single"/>
        </w:rPr>
        <w:t>Mientras tanto, la estrategia bilateral de China con Europa le permite dividir y reinar</w:t>
      </w:r>
      <w:r w:rsidRPr="00590238">
        <w:rPr>
          <w:rFonts w:ascii="Times New Roman" w:hAnsi="Times New Roman" w:cs="Times New Roman"/>
          <w:sz w:val="24"/>
          <w:szCs w:val="24"/>
        </w:rPr>
        <w:t xml:space="preserve">. Cuando los ministros de Economía francés y alemán recientemente propusieron una política industrial de la UE que cree paladines europeos para competir con los gigantes chinos (y estadounidenses), el primer ministro socialista de Portugal, António Costa, descartó la idea. Costa también advirtió sobre los planes de la UE de revisar la inversión china </w:t>
      </w:r>
      <w:r>
        <w:rPr>
          <w:rFonts w:ascii="Times New Roman" w:hAnsi="Times New Roman" w:cs="Times New Roman"/>
          <w:sz w:val="24"/>
          <w:szCs w:val="24"/>
        </w:rPr>
        <w:t>de manera más rigurosa.</w:t>
      </w:r>
    </w:p>
    <w:p w:rsidR="008107E8" w:rsidRPr="00572630" w:rsidRDefault="008107E8" w:rsidP="008107E8">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t xml:space="preserve">La UE no sólo está dividida, sino también débil. Aunque es un coloso económico, la UE es un gnomo geopolítico mal preparado para esta nueva era de competencia de grandes potencias. </w:t>
      </w:r>
    </w:p>
    <w:p w:rsidR="008107E8" w:rsidRPr="00572630" w:rsidRDefault="008107E8" w:rsidP="008107E8">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 xml:space="preserve">Es verdad, una UE unida puede imponerse contra potencias menores como el Reino Unido, y mantener su ventaja frente a Estados Unidos y China en términos puramente económicos. Su mercado único de 19 billones de dólares le confiere un peso enorme en las negociaciones comerciales, en materia de políticas de competencia y a la hora de fijar regulaciones y estándares. </w:t>
      </w:r>
    </w:p>
    <w:p w:rsidR="008107E8" w:rsidRPr="00572630" w:rsidRDefault="008107E8" w:rsidP="008107E8">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t>Pero cuando la política económica se entrecruza con la política exterior y la seguridad, la UE carece de la voluntad y la capacidad de actuar de manera estratégica. Aparte de Francia y el Reino Unido, que está abandonando la UE, los gobiernos miembro no tienen una mentalidad geopolítica. La propia UE no tiene un poder militar y la mayoría de sus miembros dependen de Estados Unidos para su defensa. Es más, la UE cada vez consume más tecnologías digitales de vanguardia desarrolladas en otra parte.</w:t>
      </w:r>
    </w:p>
    <w:p w:rsidR="008107E8" w:rsidRPr="00572630" w:rsidRDefault="008107E8" w:rsidP="008107E8">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t>La conclusión es que la UE se encuentra atrapada entre Estados Unidos y China</w:t>
      </w:r>
      <w:r w:rsidRPr="00590238">
        <w:rPr>
          <w:rFonts w:ascii="Times New Roman" w:hAnsi="Times New Roman" w:cs="Times New Roman"/>
          <w:sz w:val="24"/>
          <w:szCs w:val="24"/>
        </w:rPr>
        <w:t xml:space="preserve">. Necesita desesperadamente descubrir el tipo de propósito común y la capacidad estratégica que el presidente francés, Emmanuel Macron, parece ser el único en defender. </w:t>
      </w:r>
      <w:r w:rsidRPr="00572630">
        <w:rPr>
          <w:rFonts w:ascii="Times New Roman" w:hAnsi="Times New Roman" w:cs="Times New Roman"/>
          <w:b/>
          <w:color w:val="FF0000"/>
          <w:sz w:val="24"/>
          <w:szCs w:val="24"/>
          <w:u w:val="single"/>
        </w:rPr>
        <w:t>Hasta entonces, a la UE le costará proteger sus intereses y cada vez será más factible que termine siendo víctima del juego de las grandes potencias.</w:t>
      </w:r>
    </w:p>
    <w:p w:rsidR="008107E8" w:rsidRDefault="008107E8" w:rsidP="008107E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90238">
        <w:rPr>
          <w:rFonts w:ascii="Times New Roman" w:hAnsi="Times New Roman" w:cs="Times New Roman"/>
          <w:sz w:val="24"/>
          <w:szCs w:val="24"/>
          <w:lang w:val="en-US"/>
        </w:rPr>
        <w:t>Philippe Legrain, a former economic adviser to the president of the European Commission, is a visiting senior fellow at the London School of Economics’ European Institute and the founder of Open Political Economy Network (OPEN), an international think-tank whose mission is to advance open, liberal societies. His most recent book is European Spring: Why Our Economies and Politics are in a Me</w:t>
      </w:r>
      <w:r>
        <w:rPr>
          <w:rFonts w:ascii="Times New Roman" w:hAnsi="Times New Roman" w:cs="Times New Roman"/>
          <w:sz w:val="24"/>
          <w:szCs w:val="24"/>
          <w:lang w:val="en-US"/>
        </w:rPr>
        <w:t>ss - and How to Put Them Right)</w:t>
      </w:r>
    </w:p>
    <w:p w:rsidR="008107E8" w:rsidRPr="00C350DC" w:rsidRDefault="008107E8" w:rsidP="008107E8">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750E1F">
        <w:rPr>
          <w:rFonts w:ascii="Times New Roman" w:hAnsi="Times New Roman" w:cs="Times New Roman"/>
          <w:sz w:val="24"/>
          <w:szCs w:val="24"/>
          <w:u w:val="single"/>
        </w:rPr>
        <w:t>Guerra comercial Estados Unidos vs China: 4 gráficos para entender el conflicto que tiene en vilo a la economía mundial</w:t>
      </w:r>
      <w:r>
        <w:rPr>
          <w:rFonts w:ascii="Times New Roman" w:hAnsi="Times New Roman" w:cs="Times New Roman"/>
          <w:sz w:val="24"/>
          <w:szCs w:val="24"/>
        </w:rPr>
        <w:t xml:space="preserve"> (BBCMundo - </w:t>
      </w:r>
      <w:r w:rsidRPr="00750E1F">
        <w:rPr>
          <w:rFonts w:ascii="Times New Roman" w:hAnsi="Times New Roman" w:cs="Times New Roman"/>
          <w:b/>
          <w:sz w:val="24"/>
          <w:szCs w:val="24"/>
        </w:rPr>
        <w:t>10/5/19</w:t>
      </w:r>
      <w:r>
        <w:rPr>
          <w:rFonts w:ascii="Times New Roman" w:hAnsi="Times New Roman" w:cs="Times New Roman"/>
          <w:sz w:val="24"/>
          <w:szCs w:val="24"/>
        </w:rPr>
        <w:t xml:space="preserve">) </w:t>
      </w:r>
    </w:p>
    <w:p w:rsidR="008107E8" w:rsidRDefault="008107E8" w:rsidP="008107E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50E1F">
        <w:rPr>
          <w:rFonts w:ascii="Times New Roman" w:hAnsi="Times New Roman" w:cs="Times New Roman"/>
          <w:sz w:val="24"/>
          <w:szCs w:val="24"/>
        </w:rPr>
        <w:t>Daniele Palumbo y Ana Nicolaci da Costa</w:t>
      </w:r>
      <w:r>
        <w:rPr>
          <w:rFonts w:ascii="Times New Roman" w:hAnsi="Times New Roman" w:cs="Times New Roman"/>
          <w:sz w:val="24"/>
          <w:szCs w:val="24"/>
        </w:rPr>
        <w:t>)</w:t>
      </w:r>
    </w:p>
    <w:p w:rsidR="008107E8" w:rsidRPr="00750E1F" w:rsidRDefault="008107E8" w:rsidP="008107E8">
      <w:pPr>
        <w:pStyle w:val="story-bodyintroduction"/>
        <w:shd w:val="clear" w:color="auto" w:fill="FFFFFF"/>
        <w:spacing w:before="420" w:beforeAutospacing="0" w:after="0" w:afterAutospacing="0"/>
        <w:jc w:val="both"/>
        <w:textAlignment w:val="baseline"/>
        <w:rPr>
          <w:b/>
          <w:bCs/>
        </w:rPr>
      </w:pPr>
      <w:r w:rsidRPr="00750E1F">
        <w:rPr>
          <w:b/>
          <w:bCs/>
        </w:rPr>
        <w:lastRenderedPageBreak/>
        <w:t>La guerra comercial entre Estados Unidos y China, que casi parecía estar llegando a su fin, volvió a intensificarse en los últimos días.</w:t>
      </w:r>
    </w:p>
    <w:p w:rsidR="008107E8" w:rsidRDefault="008107E8" w:rsidP="008107E8">
      <w:pPr>
        <w:pStyle w:val="NormalWeb"/>
        <w:shd w:val="clear" w:color="auto" w:fill="FFFFFF"/>
        <w:spacing w:before="270" w:beforeAutospacing="0" w:after="0" w:afterAutospacing="0"/>
        <w:jc w:val="both"/>
        <w:textAlignment w:val="baseline"/>
      </w:pPr>
      <w:r w:rsidRPr="00750E1F">
        <w:t>Tarde en la noche del jueves, el gobierno de Donald Trump aumentó a más del doble los aranceles por un valor de US$200.000 millones, en una aguda escalada de las hostilidades.Los aranceles impuestos a los productos chinos </w:t>
      </w:r>
      <w:r w:rsidRPr="00750E1F">
        <w:rPr>
          <w:rStyle w:val="Textoennegrita"/>
          <w:rFonts w:eastAsiaTheme="minorEastAsia"/>
          <w:bdr w:val="none" w:sz="0" w:space="0" w:color="auto" w:frame="1"/>
        </w:rPr>
        <w:t>subieron de 10% a 25%</w:t>
      </w:r>
      <w:r w:rsidRPr="00750E1F">
        <w:t> y Pekín prometió tomar represalias.La medida sucede al tiempo que altos representantes de ambos países intentaban rescatar un acuerdo en Washington.</w:t>
      </w:r>
    </w:p>
    <w:p w:rsidR="008107E8" w:rsidRDefault="008107E8" w:rsidP="008107E8">
      <w:pPr>
        <w:pStyle w:val="NormalWeb"/>
        <w:shd w:val="clear" w:color="auto" w:fill="FFFFFF"/>
        <w:spacing w:before="0" w:beforeAutospacing="0" w:after="0" w:afterAutospacing="0"/>
        <w:jc w:val="both"/>
        <w:textAlignment w:val="baseline"/>
      </w:pPr>
    </w:p>
    <w:p w:rsidR="008107E8" w:rsidRPr="00750E1F" w:rsidRDefault="008107E8" w:rsidP="008107E8">
      <w:pPr>
        <w:pStyle w:val="NormalWeb"/>
        <w:shd w:val="clear" w:color="auto" w:fill="FFFFFF"/>
        <w:spacing w:before="0" w:beforeAutospacing="0" w:after="0" w:afterAutospacing="0"/>
        <w:jc w:val="both"/>
        <w:textAlignment w:val="baseline"/>
      </w:pPr>
      <w:r w:rsidRPr="00750E1F">
        <w:t>El miércoles pasado, el presidente de Estados Unidos, </w:t>
      </w:r>
      <w:r w:rsidRPr="00750E1F">
        <w:rPr>
          <w:rStyle w:val="Textoennegrita"/>
          <w:rFonts w:eastAsiaTheme="minorEastAsia"/>
          <w:bdr w:val="none" w:sz="0" w:space="0" w:color="auto" w:frame="1"/>
        </w:rPr>
        <w:t>Donald Trump</w:t>
      </w:r>
      <w:r>
        <w:t>, dijo que China “rompió el acuerdo”</w:t>
      </w:r>
      <w:r w:rsidRPr="00750E1F">
        <w:t xml:space="preserve"> durante las conversaciones que pretendían poner fin a la guerra comercial que mantienen ambos países desde julio del pasado año.Las palabras de Trump se produjeron después de que Pekín ase</w:t>
      </w:r>
      <w:r>
        <w:t>gurara que respondería con las “</w:t>
      </w:r>
      <w:r w:rsidRPr="00750E1F">
        <w:t>contramedidas necesarias en caso de que Estados Unidos volviese a imponer nuevos a</w:t>
      </w:r>
      <w:r>
        <w:t>ranceles sobre productos chinos”</w:t>
      </w:r>
      <w:r w:rsidRPr="00750E1F">
        <w:t>.</w:t>
      </w:r>
    </w:p>
    <w:p w:rsidR="008107E8" w:rsidRDefault="008107E8" w:rsidP="008107E8">
      <w:pPr>
        <w:pStyle w:val="NormalWeb"/>
        <w:shd w:val="clear" w:color="auto" w:fill="FFFFFF"/>
        <w:spacing w:before="0" w:beforeAutospacing="0" w:after="0" w:afterAutospacing="0"/>
        <w:jc w:val="both"/>
        <w:textAlignment w:val="baseline"/>
      </w:pPr>
    </w:p>
    <w:p w:rsidR="008107E8" w:rsidRPr="00750E1F" w:rsidRDefault="008107E8" w:rsidP="008107E8">
      <w:pPr>
        <w:pStyle w:val="NormalWeb"/>
        <w:shd w:val="clear" w:color="auto" w:fill="FFFFFF"/>
        <w:spacing w:before="0" w:beforeAutospacing="0" w:after="0" w:afterAutospacing="0"/>
        <w:jc w:val="both"/>
        <w:textAlignment w:val="baseline"/>
      </w:pPr>
      <w:r w:rsidRPr="00750E1F">
        <w:t>Trump</w:t>
      </w:r>
      <w:r w:rsidRPr="0067488C">
        <w:rPr>
          <w:rStyle w:val="Textoennegrita"/>
          <w:rFonts w:eastAsiaTheme="minorEastAsia"/>
          <w:b w:val="0"/>
          <w:bdr w:val="none" w:sz="0" w:space="0" w:color="auto" w:frame="1"/>
        </w:rPr>
        <w:t>ya había amenazado imponer nuevos aranceles</w:t>
      </w:r>
      <w:r w:rsidRPr="00750E1F">
        <w:t> por un valor de US$200.000 millones en productos chinos, además de asegurar q</w:t>
      </w:r>
      <w:r w:rsidR="0067488C">
        <w:t>ue habría nuevas restricciones “en breve”</w:t>
      </w:r>
      <w:r w:rsidRPr="00750E1F">
        <w:t>, produciendo una reacción negativa en los mercados internacionales a comienzos de la semana.</w:t>
      </w:r>
    </w:p>
    <w:p w:rsidR="008107E8" w:rsidRPr="00750E1F" w:rsidRDefault="008107E8" w:rsidP="008107E8">
      <w:pPr>
        <w:pStyle w:val="NormalWeb"/>
        <w:shd w:val="clear" w:color="auto" w:fill="FFFFFF"/>
        <w:spacing w:before="0" w:beforeAutospacing="0" w:after="0" w:afterAutospacing="0"/>
        <w:jc w:val="both"/>
        <w:textAlignment w:val="baseline"/>
      </w:pPr>
    </w:p>
    <w:p w:rsidR="008107E8" w:rsidRPr="00750E1F" w:rsidRDefault="008107E8" w:rsidP="008107E8">
      <w:pPr>
        <w:pStyle w:val="NormalWeb"/>
        <w:shd w:val="clear" w:color="auto" w:fill="FFFFFF"/>
        <w:spacing w:before="0" w:beforeAutospacing="0" w:after="0" w:afterAutospacing="0"/>
        <w:jc w:val="both"/>
        <w:textAlignment w:val="baseline"/>
      </w:pPr>
      <w:r w:rsidRPr="00750E1F">
        <w:t>Pese a la escalada, representantes de ambos países anunciaron que se reunirán otra vez este viernes para tratar de resolver el impasse que tiene a las </w:t>
      </w:r>
      <w:r w:rsidRPr="0067488C">
        <w:rPr>
          <w:rStyle w:val="Textoennegrita"/>
          <w:rFonts w:eastAsiaTheme="minorEastAsia"/>
          <w:b w:val="0"/>
          <w:bdr w:val="none" w:sz="0" w:space="0" w:color="auto" w:frame="1"/>
        </w:rPr>
        <w:t>dos economías más grandes del mundo</w:t>
      </w:r>
      <w:r w:rsidRPr="00750E1F">
        <w:t> enfrascadas en una peligrosa guerra comercial que involuc</w:t>
      </w:r>
      <w:r>
        <w:t>ra miles de millones de dólares</w:t>
      </w:r>
      <w:r w:rsidRPr="00750E1F">
        <w:t>.</w:t>
      </w:r>
    </w:p>
    <w:p w:rsidR="008107E8" w:rsidRPr="00750E1F" w:rsidRDefault="008107E8" w:rsidP="008107E8">
      <w:pPr>
        <w:pStyle w:val="NormalWeb"/>
        <w:shd w:val="clear" w:color="auto" w:fill="FFFFFF"/>
        <w:spacing w:before="0" w:beforeAutospacing="0" w:after="0" w:afterAutospacing="0"/>
        <w:jc w:val="both"/>
        <w:textAlignment w:val="baseline"/>
      </w:pPr>
    </w:p>
    <w:p w:rsidR="008107E8" w:rsidRPr="00750E1F" w:rsidRDefault="008107E8" w:rsidP="008107E8">
      <w:pPr>
        <w:pStyle w:val="NormalWeb"/>
        <w:shd w:val="clear" w:color="auto" w:fill="FFFFFF"/>
        <w:spacing w:before="0" w:beforeAutospacing="0" w:after="0" w:afterAutospacing="0"/>
        <w:jc w:val="both"/>
        <w:textAlignment w:val="baseline"/>
      </w:pPr>
      <w:r w:rsidRPr="00750E1F">
        <w:t>Si el conflicto económico entre ambos países no merma, se podría volver a generar un nuevo</w:t>
      </w:r>
      <w:r w:rsidRPr="00750E1F">
        <w:rPr>
          <w:rStyle w:val="Textoennegrita"/>
          <w:rFonts w:eastAsiaTheme="minorEastAsia"/>
          <w:bdr w:val="none" w:sz="0" w:space="0" w:color="auto" w:frame="1"/>
        </w:rPr>
        <w:t> </w:t>
      </w:r>
      <w:r w:rsidRPr="0067488C">
        <w:rPr>
          <w:rStyle w:val="Textoennegrita"/>
          <w:rFonts w:eastAsiaTheme="minorEastAsia"/>
          <w:b w:val="0"/>
          <w:bdr w:val="none" w:sz="0" w:space="0" w:color="auto" w:frame="1"/>
        </w:rPr>
        <w:t>clima de incertidumbre</w:t>
      </w:r>
      <w:r w:rsidRPr="00750E1F">
        <w:t> entre las empresas y los consumidores, pudiendo perjudicar a la economía mundial.</w:t>
      </w:r>
    </w:p>
    <w:p w:rsidR="008107E8" w:rsidRPr="00750E1F" w:rsidRDefault="0067488C" w:rsidP="008107E8">
      <w:pPr>
        <w:pStyle w:val="NormalWeb"/>
        <w:shd w:val="clear" w:color="auto" w:fill="FFFFFF"/>
        <w:spacing w:before="270" w:beforeAutospacing="0" w:after="0" w:afterAutospacing="0"/>
        <w:jc w:val="both"/>
        <w:textAlignment w:val="baseline"/>
      </w:pPr>
      <w:r>
        <w:t>Estas son algunas de la</w:t>
      </w:r>
      <w:r w:rsidR="008107E8" w:rsidRPr="00750E1F">
        <w:t>s cuestiones centrales en la disputa que mantienen Estados Unidos y China:</w:t>
      </w:r>
    </w:p>
    <w:p w:rsidR="008107E8" w:rsidRPr="00750E1F" w:rsidRDefault="008107E8" w:rsidP="008107E8">
      <w:pPr>
        <w:pStyle w:val="Ttulo2"/>
        <w:shd w:val="clear" w:color="auto" w:fill="FFFFFF"/>
        <w:spacing w:before="480"/>
        <w:jc w:val="both"/>
        <w:textAlignment w:val="baseline"/>
        <w:rPr>
          <w:sz w:val="24"/>
          <w:szCs w:val="24"/>
        </w:rPr>
      </w:pPr>
      <w:r w:rsidRPr="00750E1F">
        <w:rPr>
          <w:sz w:val="24"/>
          <w:szCs w:val="24"/>
        </w:rPr>
        <w:t>1. ¿Cómo ha crecido el déficit comercial de Estados Unidos?</w:t>
      </w:r>
    </w:p>
    <w:p w:rsidR="008107E8" w:rsidRPr="00750E1F" w:rsidRDefault="008107E8" w:rsidP="008107E8">
      <w:pPr>
        <w:pStyle w:val="NormalWeb"/>
        <w:shd w:val="clear" w:color="auto" w:fill="FFFFFF"/>
        <w:spacing w:before="0" w:beforeAutospacing="0" w:after="0" w:afterAutospacing="0"/>
        <w:jc w:val="both"/>
        <w:textAlignment w:val="baseline"/>
      </w:pPr>
      <w:r w:rsidRPr="00750E1F">
        <w:t>Estados Unidos, que acusa a China de </w:t>
      </w:r>
      <w:r w:rsidRPr="0067488C">
        <w:rPr>
          <w:rStyle w:val="Textoennegrita"/>
          <w:rFonts w:eastAsiaTheme="minorEastAsia"/>
          <w:b w:val="0"/>
          <w:bdr w:val="none" w:sz="0" w:space="0" w:color="auto" w:frame="1"/>
        </w:rPr>
        <w:t>prácticas comerciales desleales</w:t>
      </w:r>
      <w:r w:rsidRPr="00750E1F">
        <w:t>, inició una guerra comercial contra China el año pasado.</w:t>
      </w:r>
    </w:p>
    <w:p w:rsidR="008107E8" w:rsidRDefault="008107E8" w:rsidP="008107E8">
      <w:pPr>
        <w:pStyle w:val="NormalWeb"/>
        <w:shd w:val="clear" w:color="auto" w:fill="FFFFFF"/>
        <w:spacing w:before="270" w:beforeAutospacing="0" w:after="0" w:afterAutospacing="0"/>
        <w:jc w:val="both"/>
        <w:textAlignment w:val="baseline"/>
      </w:pPr>
      <w:r w:rsidRPr="00750E1F">
        <w:t>Washington no solo acusa a Pekín de robar la propiedad intelectual de muchos productos estadounidenses, sino que quiere que el gigante asiático haga cambios en sus políticas económicas porque asegura que las actuales favorecen a las compañías estatales chinas mediante un sistema de subsidios.</w:t>
      </w:r>
    </w:p>
    <w:p w:rsidR="0067488C" w:rsidRDefault="0067488C" w:rsidP="0067488C">
      <w:pPr>
        <w:pStyle w:val="NormalWeb"/>
        <w:shd w:val="clear" w:color="auto" w:fill="FFFFFF"/>
        <w:spacing w:before="0" w:beforeAutospacing="0" w:after="0" w:afterAutospacing="0"/>
        <w:jc w:val="both"/>
        <w:textAlignment w:val="baseline"/>
      </w:pPr>
    </w:p>
    <w:p w:rsidR="0067488C" w:rsidRPr="00750E1F" w:rsidRDefault="0067488C" w:rsidP="0067488C">
      <w:pPr>
        <w:pStyle w:val="NormalWeb"/>
        <w:shd w:val="clear" w:color="auto" w:fill="FFFFFF"/>
        <w:spacing w:before="0" w:beforeAutospacing="0" w:after="0" w:afterAutospacing="0"/>
        <w:jc w:val="both"/>
        <w:textAlignment w:val="baseline"/>
      </w:pPr>
      <w:r w:rsidRPr="00750E1F">
        <w:t>Estados Unidos quiere que China compre más productos estadounidenses para frenar su elevado </w:t>
      </w:r>
      <w:r w:rsidRPr="0067488C">
        <w:rPr>
          <w:rStyle w:val="Textoennegrita"/>
          <w:rFonts w:eastAsiaTheme="minorEastAsia"/>
          <w:b w:val="0"/>
          <w:bdr w:val="none" w:sz="0" w:space="0" w:color="auto" w:frame="1"/>
        </w:rPr>
        <w:t>déficit comercial</w:t>
      </w:r>
      <w:r w:rsidRPr="00750E1F">
        <w:rPr>
          <w:rStyle w:val="Textoennegrita"/>
          <w:rFonts w:eastAsiaTheme="minorEastAsia"/>
          <w:bdr w:val="none" w:sz="0" w:space="0" w:color="auto" w:frame="1"/>
        </w:rPr>
        <w:t> </w:t>
      </w:r>
      <w:r w:rsidRPr="00750E1F">
        <w:t>de US$419.000 millones con Pekín.</w:t>
      </w:r>
    </w:p>
    <w:p w:rsidR="0067488C" w:rsidRDefault="0067488C" w:rsidP="0067488C">
      <w:pPr>
        <w:pStyle w:val="NormalWeb"/>
        <w:shd w:val="clear" w:color="auto" w:fill="FFFFFF"/>
        <w:spacing w:before="0" w:beforeAutospacing="0" w:after="0" w:afterAutospacing="0"/>
        <w:jc w:val="both"/>
        <w:textAlignment w:val="baseline"/>
      </w:pPr>
    </w:p>
    <w:p w:rsidR="008107E8" w:rsidRPr="00750E1F" w:rsidRDefault="0067488C" w:rsidP="0067488C">
      <w:pPr>
        <w:pStyle w:val="NormalWeb"/>
        <w:shd w:val="clear" w:color="auto" w:fill="FFFFFF"/>
        <w:spacing w:before="0" w:beforeAutospacing="0" w:after="0" w:afterAutospacing="0"/>
        <w:jc w:val="both"/>
        <w:textAlignment w:val="baseline"/>
      </w:pPr>
      <w:r w:rsidRPr="00750E1F">
        <w:t>El déficit comercial es la diferencia entre la cantidad de productos que Estados Unidos importa de otros países y la cantidad de productos que exporta a otros países. Reducir esa brecha es una</w:t>
      </w:r>
      <w:r w:rsidRPr="00750E1F">
        <w:rPr>
          <w:rStyle w:val="Textoennegrita"/>
          <w:rFonts w:eastAsiaTheme="minorEastAsia"/>
          <w:bdr w:val="none" w:sz="0" w:space="0" w:color="auto" w:frame="1"/>
        </w:rPr>
        <w:t> </w:t>
      </w:r>
      <w:r w:rsidRPr="0067488C">
        <w:rPr>
          <w:rStyle w:val="Textoennegrita"/>
          <w:rFonts w:eastAsiaTheme="minorEastAsia"/>
          <w:b w:val="0"/>
          <w:bdr w:val="none" w:sz="0" w:space="0" w:color="auto" w:frame="1"/>
        </w:rPr>
        <w:t>parte clave de las políticas comerciales del presidente Trump</w:t>
      </w:r>
      <w:r w:rsidRPr="0067488C">
        <w:rPr>
          <w:b/>
        </w:rPr>
        <w:t>.</w:t>
      </w:r>
    </w:p>
    <w:p w:rsidR="008107E8" w:rsidRPr="00750E1F" w:rsidRDefault="008107E8" w:rsidP="008107E8">
      <w:pPr>
        <w:spacing w:line="240" w:lineRule="auto"/>
        <w:jc w:val="both"/>
        <w:rPr>
          <w:rFonts w:ascii="Times New Roman" w:hAnsi="Times New Roman" w:cs="Times New Roman"/>
          <w:sz w:val="24"/>
          <w:szCs w:val="24"/>
        </w:rPr>
      </w:pPr>
      <w:r w:rsidRPr="00750E1F">
        <w:rPr>
          <w:rFonts w:ascii="Times New Roman" w:hAnsi="Times New Roman" w:cs="Times New Roman"/>
          <w:noProof/>
          <w:sz w:val="24"/>
          <w:szCs w:val="24"/>
          <w:bdr w:val="none" w:sz="0" w:space="0" w:color="auto" w:frame="1"/>
          <w:lang w:val="en-GB" w:eastAsia="en-GB"/>
        </w:rPr>
        <w:lastRenderedPageBreak/>
        <w:drawing>
          <wp:inline distT="0" distB="0" distL="0" distR="0">
            <wp:extent cx="5626100" cy="3016250"/>
            <wp:effectExtent l="0" t="0" r="0" b="0"/>
            <wp:docPr id="57" name="Imagen 57" descr="Gráfico sobre el comercio entre Estados Unidos y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sobre el comercio entre Estados Unidos y China"/>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6100" cy="3016250"/>
                    </a:xfrm>
                    <a:prstGeom prst="rect">
                      <a:avLst/>
                    </a:prstGeom>
                    <a:noFill/>
                    <a:ln>
                      <a:noFill/>
                    </a:ln>
                  </pic:spPr>
                </pic:pic>
              </a:graphicData>
            </a:graphic>
          </wp:inline>
        </w:drawing>
      </w:r>
    </w:p>
    <w:p w:rsidR="008107E8" w:rsidRPr="00750E1F" w:rsidRDefault="008107E8" w:rsidP="008107E8">
      <w:pPr>
        <w:pStyle w:val="Ttulo2"/>
        <w:shd w:val="clear" w:color="auto" w:fill="FFFFFF"/>
        <w:spacing w:before="480"/>
        <w:jc w:val="both"/>
        <w:textAlignment w:val="baseline"/>
        <w:rPr>
          <w:sz w:val="24"/>
          <w:szCs w:val="24"/>
        </w:rPr>
      </w:pPr>
      <w:r w:rsidRPr="00750E1F">
        <w:rPr>
          <w:sz w:val="24"/>
          <w:szCs w:val="24"/>
        </w:rPr>
        <w:t>2. ¿Qué aranceles se han impuesto hasta ahora?</w:t>
      </w:r>
    </w:p>
    <w:p w:rsidR="0067488C" w:rsidRPr="00750E1F" w:rsidRDefault="008107E8" w:rsidP="008107E8">
      <w:pPr>
        <w:pStyle w:val="NormalWeb"/>
        <w:shd w:val="clear" w:color="auto" w:fill="FFFFFF"/>
        <w:spacing w:before="270" w:beforeAutospacing="0" w:after="0" w:afterAutospacing="0"/>
        <w:jc w:val="both"/>
        <w:textAlignment w:val="baseline"/>
      </w:pPr>
      <w:r w:rsidRPr="00750E1F">
        <w:t>Estados Unidos impuso aranceles a productos por valor de un total de US$250.000 millones el año pasado. El gobierno chino respondió con aranceles a productos estadounidenses por valor de US$110.000 millones.A principios de este año debían haberse elevado del 10 al 25% aranceles en productos chinos por valor de US$200.000 millones, pero finalmente ese alza se retrasó.</w:t>
      </w:r>
    </w:p>
    <w:p w:rsidR="008107E8" w:rsidRPr="00750E1F" w:rsidRDefault="008107E8" w:rsidP="008107E8">
      <w:pPr>
        <w:spacing w:line="240" w:lineRule="auto"/>
        <w:jc w:val="both"/>
        <w:rPr>
          <w:rFonts w:ascii="Times New Roman" w:hAnsi="Times New Roman" w:cs="Times New Roman"/>
          <w:sz w:val="24"/>
          <w:szCs w:val="24"/>
        </w:rPr>
      </w:pPr>
      <w:r w:rsidRPr="00750E1F">
        <w:rPr>
          <w:rFonts w:ascii="Times New Roman" w:hAnsi="Times New Roman" w:cs="Times New Roman"/>
          <w:noProof/>
          <w:sz w:val="24"/>
          <w:szCs w:val="24"/>
          <w:bdr w:val="none" w:sz="0" w:space="0" w:color="auto" w:frame="1"/>
          <w:lang w:val="en-GB" w:eastAsia="en-GB"/>
        </w:rPr>
        <w:drawing>
          <wp:inline distT="0" distB="0" distL="0" distR="0">
            <wp:extent cx="5759450" cy="3702050"/>
            <wp:effectExtent l="0" t="0" r="0" b="0"/>
            <wp:docPr id="58" name="Imagen 58" descr="Gráfico sobre desarrolo comercio entre Estados Unidos y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áfico sobre desarrolo comercio entre Estados Unidos y China"/>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3702050"/>
                    </a:xfrm>
                    <a:prstGeom prst="rect">
                      <a:avLst/>
                    </a:prstGeom>
                    <a:noFill/>
                    <a:ln>
                      <a:noFill/>
                    </a:ln>
                  </pic:spPr>
                </pic:pic>
              </a:graphicData>
            </a:graphic>
          </wp:inline>
        </w:drawing>
      </w:r>
    </w:p>
    <w:p w:rsidR="008107E8" w:rsidRPr="00750E1F" w:rsidRDefault="008107E8" w:rsidP="008107E8">
      <w:pPr>
        <w:pStyle w:val="NormalWeb"/>
        <w:shd w:val="clear" w:color="auto" w:fill="FFFFFF"/>
        <w:spacing w:before="270" w:beforeAutospacing="0" w:after="0" w:afterAutospacing="0"/>
        <w:jc w:val="both"/>
        <w:textAlignment w:val="baseline"/>
      </w:pPr>
      <w:r w:rsidRPr="00750E1F">
        <w:t>Ahora, Trump ha vuelto a decir que el planeado aumento se mantiene porque las n</w:t>
      </w:r>
      <w:r w:rsidR="0067488C">
        <w:t>egociaciones con Pekín avanzan “muy lentamente”</w:t>
      </w:r>
      <w:r w:rsidRPr="00750E1F">
        <w:t>.</w:t>
      </w:r>
    </w:p>
    <w:p w:rsidR="008107E8" w:rsidRPr="00750E1F" w:rsidRDefault="008107E8" w:rsidP="008107E8">
      <w:pPr>
        <w:pStyle w:val="Ttulo2"/>
        <w:shd w:val="clear" w:color="auto" w:fill="FFFFFF"/>
        <w:spacing w:before="480"/>
        <w:jc w:val="both"/>
        <w:textAlignment w:val="baseline"/>
        <w:rPr>
          <w:sz w:val="24"/>
          <w:szCs w:val="24"/>
        </w:rPr>
      </w:pPr>
      <w:r w:rsidRPr="00750E1F">
        <w:rPr>
          <w:sz w:val="24"/>
          <w:szCs w:val="24"/>
        </w:rPr>
        <w:lastRenderedPageBreak/>
        <w:t>3. ¿Qué productos podrían verse afectados?</w:t>
      </w:r>
    </w:p>
    <w:p w:rsidR="008107E8" w:rsidRPr="00750E1F" w:rsidRDefault="008107E8" w:rsidP="008107E8">
      <w:pPr>
        <w:pStyle w:val="NormalWeb"/>
        <w:shd w:val="clear" w:color="auto" w:fill="FFFFFF"/>
        <w:spacing w:before="270" w:beforeAutospacing="0" w:after="0" w:afterAutospacing="0"/>
        <w:jc w:val="both"/>
        <w:textAlignment w:val="baseline"/>
      </w:pPr>
      <w:r w:rsidRPr="00750E1F">
        <w:t>Los productos chinos afectados por los aranceles estadounidenses desde el comienzo de la guerra comercial han sido de muy diversa índole, desde maquinaria hasta motocicletas.</w:t>
      </w:r>
    </w:p>
    <w:p w:rsidR="008107E8" w:rsidRPr="00750E1F" w:rsidRDefault="008107E8" w:rsidP="008107E8">
      <w:pPr>
        <w:pStyle w:val="NormalWeb"/>
        <w:shd w:val="clear" w:color="auto" w:fill="FFFFFF"/>
        <w:spacing w:before="270" w:beforeAutospacing="0" w:after="0" w:afterAutospacing="0"/>
        <w:jc w:val="both"/>
        <w:textAlignment w:val="baseline"/>
      </w:pPr>
      <w:r w:rsidRPr="00750E1F">
        <w:t>En la última ronda, Estados Unidos impuso aranceles del 10% a productos chinos por un valor de US$200.000 millones. Aquí se incluían pescado, bolsos, ropa y calzado. Son estos bienes los que pueden ver subir el arancel hasta el 25% si se cumplen las amenazas de Trump.</w:t>
      </w:r>
    </w:p>
    <w:p w:rsidR="008107E8" w:rsidRPr="00750E1F" w:rsidRDefault="008107E8" w:rsidP="008107E8">
      <w:pPr>
        <w:spacing w:line="240" w:lineRule="auto"/>
        <w:jc w:val="both"/>
        <w:rPr>
          <w:rFonts w:ascii="Times New Roman" w:hAnsi="Times New Roman" w:cs="Times New Roman"/>
          <w:sz w:val="24"/>
          <w:szCs w:val="24"/>
        </w:rPr>
      </w:pPr>
      <w:r w:rsidRPr="00750E1F">
        <w:rPr>
          <w:rFonts w:ascii="Times New Roman" w:hAnsi="Times New Roman" w:cs="Times New Roman"/>
          <w:noProof/>
          <w:sz w:val="24"/>
          <w:szCs w:val="24"/>
          <w:bdr w:val="none" w:sz="0" w:space="0" w:color="auto" w:frame="1"/>
          <w:lang w:val="en-GB" w:eastAsia="en-GB"/>
        </w:rPr>
        <w:drawing>
          <wp:inline distT="0" distB="0" distL="0" distR="0">
            <wp:extent cx="5683250" cy="3778250"/>
            <wp:effectExtent l="0" t="0" r="0" b="0"/>
            <wp:docPr id="59" name="Imagen 59" descr="Rubros bajo amenaza de imposición de nuevos arance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ubros bajo amenaza de imposición de nuevos aranceles."/>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83250" cy="3778250"/>
                    </a:xfrm>
                    <a:prstGeom prst="rect">
                      <a:avLst/>
                    </a:prstGeom>
                    <a:noFill/>
                    <a:ln>
                      <a:noFill/>
                    </a:ln>
                  </pic:spPr>
                </pic:pic>
              </a:graphicData>
            </a:graphic>
          </wp:inline>
        </w:drawing>
      </w:r>
    </w:p>
    <w:p w:rsidR="008107E8" w:rsidRPr="00750E1F" w:rsidRDefault="008107E8" w:rsidP="008107E8">
      <w:pPr>
        <w:pStyle w:val="NormalWeb"/>
        <w:shd w:val="clear" w:color="auto" w:fill="FFFFFF"/>
        <w:spacing w:before="0" w:beforeAutospacing="0" w:after="0" w:afterAutospacing="0"/>
        <w:jc w:val="both"/>
        <w:textAlignment w:val="baseline"/>
      </w:pPr>
      <w:r w:rsidRPr="00750E1F">
        <w:t>China acusa a Estados Unidos de haber comenzado la </w:t>
      </w:r>
      <w:r w:rsidRPr="0067488C">
        <w:rPr>
          <w:rStyle w:val="Textoennegrita"/>
          <w:rFonts w:eastAsiaTheme="minorEastAsia"/>
          <w:b w:val="0"/>
          <w:bdr w:val="none" w:sz="0" w:space="0" w:color="auto" w:frame="1"/>
        </w:rPr>
        <w:t>mayor guerra comercial de la historia</w:t>
      </w:r>
      <w:r w:rsidRPr="00750E1F">
        <w:t>. Y ha respondido con aranceles a productos estadounidenses, desde material</w:t>
      </w:r>
      <w:r w:rsidR="0067488C">
        <w:t xml:space="preserve"> químico hasta verduras y whisk</w:t>
      </w:r>
      <w:r w:rsidRPr="00750E1F">
        <w:t>y.</w:t>
      </w:r>
    </w:p>
    <w:p w:rsidR="008107E8" w:rsidRDefault="008107E8" w:rsidP="008107E8">
      <w:pPr>
        <w:pStyle w:val="NormalWeb"/>
        <w:shd w:val="clear" w:color="auto" w:fill="FFFFFF"/>
        <w:spacing w:before="0" w:beforeAutospacing="0" w:after="0" w:afterAutospacing="0"/>
        <w:jc w:val="both"/>
        <w:textAlignment w:val="baseline"/>
      </w:pPr>
    </w:p>
    <w:p w:rsidR="008107E8" w:rsidRPr="00750E1F" w:rsidRDefault="008107E8" w:rsidP="008107E8">
      <w:pPr>
        <w:pStyle w:val="NormalWeb"/>
        <w:shd w:val="clear" w:color="auto" w:fill="FFFFFF"/>
        <w:spacing w:before="0" w:beforeAutospacing="0" w:after="0" w:afterAutospacing="0"/>
        <w:jc w:val="both"/>
        <w:textAlignment w:val="baseline"/>
      </w:pPr>
      <w:r w:rsidRPr="00750E1F">
        <w:t>También ha</w:t>
      </w:r>
      <w:r w:rsidRPr="00750E1F">
        <w:rPr>
          <w:rStyle w:val="Textoennegrita"/>
          <w:rFonts w:eastAsiaTheme="minorEastAsia"/>
          <w:bdr w:val="none" w:sz="0" w:space="0" w:color="auto" w:frame="1"/>
        </w:rPr>
        <w:t> impuesto sanciones de forma estratégica</w:t>
      </w:r>
      <w:r w:rsidRPr="00750E1F">
        <w:t>, elevando los aranceles de los productos y bienes que se producen en distritos bajo el mandato del Partido Republicano, el mismo que el de Trump, o en productos que pueden obtenerse fácilmente en otros mercados, como la soja.</w:t>
      </w:r>
    </w:p>
    <w:p w:rsidR="008107E8" w:rsidRPr="00750E1F" w:rsidRDefault="008107E8" w:rsidP="008107E8">
      <w:pPr>
        <w:pStyle w:val="Ttulo2"/>
        <w:shd w:val="clear" w:color="auto" w:fill="FFFFFF"/>
        <w:spacing w:before="480"/>
        <w:jc w:val="both"/>
        <w:textAlignment w:val="baseline"/>
        <w:rPr>
          <w:sz w:val="24"/>
          <w:szCs w:val="24"/>
        </w:rPr>
      </w:pPr>
      <w:r w:rsidRPr="00750E1F">
        <w:rPr>
          <w:sz w:val="24"/>
          <w:szCs w:val="24"/>
        </w:rPr>
        <w:t>4. ¿Ha afectado la guerra a las bolsas de valores?</w:t>
      </w:r>
    </w:p>
    <w:p w:rsidR="008107E8" w:rsidRPr="00750E1F" w:rsidRDefault="008107E8" w:rsidP="008107E8">
      <w:pPr>
        <w:pStyle w:val="NormalWeb"/>
        <w:shd w:val="clear" w:color="auto" w:fill="FFFFFF"/>
        <w:spacing w:before="0" w:beforeAutospacing="0" w:after="0" w:afterAutospacing="0"/>
        <w:jc w:val="both"/>
        <w:textAlignment w:val="baseline"/>
      </w:pPr>
      <w:r w:rsidRPr="00750E1F">
        <w:t>La guerra comercial entre Es</w:t>
      </w:r>
      <w:r w:rsidR="0067488C">
        <w:t>tados Unidos y China ha sido un</w:t>
      </w:r>
      <w:r w:rsidRPr="00750E1F">
        <w:t xml:space="preserve"> motivo de </w:t>
      </w:r>
      <w:r w:rsidRPr="0067488C">
        <w:rPr>
          <w:rStyle w:val="Textoennegrita"/>
          <w:rFonts w:eastAsiaTheme="minorEastAsia"/>
          <w:b w:val="0"/>
          <w:bdr w:val="none" w:sz="0" w:space="0" w:color="auto" w:frame="1"/>
        </w:rPr>
        <w:t>incertidumbre para los mercados financieros</w:t>
      </w:r>
      <w:r w:rsidR="0067488C">
        <w:t> durante todo el pasado año</w:t>
      </w:r>
      <w:r w:rsidRPr="00750E1F">
        <w:t>. Y se ha hecho notar en la falta de confianza de los inversores de todo el mundo y generado pérdidas en algunas de las plazas financieras más importantes.</w:t>
      </w:r>
    </w:p>
    <w:p w:rsidR="008107E8" w:rsidRPr="00750E1F" w:rsidRDefault="008107E8" w:rsidP="008107E8">
      <w:pPr>
        <w:pStyle w:val="NormalWeb"/>
        <w:shd w:val="clear" w:color="auto" w:fill="FFFFFF"/>
        <w:spacing w:before="270" w:beforeAutospacing="0" w:after="0" w:afterAutospacing="0"/>
        <w:jc w:val="both"/>
        <w:textAlignment w:val="baseline"/>
      </w:pPr>
      <w:r w:rsidRPr="00750E1F">
        <w:t xml:space="preserve">En 2018, el índice Hang Seng de Hong Kong cayó más de un 13% y el Compuesto de Shanghái lo hizo en casi un 25%.Ambos índices han recuperado algo de terreno este año y han subido un 12% y un 16% respectivamente en lo que va de 2019.A modo de comparación, </w:t>
      </w:r>
      <w:r w:rsidRPr="00750E1F">
        <w:lastRenderedPageBreak/>
        <w:t>el índice neoyorkino Dow Jones industrial cayó en casi un 6% en 2018, pero ya ha subido un 11% este año.El yuan, la moneda oficial china, cayó más del 5% frente al dólar estadounidense el año pasado, antes de estabilizarse en 2019, según la agencia de noticias Reuters.</w:t>
      </w:r>
    </w:p>
    <w:p w:rsidR="008107E8" w:rsidRPr="00750E1F" w:rsidRDefault="008107E8" w:rsidP="008107E8">
      <w:pPr>
        <w:pStyle w:val="Ttulo2"/>
        <w:shd w:val="clear" w:color="auto" w:fill="FFFFFF"/>
        <w:spacing w:before="480"/>
        <w:jc w:val="both"/>
        <w:textAlignment w:val="baseline"/>
        <w:rPr>
          <w:sz w:val="24"/>
          <w:szCs w:val="24"/>
        </w:rPr>
      </w:pPr>
      <w:r w:rsidRPr="00750E1F">
        <w:rPr>
          <w:sz w:val="24"/>
          <w:szCs w:val="24"/>
        </w:rPr>
        <w:t>5. ¿Hay otras batallas comerciales?</w:t>
      </w:r>
    </w:p>
    <w:p w:rsidR="008107E8" w:rsidRPr="00750E1F" w:rsidRDefault="008107E8" w:rsidP="008107E8">
      <w:pPr>
        <w:pStyle w:val="NormalWeb"/>
        <w:shd w:val="clear" w:color="auto" w:fill="FFFFFF"/>
        <w:spacing w:before="270" w:beforeAutospacing="0" w:after="0" w:afterAutospacing="0"/>
        <w:jc w:val="both"/>
        <w:textAlignment w:val="baseline"/>
      </w:pPr>
      <w:r w:rsidRPr="00750E1F">
        <w:t>La guerra comercial entre Estados Unidos y China ha tenido repercusiones en otros países y, en general, en la economía del resto del mundo.El Fondo Monetario Internacional (FMI) dijo que la escalada de tensión comercial entre Estados Unidos y China fue uno de los fa</w:t>
      </w:r>
      <w:r w:rsidR="0067488C">
        <w:t>ctores que contribuyeron a una “</w:t>
      </w:r>
      <w:r w:rsidRPr="00750E1F">
        <w:t>expansión globa</w:t>
      </w:r>
      <w:r w:rsidR="0067488C">
        <w:t>l significativamente debilitada”</w:t>
      </w:r>
      <w:r w:rsidRPr="00750E1F">
        <w:t xml:space="preserve"> a fines del año pasado y que provocó una rebaja de las previsiones de crecimiento global para este año 2019.</w:t>
      </w:r>
    </w:p>
    <w:p w:rsidR="008107E8" w:rsidRDefault="008107E8" w:rsidP="008107E8">
      <w:pPr>
        <w:pStyle w:val="NormalWeb"/>
        <w:shd w:val="clear" w:color="auto" w:fill="FFFFFF"/>
        <w:spacing w:before="270" w:beforeAutospacing="0" w:after="0" w:afterAutospacing="0"/>
        <w:jc w:val="both"/>
        <w:textAlignment w:val="baseline"/>
      </w:pPr>
      <w:r w:rsidRPr="00750E1F">
        <w:t>Además, algunos países también pueden verse afectados de forma indirecta. Especialmente aquellos con fuertes vínculos comerciales con alguno de los dos países o que tienen un papel clave en las sus cadenas de distribución de bienes.</w:t>
      </w:r>
    </w:p>
    <w:p w:rsidR="008107E8" w:rsidRDefault="008107E8" w:rsidP="008107E8">
      <w:pPr>
        <w:spacing w:line="240" w:lineRule="auto"/>
        <w:rPr>
          <w:rFonts w:ascii="Times New Roman" w:hAnsi="Times New Roman"/>
        </w:rPr>
      </w:pPr>
      <w:r>
        <w:rPr>
          <w:rFonts w:ascii="inherit" w:hAnsi="inherit"/>
          <w:noProof/>
          <w:sz w:val="21"/>
          <w:szCs w:val="21"/>
          <w:bdr w:val="none" w:sz="0" w:space="0" w:color="auto" w:frame="1"/>
          <w:lang w:val="en-GB" w:eastAsia="en-GB"/>
        </w:rPr>
        <w:drawing>
          <wp:inline distT="0" distB="0" distL="0" distR="0">
            <wp:extent cx="5753100" cy="4533900"/>
            <wp:effectExtent l="0" t="0" r="0" b="0"/>
            <wp:docPr id="60" name="Imagen 60" descr="Gráfico con otros conflictos comerciales que tien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áfico con otros conflictos comerciales que tiene Estados Unidos."/>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4533900"/>
                    </a:xfrm>
                    <a:prstGeom prst="rect">
                      <a:avLst/>
                    </a:prstGeom>
                    <a:noFill/>
                    <a:ln>
                      <a:noFill/>
                    </a:ln>
                  </pic:spPr>
                </pic:pic>
              </a:graphicData>
            </a:graphic>
          </wp:inline>
        </w:drawing>
      </w:r>
    </w:p>
    <w:p w:rsidR="008107E8" w:rsidRPr="00276D6D" w:rsidRDefault="008107E8" w:rsidP="008107E8">
      <w:pPr>
        <w:pStyle w:val="NormalWeb"/>
        <w:shd w:val="clear" w:color="auto" w:fill="FFFFFF"/>
        <w:spacing w:before="270" w:beforeAutospacing="0" w:after="0" w:afterAutospacing="0"/>
        <w:jc w:val="both"/>
        <w:textAlignment w:val="baseline"/>
      </w:pPr>
      <w:r w:rsidRPr="00276D6D">
        <w:t>Pero los enfrentamientos comerciales con China son solo un ejemplo de otros que el año pasado Estados Unidos inició con otros países.</w:t>
      </w:r>
    </w:p>
    <w:p w:rsidR="008107E8" w:rsidRPr="00276D6D" w:rsidRDefault="008107E8" w:rsidP="008107E8">
      <w:pPr>
        <w:pStyle w:val="NormalWeb"/>
        <w:shd w:val="clear" w:color="auto" w:fill="FFFFFF"/>
        <w:spacing w:before="0" w:beforeAutospacing="0" w:after="0" w:afterAutospacing="0"/>
        <w:jc w:val="both"/>
        <w:textAlignment w:val="baseline"/>
      </w:pPr>
    </w:p>
    <w:p w:rsidR="008107E8" w:rsidRDefault="008107E8" w:rsidP="0067488C">
      <w:pPr>
        <w:pStyle w:val="NormalWeb"/>
        <w:shd w:val="clear" w:color="auto" w:fill="FFFFFF"/>
        <w:spacing w:before="0" w:beforeAutospacing="0" w:after="0" w:afterAutospacing="0"/>
        <w:jc w:val="both"/>
        <w:textAlignment w:val="baseline"/>
      </w:pPr>
      <w:r w:rsidRPr="00276D6D">
        <w:t>Trump ha impuesto</w:t>
      </w:r>
      <w:r w:rsidRPr="00276D6D">
        <w:rPr>
          <w:rStyle w:val="Textoennegrita"/>
          <w:rFonts w:eastAsiaTheme="minorEastAsia"/>
          <w:bdr w:val="none" w:sz="0" w:space="0" w:color="auto" w:frame="1"/>
        </w:rPr>
        <w:t> </w:t>
      </w:r>
      <w:r w:rsidRPr="0067488C">
        <w:rPr>
          <w:rStyle w:val="Textoennegrita"/>
          <w:rFonts w:eastAsiaTheme="minorEastAsia"/>
          <w:b w:val="0"/>
          <w:bdr w:val="none" w:sz="0" w:space="0" w:color="auto" w:frame="1"/>
        </w:rPr>
        <w:t>aranceles a productos importados desde México</w:t>
      </w:r>
      <w:r w:rsidRPr="00276D6D">
        <w:t>, Canadá y la Unión Europea. Con ellos busca animar a que los consumidores compren más productos cultivados y manufacturados en Estados Unidos.La respuesta de estos países fue aprobar también aranceles sobre algunos productos estadounidenses.</w:t>
      </w:r>
    </w:p>
    <w:p w:rsidR="0067488C" w:rsidRPr="00C350DC" w:rsidRDefault="0067488C" w:rsidP="0067488C">
      <w:pPr>
        <w:pStyle w:val="NormalWeb"/>
        <w:spacing w:after="0"/>
        <w:jc w:val="both"/>
        <w:rPr>
          <w:color w:val="FF0000"/>
        </w:rPr>
      </w:pPr>
      <w:r>
        <w:lastRenderedPageBreak/>
        <w:t xml:space="preserve">- </w:t>
      </w:r>
      <w:r w:rsidRPr="006A0163">
        <w:rPr>
          <w:u w:val="single"/>
        </w:rPr>
        <w:t>La guerra de los cien años entre China y EEUU</w:t>
      </w:r>
      <w:r>
        <w:t xml:space="preserve"> (Expansión - FT - </w:t>
      </w:r>
      <w:r w:rsidRPr="00820833">
        <w:rPr>
          <w:b/>
        </w:rPr>
        <w:t>6/6/19</w:t>
      </w:r>
      <w:r>
        <w:t xml:space="preserve">) </w:t>
      </w:r>
    </w:p>
    <w:p w:rsidR="0067488C" w:rsidRPr="0067488C" w:rsidRDefault="0067488C" w:rsidP="0067488C">
      <w:pPr>
        <w:pStyle w:val="NormalWeb"/>
        <w:spacing w:after="0"/>
        <w:jc w:val="both"/>
        <w:rPr>
          <w:lang w:val="en-US"/>
        </w:rPr>
      </w:pPr>
      <w:r>
        <w:rPr>
          <w:lang w:val="en-US"/>
        </w:rPr>
        <w:t xml:space="preserve">(Por </w:t>
      </w:r>
      <w:r w:rsidRPr="00820833">
        <w:rPr>
          <w:lang w:val="en-US"/>
        </w:rPr>
        <w:t>M</w:t>
      </w:r>
      <w:r>
        <w:rPr>
          <w:lang w:val="en-US"/>
        </w:rPr>
        <w:t>artin Wolf - Financial Times)</w:t>
      </w:r>
    </w:p>
    <w:p w:rsidR="0067488C" w:rsidRDefault="0067488C" w:rsidP="0067488C">
      <w:pPr>
        <w:pStyle w:val="entradilla"/>
        <w:spacing w:before="0" w:beforeAutospacing="0" w:after="0" w:afterAutospacing="0"/>
        <w:jc w:val="both"/>
        <w:textAlignment w:val="baseline"/>
        <w:rPr>
          <w:color w:val="000000"/>
        </w:rPr>
      </w:pPr>
      <w:r>
        <w:rPr>
          <w:noProof/>
          <w:color w:val="000000"/>
          <w:lang w:val="en-GB" w:eastAsia="en-GB"/>
        </w:rPr>
        <w:drawing>
          <wp:inline distT="0" distB="0" distL="0" distR="0">
            <wp:extent cx="5734050" cy="3194050"/>
            <wp:effectExtent l="0" t="0" r="0" b="6350"/>
            <wp:docPr id="2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cstate="print"/>
                    <a:srcRect/>
                    <a:stretch>
                      <a:fillRect/>
                    </a:stretch>
                  </pic:blipFill>
                  <pic:spPr bwMode="auto">
                    <a:xfrm>
                      <a:off x="0" y="0"/>
                      <a:ext cx="5731510" cy="3192635"/>
                    </a:xfrm>
                    <a:prstGeom prst="rect">
                      <a:avLst/>
                    </a:prstGeom>
                    <a:noFill/>
                    <a:ln w="9525">
                      <a:noFill/>
                      <a:miter lim="800000"/>
                      <a:headEnd/>
                      <a:tailEnd/>
                    </a:ln>
                  </pic:spPr>
                </pic:pic>
              </a:graphicData>
            </a:graphic>
          </wp:inline>
        </w:drawing>
      </w:r>
    </w:p>
    <w:p w:rsidR="0067488C" w:rsidRDefault="0067488C" w:rsidP="0067488C">
      <w:pPr>
        <w:pStyle w:val="entradilla"/>
        <w:spacing w:before="0" w:beforeAutospacing="0" w:after="0" w:afterAutospacing="0"/>
        <w:jc w:val="both"/>
        <w:textAlignment w:val="baseline"/>
        <w:rPr>
          <w:color w:val="000000"/>
          <w:u w:val="single"/>
        </w:rPr>
      </w:pPr>
    </w:p>
    <w:p w:rsidR="0067488C" w:rsidRPr="00820833" w:rsidRDefault="0067488C" w:rsidP="0067488C">
      <w:pPr>
        <w:pStyle w:val="entradilla"/>
        <w:spacing w:before="0" w:beforeAutospacing="0" w:after="0" w:afterAutospacing="0"/>
        <w:jc w:val="both"/>
        <w:textAlignment w:val="baseline"/>
        <w:rPr>
          <w:color w:val="000000"/>
        </w:rPr>
      </w:pPr>
      <w:r w:rsidRPr="006A0163">
        <w:rPr>
          <w:color w:val="000000"/>
          <w:u w:val="single"/>
        </w:rPr>
        <w:t>Estamos ante el acontecimiento geopolítico más importante de nuestra era</w:t>
      </w:r>
      <w:r w:rsidRPr="00820833">
        <w:rPr>
          <w:color w:val="000000"/>
        </w:rPr>
        <w:t>. Es un momento peligroso porque se corre el riesgo de convertir una relación viable, aunque incómoda, en un conflicto que afecte a todos los niveles y que se ha desencadenado sin ningún motivo de peso.</w:t>
      </w:r>
    </w:p>
    <w:p w:rsidR="0067488C" w:rsidRDefault="0067488C" w:rsidP="0067488C">
      <w:pPr>
        <w:pStyle w:val="NormalWeb"/>
        <w:spacing w:before="0" w:beforeAutospacing="0" w:after="0" w:afterAutospacing="0"/>
        <w:jc w:val="both"/>
        <w:textAlignment w:val="baseline"/>
        <w:rPr>
          <w:color w:val="FF0000"/>
          <w:u w:val="single"/>
        </w:rPr>
      </w:pPr>
      <w:r w:rsidRPr="006A0163">
        <w:rPr>
          <w:color w:val="FF0000"/>
          <w:u w:val="single"/>
        </w:rPr>
        <w:t>La desaparición de la Unión Soviética dejó un gran vacío. La guerra contra el terror fue un sustituto poco adecuado. Ahora China cumple todos los requisitos. Para EEUU, puede ser el enemigo ideológico, militar y económico que necesita. Por fin ha encontrado un oponente que vale la pena. Esa fue la principal conclusión que extraje de los encuentros de este año en el Club Bilderberg.</w:t>
      </w:r>
    </w:p>
    <w:p w:rsidR="0067488C" w:rsidRPr="006A0163" w:rsidRDefault="0067488C" w:rsidP="0067488C">
      <w:pPr>
        <w:pStyle w:val="NormalWeb"/>
        <w:spacing w:before="0" w:beforeAutospacing="0" w:after="0" w:afterAutospacing="0"/>
        <w:jc w:val="both"/>
        <w:textAlignment w:val="baseline"/>
        <w:rPr>
          <w:color w:val="FF0000"/>
          <w:u w:val="single"/>
        </w:rPr>
      </w:pPr>
    </w:p>
    <w:p w:rsidR="0067488C" w:rsidRPr="006A0163" w:rsidRDefault="0067488C" w:rsidP="0067488C">
      <w:pPr>
        <w:pStyle w:val="NormalWeb"/>
        <w:spacing w:before="0" w:beforeAutospacing="0" w:after="0" w:afterAutospacing="0"/>
        <w:jc w:val="both"/>
        <w:textAlignment w:val="baseline"/>
        <w:rPr>
          <w:color w:val="FF0000"/>
          <w:u w:val="single"/>
        </w:rPr>
      </w:pPr>
      <w:r w:rsidRPr="006A0163">
        <w:rPr>
          <w:color w:val="000000"/>
          <w:u w:val="single"/>
        </w:rPr>
        <w:t>La rivalidad con China se está convirtiendo en un principio organizativo de las políticas económica, exterior y de seguridad de EEUU</w:t>
      </w:r>
      <w:r w:rsidRPr="00820833">
        <w:rPr>
          <w:color w:val="000000"/>
        </w:rPr>
        <w:t xml:space="preserve">. Si se trata o no del principio organizativo de Donald Trump tiene menos importancia. </w:t>
      </w:r>
      <w:r w:rsidRPr="006A0163">
        <w:rPr>
          <w:color w:val="000000"/>
          <w:u w:val="single"/>
        </w:rPr>
        <w:t>El presidente estadounidense tiene instinto nacionalista y proteccionista. El objetivo que persigue es mantener el dominio de EEUU. El medio es el control o la separación de China</w:t>
      </w:r>
      <w:r w:rsidRPr="00820833">
        <w:rPr>
          <w:color w:val="000000"/>
        </w:rPr>
        <w:t xml:space="preserve">. </w:t>
      </w:r>
      <w:r w:rsidRPr="006A0163">
        <w:rPr>
          <w:color w:val="FF0000"/>
          <w:u w:val="single"/>
        </w:rPr>
        <w:t>Se equivoca el que piense que conseguirá mantenerse en pie el actual orden multilateral, nuestra economía globalizada o incluso las relaciones internacionales armoniosas.</w:t>
      </w:r>
    </w:p>
    <w:p w:rsidR="0067488C" w:rsidRDefault="0067488C" w:rsidP="0067488C">
      <w:pPr>
        <w:pStyle w:val="NormalWeb"/>
        <w:spacing w:before="0" w:beforeAutospacing="0" w:after="0" w:afterAutospacing="0"/>
        <w:jc w:val="both"/>
        <w:textAlignment w:val="baseline"/>
        <w:rPr>
          <w:color w:val="000000"/>
        </w:rPr>
      </w:pPr>
    </w:p>
    <w:p w:rsidR="0067488C" w:rsidRDefault="0067488C" w:rsidP="0067488C">
      <w:pPr>
        <w:pStyle w:val="NormalWeb"/>
        <w:spacing w:before="0" w:beforeAutospacing="0" w:after="0" w:afterAutospacing="0"/>
        <w:jc w:val="both"/>
        <w:textAlignment w:val="baseline"/>
        <w:rPr>
          <w:color w:val="FF0000"/>
          <w:u w:val="single"/>
        </w:rPr>
      </w:pPr>
      <w:r w:rsidRPr="00820833">
        <w:rPr>
          <w:color w:val="000000"/>
        </w:rPr>
        <w:t xml:space="preserve">La sorprendente documentación del conflicto comercial, que China hizo pública el domingo, es una prueba. El hecho es que en muchos aspectos China tiene razón. </w:t>
      </w:r>
      <w:r w:rsidRPr="006A0163">
        <w:rPr>
          <w:color w:val="FF0000"/>
          <w:u w:val="single"/>
        </w:rPr>
        <w:t>La importancia que concede EEUU a los desequilibrios bilaterales muestra una completa ignorancia en materia económica.</w:t>
      </w:r>
    </w:p>
    <w:p w:rsidR="00183AF7" w:rsidRPr="0067488C" w:rsidRDefault="00183AF7" w:rsidP="0067488C">
      <w:pPr>
        <w:pStyle w:val="NormalWeb"/>
        <w:spacing w:before="0" w:beforeAutospacing="0" w:after="0" w:afterAutospacing="0"/>
        <w:jc w:val="both"/>
        <w:textAlignment w:val="baseline"/>
        <w:rPr>
          <w:color w:val="000000"/>
        </w:rPr>
      </w:pPr>
    </w:p>
    <w:p w:rsidR="0067488C" w:rsidRDefault="0067488C" w:rsidP="0067488C">
      <w:pPr>
        <w:pStyle w:val="NormalWeb"/>
        <w:spacing w:before="0" w:beforeAutospacing="0" w:after="0" w:afterAutospacing="0"/>
        <w:jc w:val="both"/>
        <w:textAlignment w:val="baseline"/>
        <w:rPr>
          <w:color w:val="000000"/>
        </w:rPr>
      </w:pPr>
      <w:r w:rsidRPr="00820833">
        <w:rPr>
          <w:color w:val="000000"/>
        </w:rPr>
        <w:t>La visión de que la usurpación de la propiedad intelectual ha causado graves daños a EEUU es cuestionable. La idea de que China ha infringido sus compromisos según su acuerdo de adhesión a la Organización Mundial de Comercio (OMC) de 2001 es muy exagerada.</w:t>
      </w:r>
    </w:p>
    <w:p w:rsidR="00183AF7" w:rsidRDefault="00183AF7" w:rsidP="0067488C">
      <w:pPr>
        <w:pStyle w:val="NormalWeb"/>
        <w:spacing w:before="0" w:beforeAutospacing="0" w:after="0" w:afterAutospacing="0"/>
        <w:jc w:val="both"/>
        <w:textAlignment w:val="baseline"/>
        <w:rPr>
          <w:color w:val="000000"/>
        </w:rPr>
      </w:pPr>
    </w:p>
    <w:p w:rsidR="00183AF7" w:rsidRDefault="00183AF7" w:rsidP="0067488C">
      <w:pPr>
        <w:pStyle w:val="NormalWeb"/>
        <w:spacing w:before="0" w:beforeAutospacing="0" w:after="0" w:afterAutospacing="0"/>
        <w:jc w:val="both"/>
        <w:textAlignment w:val="baseline"/>
        <w:rPr>
          <w:color w:val="000000"/>
        </w:rPr>
      </w:pPr>
    </w:p>
    <w:p w:rsidR="00183AF7" w:rsidRDefault="00183AF7" w:rsidP="0067488C">
      <w:pPr>
        <w:pStyle w:val="NormalWeb"/>
        <w:spacing w:before="0" w:beforeAutospacing="0" w:after="0" w:afterAutospacing="0"/>
        <w:jc w:val="both"/>
        <w:textAlignment w:val="baseline"/>
        <w:rPr>
          <w:color w:val="000000"/>
        </w:rPr>
      </w:pPr>
      <w:r>
        <w:rPr>
          <w:color w:val="000000"/>
        </w:rPr>
        <w:lastRenderedPageBreak/>
        <w:t>Cinismo</w:t>
      </w:r>
    </w:p>
    <w:p w:rsidR="0067488C" w:rsidRPr="00820833" w:rsidRDefault="0067488C" w:rsidP="0067488C">
      <w:pPr>
        <w:pStyle w:val="NormalWeb"/>
        <w:spacing w:before="0" w:beforeAutospacing="0" w:after="0" w:afterAutospacing="0"/>
        <w:jc w:val="both"/>
        <w:textAlignment w:val="baseline"/>
        <w:rPr>
          <w:color w:val="000000"/>
        </w:rPr>
      </w:pPr>
    </w:p>
    <w:p w:rsidR="0067488C" w:rsidRDefault="0067488C" w:rsidP="0067488C">
      <w:pPr>
        <w:pStyle w:val="NormalWeb"/>
        <w:spacing w:before="0" w:beforeAutospacing="0" w:after="0" w:afterAutospacing="0"/>
        <w:jc w:val="both"/>
        <w:textAlignment w:val="baseline"/>
        <w:rPr>
          <w:color w:val="000000"/>
          <w:u w:val="single"/>
        </w:rPr>
      </w:pPr>
      <w:r w:rsidRPr="006A0163">
        <w:rPr>
          <w:color w:val="000000"/>
          <w:u w:val="single"/>
        </w:rPr>
        <w:t>Acusar a China de fraude es de un cinismo absoluto, ya que casi todas las acciones de política comercial tomadas por la Administración Trump incumplen la normativa de la OMC, un hecho que reconoce implícitamente dado su empeño en acabar con el sistema de resolución de disputas.</w:t>
      </w:r>
    </w:p>
    <w:p w:rsidR="0067488C" w:rsidRPr="006A0163" w:rsidRDefault="0067488C" w:rsidP="0067488C">
      <w:pPr>
        <w:pStyle w:val="NormalWeb"/>
        <w:spacing w:before="0" w:beforeAutospacing="0" w:after="0" w:afterAutospacing="0"/>
        <w:jc w:val="both"/>
        <w:textAlignment w:val="baseline"/>
        <w:rPr>
          <w:color w:val="000000"/>
          <w:u w:val="single"/>
        </w:rPr>
      </w:pPr>
    </w:p>
    <w:p w:rsidR="0067488C" w:rsidRDefault="0067488C" w:rsidP="0067488C">
      <w:pPr>
        <w:pStyle w:val="NormalWeb"/>
        <w:spacing w:before="0" w:beforeAutospacing="0" w:after="0" w:afterAutospacing="0"/>
        <w:jc w:val="both"/>
        <w:textAlignment w:val="baseline"/>
        <w:rPr>
          <w:color w:val="000000"/>
          <w:u w:val="single"/>
        </w:rPr>
      </w:pPr>
      <w:r w:rsidRPr="006A0163">
        <w:rPr>
          <w:color w:val="000000"/>
          <w:u w:val="single"/>
        </w:rPr>
        <w:t>La posición negociadora de EEUU con China defiende que impere la ley del más fuerte. De hecho, Washington insiste en que los chinos acepten el papel de EEUU como juez, jurado y ejecutor del acuerdo.</w:t>
      </w:r>
    </w:p>
    <w:p w:rsidR="0067488C" w:rsidRPr="006A0163" w:rsidRDefault="0067488C" w:rsidP="0067488C">
      <w:pPr>
        <w:pStyle w:val="NormalWeb"/>
        <w:spacing w:before="0" w:beforeAutospacing="0" w:after="0" w:afterAutospacing="0"/>
        <w:jc w:val="both"/>
        <w:textAlignment w:val="baseline"/>
        <w:rPr>
          <w:color w:val="000000"/>
          <w:u w:val="single"/>
        </w:rPr>
      </w:pPr>
    </w:p>
    <w:p w:rsidR="0067488C" w:rsidRDefault="0067488C" w:rsidP="0067488C">
      <w:pPr>
        <w:pStyle w:val="NormalWeb"/>
        <w:spacing w:before="0" w:beforeAutospacing="0" w:after="0" w:afterAutospacing="0"/>
        <w:jc w:val="both"/>
        <w:textAlignment w:val="baseline"/>
        <w:rPr>
          <w:color w:val="000000"/>
        </w:rPr>
      </w:pPr>
      <w:r w:rsidRPr="00820833">
        <w:rPr>
          <w:color w:val="000000"/>
        </w:rPr>
        <w:t>Una disputa sobre las condiciones de apertura del mercado o la protección de la propiedad intelectual podría solucionarse con una cuidadosa negociación. Esa solución podría incluso ayudar a China, ya que aligeraría la mano dura del Estado y fomentaría unas reformas orientadas al mercado.</w:t>
      </w:r>
    </w:p>
    <w:p w:rsidR="0067488C" w:rsidRPr="00820833" w:rsidRDefault="0067488C" w:rsidP="0067488C">
      <w:pPr>
        <w:pStyle w:val="NormalWeb"/>
        <w:spacing w:before="0" w:beforeAutospacing="0" w:after="0" w:afterAutospacing="0"/>
        <w:jc w:val="both"/>
        <w:textAlignment w:val="baseline"/>
        <w:rPr>
          <w:color w:val="000000"/>
        </w:rPr>
      </w:pPr>
    </w:p>
    <w:p w:rsidR="0067488C" w:rsidRPr="00820833" w:rsidRDefault="0067488C" w:rsidP="0067488C">
      <w:pPr>
        <w:pStyle w:val="NormalWeb"/>
        <w:spacing w:before="0" w:beforeAutospacing="0" w:after="0" w:afterAutospacing="0"/>
        <w:jc w:val="both"/>
        <w:textAlignment w:val="baseline"/>
        <w:rPr>
          <w:color w:val="000000"/>
        </w:rPr>
      </w:pPr>
      <w:r w:rsidRPr="00820833">
        <w:rPr>
          <w:color w:val="000000"/>
        </w:rPr>
        <w:t>Sin embargo, la situación ahora mismo está demasiado caldeada como para alcanzar una resolución. Esto se debe en parte a una brusca ruptura de las negociaciones, en parte porque el debate de EEUU se centra más en si la integración con la economía china es deseable.</w:t>
      </w:r>
    </w:p>
    <w:p w:rsidR="0067488C" w:rsidRDefault="0067488C" w:rsidP="0067488C">
      <w:pPr>
        <w:pStyle w:val="NormalWeb"/>
        <w:spacing w:before="0" w:beforeAutospacing="0" w:after="0" w:afterAutospacing="0"/>
        <w:jc w:val="both"/>
        <w:textAlignment w:val="baseline"/>
        <w:rPr>
          <w:color w:val="FF0000"/>
          <w:u w:val="single"/>
        </w:rPr>
      </w:pPr>
      <w:r w:rsidRPr="00820833">
        <w:rPr>
          <w:color w:val="000000"/>
        </w:rPr>
        <w:t xml:space="preserve">Los recelos hacia Huawei se deben sobre todo a motivos de seguridad nacional y de autonomía tecnológica. </w:t>
      </w:r>
      <w:r w:rsidRPr="006A0163">
        <w:rPr>
          <w:color w:val="FF0000"/>
          <w:u w:val="single"/>
        </w:rPr>
        <w:t>El libre comerci</w:t>
      </w:r>
      <w:r>
        <w:rPr>
          <w:color w:val="FF0000"/>
          <w:u w:val="single"/>
        </w:rPr>
        <w:t>o se percibe cada vez más como “</w:t>
      </w:r>
      <w:r w:rsidRPr="006A0163">
        <w:rPr>
          <w:color w:val="FF0000"/>
          <w:u w:val="single"/>
        </w:rPr>
        <w:t>negociar con el enem</w:t>
      </w:r>
      <w:r>
        <w:rPr>
          <w:color w:val="FF0000"/>
          <w:u w:val="single"/>
        </w:rPr>
        <w:t>igo”</w:t>
      </w:r>
      <w:r w:rsidRPr="006A0163">
        <w:rPr>
          <w:color w:val="FF0000"/>
          <w:u w:val="single"/>
        </w:rPr>
        <w:t>.</w:t>
      </w:r>
    </w:p>
    <w:p w:rsidR="0067488C" w:rsidRPr="006A0163" w:rsidRDefault="0067488C" w:rsidP="0067488C">
      <w:pPr>
        <w:pStyle w:val="NormalWeb"/>
        <w:spacing w:before="0" w:beforeAutospacing="0" w:after="0" w:afterAutospacing="0"/>
        <w:jc w:val="both"/>
        <w:textAlignment w:val="baseline"/>
        <w:rPr>
          <w:color w:val="FF0000"/>
          <w:u w:val="single"/>
        </w:rPr>
      </w:pPr>
    </w:p>
    <w:p w:rsidR="0067488C" w:rsidRDefault="0067488C" w:rsidP="0067488C">
      <w:pPr>
        <w:pStyle w:val="NormalWeb"/>
        <w:spacing w:before="0" w:beforeAutospacing="0" w:after="0" w:afterAutospacing="0"/>
        <w:jc w:val="both"/>
        <w:textAlignment w:val="baseline"/>
        <w:rPr>
          <w:color w:val="000000"/>
          <w:u w:val="single"/>
        </w:rPr>
      </w:pPr>
      <w:r w:rsidRPr="006A0163">
        <w:rPr>
          <w:color w:val="000000"/>
          <w:u w:val="single"/>
        </w:rPr>
        <w:t xml:space="preserve">Últimamente se están planteando las relaciones con China como un conflicto de suma cero. Los últimos comentarios de Kiron Skinner, directora de Asuntos de Planificación de Políticas del Departamento de Estado de EEUU, así lo indican. La rivalidad con </w:t>
      </w:r>
      <w:r>
        <w:rPr>
          <w:color w:val="000000"/>
          <w:u w:val="single"/>
        </w:rPr>
        <w:t>Pekín, dijo Skinner hace poco, “</w:t>
      </w:r>
      <w:r w:rsidRPr="006A0163">
        <w:rPr>
          <w:color w:val="000000"/>
          <w:u w:val="single"/>
        </w:rPr>
        <w:t xml:space="preserve">es un enfrentamiento con una civilización completamente distinta; EEUU no ha estado </w:t>
      </w:r>
      <w:r>
        <w:rPr>
          <w:color w:val="000000"/>
          <w:u w:val="single"/>
        </w:rPr>
        <w:t>nunca en una situación parecida”</w:t>
      </w:r>
      <w:r w:rsidRPr="006A0163">
        <w:rPr>
          <w:color w:val="000000"/>
          <w:u w:val="single"/>
        </w:rPr>
        <w:t>.</w:t>
      </w:r>
    </w:p>
    <w:p w:rsidR="0067488C" w:rsidRPr="006A0163" w:rsidRDefault="0067488C" w:rsidP="0067488C">
      <w:pPr>
        <w:pStyle w:val="NormalWeb"/>
        <w:spacing w:before="0" w:beforeAutospacing="0" w:after="0" w:afterAutospacing="0"/>
        <w:jc w:val="both"/>
        <w:textAlignment w:val="baseline"/>
        <w:rPr>
          <w:color w:val="000000"/>
          <w:u w:val="single"/>
        </w:rPr>
      </w:pPr>
    </w:p>
    <w:p w:rsidR="0067488C" w:rsidRDefault="0067488C" w:rsidP="0067488C">
      <w:pPr>
        <w:pStyle w:val="NormalWeb"/>
        <w:spacing w:before="0" w:beforeAutospacing="0" w:after="0" w:afterAutospacing="0"/>
        <w:jc w:val="both"/>
        <w:textAlignment w:val="baseline"/>
        <w:rPr>
          <w:color w:val="000000"/>
        </w:rPr>
      </w:pPr>
      <w:r w:rsidRPr="00820833">
        <w:rPr>
          <w:color w:val="000000"/>
        </w:rPr>
        <w:t xml:space="preserve">Skinner recordó que esta sería la primera vez que nuestro gran competidor no es caucásico. La guerra con Japón se ha olvidado. </w:t>
      </w:r>
      <w:r w:rsidRPr="006A0163">
        <w:rPr>
          <w:color w:val="FF0000"/>
          <w:u w:val="single"/>
        </w:rPr>
        <w:t>Aquí lo verdaderamente importante es que la batalla con China se considera un asunto racial y de civilización y, por lo tanto, un conflicto sin solución. Esto no puede ser casual.</w:t>
      </w:r>
      <w:r w:rsidRPr="00820833">
        <w:rPr>
          <w:color w:val="000000"/>
        </w:rPr>
        <w:t xml:space="preserve"> Y Skinner todavía mantiene su empleo.</w:t>
      </w:r>
    </w:p>
    <w:p w:rsidR="0067488C" w:rsidRPr="00820833" w:rsidRDefault="0067488C" w:rsidP="0067488C">
      <w:pPr>
        <w:pStyle w:val="NormalWeb"/>
        <w:spacing w:before="0" w:beforeAutospacing="0" w:after="0" w:afterAutospacing="0"/>
        <w:jc w:val="both"/>
        <w:textAlignment w:val="baseline"/>
        <w:rPr>
          <w:color w:val="000000"/>
        </w:rPr>
      </w:pPr>
    </w:p>
    <w:p w:rsidR="0067488C" w:rsidRDefault="0067488C" w:rsidP="0067488C">
      <w:pPr>
        <w:pStyle w:val="NormalWeb"/>
        <w:spacing w:before="0" w:beforeAutospacing="0" w:after="0" w:afterAutospacing="0"/>
        <w:jc w:val="both"/>
        <w:textAlignment w:val="baseline"/>
        <w:rPr>
          <w:color w:val="000000"/>
          <w:u w:val="single"/>
        </w:rPr>
      </w:pPr>
      <w:r w:rsidRPr="006A0163">
        <w:rPr>
          <w:color w:val="000000"/>
          <w:u w:val="single"/>
        </w:rPr>
        <w:t>Otros presentan el conflicto como un asunto más relacionado con la ideología y el poder</w:t>
      </w:r>
      <w:r w:rsidRPr="00820833">
        <w:rPr>
          <w:color w:val="000000"/>
        </w:rPr>
        <w:t xml:space="preserve">. En el primer caso, apuntan a la retórica marxista del presidente Xi Jinping y al papel reforzado del Partido Comunista. En el segundo, recelan del auge económico de China. </w:t>
      </w:r>
      <w:r w:rsidRPr="006A0163">
        <w:rPr>
          <w:color w:val="000000"/>
          <w:u w:val="single"/>
        </w:rPr>
        <w:t>Ambas perspectivas sugieren un conflicto permanente.</w:t>
      </w:r>
    </w:p>
    <w:p w:rsidR="0067488C" w:rsidRPr="006A0163" w:rsidRDefault="0067488C" w:rsidP="0067488C">
      <w:pPr>
        <w:pStyle w:val="NormalWeb"/>
        <w:spacing w:before="0" w:beforeAutospacing="0" w:after="0" w:afterAutospacing="0"/>
        <w:jc w:val="both"/>
        <w:textAlignment w:val="baseline"/>
        <w:rPr>
          <w:color w:val="000000"/>
          <w:u w:val="single"/>
        </w:rPr>
      </w:pPr>
    </w:p>
    <w:p w:rsidR="0067488C" w:rsidRDefault="0067488C" w:rsidP="0067488C">
      <w:pPr>
        <w:pStyle w:val="NormalWeb"/>
        <w:spacing w:before="0" w:beforeAutospacing="0" w:after="0" w:afterAutospacing="0"/>
        <w:jc w:val="both"/>
        <w:textAlignment w:val="baseline"/>
        <w:rPr>
          <w:color w:val="FF0000"/>
          <w:u w:val="single"/>
        </w:rPr>
      </w:pPr>
      <w:r w:rsidRPr="006A0163">
        <w:rPr>
          <w:color w:val="FF0000"/>
          <w:u w:val="single"/>
        </w:rPr>
        <w:t>Estamos ante el acontecimiento geopolítico más importante de nuestra era. Entre otros motivos, porque tarde o temprano obligará a los demás países a posicionarse o a luchar por la neutralidad.</w:t>
      </w:r>
    </w:p>
    <w:p w:rsidR="0067488C" w:rsidRPr="006A0163" w:rsidRDefault="0067488C" w:rsidP="0067488C">
      <w:pPr>
        <w:pStyle w:val="NormalWeb"/>
        <w:spacing w:before="0" w:beforeAutospacing="0" w:after="0" w:afterAutospacing="0"/>
        <w:jc w:val="both"/>
        <w:textAlignment w:val="baseline"/>
        <w:rPr>
          <w:color w:val="FF0000"/>
          <w:u w:val="single"/>
        </w:rPr>
      </w:pPr>
    </w:p>
    <w:p w:rsidR="0067488C" w:rsidRDefault="0067488C" w:rsidP="0067488C">
      <w:pPr>
        <w:pStyle w:val="NormalWeb"/>
        <w:spacing w:before="0" w:beforeAutospacing="0" w:after="0" w:afterAutospacing="0"/>
        <w:jc w:val="both"/>
        <w:textAlignment w:val="baseline"/>
        <w:rPr>
          <w:color w:val="FF0000"/>
          <w:u w:val="single"/>
        </w:rPr>
      </w:pPr>
      <w:r w:rsidRPr="006A0163">
        <w:rPr>
          <w:color w:val="FF0000"/>
          <w:u w:val="single"/>
        </w:rPr>
        <w:t>Pero no sólo es importante, también es peligroso porque se corre el riesgo de convertir una relación viable, aunque incómoda, en un conflicto que afecte a todos los niveles y que se ha desencadenado sin ningún motivo de peso.</w:t>
      </w:r>
    </w:p>
    <w:p w:rsidR="0011116D" w:rsidRPr="006A0163" w:rsidRDefault="0011116D" w:rsidP="0067488C">
      <w:pPr>
        <w:pStyle w:val="NormalWeb"/>
        <w:spacing w:before="0" w:beforeAutospacing="0" w:after="0" w:afterAutospacing="0"/>
        <w:jc w:val="both"/>
        <w:textAlignment w:val="baseline"/>
        <w:rPr>
          <w:color w:val="FF0000"/>
          <w:u w:val="single"/>
        </w:rPr>
      </w:pPr>
    </w:p>
    <w:p w:rsidR="0067488C" w:rsidRDefault="0067488C" w:rsidP="0067488C">
      <w:pPr>
        <w:pStyle w:val="NormalWeb"/>
        <w:spacing w:before="0" w:beforeAutospacing="0" w:after="0" w:afterAutospacing="0"/>
        <w:jc w:val="both"/>
        <w:textAlignment w:val="baseline"/>
        <w:rPr>
          <w:color w:val="000000"/>
          <w:u w:val="single"/>
        </w:rPr>
      </w:pPr>
      <w:r w:rsidRPr="006A0163">
        <w:rPr>
          <w:color w:val="000000"/>
          <w:u w:val="single"/>
        </w:rPr>
        <w:t>La ideología de China no supone una amenaza a la democracia liberal como en su día lo fue la Unión Soviética. Los demagogos de la derecha son mucho más peligrosos.</w:t>
      </w:r>
    </w:p>
    <w:p w:rsidR="0067488C" w:rsidRPr="006A0163" w:rsidRDefault="0067488C" w:rsidP="0067488C">
      <w:pPr>
        <w:pStyle w:val="NormalWeb"/>
        <w:spacing w:before="0" w:beforeAutospacing="0" w:after="0" w:afterAutospacing="0"/>
        <w:jc w:val="both"/>
        <w:textAlignment w:val="baseline"/>
        <w:rPr>
          <w:color w:val="000000"/>
          <w:u w:val="single"/>
        </w:rPr>
      </w:pPr>
    </w:p>
    <w:p w:rsidR="0067488C" w:rsidRDefault="0067488C" w:rsidP="0067488C">
      <w:pPr>
        <w:pStyle w:val="NormalWeb"/>
        <w:spacing w:before="0" w:beforeAutospacing="0" w:after="0" w:afterAutospacing="0"/>
        <w:jc w:val="both"/>
        <w:textAlignment w:val="baseline"/>
        <w:rPr>
          <w:color w:val="FF0000"/>
          <w:u w:val="single"/>
        </w:rPr>
      </w:pPr>
      <w:r w:rsidRPr="006A0163">
        <w:rPr>
          <w:color w:val="FF0000"/>
          <w:u w:val="single"/>
        </w:rPr>
        <w:lastRenderedPageBreak/>
        <w:t>Un intento de frenar el auge económico y tecnológico de China fracasará sin duda alguna. Y. lo que es peor, fomentará una gran hostilidad en el pueblo chino. A largo plazo, las demandas de una sociedad cada vez más próspera y mejor educada de conseguir un mayor control de sus vidas acabarían ganando.</w:t>
      </w:r>
    </w:p>
    <w:p w:rsidR="0067488C" w:rsidRPr="006A0163" w:rsidRDefault="0067488C" w:rsidP="0067488C">
      <w:pPr>
        <w:pStyle w:val="NormalWeb"/>
        <w:spacing w:before="0" w:beforeAutospacing="0" w:after="0" w:afterAutospacing="0"/>
        <w:jc w:val="both"/>
        <w:textAlignment w:val="baseline"/>
        <w:rPr>
          <w:color w:val="FF0000"/>
          <w:u w:val="single"/>
        </w:rPr>
      </w:pPr>
    </w:p>
    <w:p w:rsidR="0067488C" w:rsidRDefault="0067488C" w:rsidP="0067488C">
      <w:pPr>
        <w:pStyle w:val="NormalWeb"/>
        <w:spacing w:before="0" w:beforeAutospacing="0" w:after="0" w:afterAutospacing="0"/>
        <w:jc w:val="both"/>
        <w:textAlignment w:val="baseline"/>
        <w:rPr>
          <w:color w:val="FF0000"/>
          <w:u w:val="single"/>
        </w:rPr>
      </w:pPr>
      <w:r w:rsidRPr="006A0163">
        <w:rPr>
          <w:color w:val="FF0000"/>
          <w:u w:val="single"/>
        </w:rPr>
        <w:t>Esa posibilidad se reduciría si el auge natural de China se ve amenazado. Además, el dominio de China no es el origen de los males que padece Occidente.</w:t>
      </w:r>
    </w:p>
    <w:p w:rsidR="0067488C" w:rsidRPr="006A0163" w:rsidRDefault="0067488C" w:rsidP="0067488C">
      <w:pPr>
        <w:pStyle w:val="NormalWeb"/>
        <w:spacing w:before="0" w:beforeAutospacing="0" w:after="0" w:afterAutospacing="0"/>
        <w:jc w:val="both"/>
        <w:textAlignment w:val="baseline"/>
        <w:rPr>
          <w:color w:val="FF0000"/>
          <w:u w:val="single"/>
        </w:rPr>
      </w:pPr>
    </w:p>
    <w:p w:rsidR="0067488C" w:rsidRDefault="0067488C" w:rsidP="0067488C">
      <w:pPr>
        <w:pStyle w:val="NormalWeb"/>
        <w:spacing w:before="0" w:beforeAutospacing="0" w:after="0" w:afterAutospacing="0"/>
        <w:jc w:val="both"/>
        <w:textAlignment w:val="baseline"/>
        <w:rPr>
          <w:color w:val="000000"/>
          <w:u w:val="single"/>
        </w:rPr>
      </w:pPr>
      <w:r w:rsidRPr="006A0163">
        <w:rPr>
          <w:color w:val="000000"/>
          <w:u w:val="single"/>
        </w:rPr>
        <w:t xml:space="preserve">Lo que se considera como un robo de la propiedad intelectual refleja, en gran parte, el intento inevitable de la economía de dominar las últimas tecnologías. Ante todo, un intento de preservar el dominio del 4% de la humanidad por encima del resto es ilegítimo. Eso no </w:t>
      </w:r>
      <w:r w:rsidR="007D67F3" w:rsidRPr="006A0163">
        <w:rPr>
          <w:color w:val="000000"/>
          <w:u w:val="single"/>
        </w:rPr>
        <w:t>significa</w:t>
      </w:r>
      <w:r w:rsidRPr="006A0163">
        <w:rPr>
          <w:color w:val="000000"/>
          <w:u w:val="single"/>
        </w:rPr>
        <w:t xml:space="preserve"> aceptar todo lo que China diga o haga. Al contrario, la mejor forma para Occidente de relacionarse con China es insistir en los valores de la libertad, la democracia, y la </w:t>
      </w:r>
      <w:r w:rsidR="007D67F3" w:rsidRPr="006A0163">
        <w:rPr>
          <w:color w:val="000000"/>
          <w:u w:val="single"/>
        </w:rPr>
        <w:t>cooperación</w:t>
      </w:r>
      <w:r w:rsidRPr="006A0163">
        <w:rPr>
          <w:color w:val="000000"/>
          <w:u w:val="single"/>
        </w:rPr>
        <w:t xml:space="preserve"> global, respetando unas normas.</w:t>
      </w:r>
    </w:p>
    <w:p w:rsidR="0067488C" w:rsidRPr="006A0163" w:rsidRDefault="0067488C" w:rsidP="0067488C">
      <w:pPr>
        <w:pStyle w:val="NormalWeb"/>
        <w:spacing w:before="0" w:beforeAutospacing="0" w:after="0" w:afterAutospacing="0"/>
        <w:jc w:val="both"/>
        <w:textAlignment w:val="baseline"/>
        <w:rPr>
          <w:color w:val="000000"/>
          <w:u w:val="single"/>
        </w:rPr>
      </w:pPr>
    </w:p>
    <w:p w:rsidR="0067488C" w:rsidRDefault="0067488C" w:rsidP="0067488C">
      <w:pPr>
        <w:pStyle w:val="NormalWeb"/>
        <w:spacing w:before="0" w:beforeAutospacing="0" w:after="0" w:afterAutospacing="0"/>
        <w:jc w:val="both"/>
        <w:textAlignment w:val="baseline"/>
        <w:rPr>
          <w:color w:val="000000"/>
        </w:rPr>
      </w:pPr>
      <w:r w:rsidRPr="00820833">
        <w:rPr>
          <w:color w:val="000000"/>
        </w:rPr>
        <w:t>Estas ideas llevaron a muchos países del mundo a convertirse en aliados de EEUU en el pasado. Y todavía cautivan a muchos ciudadanos chinos a día de hoy. Es bastante factible poder defender estas ideas con contundencia mientras se coopera con China en todo lo que resulte esencial, como la preservación del ecosistema, el comercio y la paz.</w:t>
      </w:r>
    </w:p>
    <w:p w:rsidR="0067488C" w:rsidRPr="00820833" w:rsidRDefault="0067488C" w:rsidP="0067488C">
      <w:pPr>
        <w:pStyle w:val="NormalWeb"/>
        <w:spacing w:before="0" w:beforeAutospacing="0" w:after="0" w:afterAutospacing="0"/>
        <w:jc w:val="both"/>
        <w:textAlignment w:val="baseline"/>
        <w:rPr>
          <w:color w:val="000000"/>
        </w:rPr>
      </w:pPr>
    </w:p>
    <w:p w:rsidR="0067488C" w:rsidRDefault="0067488C" w:rsidP="0067488C">
      <w:pPr>
        <w:pStyle w:val="NormalWeb"/>
        <w:spacing w:before="0" w:beforeAutospacing="0" w:after="0" w:afterAutospacing="0"/>
        <w:jc w:val="both"/>
        <w:textAlignment w:val="baseline"/>
        <w:rPr>
          <w:color w:val="000000"/>
        </w:rPr>
      </w:pPr>
      <w:r w:rsidRPr="00820833">
        <w:rPr>
          <w:color w:val="000000"/>
        </w:rPr>
        <w:t>Una combinación de competencia y cooperación es la solución para mantener una relación bilateral fluida. Esa estrategia para gestionar el auge de China debe incluir una estrecha cooperación con aliados que compartan los mismos valores y una actitud de respeto hacia China.</w:t>
      </w:r>
    </w:p>
    <w:p w:rsidR="0067488C" w:rsidRPr="00820833" w:rsidRDefault="0067488C" w:rsidP="0067488C">
      <w:pPr>
        <w:pStyle w:val="NormalWeb"/>
        <w:spacing w:before="0" w:beforeAutospacing="0" w:after="0" w:afterAutospacing="0"/>
        <w:jc w:val="both"/>
        <w:textAlignment w:val="baseline"/>
        <w:rPr>
          <w:color w:val="000000"/>
        </w:rPr>
      </w:pPr>
    </w:p>
    <w:p w:rsidR="0067488C" w:rsidRDefault="0067488C" w:rsidP="0067488C">
      <w:pPr>
        <w:pStyle w:val="NormalWeb"/>
        <w:spacing w:before="0" w:beforeAutospacing="0" w:after="0" w:afterAutospacing="0"/>
        <w:jc w:val="both"/>
        <w:textAlignment w:val="baseline"/>
        <w:rPr>
          <w:color w:val="000000"/>
        </w:rPr>
      </w:pPr>
      <w:r w:rsidRPr="00820833">
        <w:rPr>
          <w:color w:val="000000"/>
        </w:rPr>
        <w:t>Lo triste de la actual situación es que la Administración ha lanzado de forma simultánea un conflicto entre las dos potencias, atacando a sus aliados y acabando con las instituciones que se crearon tras la Segunda Guerra Mundial con EEUU como principal potencia.</w:t>
      </w:r>
    </w:p>
    <w:p w:rsidR="0067488C" w:rsidRPr="00820833" w:rsidRDefault="0067488C" w:rsidP="0067488C">
      <w:pPr>
        <w:pStyle w:val="NormalWeb"/>
        <w:spacing w:before="0" w:beforeAutospacing="0" w:after="0" w:afterAutospacing="0"/>
        <w:jc w:val="both"/>
        <w:textAlignment w:val="baseline"/>
        <w:rPr>
          <w:color w:val="000000"/>
        </w:rPr>
      </w:pPr>
    </w:p>
    <w:p w:rsidR="0067488C" w:rsidRPr="006A0163" w:rsidRDefault="0067488C" w:rsidP="0067488C">
      <w:pPr>
        <w:pStyle w:val="NormalWeb"/>
        <w:spacing w:before="0" w:beforeAutospacing="0" w:after="0" w:afterAutospacing="0"/>
        <w:jc w:val="both"/>
        <w:textAlignment w:val="baseline"/>
        <w:rPr>
          <w:color w:val="FF0000"/>
          <w:u w:val="single"/>
        </w:rPr>
      </w:pPr>
      <w:r w:rsidRPr="006A0163">
        <w:rPr>
          <w:color w:val="FF0000"/>
          <w:u w:val="single"/>
        </w:rPr>
        <w:t>El ataque a China es una guerra equivocada que se lucha de forma equivocada y en el terreno equivocado. Lamentablemente, esta es la situación en la que nos encontramos en este momento.</w:t>
      </w:r>
    </w:p>
    <w:p w:rsidR="0031673B" w:rsidRDefault="0031673B" w:rsidP="0031673B">
      <w:pPr>
        <w:pStyle w:val="NormalWeb"/>
        <w:spacing w:after="0"/>
        <w:jc w:val="both"/>
        <w:textAlignment w:val="baseline"/>
      </w:pPr>
      <w:r>
        <w:t xml:space="preserve">- </w:t>
      </w:r>
      <w:r w:rsidRPr="005D7506">
        <w:rPr>
          <w:u w:val="single"/>
        </w:rPr>
        <w:t>La guerra EEUU-China durará aún décadas</w:t>
      </w:r>
      <w:r>
        <w:t xml:space="preserve"> (El Economista - </w:t>
      </w:r>
      <w:r w:rsidRPr="005D7506">
        <w:rPr>
          <w:b/>
        </w:rPr>
        <w:t>29/6/19</w:t>
      </w:r>
      <w:r>
        <w:t xml:space="preserve">) </w:t>
      </w:r>
    </w:p>
    <w:p w:rsidR="0031673B" w:rsidRDefault="0031673B" w:rsidP="0031673B">
      <w:pPr>
        <w:pStyle w:val="NormalWeb"/>
        <w:spacing w:after="0"/>
        <w:jc w:val="both"/>
        <w:textAlignment w:val="baseline"/>
      </w:pPr>
      <w:r>
        <w:t>(Por Nouriel Roubini)</w:t>
      </w:r>
    </w:p>
    <w:p w:rsidR="0031673B" w:rsidRPr="005B34D0" w:rsidRDefault="0031673B" w:rsidP="0031673B">
      <w:pPr>
        <w:pStyle w:val="NormalWeb"/>
        <w:spacing w:after="0"/>
        <w:jc w:val="both"/>
        <w:textAlignment w:val="baseline"/>
        <w:rPr>
          <w:color w:val="FF0000"/>
          <w:u w:val="single"/>
        </w:rPr>
      </w:pPr>
      <w:r w:rsidRPr="005B34D0">
        <w:rPr>
          <w:color w:val="FF0000"/>
          <w:u w:val="single"/>
        </w:rPr>
        <w:t>La incipiente guerra fría chinoestadounidense es la principal fuente de incertidumbre en la economía global hoy. Una escalada de tensiones entre las dos economías más grandes del mundo puede producir una recesión global seguida de una crisis financiera en 2020, incluso si la Reserva Federal de los Estados Unidos y otros grandes bancos centrales aplican una política de expansión monetaria decidida.</w:t>
      </w:r>
    </w:p>
    <w:p w:rsidR="0031673B" w:rsidRDefault="0031673B" w:rsidP="0031673B">
      <w:pPr>
        <w:pStyle w:val="NormalWeb"/>
        <w:spacing w:after="0"/>
        <w:jc w:val="both"/>
        <w:textAlignment w:val="baseline"/>
      </w:pPr>
      <w:r w:rsidRPr="005B34D0">
        <w:rPr>
          <w:u w:val="single"/>
        </w:rPr>
        <w:t>Hay tres escenarios para la evolución de la situación entre ahora y fines de 2020</w:t>
      </w:r>
      <w:r>
        <w:t xml:space="preserve">, cuando EEUU celebrará su próxima elección presidencial. </w:t>
      </w:r>
      <w:r w:rsidRPr="005B34D0">
        <w:rPr>
          <w:u w:val="single"/>
        </w:rPr>
        <w:t>Es aún posible que en Osaka, Trump y Xi acuerden una tregua, o un modus vivendi</w:t>
      </w:r>
      <w:r>
        <w:t>, que siente las bases para una solución negociada hacia fines de este año. Por el lado del comercio, Estados Unidos quiere que China compre más bienes estadounidenses, que reduzca barreras arancelarias y no arancelarias, que aumente la apertura del sector financiero y de servicios a la inversión extranjera directa y que se comprometa con el mantenimiento de la estabilidad monetaria.</w:t>
      </w:r>
    </w:p>
    <w:p w:rsidR="0031673B" w:rsidRDefault="0031673B" w:rsidP="0031673B">
      <w:pPr>
        <w:pStyle w:val="NormalWeb"/>
        <w:spacing w:after="0"/>
        <w:jc w:val="both"/>
        <w:textAlignment w:val="baseline"/>
      </w:pPr>
      <w:r>
        <w:lastRenderedPageBreak/>
        <w:t>Un acuerdo transitorio puede incluir cualquiera de los puntos anteriores; como contrapartida, Estados Unidos ofrecería exenciones a medio plazo (hasta el final de 2020, y tal vez más) a empresas tecnológicas chinas que usen componentes, semiconductores y software estadounidenses. Esto dejaría a Huawei muy limitada, pero no impedida para operar.</w:t>
      </w:r>
    </w:p>
    <w:p w:rsidR="0031673B" w:rsidRDefault="0031673B" w:rsidP="0031673B">
      <w:pPr>
        <w:pStyle w:val="NormalWeb"/>
        <w:spacing w:after="0"/>
        <w:jc w:val="both"/>
        <w:textAlignment w:val="baseline"/>
      </w:pPr>
      <w:r w:rsidRPr="005B34D0">
        <w:rPr>
          <w:u w:val="single"/>
        </w:rPr>
        <w:t>La segunda posibilidad es que en los próximos seis a 12 meses haya guerra comercial, tecnológica y fría total</w:t>
      </w:r>
      <w:r>
        <w:t>. En este escenario, las posturas de Estados Unidos y China comenzarían a alejarse rápidamente, tras un intento fallido de reiniciar negociaciones (con o sin tregua). Estados Unidos cumpliría sus amenazas de aplicar aranceles (desde un 10 por ciento inicial hasta un 25 por ciento) a los 300.000 millones de dólares de importaciones chinas que hasta ahora están exentos. Y la Administración Trump les bajaría el pulgar a Huawei y otras empresas tecnológicas chinas.</w:t>
      </w:r>
    </w:p>
    <w:p w:rsidR="0031673B" w:rsidRDefault="0031673B" w:rsidP="0031673B">
      <w:pPr>
        <w:pStyle w:val="NormalWeb"/>
        <w:spacing w:after="0"/>
        <w:jc w:val="both"/>
        <w:textAlignment w:val="baseline"/>
      </w:pPr>
      <w:r>
        <w:t>Posibles represalias</w:t>
      </w:r>
    </w:p>
    <w:p w:rsidR="0031673B" w:rsidRDefault="0031673B" w:rsidP="0031673B">
      <w:pPr>
        <w:pStyle w:val="NormalWeb"/>
        <w:spacing w:after="0"/>
        <w:jc w:val="both"/>
        <w:textAlignment w:val="baseline"/>
      </w:pPr>
      <w:r>
        <w:t>China, mientras tanto, protegería su economía con un estímulo en el nivel macro, y al mismo tiempo aplicaría represalias con medidas que trascenderían los aranceles (por ejemplo, la expulsión de empresas estadounidenses). Huawei podría sobrevivir dentro del mercado chino, pero su creciente actividad internacional quedaría paralizada.</w:t>
      </w:r>
    </w:p>
    <w:p w:rsidR="0031673B" w:rsidRDefault="0031673B" w:rsidP="0031673B">
      <w:pPr>
        <w:pStyle w:val="NormalWeb"/>
        <w:spacing w:after="0"/>
        <w:jc w:val="both"/>
        <w:textAlignment w:val="baseline"/>
      </w:pPr>
      <w:r>
        <w:t>Además del comercio y la tecnología, este escenario también implica un aumento de tensiones geopolíticas y militares. No se puede descartar la posibilidad de algún tipo de conflicto en relación con los mares Meridional y Oriental de China, Taiwán, Corea del Norte, Xinjiang, Irán o Hong Kong.</w:t>
      </w:r>
    </w:p>
    <w:p w:rsidR="0031673B" w:rsidRDefault="0031673B" w:rsidP="0031673B">
      <w:pPr>
        <w:pStyle w:val="NormalWeb"/>
        <w:spacing w:after="0"/>
        <w:jc w:val="both"/>
        <w:textAlignment w:val="baseline"/>
      </w:pPr>
      <w:r w:rsidRPr="005B34D0">
        <w:rPr>
          <w:u w:val="single"/>
        </w:rPr>
        <w:t>Finalmente, en el tercer escenario, China y Estados Unidos no lograrían un acuerdo en relación con el comercio y la tecnología, pero evitarían una escalada acelerada. En vez de hundirse en una guerra comercial y tecnológica total, las dos potencias intensificarían el conflicto en forma más gradual</w:t>
      </w:r>
      <w:r>
        <w:t>. Estados Unidos impondría nuevos aranceles, pero los mantendría en el 10 por ciento, y extendería exenciones temporales que permitan a Huawei y otras empresas chinas la compra de suministros clave de fabricación estadounidense, reservándose la opción de cortarle los víveres a Huawei a su entero arbitrio. Esto no impediría la continuación de las negociaciones, pero en esencia Estados Unidos tendría poder de veto sobre el intento de Huawei de desarrollar el 5G y otras tecnologías clave de la economía global. Como Trump podría dejar a Huawei sin suministros en cualquier momento, es de suponer que el Gobierno chino se abstendría de represalias a gran escala evidentes, pero aun así intervendría para minimizar el daño económico.</w:t>
      </w:r>
    </w:p>
    <w:p w:rsidR="0031673B" w:rsidRPr="005B34D0" w:rsidRDefault="0031673B" w:rsidP="0031673B">
      <w:pPr>
        <w:pStyle w:val="NormalWeb"/>
        <w:spacing w:after="0"/>
        <w:jc w:val="both"/>
        <w:textAlignment w:val="baseline"/>
        <w:rPr>
          <w:color w:val="FF0000"/>
          <w:u w:val="single"/>
        </w:rPr>
      </w:pPr>
      <w:r w:rsidRPr="005B34D0">
        <w:rPr>
          <w:color w:val="FF0000"/>
          <w:u w:val="single"/>
        </w:rPr>
        <w:t>El tercer escenario es el más probable por ahora, porque China está a la espera de lo que ocurra en 2020, para ver si Estados Unidos elige a un presidente más estable. De modo que, incluso con una tregua, es probable que cualquier negociación que se reinicie después de la cumbre del G-20 se extienda por tiempo indefinido sin signos reales de progreso.</w:t>
      </w:r>
    </w:p>
    <w:p w:rsidR="0031673B" w:rsidRDefault="0031673B" w:rsidP="0031673B">
      <w:pPr>
        <w:pStyle w:val="NormalWeb"/>
        <w:spacing w:after="0"/>
        <w:jc w:val="both"/>
        <w:textAlignment w:val="baseline"/>
      </w:pPr>
      <w:r>
        <w:t>De no haber acuerdo comercial, es probable que se dé esta misma escalada modulada en lo referido a tecnología. Con las empresas chinas ya muy restringidas, EEUU podría convencer a los países europeos y a otros aliados de que no aprueben licitaciones o licencias favorables a Huawei en los mercados del estándar 5G y de bienes de consumo como teléfonos inteligentes, lo que reduciría la ventaja actual de Huawei en este mercado. Con eso EEUU conseguiría un par de años para preparar a sus propios campeones nacionales en 5G y tecnologías relacionadas y obtener una ventaja inicial en 6G.</w:t>
      </w:r>
    </w:p>
    <w:p w:rsidR="0031673B" w:rsidRDefault="0031673B" w:rsidP="0031673B">
      <w:pPr>
        <w:pStyle w:val="NormalWeb"/>
        <w:spacing w:after="0"/>
        <w:jc w:val="both"/>
        <w:textAlignment w:val="baseline"/>
      </w:pPr>
      <w:r>
        <w:lastRenderedPageBreak/>
        <w:t>Beneficios políticos</w:t>
      </w:r>
    </w:p>
    <w:p w:rsidR="0031673B" w:rsidRDefault="0031673B" w:rsidP="0031673B">
      <w:pPr>
        <w:pStyle w:val="NormalWeb"/>
        <w:spacing w:after="0"/>
        <w:jc w:val="both"/>
        <w:textAlignment w:val="baseline"/>
      </w:pPr>
      <w:r w:rsidRPr="005B34D0">
        <w:rPr>
          <w:u w:val="single"/>
        </w:rPr>
        <w:t>Además, una escalada controlada puede beneficiar políticamente a Trump, e incluso a Xi.</w:t>
      </w:r>
      <w:r>
        <w:t xml:space="preserve"> Trump no quedaría expuesto a que los demócratas lo acusen de haber sido engañado o haber sido demasiado blando con China. Al mismo tiempo, es probable que la incertidumbre persistente derivada de un conflicto no resuelto motive a la Fed a empezar a bajar su tasa de política monetaria en julio, o en septiembre. De hecho, con un buen manejo del conflicto, Estados Unidos podría evitar una recesión, aunque el crecimiento anual se desaceleraría desde el 2 por ciento.</w:t>
      </w:r>
    </w:p>
    <w:p w:rsidR="0031673B" w:rsidRPr="005B34D0" w:rsidRDefault="0031673B" w:rsidP="0031673B">
      <w:pPr>
        <w:pStyle w:val="NormalWeb"/>
        <w:spacing w:after="0"/>
        <w:jc w:val="both"/>
        <w:textAlignment w:val="baseline"/>
        <w:rPr>
          <w:u w:val="single"/>
        </w:rPr>
      </w:pPr>
      <w:r w:rsidRPr="005B34D0">
        <w:rPr>
          <w:u w:val="single"/>
        </w:rPr>
        <w:t>Que en el tercer escenario la bolsa sufra una corrección (una caída del 10 por ciento o más) o se mantenga oscilando entre valores estables dependerá de una variedad de factores, por ejemplo la confianza de los inversores, las tendencias de crecimiento y la política monetaria. Tampoco se puede descartar alguna clase de estímulo fiscal en EEUU.</w:t>
      </w:r>
    </w:p>
    <w:p w:rsidR="0031673B" w:rsidRPr="005B34D0" w:rsidRDefault="0031673B" w:rsidP="0031673B">
      <w:pPr>
        <w:pStyle w:val="NormalWeb"/>
        <w:spacing w:after="0"/>
        <w:jc w:val="both"/>
        <w:textAlignment w:val="baseline"/>
        <w:rPr>
          <w:u w:val="single"/>
        </w:rPr>
      </w:pPr>
      <w:r>
        <w:rPr>
          <w:u w:val="single"/>
        </w:rPr>
        <w:t>El escenario de “guerra controlada”</w:t>
      </w:r>
      <w:r w:rsidRPr="005B34D0">
        <w:rPr>
          <w:u w:val="single"/>
        </w:rPr>
        <w:t xml:space="preserve"> también tiene ventajas para Xi. El Gobierno chino siempre tiene la opción de proteger su economía con un estímulo monetario, fiscal y crediticio, además de una devaluación de la moneda (por encima de los 7 yuanes por dólar). También puede hacer algunos gestos de represalia, por ejemplo, amenazar con restringir la exportación de tierras raras.</w:t>
      </w:r>
    </w:p>
    <w:p w:rsidR="0031673B" w:rsidRPr="005B34D0" w:rsidRDefault="0031673B" w:rsidP="0031673B">
      <w:pPr>
        <w:pStyle w:val="NormalWeb"/>
        <w:spacing w:after="0"/>
        <w:jc w:val="both"/>
        <w:textAlignment w:val="baseline"/>
        <w:rPr>
          <w:color w:val="FF0000"/>
          <w:u w:val="single"/>
        </w:rPr>
      </w:pPr>
      <w:r w:rsidRPr="005B34D0">
        <w:rPr>
          <w:color w:val="FF0000"/>
          <w:u w:val="single"/>
        </w:rPr>
        <w:t xml:space="preserve">Como China y Estados Unidos saben que les esperan décadas de rivalidad, puede que decidan </w:t>
      </w:r>
      <w:r w:rsidR="007D67F3" w:rsidRPr="005B34D0">
        <w:rPr>
          <w:color w:val="FF0000"/>
          <w:u w:val="single"/>
        </w:rPr>
        <w:t>qué</w:t>
      </w:r>
      <w:r w:rsidRPr="005B34D0">
        <w:rPr>
          <w:color w:val="FF0000"/>
          <w:u w:val="single"/>
        </w:rPr>
        <w:t xml:space="preserve"> es mejor no arriesgarse a un conflicto total y a una recesión global en el corto plazo. Solo una adecuada preparación en el mediano plazo permitirá a las dos potencias manejar una guerra fría prolongada y la desglobalización que será necesaria para proteger sus respectivas cadenas de suministro.</w:t>
      </w:r>
    </w:p>
    <w:p w:rsidR="0031673B" w:rsidRPr="005B34D0" w:rsidRDefault="0031673B" w:rsidP="0031673B">
      <w:pPr>
        <w:pStyle w:val="NormalWeb"/>
        <w:spacing w:after="0"/>
        <w:jc w:val="both"/>
        <w:textAlignment w:val="baseline"/>
        <w:rPr>
          <w:u w:val="single"/>
        </w:rPr>
      </w:pPr>
      <w:r w:rsidRPr="005B34D0">
        <w:rPr>
          <w:u w:val="single"/>
        </w:rPr>
        <w:t>Incluso si estadounidenses y chinos consiguen superar sus diferencias en cuanto a estilos de negociación, Estados Unidos querrá compromisos legislativos de China, y Pekín seguirá considerando que esas demandas son una violación de su soberanía. Los chinos son muy sensibles a cualquier cosa que se parezca a la interferencia imperial que debilitó a China en el siglo XIX. Además, a la par de la escalada retórica del último mes, se intensificó el traslado de las fricciones comerciales al ámbito tecnológico. Antes las dos cuestiones se mantenían formalmente separadas, pero ahora están inextricablemente entrelazadas, lo que dificulta todavía más el logro de una solución. Los chinos no pueden aceptar ningún acuerdo que no salve a Huawei, pero ahora que ésta se ha convertido en moneda de negociación, los halcones en materia de seguridad nacional que hay en la administración Trump y el Congreso obligarán al presidente a ponerse firme con la empresa asiática.</w:t>
      </w:r>
    </w:p>
    <w:p w:rsidR="0031673B" w:rsidRPr="00B044BF" w:rsidRDefault="0031673B" w:rsidP="0031673B">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EF2694">
        <w:rPr>
          <w:rFonts w:ascii="Times New Roman" w:hAnsi="Times New Roman" w:cs="Times New Roman"/>
          <w:sz w:val="24"/>
          <w:szCs w:val="24"/>
        </w:rPr>
        <w:t>¿</w:t>
      </w:r>
      <w:r w:rsidRPr="00EF2694">
        <w:rPr>
          <w:rFonts w:ascii="Times New Roman" w:hAnsi="Times New Roman" w:cs="Times New Roman"/>
          <w:sz w:val="24"/>
          <w:szCs w:val="24"/>
          <w:u w:val="single"/>
        </w:rPr>
        <w:t>Puede sobrevivir el multilateralismo a la rivalidad sino-estadounidense</w:t>
      </w:r>
      <w:r w:rsidRPr="00EF2694">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EF2694">
        <w:rPr>
          <w:rFonts w:ascii="Times New Roman" w:hAnsi="Times New Roman" w:cs="Times New Roman"/>
          <w:b/>
          <w:sz w:val="24"/>
          <w:szCs w:val="24"/>
        </w:rPr>
        <w:t>8/7/19</w:t>
      </w:r>
      <w:r>
        <w:rPr>
          <w:rFonts w:ascii="Times New Roman" w:hAnsi="Times New Roman" w:cs="Times New Roman"/>
          <w:sz w:val="24"/>
          <w:szCs w:val="24"/>
        </w:rPr>
        <w:t xml:space="preserve">) </w:t>
      </w:r>
    </w:p>
    <w:p w:rsidR="0031673B" w:rsidRPr="001B0B38" w:rsidRDefault="0031673B" w:rsidP="0031673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Oxford.-</w:t>
      </w:r>
      <w:r w:rsidRPr="001B0B38">
        <w:rPr>
          <w:rFonts w:ascii="Times New Roman" w:hAnsi="Times New Roman" w:cs="Times New Roman"/>
          <w:sz w:val="24"/>
          <w:szCs w:val="24"/>
          <w:u w:val="single"/>
        </w:rPr>
        <w:t>La rivalidad estratégica entre Estados Unidos y China plantea un fuerte desafío a las organizaciones internacionales, que están hoy en riesgo de convertirse en meros peones de una de ellas. Está por verse si las instituciones multilaterales pueden conservar un papel en la facilitación de una cooperación internacional que desesperadamente se necesita.</w:t>
      </w:r>
    </w:p>
    <w:p w:rsidR="0031673B" w:rsidRPr="001B0B38" w:rsidRDefault="0031673B" w:rsidP="0031673B">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 xml:space="preserve">El conflicto sino-estadounidense ya está reemplazando las reglas acordadas mundialmente, con el ejercicio de la fuerza pura y dura a medida que cada uno lucha por el acceso a recursos y mercados. Estados Unidos ha optado por abandonar acuerdos comerciales de larga trayectoria en favor de medidas impuestas unilateralmente. China está formando su propia </w:t>
      </w:r>
      <w:r w:rsidRPr="001B0B38">
        <w:rPr>
          <w:rFonts w:ascii="Times New Roman" w:hAnsi="Times New Roman" w:cs="Times New Roman"/>
          <w:color w:val="FF0000"/>
          <w:sz w:val="24"/>
          <w:szCs w:val="24"/>
          <w:u w:val="single"/>
        </w:rPr>
        <w:lastRenderedPageBreak/>
        <w:t>esfera económica y geoestratégica mediante asociaciones bilaterales y paquetes de ayuda, comercio e inversiones bajo su Iniciativa trasnacional de la Ruta de la Seda (BRI).</w:t>
      </w:r>
    </w:p>
    <w:p w:rsidR="0031673B" w:rsidRPr="00EF2694" w:rsidRDefault="0031673B" w:rsidP="0031673B">
      <w:pPr>
        <w:spacing w:line="240" w:lineRule="auto"/>
        <w:jc w:val="both"/>
        <w:rPr>
          <w:rFonts w:ascii="Times New Roman" w:hAnsi="Times New Roman" w:cs="Times New Roman"/>
          <w:sz w:val="24"/>
          <w:szCs w:val="24"/>
        </w:rPr>
      </w:pPr>
      <w:r w:rsidRPr="001B0B38">
        <w:rPr>
          <w:rFonts w:ascii="Times New Roman" w:hAnsi="Times New Roman" w:cs="Times New Roman"/>
          <w:sz w:val="24"/>
          <w:szCs w:val="24"/>
          <w:u w:val="single"/>
        </w:rPr>
        <w:t>Los dos rivales también compiten por el control de las nuevas tecnologías y los datos que las hacen posibles. De las 20 principales empresas tecnológicas del mundo, nueve son chinas y 11 estadounidenses. Por el lado chino, las gigantes tecnológicas disfrutan del acceso a una inmensidad de datos</w:t>
      </w:r>
      <w:r w:rsidRPr="00EF2694">
        <w:rPr>
          <w:rFonts w:ascii="Times New Roman" w:hAnsi="Times New Roman" w:cs="Times New Roman"/>
          <w:sz w:val="24"/>
          <w:szCs w:val="24"/>
        </w:rPr>
        <w:t>, ya que cuentan con el respaldo de un gobierno que los reúne con fines de vigilancia y para crear un sistema de crédito social. Además, estas compañías están ampliando su alcance y acceso a datos, como se refleja en el acuerdo CloudWalk de China para el desarrollo de software de reconocimiento facial en Zimbabue. Por el lado estadounidense, las grandes tecnológicas reciben el apoyo de cláusulas como el Acuerdo entre Estados Unidos, México y Canadá (USMCA) que exigen el flujo de datos libre y sin restric</w:t>
      </w:r>
      <w:r>
        <w:rPr>
          <w:rFonts w:ascii="Times New Roman" w:hAnsi="Times New Roman" w:cs="Times New Roman"/>
          <w:sz w:val="24"/>
          <w:szCs w:val="24"/>
        </w:rPr>
        <w:t>ciones entre estos tres países.</w:t>
      </w:r>
    </w:p>
    <w:p w:rsidR="0031673B" w:rsidRPr="00EF2694" w:rsidRDefault="0031673B" w:rsidP="0031673B">
      <w:pPr>
        <w:spacing w:line="240" w:lineRule="auto"/>
        <w:jc w:val="both"/>
        <w:rPr>
          <w:rFonts w:ascii="Times New Roman" w:hAnsi="Times New Roman" w:cs="Times New Roman"/>
          <w:sz w:val="24"/>
          <w:szCs w:val="24"/>
        </w:rPr>
      </w:pPr>
      <w:r w:rsidRPr="001B0B38">
        <w:rPr>
          <w:rFonts w:ascii="Times New Roman" w:hAnsi="Times New Roman" w:cs="Times New Roman"/>
          <w:color w:val="FF0000"/>
          <w:sz w:val="24"/>
          <w:szCs w:val="24"/>
          <w:u w:val="single"/>
        </w:rPr>
        <w:t>La rivalidad estratégica no es solo una batalla por el control de recursos, acceso a mercados y dominio tecnológico, sino, en términos más generales, el control de las reglas del juego</w:t>
      </w:r>
      <w:r w:rsidRPr="00EF2694">
        <w:rPr>
          <w:rFonts w:ascii="Times New Roman" w:hAnsi="Times New Roman" w:cs="Times New Roman"/>
          <w:sz w:val="24"/>
          <w:szCs w:val="24"/>
        </w:rPr>
        <w:t>. En 2015, cuando China creó el Banco Asiático de Inversiones para Infraestructura como una nueva institución multilateral, Estados Unidos se negó a unirse y presionó a otros países a que no lo hicieran.  Este año, cuando China y Estados Unidos discreparon sobre quién representaría a Vene</w:t>
      </w:r>
      <w:r>
        <w:rPr>
          <w:rFonts w:ascii="Times New Roman" w:hAnsi="Times New Roman" w:cs="Times New Roman"/>
          <w:sz w:val="24"/>
          <w:szCs w:val="24"/>
        </w:rPr>
        <w:t>zuela en la reunión del BID (EEUU</w:t>
      </w:r>
      <w:r w:rsidRPr="00EF2694">
        <w:rPr>
          <w:rFonts w:ascii="Times New Roman" w:hAnsi="Times New Roman" w:cs="Times New Roman"/>
          <w:sz w:val="24"/>
          <w:szCs w:val="24"/>
        </w:rPr>
        <w:t xml:space="preserve"> presionó a China para que aceptara un representante de la oposición al gobierno, y China se negó a hacerlo), la Junta Directiva de la institución en Washington, DC, canceló el encuentro en Chengdu apenas una se</w:t>
      </w:r>
      <w:r>
        <w:rPr>
          <w:rFonts w:ascii="Times New Roman" w:hAnsi="Times New Roman" w:cs="Times New Roman"/>
          <w:sz w:val="24"/>
          <w:szCs w:val="24"/>
        </w:rPr>
        <w:t>mana antes de que se celebrara.</w:t>
      </w:r>
    </w:p>
    <w:p w:rsidR="0031673B" w:rsidRPr="00EF2694" w:rsidRDefault="0031673B" w:rsidP="0031673B">
      <w:pPr>
        <w:spacing w:line="240" w:lineRule="auto"/>
        <w:jc w:val="both"/>
        <w:rPr>
          <w:rFonts w:ascii="Times New Roman" w:hAnsi="Times New Roman" w:cs="Times New Roman"/>
          <w:sz w:val="24"/>
          <w:szCs w:val="24"/>
        </w:rPr>
      </w:pPr>
      <w:r w:rsidRPr="00EF2694">
        <w:rPr>
          <w:rFonts w:ascii="Times New Roman" w:hAnsi="Times New Roman" w:cs="Times New Roman"/>
          <w:sz w:val="24"/>
          <w:szCs w:val="24"/>
        </w:rPr>
        <w:t>Esta no es la primera vez que la rivalidad entre grandes potencias ha amenazado con marginar a las instituciones internacionales. Tras su fundación en 1944, el Banco Mundial pronto se volvió irrelevante para la reconstrucción de Europa. Con la Guerra Fría se elevó la competencia en Europa, lo que llevó a Estados Unidos a impulsar medios más directos como el Plan Marshall. El Banco Mundial quedó relegado a una tarea diferente: prestar diner</w:t>
      </w:r>
      <w:r>
        <w:rPr>
          <w:rFonts w:ascii="Times New Roman" w:hAnsi="Times New Roman" w:cs="Times New Roman"/>
          <w:sz w:val="24"/>
          <w:szCs w:val="24"/>
        </w:rPr>
        <w:t>o a países pobres.</w:t>
      </w:r>
    </w:p>
    <w:p w:rsidR="0031673B" w:rsidRPr="001B0B38" w:rsidRDefault="0031673B" w:rsidP="0031673B">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Algunos comentaristas describen el BRI como el “Plan Marshall de China”. Sin embargo, la rivalidad estratégica difiere de la Guerra Fría en muchos aspectos, partiendo del hecho de que Estados Unidos y China son económicamente inte</w:t>
      </w:r>
      <w:r>
        <w:rPr>
          <w:rFonts w:ascii="Times New Roman" w:hAnsi="Times New Roman" w:cs="Times New Roman"/>
          <w:color w:val="FF0000"/>
          <w:sz w:val="24"/>
          <w:szCs w:val="24"/>
          <w:u w:val="single"/>
        </w:rPr>
        <w:t>rdependientes a un grado que EEUU</w:t>
      </w:r>
      <w:r w:rsidRPr="001B0B38">
        <w:rPr>
          <w:rFonts w:ascii="Times New Roman" w:hAnsi="Times New Roman" w:cs="Times New Roman"/>
          <w:color w:val="FF0000"/>
          <w:sz w:val="24"/>
          <w:szCs w:val="24"/>
          <w:u w:val="single"/>
        </w:rPr>
        <w:t xml:space="preserve"> y la Unión Soviética nunca lo fueron. En todo caso, el principio de una “destrucción mutuamente asegurada” creó su propio tipo de interdependencia, llevando a la cooperación en el control de las armas nucleares a pesar de su intensa rivalidad.</w:t>
      </w:r>
    </w:p>
    <w:p w:rsidR="0031673B" w:rsidRPr="00EF2694" w:rsidRDefault="0031673B" w:rsidP="0031673B">
      <w:pPr>
        <w:spacing w:line="240" w:lineRule="auto"/>
        <w:jc w:val="both"/>
        <w:rPr>
          <w:rFonts w:ascii="Times New Roman" w:hAnsi="Times New Roman" w:cs="Times New Roman"/>
          <w:sz w:val="24"/>
          <w:szCs w:val="24"/>
        </w:rPr>
      </w:pPr>
      <w:r w:rsidRPr="00EF2694">
        <w:rPr>
          <w:rFonts w:ascii="Times New Roman" w:hAnsi="Times New Roman" w:cs="Times New Roman"/>
          <w:sz w:val="24"/>
          <w:szCs w:val="24"/>
        </w:rPr>
        <w:t>Una lección de la Guerra Fría podría cobrar una relevancia particular hoy: los intentos de establecer reglas amplias, como el Acuerdo de Principios Básicos entre el Presidente estadounidense Richard Nixon y el líder soviético Leonid Brezhnev firmado en 1972, demostraron ser menos eficaces que arreglos más estrechos como el Tratado del Estado Austríaco de 1955, que confería neutralidad a Austria, o el acuerdo de 1962 que hizo de Laos un estado neutral. El mismo baremo se puede usar para evaluar el funcionamiento de las organizaciones y los tratados multilaterales formales, que demostraron una mayor eficacia al tratar con riesgos específicos, como el Acuerdo Cuadripartito de Berlín en 1971, el Tratado sobre Misiles Antibalísticos de 1972, la Conversaciones de Limitación de Armas Estratégicas (SALT) y en Acuerdo sobre Incidentes Marinos de 1972. Todos ellos fueron muy disputados, pero cada uno jugó un pape</w:t>
      </w:r>
      <w:r>
        <w:rPr>
          <w:rFonts w:ascii="Times New Roman" w:hAnsi="Times New Roman" w:cs="Times New Roman"/>
          <w:sz w:val="24"/>
          <w:szCs w:val="24"/>
        </w:rPr>
        <w:t>l en el manejo de la rivalidad.</w:t>
      </w:r>
    </w:p>
    <w:p w:rsidR="0031673B" w:rsidRPr="001B0B38" w:rsidRDefault="0031673B" w:rsidP="0031673B">
      <w:pPr>
        <w:spacing w:line="240" w:lineRule="auto"/>
        <w:jc w:val="both"/>
        <w:rPr>
          <w:rFonts w:ascii="Times New Roman" w:hAnsi="Times New Roman" w:cs="Times New Roman"/>
          <w:sz w:val="24"/>
          <w:szCs w:val="24"/>
          <w:u w:val="single"/>
        </w:rPr>
      </w:pPr>
      <w:r w:rsidRPr="001B0B38">
        <w:rPr>
          <w:rFonts w:ascii="Times New Roman" w:hAnsi="Times New Roman" w:cs="Times New Roman"/>
          <w:sz w:val="24"/>
          <w:szCs w:val="24"/>
          <w:u w:val="single"/>
        </w:rPr>
        <w:t xml:space="preserve">En el caso del conflicto sino-estadounidense, el reto es contener la guerra comercial, que tendría efectos devastadores en otros países. Por desgracia, el actual sistema de reglas ya se </w:t>
      </w:r>
      <w:r w:rsidRPr="001B0B38">
        <w:rPr>
          <w:rFonts w:ascii="Times New Roman" w:hAnsi="Times New Roman" w:cs="Times New Roman"/>
          <w:sz w:val="24"/>
          <w:szCs w:val="24"/>
          <w:u w:val="single"/>
        </w:rPr>
        <w:lastRenderedPageBreak/>
        <w:t>está desgastando. El mecanismo de solución de disputas de la Organización Mundial de Comercio está paralizado por la negativa de la administración Trump a permitir nombramientos a su Órgano de Apelación.</w:t>
      </w:r>
    </w:p>
    <w:p w:rsidR="0031673B" w:rsidRPr="001B0B38" w:rsidRDefault="0031673B" w:rsidP="0031673B">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Para salir del impasse serán precisos un pensamiento creativo y, tal vez, una serie de acuerdos más específicos para insuflar vida al sistema. Por ejemplo, los países con disputas comerciales podrían hacer un mejor uso de las consultas bilaterales de 60 días de la OMC para alcanzar una solución por ellos mismos. Los líderes de la OMC podrían ser mucho más osados y creativos a la hora de encontrar maneras de apoyar el comercio basado en reglas. Un antecedente podría ser el inicio de las “fuerzas de paz” de las Naciones Unidas (no mencionadas en la Carta de la ONU) y la ampliación del uso de la oficina de la Secretaría General para avanzar en el logro de la paz en pleno apogeo de la Guerra Fría.</w:t>
      </w:r>
    </w:p>
    <w:p w:rsidR="0031673B" w:rsidRPr="00EF2694" w:rsidRDefault="0031673B" w:rsidP="0031673B">
      <w:pPr>
        <w:spacing w:line="240" w:lineRule="auto"/>
        <w:jc w:val="both"/>
        <w:rPr>
          <w:rFonts w:ascii="Times New Roman" w:hAnsi="Times New Roman" w:cs="Times New Roman"/>
          <w:sz w:val="24"/>
          <w:szCs w:val="24"/>
        </w:rPr>
      </w:pPr>
      <w:r w:rsidRPr="001B0B38">
        <w:rPr>
          <w:rFonts w:ascii="Times New Roman" w:hAnsi="Times New Roman" w:cs="Times New Roman"/>
          <w:sz w:val="24"/>
          <w:szCs w:val="24"/>
          <w:u w:val="single"/>
        </w:rPr>
        <w:t>Otras organizaciones multilaterales también deberán reconsiderar sus estrategias</w:t>
      </w:r>
      <w:r w:rsidRPr="00EF2694">
        <w:rPr>
          <w:rFonts w:ascii="Times New Roman" w:hAnsi="Times New Roman" w:cs="Times New Roman"/>
          <w:sz w:val="24"/>
          <w:szCs w:val="24"/>
        </w:rPr>
        <w:t>. Con independencia de si las grandes potencias se encuentren en conflicto, el mundo necesita desesperadamente mecanismos para facilitar la cooperación en temas tales como el cambio climático, la biodiversidad, la infraestructura transfronteriza y la regulación de las nuevas tecnologías. Las organizaciones internacionales pueden ofrecer un espacio de debate para esos asuntos, permitiendo compartir información y llegar a soluciones comunes. Además, pueden jugar un papel crucial como monitores neutrales de las reglas acordadas previamente, reduciendo la tentación de que algún país pueda hacer trampa o emprender medidas unilaterales de suma cero de las que sol</w:t>
      </w:r>
      <w:r>
        <w:rPr>
          <w:rFonts w:ascii="Times New Roman" w:hAnsi="Times New Roman" w:cs="Times New Roman"/>
          <w:sz w:val="24"/>
          <w:szCs w:val="24"/>
        </w:rPr>
        <w:t>o salen ganadores y perdedores.</w:t>
      </w:r>
    </w:p>
    <w:p w:rsidR="0031673B" w:rsidRPr="00EF2694" w:rsidRDefault="0031673B" w:rsidP="0031673B">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China, EEUU</w:t>
      </w:r>
      <w:r w:rsidRPr="001B0B38">
        <w:rPr>
          <w:rFonts w:ascii="Times New Roman" w:hAnsi="Times New Roman" w:cs="Times New Roman"/>
          <w:sz w:val="24"/>
          <w:szCs w:val="24"/>
          <w:u w:val="single"/>
        </w:rPr>
        <w:t xml:space="preserve"> y el resto del mundo tienen intereses en común en una amplia variedad de temas. Pero para facilitar la cooperación hacia objetivos en común, las organizaciones internacionales se tendrán que renovar. Por ejemplo, el Banco Mundial podría crear nuevos instrumentos para abordar los retos regionales y globales, en lugar de seguir atado a préstamos a países individuales, y podría deshacerse del peso ideológico que impide a ciertos países abrazar su enfoque de Evaluación de las Políticas e Instituciones Nacionales (en inglés)</w:t>
      </w:r>
      <w:r w:rsidRPr="00EF2694">
        <w:rPr>
          <w:rFonts w:ascii="Times New Roman" w:hAnsi="Times New Roman" w:cs="Times New Roman"/>
          <w:sz w:val="24"/>
          <w:szCs w:val="24"/>
        </w:rPr>
        <w:t>. Más que otorgar préstamos a países pobres de modos que amplifican los sesgos de los mayores donantes bilaterales del mundo, el Banco debiera identificar áreas desatendidas y asegurar un equilibrio en la financiación global para el desarrollo. También deberá actualizar su estructura de gobernanza para dar a China y a Estados Unidos una sensación d</w:t>
      </w:r>
      <w:r>
        <w:rPr>
          <w:rFonts w:ascii="Times New Roman" w:hAnsi="Times New Roman" w:cs="Times New Roman"/>
          <w:sz w:val="24"/>
          <w:szCs w:val="24"/>
        </w:rPr>
        <w:t>e involucramiento e influencia.</w:t>
      </w:r>
    </w:p>
    <w:p w:rsidR="0031673B" w:rsidRPr="001B0B38" w:rsidRDefault="0031673B" w:rsidP="0031673B">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Resulta imperativo que la rivalidad sino-estadounidense no haga estallar una guerra. La historia nos enseña las trágicas consecuencias de cuando los líderes definen a sus rivales como enemigos y azuzan los resentimientos nacionales para obtener ganancias políticas personales. En estos momentos, esta tendencia se puede advertir tanto en China como en los Estados Unidos.</w:t>
      </w:r>
    </w:p>
    <w:p w:rsidR="0031673B" w:rsidRPr="00EF2694" w:rsidRDefault="0031673B" w:rsidP="0031673B">
      <w:pPr>
        <w:spacing w:line="240" w:lineRule="auto"/>
        <w:jc w:val="both"/>
        <w:rPr>
          <w:rFonts w:ascii="Times New Roman" w:hAnsi="Times New Roman" w:cs="Times New Roman"/>
          <w:sz w:val="24"/>
          <w:szCs w:val="24"/>
        </w:rPr>
      </w:pPr>
      <w:r w:rsidRPr="00EF2694">
        <w:rPr>
          <w:rFonts w:ascii="Times New Roman" w:hAnsi="Times New Roman" w:cs="Times New Roman"/>
          <w:sz w:val="24"/>
          <w:szCs w:val="24"/>
        </w:rPr>
        <w:t>Para contener la nueva competición estratégica, las potencias rivales, junto con el resto del mundo, deberían imitar el foco de la Guerra Fría en acuerdos específicos con objetivos puntuales, en lugar de intentar crear nuevas reglas de aplicación amplia. Las organizaciones multilaterales como la OMC y el Banco Mundial podrían desempeñar un papel importante para mediar en tales acuerdos, pero solo si sus autoridades respectivas son valientes y creativas, y si cuentan con la venia de los gobiernos que las sostienen.</w:t>
      </w:r>
    </w:p>
    <w:p w:rsidR="0031673B" w:rsidRDefault="0031673B" w:rsidP="0031673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F2694">
        <w:rPr>
          <w:rFonts w:ascii="Times New Roman" w:hAnsi="Times New Roman" w:cs="Times New Roman"/>
          <w:sz w:val="24"/>
          <w:szCs w:val="24"/>
          <w:lang w:val="en-US"/>
        </w:rPr>
        <w:t>Ngaire Woods is Dean of the Blavatnik School of Governm</w:t>
      </w:r>
      <w:r>
        <w:rPr>
          <w:rFonts w:ascii="Times New Roman" w:hAnsi="Times New Roman" w:cs="Times New Roman"/>
          <w:sz w:val="24"/>
          <w:szCs w:val="24"/>
          <w:lang w:val="en-US"/>
        </w:rPr>
        <w:t>ent at the University of Oxford)</w:t>
      </w:r>
    </w:p>
    <w:p w:rsidR="00183AF7" w:rsidRDefault="00183AF7" w:rsidP="0031673B">
      <w:pPr>
        <w:spacing w:line="240" w:lineRule="auto"/>
        <w:jc w:val="both"/>
        <w:rPr>
          <w:rFonts w:ascii="Times New Roman" w:hAnsi="Times New Roman" w:cs="Times New Roman"/>
          <w:sz w:val="24"/>
          <w:szCs w:val="24"/>
          <w:lang w:val="en-US"/>
        </w:rPr>
      </w:pPr>
    </w:p>
    <w:p w:rsidR="0031673B" w:rsidRPr="00B044BF" w:rsidRDefault="0031673B" w:rsidP="0031673B">
      <w:pPr>
        <w:pStyle w:val="NormalWeb"/>
        <w:shd w:val="clear" w:color="auto" w:fill="FFFFFF"/>
        <w:spacing w:after="0"/>
        <w:jc w:val="both"/>
        <w:textAlignment w:val="baseline"/>
        <w:rPr>
          <w:color w:val="FF0000"/>
        </w:rPr>
      </w:pPr>
      <w:r>
        <w:lastRenderedPageBreak/>
        <w:t xml:space="preserve">- </w:t>
      </w:r>
      <w:r w:rsidRPr="006E4E41">
        <w:t>¿</w:t>
      </w:r>
      <w:r w:rsidRPr="006E4E41">
        <w:rPr>
          <w:u w:val="single"/>
        </w:rPr>
        <w:t>Quién ganará el siglo XXI</w:t>
      </w:r>
      <w:r w:rsidRPr="006E4E41">
        <w:t>?</w:t>
      </w:r>
      <w:r>
        <w:t xml:space="preserve"> (Project Syndicate - </w:t>
      </w:r>
      <w:r w:rsidRPr="006E4E41">
        <w:rPr>
          <w:b/>
        </w:rPr>
        <w:t>30/7/19</w:t>
      </w:r>
      <w:r>
        <w:t xml:space="preserve">) </w:t>
      </w:r>
    </w:p>
    <w:p w:rsidR="0031673B" w:rsidRPr="00F21E0C" w:rsidRDefault="0031673B" w:rsidP="0031673B">
      <w:pPr>
        <w:pStyle w:val="NormalWeb"/>
        <w:shd w:val="clear" w:color="auto" w:fill="FFFFFF"/>
        <w:spacing w:after="0"/>
        <w:jc w:val="both"/>
        <w:textAlignment w:val="baseline"/>
        <w:rPr>
          <w:u w:val="single"/>
        </w:rPr>
      </w:pPr>
      <w:r>
        <w:t>Berlín.-</w:t>
      </w:r>
      <w:r w:rsidRPr="00F21E0C">
        <w:rPr>
          <w:u w:val="single"/>
        </w:rPr>
        <w:t>Las dos primeras décadas del siglo XXI están empezando a proyectar una larga sombra sobre el mundo occidental. Ha transcurrido mucho tiempo desde que comenzó el siglo, cuando la gente en todas partes, pero particularmente en Europa, abrazaba de manera indulgente el “fin de la historia”.</w:t>
      </w:r>
    </w:p>
    <w:p w:rsidR="0031673B" w:rsidRPr="00F21E0C" w:rsidRDefault="0031673B" w:rsidP="0031673B">
      <w:pPr>
        <w:pStyle w:val="NormalWeb"/>
        <w:shd w:val="clear" w:color="auto" w:fill="FFFFFF"/>
        <w:spacing w:after="0"/>
        <w:jc w:val="both"/>
        <w:textAlignment w:val="baseline"/>
        <w:rPr>
          <w:color w:val="FF0000"/>
          <w:u w:val="single"/>
        </w:rPr>
      </w:pPr>
      <w:r w:rsidRPr="00F21E0C">
        <w:rPr>
          <w:color w:val="FF0000"/>
          <w:u w:val="single"/>
        </w:rPr>
        <w:t xml:space="preserve">Según esa noción ilusoria, la victoria </w:t>
      </w:r>
      <w:r>
        <w:rPr>
          <w:color w:val="FF0000"/>
          <w:u w:val="single"/>
        </w:rPr>
        <w:t>de Occidente en la Guerra Fría -</w:t>
      </w:r>
      <w:r w:rsidRPr="00F21E0C">
        <w:rPr>
          <w:color w:val="FF0000"/>
          <w:u w:val="single"/>
        </w:rPr>
        <w:t xml:space="preserve">la última de las tres grandes guerras del siglo XX- había dado lugar a un orden mundial para el cual no podía haber alternativas. A partir de entonces, se pensaba, la historia mundial marcharía firmemente hacia la universalización de la democracia y la economía de mercado al estilo occidental. El nuevo siglo simplemente sería una continuación del anterior, con un Occidente triunfante que expandiría su dominio. </w:t>
      </w:r>
    </w:p>
    <w:p w:rsidR="0031673B" w:rsidRPr="00F21E0C" w:rsidRDefault="0031673B" w:rsidP="0031673B">
      <w:pPr>
        <w:pStyle w:val="NormalWeb"/>
        <w:shd w:val="clear" w:color="auto" w:fill="FFFFFF"/>
        <w:spacing w:after="0"/>
        <w:jc w:val="both"/>
        <w:textAlignment w:val="baseline"/>
        <w:rPr>
          <w:color w:val="FF0000"/>
          <w:u w:val="single"/>
        </w:rPr>
      </w:pPr>
      <w:r w:rsidRPr="00F21E0C">
        <w:rPr>
          <w:color w:val="FF0000"/>
          <w:u w:val="single"/>
        </w:rPr>
        <w:t>El mundo hoy es más sabio. La red de alianzas e instituciones que sostenían el predominio de Occidente está demostrando ser un producto del siglo XX, y su futuro actualmente está en duda. El orden global está atravesando un cambio fundamental, en tanto su centro de gravedad gira del Atlántico Norte al Pacífico y al este de Asia. Chi</w:t>
      </w:r>
      <w:r w:rsidR="00732791">
        <w:rPr>
          <w:color w:val="FF0000"/>
          <w:u w:val="single"/>
        </w:rPr>
        <w:t>na está a punto de convertirse -</w:t>
      </w:r>
      <w:r w:rsidRPr="00F21E0C">
        <w:rPr>
          <w:color w:val="FF0000"/>
          <w:u w:val="single"/>
        </w:rPr>
        <w:t xml:space="preserve">económica, tecnológica y políticamente- en una potencia mundial y en el único rival del principal poder hegemónico, Estados Unidos. </w:t>
      </w:r>
    </w:p>
    <w:p w:rsidR="0031673B" w:rsidRPr="00F21E0C" w:rsidRDefault="0031673B" w:rsidP="0031673B">
      <w:pPr>
        <w:pStyle w:val="NormalWeb"/>
        <w:shd w:val="clear" w:color="auto" w:fill="FFFFFF"/>
        <w:spacing w:after="0"/>
        <w:jc w:val="both"/>
        <w:textAlignment w:val="baseline"/>
        <w:rPr>
          <w:u w:val="single"/>
        </w:rPr>
      </w:pPr>
      <w:r w:rsidRPr="00F21E0C">
        <w:rPr>
          <w:color w:val="FF0000"/>
          <w:u w:val="single"/>
        </w:rPr>
        <w:t>Al mismo tiempo, Estados Unidos se están cansando de su papel de liderazgo global</w:t>
      </w:r>
      <w:r w:rsidRPr="006E4E41">
        <w:t>. Empezó a dar un paso atrás durante la presidencia de Barack Obama; pero con Trump aceleró su retiro de manera caótica y peligrosa. La abdicación al liderazgo por parte de Estados Unidos plantea una amenaza para la propia existencia del Occidente transatlántico, que descansa sobre una base de valores e in</w:t>
      </w:r>
      <w:r>
        <w:t>stituciones políticas compartida</w:t>
      </w:r>
      <w:r w:rsidRPr="006E4E41">
        <w:t xml:space="preserve">s. </w:t>
      </w:r>
      <w:r w:rsidRPr="00F21E0C">
        <w:rPr>
          <w:u w:val="single"/>
        </w:rPr>
        <w:t>A falta de alternativas razonables, la estructura se está desmoronando.</w:t>
      </w:r>
    </w:p>
    <w:p w:rsidR="0031673B" w:rsidRPr="006E4E41" w:rsidRDefault="0031673B" w:rsidP="0031673B">
      <w:pPr>
        <w:pStyle w:val="NormalWeb"/>
        <w:shd w:val="clear" w:color="auto" w:fill="FFFFFF"/>
        <w:spacing w:after="0"/>
        <w:jc w:val="both"/>
        <w:textAlignment w:val="baseline"/>
      </w:pPr>
      <w:r w:rsidRPr="00F21E0C">
        <w:rPr>
          <w:color w:val="FF0000"/>
          <w:u w:val="single"/>
        </w:rPr>
        <w:t>Rusia, por su parte, enfrenta el futuro mirando a su pasado del siglo XX. Al igual que la Unión Soviética, apuesta plenamente a las armas nucleares. Sin embargo, en el siglo XXI, el poder no estará determinado por el propio arsenal nuclear, sino por un espectro más amplio de capacidades tecnológicas basadas en la digitalización</w:t>
      </w:r>
      <w:r w:rsidRPr="006E4E41">
        <w:t xml:space="preserve">. </w:t>
      </w:r>
      <w:r w:rsidRPr="00F21E0C">
        <w:rPr>
          <w:b/>
          <w:color w:val="FF0000"/>
          <w:u w:val="single"/>
        </w:rPr>
        <w:t>Quienes no estén a la vanguardia de la inteligencia artificial (IA) y del Big Data inexorablemente se volverán dependientes de otras potencias, que terminarán controlándolos.</w:t>
      </w:r>
      <w:r w:rsidRPr="006E4E41">
        <w:t xml:space="preserve"> Los datos y la soberanía tecnológica, no las ojivas nucleares, determinarán la distribución global del poder y la riqueza en este siglo. Y, en las sociedades abiertas, los mismos factores también decidir</w:t>
      </w:r>
      <w:r>
        <w:t xml:space="preserve">án el futuro de la democracia. </w:t>
      </w:r>
    </w:p>
    <w:p w:rsidR="0031673B" w:rsidRPr="003543C4" w:rsidRDefault="0031673B" w:rsidP="0031673B">
      <w:pPr>
        <w:pStyle w:val="NormalWeb"/>
        <w:shd w:val="clear" w:color="auto" w:fill="FFFFFF"/>
        <w:spacing w:after="0"/>
        <w:jc w:val="both"/>
        <w:textAlignment w:val="baseline"/>
        <w:rPr>
          <w:color w:val="FF0000"/>
          <w:u w:val="single"/>
        </w:rPr>
      </w:pPr>
      <w:r w:rsidRPr="003543C4">
        <w:rPr>
          <w:color w:val="FF0000"/>
          <w:u w:val="single"/>
        </w:rPr>
        <w:t>En cuanto a Europa, el Viejo Continente no ingresó al nuevo siglo de manera óptima. La Unión Europea vivía en la grata ilusión post-histórica de una paz duradera y no supo completar el proyecto de integración (aunque sí logró expandirse hacia el este). El retiro implícito de la garantía de seguridad de Estados Unidos en el gobierno de Trump ha afectado a Europa de manera inesperada.</w:t>
      </w:r>
    </w:p>
    <w:p w:rsidR="0031673B" w:rsidRPr="003543C4" w:rsidRDefault="0031673B" w:rsidP="0031673B">
      <w:pPr>
        <w:pStyle w:val="NormalWeb"/>
        <w:shd w:val="clear" w:color="auto" w:fill="FFFFFF"/>
        <w:spacing w:after="0"/>
        <w:jc w:val="both"/>
        <w:textAlignment w:val="baseline"/>
        <w:rPr>
          <w:color w:val="FF0000"/>
          <w:u w:val="single"/>
        </w:rPr>
      </w:pPr>
      <w:r w:rsidRPr="003543C4">
        <w:rPr>
          <w:color w:val="FF0000"/>
          <w:u w:val="single"/>
        </w:rPr>
        <w:t>Lo mismo puede decirse de la revolución digital. La pri</w:t>
      </w:r>
      <w:r w:rsidR="00732791">
        <w:rPr>
          <w:color w:val="FF0000"/>
          <w:u w:val="single"/>
        </w:rPr>
        <w:t>mera fase de la digitalización -</w:t>
      </w:r>
      <w:r w:rsidRPr="003543C4">
        <w:rPr>
          <w:color w:val="FF0000"/>
          <w:u w:val="single"/>
        </w:rPr>
        <w:t xml:space="preserve">las plataformas de trato directo con los consumidores- ha estado liderada casi por completo por Estados Unidos y China. No existen plataformas europeas competitivas dignas de mencionar, ni hay empresas de computación en nube europeas capaces de estar a la altura de los gigantes de Silicon Valley y China. </w:t>
      </w:r>
    </w:p>
    <w:p w:rsidR="0031673B" w:rsidRPr="003543C4" w:rsidRDefault="0031673B" w:rsidP="0031673B">
      <w:pPr>
        <w:pStyle w:val="NormalWeb"/>
        <w:shd w:val="clear" w:color="auto" w:fill="FFFFFF"/>
        <w:spacing w:after="0"/>
        <w:jc w:val="both"/>
        <w:textAlignment w:val="baseline"/>
        <w:rPr>
          <w:b/>
          <w:color w:val="FF0000"/>
          <w:u w:val="single"/>
        </w:rPr>
      </w:pPr>
      <w:r w:rsidRPr="003543C4">
        <w:rPr>
          <w:color w:val="FF0000"/>
          <w:u w:val="single"/>
        </w:rPr>
        <w:lastRenderedPageBreak/>
        <w:t>La cuestión más importante que enfrenta la nueva Comisión Europea, entonces, es la carencia de soberanía digital de Europa. El dominio por parte de Europa de la IA, el Big Data y las tecnologías relacionadas determinará su competitividad general en el siglo XXI</w:t>
      </w:r>
      <w:r w:rsidRPr="006E4E41">
        <w:t xml:space="preserve">. Pero los europeos deben decidir quién será el dueño de los datos necesarios para alcanzar la soberanía digital, y qué condiciones deberían gobernar su recopilación y su uso. </w:t>
      </w:r>
      <w:r w:rsidRPr="003543C4">
        <w:rPr>
          <w:color w:val="FF0000"/>
          <w:u w:val="single"/>
        </w:rPr>
        <w:t>Estas cuestiones determinarán el destino de la democracia en Europa, y si el futuro del Viejo Continente será un futuro de prosperidad o de decadencia.</w:t>
      </w:r>
      <w:r w:rsidRPr="006E4E41">
        <w:t xml:space="preserve"> Así las cosas, deben decidirse a nivel europeo, no a criterio de los estados-naciones individuales. De igual importancia es que estas cuestiones se respondan hoy. </w:t>
      </w:r>
      <w:r w:rsidRPr="003543C4">
        <w:rPr>
          <w:b/>
          <w:color w:val="FF0000"/>
          <w:u w:val="single"/>
        </w:rPr>
        <w:t>Europa necesi</w:t>
      </w:r>
      <w:r>
        <w:rPr>
          <w:b/>
          <w:color w:val="FF0000"/>
          <w:u w:val="single"/>
        </w:rPr>
        <w:t>ta hacer rodar la bola digital -</w:t>
      </w:r>
      <w:r w:rsidRPr="003543C4">
        <w:rPr>
          <w:b/>
          <w:color w:val="FF0000"/>
          <w:u w:val="single"/>
        </w:rPr>
        <w:t>o le pasará por encima.</w:t>
      </w:r>
    </w:p>
    <w:p w:rsidR="0031673B" w:rsidRPr="003543C4" w:rsidRDefault="0031673B" w:rsidP="0031673B">
      <w:pPr>
        <w:pStyle w:val="NormalWeb"/>
        <w:shd w:val="clear" w:color="auto" w:fill="FFFFFF"/>
        <w:spacing w:after="0"/>
        <w:jc w:val="both"/>
        <w:textAlignment w:val="baseline"/>
        <w:rPr>
          <w:b/>
          <w:color w:val="FF0000"/>
          <w:u w:val="single"/>
        </w:rPr>
      </w:pPr>
      <w:r w:rsidRPr="006E4E41">
        <w:t xml:space="preserve">En los próximos años, el diseño y la producción automotriz, la ingeniería mecánica, la medicina, la defensa, la energía y los hogares privados se verán alterados por las tecnologías digitales. Los datos generados desde estos sectores en gran medida serán procesados a través de la nube, lo que significa que </w:t>
      </w:r>
      <w:r w:rsidRPr="003543C4">
        <w:rPr>
          <w:b/>
          <w:color w:val="FF0000"/>
          <w:u w:val="single"/>
        </w:rPr>
        <w:t xml:space="preserve">el control de la nube será vital para el destino económico y estratégico de largo plazo de los países. </w:t>
      </w:r>
    </w:p>
    <w:p w:rsidR="0031673B" w:rsidRPr="003543C4" w:rsidRDefault="0031673B" w:rsidP="0031673B">
      <w:pPr>
        <w:pStyle w:val="NormalWeb"/>
        <w:shd w:val="clear" w:color="auto" w:fill="FFFFFF"/>
        <w:spacing w:after="0"/>
        <w:jc w:val="both"/>
        <w:textAlignment w:val="baseline"/>
        <w:rPr>
          <w:b/>
          <w:color w:val="FF0000"/>
          <w:u w:val="single"/>
        </w:rPr>
      </w:pPr>
      <w:r w:rsidRPr="003543C4">
        <w:rPr>
          <w:b/>
          <w:color w:val="FF0000"/>
          <w:u w:val="single"/>
        </w:rPr>
        <w:t xml:space="preserve">Para salvaguardar su soberanía digital, Europa necesitará hacer enormes inversiones en capacidad de computación en nube y los otros recursos físicos que sustentan la revolución digital. Europa ha sido demasiado lenta e indecisa en este sentido. Su desafío hoy consiste en alcanzar a Estados Unidos y a China, para no quedar rezagada de manera permanente. </w:t>
      </w:r>
    </w:p>
    <w:p w:rsidR="0031673B" w:rsidRPr="003543C4" w:rsidRDefault="0031673B" w:rsidP="0031673B">
      <w:pPr>
        <w:pStyle w:val="NormalWeb"/>
        <w:shd w:val="clear" w:color="auto" w:fill="FFFFFF"/>
        <w:spacing w:after="0"/>
        <w:jc w:val="both"/>
        <w:textAlignment w:val="baseline"/>
        <w:rPr>
          <w:color w:val="FF0000"/>
          <w:u w:val="single"/>
        </w:rPr>
      </w:pPr>
      <w:r w:rsidRPr="003543C4">
        <w:rPr>
          <w:color w:val="FF0000"/>
          <w:u w:val="single"/>
        </w:rPr>
        <w:t>Los europeos no deberían albergar ninguna ilusión de que el sector privado vaya a ocuparse de las cosas por cuenta propia. La desventaja competitiva de Europa exige un cambio fundamental de estrategia al más alto nivel. Las instituciones de la UE tendrán que liderar a la hor</w:t>
      </w:r>
      <w:r w:rsidR="00732791">
        <w:rPr>
          <w:color w:val="FF0000"/>
          <w:u w:val="single"/>
        </w:rPr>
        <w:t xml:space="preserve">a de establecer regulaciones y, </w:t>
      </w:r>
      <w:r w:rsidRPr="003543C4">
        <w:rPr>
          <w:color w:val="FF0000"/>
          <w:u w:val="single"/>
        </w:rPr>
        <w:t xml:space="preserve">junto con los estados miembro, de ofrecer el financiamiento necesario. Pero garantizar la soberanía digital de Europa implicará un esfuerzo mucho mayor, que involucre a las empresas, los investigadores y los políticos. </w:t>
      </w:r>
    </w:p>
    <w:p w:rsidR="0031673B" w:rsidRPr="003543C4" w:rsidRDefault="0031673B" w:rsidP="0031673B">
      <w:pPr>
        <w:pStyle w:val="NormalWeb"/>
        <w:shd w:val="clear" w:color="auto" w:fill="FFFFFF"/>
        <w:spacing w:after="0"/>
        <w:jc w:val="both"/>
        <w:textAlignment w:val="baseline"/>
        <w:rPr>
          <w:color w:val="FF0000"/>
          <w:u w:val="single"/>
        </w:rPr>
      </w:pPr>
      <w:r w:rsidRPr="006E4E41">
        <w:t xml:space="preserve">Luego del reciente quincuagésimo aniversario del primer aterrizaje en la luna, se ha discutido mucho en los medios sobre un potencial vuelo tripulado a Marte. En el caso de Europa, sin embargo, el viaje espacial puede esperar. </w:t>
      </w:r>
      <w:r w:rsidRPr="003543C4">
        <w:rPr>
          <w:color w:val="FF0000"/>
          <w:u w:val="single"/>
        </w:rPr>
        <w:t xml:space="preserve">La principal prioridad debe ser establecer y salvaguardar la soberanía digital, y hacer lo que sea necesario para frenar su propia decadencia y proteger la democracia. Para bien o para mal, el siglo XXI ya están bien avanzado. </w:t>
      </w:r>
    </w:p>
    <w:p w:rsidR="0031673B" w:rsidRDefault="0031673B" w:rsidP="0031673B">
      <w:pPr>
        <w:pStyle w:val="NormalWeb"/>
        <w:shd w:val="clear" w:color="auto" w:fill="FFFFFF"/>
        <w:spacing w:after="0"/>
        <w:jc w:val="both"/>
        <w:textAlignment w:val="baseline"/>
        <w:rPr>
          <w:lang w:val="en-US"/>
        </w:rPr>
      </w:pPr>
      <w:r>
        <w:rPr>
          <w:lang w:val="en-US"/>
        </w:rPr>
        <w:t>(</w:t>
      </w:r>
      <w:r w:rsidRPr="006E4E41">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lang w:val="en-US"/>
        </w:rPr>
        <w:t>h he led for almost two decades)</w:t>
      </w:r>
    </w:p>
    <w:p w:rsidR="0031673B" w:rsidRPr="00B044BF" w:rsidRDefault="0031673B" w:rsidP="0031673B">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C65C7A">
        <w:rPr>
          <w:rFonts w:ascii="Times New Roman" w:hAnsi="Times New Roman" w:cs="Times New Roman"/>
          <w:sz w:val="24"/>
          <w:szCs w:val="24"/>
          <w:u w:val="single"/>
        </w:rPr>
        <w:t>El costo real de las guerras comerciales de Trump</w:t>
      </w:r>
      <w:r>
        <w:rPr>
          <w:rFonts w:ascii="Times New Roman" w:hAnsi="Times New Roman" w:cs="Times New Roman"/>
          <w:sz w:val="24"/>
          <w:szCs w:val="24"/>
        </w:rPr>
        <w:t xml:space="preserve"> (Project Syndicate - </w:t>
      </w:r>
      <w:r w:rsidRPr="00C65C7A">
        <w:rPr>
          <w:rFonts w:ascii="Times New Roman" w:hAnsi="Times New Roman" w:cs="Times New Roman"/>
          <w:b/>
          <w:sz w:val="24"/>
          <w:szCs w:val="24"/>
        </w:rPr>
        <w:t>6/8/19</w:t>
      </w:r>
      <w:r>
        <w:rPr>
          <w:rFonts w:ascii="Times New Roman" w:hAnsi="Times New Roman" w:cs="Times New Roman"/>
          <w:sz w:val="24"/>
          <w:szCs w:val="24"/>
        </w:rPr>
        <w:t xml:space="preserve">) </w:t>
      </w:r>
    </w:p>
    <w:p w:rsidR="0031673B" w:rsidRPr="005619F1" w:rsidRDefault="0031673B" w:rsidP="0031673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5619F1">
        <w:rPr>
          <w:rFonts w:ascii="Times New Roman" w:hAnsi="Times New Roman" w:cs="Times New Roman"/>
          <w:sz w:val="24"/>
          <w:szCs w:val="24"/>
          <w:u w:val="single"/>
        </w:rPr>
        <w:t xml:space="preserve">Al menos por algún tiempo, pareció que las tensiones comerciales entre Estados Unidos y China se habían asentado en un estado de “nueva normalidad”. Después de que ambos países impusieron altos aranceles a buena parte de sus exportaciones respectivas, el presidente estadounidense Donald Trump se abstuvo de continuar la escalada. Pero tras otra ronda infructuosa de negociaciones comerciales bilaterales que tuvo lugar en </w:t>
      </w:r>
      <w:r w:rsidR="007D67F3" w:rsidRPr="005619F1">
        <w:rPr>
          <w:rFonts w:ascii="Times New Roman" w:hAnsi="Times New Roman" w:cs="Times New Roman"/>
          <w:sz w:val="24"/>
          <w:szCs w:val="24"/>
          <w:u w:val="single"/>
        </w:rPr>
        <w:t>Shanghái</w:t>
      </w:r>
      <w:r w:rsidRPr="005619F1">
        <w:rPr>
          <w:rFonts w:ascii="Times New Roman" w:hAnsi="Times New Roman" w:cs="Times New Roman"/>
          <w:sz w:val="24"/>
          <w:szCs w:val="24"/>
          <w:u w:val="single"/>
        </w:rPr>
        <w:t xml:space="preserve"> la </w:t>
      </w:r>
      <w:r w:rsidRPr="005619F1">
        <w:rPr>
          <w:rFonts w:ascii="Times New Roman" w:hAnsi="Times New Roman" w:cs="Times New Roman"/>
          <w:sz w:val="24"/>
          <w:szCs w:val="24"/>
          <w:u w:val="single"/>
        </w:rPr>
        <w:lastRenderedPageBreak/>
        <w:t>semana pasada, Trump anunció que a partir del 1 de septiembre, Estados Unidos impondrá un arancel del 10% a otros 300 000 millones de dólares de productos chinos.</w:t>
      </w:r>
    </w:p>
    <w:p w:rsidR="0031673B" w:rsidRPr="005619F1" w:rsidRDefault="0031673B" w:rsidP="0031673B">
      <w:pPr>
        <w:spacing w:line="240" w:lineRule="auto"/>
        <w:jc w:val="both"/>
        <w:rPr>
          <w:rFonts w:ascii="Times New Roman" w:hAnsi="Times New Roman" w:cs="Times New Roman"/>
          <w:sz w:val="24"/>
          <w:szCs w:val="24"/>
          <w:u w:val="single"/>
        </w:rPr>
      </w:pPr>
      <w:r w:rsidRPr="00C65C7A">
        <w:rPr>
          <w:rFonts w:ascii="Times New Roman" w:hAnsi="Times New Roman" w:cs="Times New Roman"/>
          <w:sz w:val="24"/>
          <w:szCs w:val="24"/>
        </w:rPr>
        <w:t xml:space="preserve">Si esta nueva medida entra en vigor, casi todas las importaciones estadounidenses desde China estarán aranceladas. (Estados Unidos ya cobra un arancel del 25% a 250 000 millones de dólares de importaciones desde China.) </w:t>
      </w:r>
      <w:r w:rsidRPr="005619F1">
        <w:rPr>
          <w:rFonts w:ascii="Times New Roman" w:hAnsi="Times New Roman" w:cs="Times New Roman"/>
          <w:sz w:val="24"/>
          <w:szCs w:val="24"/>
          <w:u w:val="single"/>
        </w:rPr>
        <w:t>Si bien en esta guerra comercial Estados Unidos también aplicó medidas no arancelarias, el componente más visible de la disputa son los aranceles recíprocos, y es probable que perjudiquen a Estados Unidos más que a China.</w:t>
      </w:r>
    </w:p>
    <w:p w:rsidR="0031673B" w:rsidRPr="005619F1" w:rsidRDefault="0031673B" w:rsidP="0031673B">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 xml:space="preserve">Un modo de comparar la restrictividad de las políticas comerciales de los países es calcular el promedio de aranceles que aplican. En el caso de Estados Unidos, el resultado parece bastante tranquilizador: antes de asumir Trump el cargo, el promedio de aranceles estadounidenses a las importaciones industriales rondaba el 2%, un poco menos que el de China. </w:t>
      </w:r>
    </w:p>
    <w:p w:rsidR="0031673B" w:rsidRPr="005619F1" w:rsidRDefault="0031673B" w:rsidP="0031673B">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Incluso bajo Trump, esta cifra no aumentó tanto (hasta ahora). Las importaciones procedentes de China equivalen a cerca de la cuarta parte del total de lo que importa Estados Unidos, y el arancel del 25% afecta a más o menos la mitad de los productos chinos. Es decir que el arancel estadounidense promedio sólo creció unos tres puntos porcentuales, a alrededor del 5%, cifra que no parece excesiva.</w:t>
      </w:r>
    </w:p>
    <w:p w:rsidR="0031673B" w:rsidRPr="005619F1" w:rsidRDefault="0031673B" w:rsidP="0031673B">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sz w:val="24"/>
          <w:szCs w:val="24"/>
          <w:u w:val="single"/>
        </w:rPr>
        <w:t>Pero el arancel promedio es un indicador engañoso. La teoría económica sugiere que los aranceles tienen efectos negativos desproporcionados sobre el bienestar de consumidores y productores</w:t>
      </w:r>
      <w:r w:rsidRPr="00C65C7A">
        <w:rPr>
          <w:rFonts w:ascii="Times New Roman" w:hAnsi="Times New Roman" w:cs="Times New Roman"/>
          <w:sz w:val="24"/>
          <w:szCs w:val="24"/>
        </w:rPr>
        <w:t xml:space="preserve">. Por ejemplo, </w:t>
      </w:r>
      <w:r w:rsidRPr="005619F1">
        <w:rPr>
          <w:rFonts w:ascii="Times New Roman" w:hAnsi="Times New Roman" w:cs="Times New Roman"/>
          <w:color w:val="FF0000"/>
          <w:sz w:val="24"/>
          <w:szCs w:val="24"/>
          <w:u w:val="single"/>
        </w:rPr>
        <w:t>duplicar un arancel aumenta la pérdida de bienestar a más del doble. De modo que un arancel del 25% sobre una fracción del comercio internacional de un país es mucho más grave que un arancel promedio del 3%.</w:t>
      </w:r>
    </w:p>
    <w:p w:rsidR="0031673B" w:rsidRPr="005619F1" w:rsidRDefault="0031673B" w:rsidP="0031673B">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Muchos países aplican aranceles altos a la importación de determinados productos; una tasa superior al 15% suele considerarse elevada. En la mayoría de los países industrializados esta tasa máxima se aplica a menos del 1% del total de las importaciones, pero en Estados Unidos la proporción es mucho mayor.</w:t>
      </w:r>
    </w:p>
    <w:p w:rsidR="0031673B" w:rsidRPr="005619F1" w:rsidRDefault="0031673B" w:rsidP="0031673B">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Además, los aranceles de Trump discriminan a China: el del 25% sólo lo pagan los productores chinos, no sus competidores europeos, latinoamericanos o asiáticos. Este arancel selectivo equivale a cobrar un arancel general a todas las importaciones y al mismo tiempo ofrecer un subsidio a productores competidores fuera de China, subsidio que pagan los consumidores estadounidenses en la forma de precios más altos.</w:t>
      </w:r>
    </w:p>
    <w:p w:rsidR="0031673B" w:rsidRPr="005619F1" w:rsidRDefault="0031673B" w:rsidP="0031673B">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Como los productores fuera de China pueden subir sus precios hasta un 25% y seguir siendo competitivos en Estados Unidos, es de esperar un aumento de precios al consumidor para una amplia variedad de bienes en el mercado estadounidense. De modo que el efecto indirecto de los aranceles de Trump contra China sobre los precios al consumidor puede ser mucho mayor que el indicado por una estimación reciente que habla de un impacto directo de apenas un 0,1%. Estos perjuicios indirectos de la aplicación selectiva de aranceles son la principal razón de que se haya adoptado como elemento fundamental del sistema global de comercio el principio de “nación más favorecida”.</w:t>
      </w:r>
    </w:p>
    <w:p w:rsidR="0031673B" w:rsidRPr="00C65C7A" w:rsidRDefault="0031673B" w:rsidP="0031673B">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Además, estudios preliminares sugieren que los productores chinos no han reducido significativamente los precios en respuesta a los aranceles de Trump. E incluso si lo hicieran, el pequeño beneficio de ese abaratamiento para los consumidores estadounidenses sería superado con creces por el encarecimiento de otras importaciones competidoras redirigidas al mercado estadounidense por los aranc</w:t>
      </w:r>
      <w:r>
        <w:rPr>
          <w:rFonts w:ascii="Times New Roman" w:hAnsi="Times New Roman" w:cs="Times New Roman"/>
          <w:sz w:val="24"/>
          <w:szCs w:val="24"/>
        </w:rPr>
        <w:t>eles discriminatorios de Trump.</w:t>
      </w:r>
    </w:p>
    <w:p w:rsidR="0031673B" w:rsidRPr="005619F1" w:rsidRDefault="0031673B" w:rsidP="0031673B">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lastRenderedPageBreak/>
        <w:t>Si bien China ya impuso un arancel recíproco del 25% a muchas de las exportaciones estadounidenses, es probable que el impacto negativo sobre su economía sea limitado, porque Estados Unidos provee menos de la décima parte de las importaciones chinas. De modo que las represalias arancelarias de China no inciden en gran medida en su economía. Y a esto se suma que China redujo los aranceles a sus importaciones desde el resto del mundo.</w:t>
      </w:r>
    </w:p>
    <w:p w:rsidR="0031673B" w:rsidRPr="00C65C7A" w:rsidRDefault="0031673B" w:rsidP="0031673B">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Además, una gran parte de las importaciones chinas desde Estados Unidos consiste en commodities agrícolas, por ejemplo soja, que el país puede importar a precio similar desde Brasil si fuera necesario. Es de suponer que entonces Estados Unidos exportaría más soja a mercados antes atendidos por productores brasileños, incluida Europa. (Esto reduciría el déficit comercial estadounidense con Europa y puede aliviar la presión de Washington sobre la Unión Europea en tal sentido.)</w:t>
      </w:r>
    </w:p>
    <w:p w:rsidR="0031673B" w:rsidRPr="005619F1" w:rsidRDefault="0031673B" w:rsidP="0031673B">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 xml:space="preserve">Como parte de su agresiva política comercial hacia China, Estados Unidos también apeló a un incremento de medidas no arancelarias. El caso más notable es la megatecnológica china Huawei, a la que Trump incluyó en una lista de entidades que tienen vedada la compra de componentes estadounidenses. Es verdad que después dijo que en lo inmediato los proveedores estadounidenses podrán seguir vendiéndole a Huawei (solicitando para ello licencia). Pero a partir de ahora, las tecnológicas estadounidenses lo pensarán muy bien antes de firmar contratos a largo plazo con Huawei u otras empresas chinas importantes en riesgo de que se las incluya en la “lista de entidades”. </w:t>
      </w:r>
    </w:p>
    <w:p w:rsidR="0031673B" w:rsidRPr="00C65C7A" w:rsidRDefault="0031673B" w:rsidP="0031673B">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Al mismo tiempo, el gobierno de China y sus empresas redoblarán esfuerzos para independizarse de Estados Unidos en la compra de componentes tecnológicos clave. La mera amenaza de la lista de entidades actuará de ahora en adelante como una importante barrera oculta al comercio bilateral. Y como esta barrera también es discriminatoria (sólo afecta a China), tendrá los mismos altos costo</w:t>
      </w:r>
      <w:r>
        <w:rPr>
          <w:rFonts w:ascii="Times New Roman" w:hAnsi="Times New Roman" w:cs="Times New Roman"/>
          <w:sz w:val="24"/>
          <w:szCs w:val="24"/>
        </w:rPr>
        <w:t>s que los aranceles selectivos.</w:t>
      </w:r>
    </w:p>
    <w:p w:rsidR="0031673B" w:rsidRPr="001E5DFB" w:rsidRDefault="0031673B" w:rsidP="0031673B">
      <w:pPr>
        <w:spacing w:line="240" w:lineRule="auto"/>
        <w:jc w:val="both"/>
        <w:rPr>
          <w:rFonts w:ascii="Times New Roman" w:hAnsi="Times New Roman" w:cs="Times New Roman"/>
          <w:color w:val="FF0000"/>
          <w:sz w:val="24"/>
          <w:szCs w:val="24"/>
          <w:u w:val="single"/>
        </w:rPr>
      </w:pPr>
      <w:r w:rsidRPr="001E5DFB">
        <w:rPr>
          <w:rFonts w:ascii="Times New Roman" w:hAnsi="Times New Roman" w:cs="Times New Roman"/>
          <w:color w:val="FF0000"/>
          <w:sz w:val="24"/>
          <w:szCs w:val="24"/>
          <w:u w:val="single"/>
        </w:rPr>
        <w:t>El análisis económico sugiere que es imposible ganar una guerra comercial bilateral en un mundo interconectado. Con su última andanada de aranceles contra China, Trump redobló la apuesta, en una disputa cada vez más nociva. Y es probable que al final, el mayor perdedor termine siendo Estados Unidos.</w:t>
      </w:r>
    </w:p>
    <w:p w:rsidR="0031673B" w:rsidRDefault="0031673B" w:rsidP="0031673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65C7A">
        <w:rPr>
          <w:rFonts w:ascii="Times New Roman" w:hAnsi="Times New Roman" w:cs="Times New Roman"/>
          <w:sz w:val="24"/>
          <w:szCs w:val="24"/>
          <w:lang w:val="en-US"/>
        </w:rPr>
        <w:t>Daniel Gros is Director of the Cen</w:t>
      </w:r>
      <w:r>
        <w:rPr>
          <w:rFonts w:ascii="Times New Roman" w:hAnsi="Times New Roman" w:cs="Times New Roman"/>
          <w:sz w:val="24"/>
          <w:szCs w:val="24"/>
          <w:lang w:val="en-US"/>
        </w:rPr>
        <w:t>tre for European Policy Studies)</w:t>
      </w:r>
    </w:p>
    <w:p w:rsidR="00183AF7" w:rsidRPr="00953CB7" w:rsidRDefault="00183AF7" w:rsidP="00183AF7">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556058">
        <w:rPr>
          <w:rFonts w:ascii="Times New Roman" w:hAnsi="Times New Roman" w:cs="Times New Roman"/>
          <w:sz w:val="24"/>
          <w:szCs w:val="24"/>
          <w:u w:val="single"/>
        </w:rPr>
        <w:t>Estados Unidos, una superpotencia en pánico</w:t>
      </w:r>
      <w:r>
        <w:rPr>
          <w:rFonts w:ascii="Times New Roman" w:hAnsi="Times New Roman" w:cs="Times New Roman"/>
          <w:sz w:val="24"/>
          <w:szCs w:val="24"/>
        </w:rPr>
        <w:t xml:space="preserve"> (Project Syndicate - </w:t>
      </w:r>
      <w:r w:rsidRPr="00556058">
        <w:rPr>
          <w:rFonts w:ascii="Times New Roman" w:hAnsi="Times New Roman" w:cs="Times New Roman"/>
          <w:b/>
          <w:sz w:val="24"/>
          <w:szCs w:val="24"/>
        </w:rPr>
        <w:t>12/8/19</w:t>
      </w:r>
      <w:r>
        <w:rPr>
          <w:rFonts w:ascii="Times New Roman" w:hAnsi="Times New Roman" w:cs="Times New Roman"/>
          <w:sz w:val="24"/>
          <w:szCs w:val="24"/>
        </w:rPr>
        <w:t xml:space="preserve">) </w:t>
      </w:r>
    </w:p>
    <w:p w:rsidR="00183AF7" w:rsidRPr="00A14901" w:rsidRDefault="00183AF7" w:rsidP="00183AF7">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Berkeley.-</w:t>
      </w:r>
      <w:r w:rsidRPr="00A14901">
        <w:rPr>
          <w:rFonts w:ascii="Times New Roman" w:hAnsi="Times New Roman" w:cs="Times New Roman"/>
          <w:color w:val="FF0000"/>
          <w:sz w:val="24"/>
          <w:szCs w:val="24"/>
          <w:u w:val="single"/>
        </w:rPr>
        <w:t>A las superpotencias globales siempre les costó reconocer su decadencia relativa y lidiar con retadores en ascenso. Hoy Estados Unidos se halla en esa situación con China. Hace un siglo y medio, la Gran Bretaña imperial enfrentó una competencia similar de Estados Unidos. Y en el siglo XVII, la República Holandesa fue la superpotencia e Inglaterra el retador.</w:t>
      </w:r>
    </w:p>
    <w:p w:rsidR="00183AF7" w:rsidRPr="00A14901" w:rsidRDefault="00183AF7" w:rsidP="00183AF7">
      <w:pPr>
        <w:spacing w:line="240" w:lineRule="auto"/>
        <w:jc w:val="both"/>
        <w:rPr>
          <w:rFonts w:ascii="Times New Roman" w:hAnsi="Times New Roman" w:cs="Times New Roman"/>
          <w:sz w:val="24"/>
          <w:szCs w:val="24"/>
          <w:u w:val="single"/>
        </w:rPr>
      </w:pPr>
      <w:r w:rsidRPr="00A14901">
        <w:rPr>
          <w:rFonts w:ascii="Times New Roman" w:hAnsi="Times New Roman" w:cs="Times New Roman"/>
          <w:color w:val="FF0000"/>
          <w:sz w:val="24"/>
          <w:szCs w:val="24"/>
          <w:u w:val="single"/>
        </w:rPr>
        <w:t>La historia sugiere que la superpotencia global debe intentar un aterrizaje suave, lo cual incluye trabajar con su sucesor probable para asegurarse un lugar cómodo en el mundo una vez terminado su dominio</w:t>
      </w:r>
      <w:r w:rsidRPr="00556058">
        <w:rPr>
          <w:rFonts w:ascii="Times New Roman" w:hAnsi="Times New Roman" w:cs="Times New Roman"/>
          <w:sz w:val="24"/>
          <w:szCs w:val="24"/>
        </w:rPr>
        <w:t xml:space="preserve">. </w:t>
      </w:r>
      <w:r w:rsidRPr="00A14901">
        <w:rPr>
          <w:rFonts w:ascii="Times New Roman" w:hAnsi="Times New Roman" w:cs="Times New Roman"/>
          <w:sz w:val="24"/>
          <w:szCs w:val="24"/>
          <w:u w:val="single"/>
        </w:rPr>
        <w:t>Lamentablemente, el presidente estadounidense Donald Trump no es historiador. Y su estrategia incoherente y confrontativa de cara a China puede perjudicar seriamente los intereses de Estados Unidos a largo plazo.</w:t>
      </w:r>
    </w:p>
    <w:p w:rsidR="00183AF7" w:rsidRPr="00A14901" w:rsidRDefault="00183AF7" w:rsidP="00183AF7">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t>Como antes Gran Bretaña y la República Holandesa, hoy Estados Unidos es la potencia militar dominante, y su alcance es global. Tiene algunas de las industrias más productivas del mundo, y domina el comercio internacional y las finanzas.</w:t>
      </w:r>
    </w:p>
    <w:p w:rsidR="00183AF7" w:rsidRPr="00A14901" w:rsidRDefault="00183AF7" w:rsidP="00183AF7">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lastRenderedPageBreak/>
        <w:t>Pero, igual que sus predecesoras, Estados Unidos ahora tiene frente a sí una potencia en ascenso: un país confiado y ambicioso con una población más grande, hambriento de riqueza y predominio global, convencido de tener el destino manifiesto de suplantar a la potencia hegemónica actual. Y a menos que pase algo extraordinario, la continuidad del ascenso del retador está prácticamente garantizada.</w:t>
      </w:r>
    </w:p>
    <w:p w:rsidR="00183AF7" w:rsidRPr="00A14901" w:rsidRDefault="00183AF7" w:rsidP="00183AF7">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Inevitablemente, surgirán conflictos. La potencia en alza quiere más acceso a los mercados y a la propiedad intelectual que el que está dispuesta a proveer la potencia establecida. Y lo que la potencia establecida no conceda, el retador tratará de tomarlo por sus propios medios. Además, la superpotencia en ascenso quiere un grado de influencia en los organismos internacionales que se corresponda con el poder fundamental que tendrá dentro de una generación, no con el que tiene ahora.</w:t>
      </w:r>
    </w:p>
    <w:p w:rsidR="00183AF7" w:rsidRPr="00A14901" w:rsidRDefault="00183AF7" w:rsidP="00183AF7">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Son desacuerdos legítimos, y las dos potencias tendrán que manejarlos promoviendo y defendiendo sus respectivos intereses. Pero estas tensiones no sobrepasan el interés compartido de ambos países en la paz y en la prosperidad.</w:t>
      </w:r>
    </w:p>
    <w:p w:rsidR="00183AF7" w:rsidRPr="00556058" w:rsidRDefault="00183AF7" w:rsidP="00183AF7">
      <w:pPr>
        <w:spacing w:line="240" w:lineRule="auto"/>
        <w:jc w:val="both"/>
        <w:rPr>
          <w:rFonts w:ascii="Times New Roman" w:hAnsi="Times New Roman" w:cs="Times New Roman"/>
          <w:sz w:val="24"/>
          <w:szCs w:val="24"/>
        </w:rPr>
      </w:pPr>
      <w:r w:rsidRPr="00556058">
        <w:rPr>
          <w:rFonts w:ascii="Times New Roman" w:hAnsi="Times New Roman" w:cs="Times New Roman"/>
          <w:sz w:val="24"/>
          <w:szCs w:val="24"/>
        </w:rPr>
        <w:t>¿Qué debe hacer entonces la p</w:t>
      </w:r>
      <w:r>
        <w:rPr>
          <w:rFonts w:ascii="Times New Roman" w:hAnsi="Times New Roman" w:cs="Times New Roman"/>
          <w:sz w:val="24"/>
          <w:szCs w:val="24"/>
        </w:rPr>
        <w:t>otencia hegemónica establecida?</w:t>
      </w:r>
    </w:p>
    <w:p w:rsidR="00183AF7" w:rsidRPr="00A14901" w:rsidRDefault="00183AF7" w:rsidP="00183AF7">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t>En el caso angloholandés, ambos países protagonizaron en el siglo XVII una serie de escaramuzas comerciales y guerras navales, lo que llevó a que en inglés haya una cantidad notablemente grande de expresiones despectivas donde “holandés” es sinónimo de falso. Por ejemplo: apuesta holandesa (amañada), concierto holandés (disonante), coraje holandés (el del borracho), despedida holandesa (irse sin despedirse), metal holandés (oro falso), ruiseñor holandés (sapo) y cuenta holandesa (falsa y exorbitante).</w:t>
      </w:r>
      <w:r w:rsidRPr="00A14901">
        <w:rPr>
          <w:rFonts w:ascii="Times New Roman" w:hAnsi="Times New Roman" w:cs="Times New Roman"/>
          <w:sz w:val="24"/>
          <w:szCs w:val="24"/>
          <w:u w:val="single"/>
        </w:rPr>
        <w:t xml:space="preserve">A la larga, las fortalezas fundamentales de Gran Bretaña resultaron decisivas, y el país se convirtió en una potencia global. Pero </w:t>
      </w:r>
      <w:r w:rsidRPr="00A14901">
        <w:rPr>
          <w:rFonts w:ascii="Times New Roman" w:hAnsi="Times New Roman" w:cs="Times New Roman"/>
          <w:color w:val="FF0000"/>
          <w:sz w:val="24"/>
          <w:szCs w:val="24"/>
          <w:u w:val="single"/>
        </w:rPr>
        <w:t>los holandeses crearon un mundo donde en general se hallaron cómodos mucho después del final de su predominio.</w:t>
      </w:r>
    </w:p>
    <w:p w:rsidR="00183AF7" w:rsidRPr="00A14901" w:rsidRDefault="00183AF7" w:rsidP="00183AF7">
      <w:pPr>
        <w:spacing w:line="240" w:lineRule="auto"/>
        <w:jc w:val="both"/>
        <w:rPr>
          <w:rFonts w:ascii="Times New Roman" w:hAnsi="Times New Roman" w:cs="Times New Roman"/>
          <w:sz w:val="24"/>
          <w:szCs w:val="24"/>
          <w:u w:val="single"/>
        </w:rPr>
      </w:pPr>
      <w:r w:rsidRPr="00A14901">
        <w:rPr>
          <w:rFonts w:ascii="Times New Roman" w:hAnsi="Times New Roman" w:cs="Times New Roman"/>
          <w:color w:val="FF0000"/>
          <w:sz w:val="24"/>
          <w:szCs w:val="24"/>
          <w:u w:val="single"/>
        </w:rPr>
        <w:t>Un factor crucial en esta transición fue que Holanda pasó de oponerse a Gran Bretaña a colaborar con ella</w:t>
      </w:r>
      <w:r w:rsidRPr="00556058">
        <w:rPr>
          <w:rFonts w:ascii="Times New Roman" w:hAnsi="Times New Roman" w:cs="Times New Roman"/>
          <w:sz w:val="24"/>
          <w:szCs w:val="24"/>
        </w:rPr>
        <w:t xml:space="preserve">. </w:t>
      </w:r>
      <w:r w:rsidRPr="00A14901">
        <w:rPr>
          <w:rFonts w:ascii="Times New Roman" w:hAnsi="Times New Roman" w:cs="Times New Roman"/>
          <w:sz w:val="24"/>
          <w:szCs w:val="24"/>
          <w:u w:val="single"/>
        </w:rPr>
        <w:t>El 24 de octubre de 1688, un cambio de viento permitió a la flota holandesa zarpar para acudir en defensa de la facción aristocrática de los whigs en Inglaterra, lo que puso fin a la dinastía absolutista de los Estuardo. A partir de entonces, los intereses conjuntos de ambas potencias en lo referido a gobierno limitado, prosperidad mercantil y anticatolicismo formaron la base de una alianza duradera en la que los holandeses eran el socio menor. O como decía sin rodeos un eslogan viral del siglo XVIII: “ni papado, ni zapatos de madera” (lo segundo, símbolo en aquel momento de la pobreza francesa). Y con el respaldo británico, los holandeses siguieron siendo independientes, en vez de caer contra su voluntad bajo control francés.</w:t>
      </w:r>
    </w:p>
    <w:p w:rsidR="00183AF7" w:rsidRPr="00A14901" w:rsidRDefault="00183AF7" w:rsidP="00183AF7">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t>Más de un siglo después, la Gran Bretaña imperial terminó adoptando una estrategia similar de diálogo y cooperación con Estados Unidos</w:t>
      </w:r>
      <w:r w:rsidRPr="00556058">
        <w:rPr>
          <w:rFonts w:ascii="Times New Roman" w:hAnsi="Times New Roman" w:cs="Times New Roman"/>
          <w:sz w:val="24"/>
          <w:szCs w:val="24"/>
        </w:rPr>
        <w:t xml:space="preserve">. </w:t>
      </w:r>
      <w:r w:rsidRPr="00A14901">
        <w:rPr>
          <w:rFonts w:ascii="Times New Roman" w:hAnsi="Times New Roman" w:cs="Times New Roman"/>
          <w:color w:val="FF0000"/>
          <w:sz w:val="24"/>
          <w:szCs w:val="24"/>
          <w:u w:val="single"/>
        </w:rPr>
        <w:t>La culminación de ese vínculo fue</w:t>
      </w:r>
      <w:r w:rsidRPr="00556058">
        <w:rPr>
          <w:rFonts w:ascii="Times New Roman" w:hAnsi="Times New Roman" w:cs="Times New Roman"/>
          <w:sz w:val="24"/>
          <w:szCs w:val="24"/>
        </w:rPr>
        <w:t>(como expresó con gran indiscreción Harold Macmillan, enviado a colaborar con el general Eisenhower en el norte de África durante la Segunda Guerra Mundia</w:t>
      </w:r>
      <w:r w:rsidRPr="00732791">
        <w:rPr>
          <w:rFonts w:ascii="Times New Roman" w:hAnsi="Times New Roman" w:cs="Times New Roman"/>
          <w:sz w:val="24"/>
          <w:szCs w:val="24"/>
        </w:rPr>
        <w:t xml:space="preserve">l) </w:t>
      </w:r>
      <w:r w:rsidRPr="00A14901">
        <w:rPr>
          <w:rFonts w:ascii="Times New Roman" w:hAnsi="Times New Roman" w:cs="Times New Roman"/>
          <w:color w:val="FF0000"/>
          <w:sz w:val="24"/>
          <w:szCs w:val="24"/>
          <w:u w:val="single"/>
        </w:rPr>
        <w:t>que Gran Bretaña terminara siendo para Estados Unidos lo que Grecia fue para Roma.Y así fue que Estados Unidos se convirtió en el más firme aliado geopolítico de Gran Bretaña durante el siglo XX.</w:t>
      </w:r>
    </w:p>
    <w:p w:rsidR="00183AF7" w:rsidRPr="00A14901" w:rsidRDefault="00183AF7" w:rsidP="00183AF7">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Hoy, las autoridades estadounidenses</w:t>
      </w:r>
      <w:r w:rsidRPr="00556058">
        <w:rPr>
          <w:rFonts w:ascii="Times New Roman" w:hAnsi="Times New Roman" w:cs="Times New Roman"/>
          <w:sz w:val="24"/>
          <w:szCs w:val="24"/>
        </w:rPr>
        <w:t xml:space="preserve"> podrían aprender mucho estudiando las acciones de la República Holandesa y Gran Bretaña cuando eran hiperpotencias globales en busca de aterrizajes suaves. Y también </w:t>
      </w:r>
      <w:r w:rsidRPr="00A14901">
        <w:rPr>
          <w:rFonts w:ascii="Times New Roman" w:hAnsi="Times New Roman" w:cs="Times New Roman"/>
          <w:sz w:val="24"/>
          <w:szCs w:val="24"/>
          <w:u w:val="single"/>
        </w:rPr>
        <w:t>deberían leer “</w:t>
      </w:r>
      <w:r>
        <w:rPr>
          <w:rFonts w:ascii="Times New Roman" w:hAnsi="Times New Roman" w:cs="Times New Roman"/>
          <w:sz w:val="24"/>
          <w:szCs w:val="24"/>
          <w:u w:val="single"/>
        </w:rPr>
        <w:t>The Sources of Soviet Conduct” (</w:t>
      </w:r>
      <w:r w:rsidRPr="00A14901">
        <w:rPr>
          <w:rFonts w:ascii="Times New Roman" w:hAnsi="Times New Roman" w:cs="Times New Roman"/>
          <w:sz w:val="24"/>
          <w:szCs w:val="24"/>
          <w:u w:val="single"/>
        </w:rPr>
        <w:t>Los orígenes de la condu</w:t>
      </w:r>
      <w:r>
        <w:rPr>
          <w:rFonts w:ascii="Times New Roman" w:hAnsi="Times New Roman" w:cs="Times New Roman"/>
          <w:sz w:val="24"/>
          <w:szCs w:val="24"/>
          <w:u w:val="single"/>
        </w:rPr>
        <w:t>cta soviética)</w:t>
      </w:r>
      <w:r w:rsidRPr="00A14901">
        <w:rPr>
          <w:rFonts w:ascii="Times New Roman" w:hAnsi="Times New Roman" w:cs="Times New Roman"/>
          <w:sz w:val="24"/>
          <w:szCs w:val="24"/>
          <w:u w:val="single"/>
        </w:rPr>
        <w:t xml:space="preserve">, el artículo de 1947 del diplomático estadounidense George F. </w:t>
      </w:r>
      <w:r w:rsidRPr="00A14901">
        <w:rPr>
          <w:rFonts w:ascii="Times New Roman" w:hAnsi="Times New Roman" w:cs="Times New Roman"/>
          <w:sz w:val="24"/>
          <w:szCs w:val="24"/>
          <w:u w:val="single"/>
        </w:rPr>
        <w:lastRenderedPageBreak/>
        <w:t>Kennan, en el que defendió una política estadounidense de contención hacia la Unión Soviética.</w:t>
      </w:r>
    </w:p>
    <w:p w:rsidR="00183AF7" w:rsidRPr="00A14901" w:rsidRDefault="00183AF7" w:rsidP="00183AF7">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sz w:val="24"/>
          <w:szCs w:val="24"/>
          <w:u w:val="single"/>
        </w:rPr>
        <w:t>En el artículo se destacan tres tesis</w:t>
      </w:r>
      <w:r w:rsidRPr="00556058">
        <w:rPr>
          <w:rFonts w:ascii="Times New Roman" w:hAnsi="Times New Roman" w:cs="Times New Roman"/>
          <w:sz w:val="24"/>
          <w:szCs w:val="24"/>
        </w:rPr>
        <w:t xml:space="preserve">. </w:t>
      </w:r>
      <w:r w:rsidRPr="00A14901">
        <w:rPr>
          <w:rFonts w:ascii="Times New Roman" w:hAnsi="Times New Roman" w:cs="Times New Roman"/>
          <w:color w:val="FF0000"/>
          <w:sz w:val="24"/>
          <w:szCs w:val="24"/>
          <w:u w:val="single"/>
        </w:rPr>
        <w:t>En primer lugar, que las autoridades estadounidenses no debían entrar en pánico, sino tener una visión de la situación a largo plazo y actuar en consecuencia. En segundo lugar, que Estados Unidos no tratara de contener a la Unión Soviética unilateralmente, sino formar alianzas amplias para confrontarla, oponerle resistencia y sancionarla. Y en tercer lugar, que mostrara lo mejor de sí, porque mientras el conflicto con la Unión Soviética siguiera siendo pacífico, al final la libertad y la prosperidad resultarían decisivas.</w:t>
      </w:r>
    </w:p>
    <w:p w:rsidR="00183AF7" w:rsidRPr="00A14901" w:rsidRDefault="00183AF7" w:rsidP="00183AF7">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Pero desde que asumió el cargo en enero de 2017, Trump desoyó sistemáticamente esos consejos. En vez de formar alianzas para contener a China, retiró a Estados Unidos del Acuerdo Transpacífico. Y sigue formulando demandas aleatorias e incoherentes, por ejemplo, la eliminación inmediata del déficit comercial bilateral de Estados Unidos con China.</w:t>
      </w:r>
    </w:p>
    <w:p w:rsidR="00183AF7" w:rsidRPr="00A14901" w:rsidRDefault="00183AF7" w:rsidP="00183AF7">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En vez de tener visión a largo plazo, parece que Trump está cayendo en pánico. Y China y el mundo son cada vez más conscientes de ello.</w:t>
      </w:r>
    </w:p>
    <w:p w:rsidR="00183AF7" w:rsidRDefault="00183AF7" w:rsidP="00183AF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56058">
        <w:rPr>
          <w:rFonts w:ascii="Times New Roman" w:hAnsi="Times New Roman" w:cs="Times New Roman"/>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negotiations. His role in designing the bailout of Mexico during the 1994 peso crisis placed him at the forefront of Latin America’s transformation into a region of open economies, and cemented his stature as a leading v</w:t>
      </w:r>
      <w:r>
        <w:rPr>
          <w:rFonts w:ascii="Times New Roman" w:hAnsi="Times New Roman" w:cs="Times New Roman"/>
          <w:sz w:val="24"/>
          <w:szCs w:val="24"/>
          <w:lang w:val="en-US"/>
        </w:rPr>
        <w:t>oice in economic-policy debates)</w:t>
      </w:r>
    </w:p>
    <w:p w:rsidR="000A1A59" w:rsidRDefault="000A1A59" w:rsidP="000A1A59">
      <w:pPr>
        <w:rPr>
          <w:rFonts w:ascii="Times New Roman" w:hAnsi="Times New Roman" w:cs="Times New Roman"/>
          <w:b/>
          <w:sz w:val="24"/>
          <w:szCs w:val="24"/>
        </w:rPr>
      </w:pPr>
      <w:r>
        <w:rPr>
          <w:rFonts w:ascii="Times New Roman" w:hAnsi="Times New Roman" w:cs="Times New Roman"/>
          <w:b/>
          <w:sz w:val="24"/>
          <w:szCs w:val="24"/>
        </w:rPr>
        <w:t>Anexo Euro punto de vista POPULISMO</w:t>
      </w:r>
      <w:r w:rsidR="001A1F1D">
        <w:rPr>
          <w:rFonts w:ascii="Times New Roman" w:hAnsi="Times New Roman" w:cs="Times New Roman"/>
          <w:b/>
          <w:sz w:val="24"/>
          <w:szCs w:val="24"/>
        </w:rPr>
        <w:t xml:space="preserve"> -</w:t>
      </w:r>
      <w:r w:rsidR="00FC37DB">
        <w:rPr>
          <w:rFonts w:ascii="Times New Roman" w:hAnsi="Times New Roman" w:cs="Times New Roman"/>
          <w:b/>
          <w:sz w:val="24"/>
          <w:szCs w:val="24"/>
        </w:rPr>
        <w:t xml:space="preserve"> CONFLICTIVIDAD SOCIAL</w:t>
      </w:r>
    </w:p>
    <w:p w:rsidR="000A1A59" w:rsidRDefault="000A1A59" w:rsidP="000A1A59">
      <w:pPr>
        <w:rPr>
          <w:rFonts w:ascii="Times New Roman" w:hAnsi="Times New Roman" w:cs="Times New Roman"/>
          <w:b/>
          <w:sz w:val="24"/>
          <w:szCs w:val="24"/>
        </w:rPr>
      </w:pPr>
      <w:r>
        <w:rPr>
          <w:noProof/>
          <w:lang w:val="en-GB" w:eastAsia="en-GB"/>
        </w:rPr>
        <w:drawing>
          <wp:inline distT="0" distB="0" distL="0" distR="0">
            <wp:extent cx="5734050" cy="2870200"/>
            <wp:effectExtent l="0" t="0" r="0" b="6350"/>
            <wp:docPr id="74" name="Imagen 74" descr="Image result for fotos le 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fotos le pen"/>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68929"/>
                    </a:xfrm>
                    <a:prstGeom prst="rect">
                      <a:avLst/>
                    </a:prstGeom>
                    <a:noFill/>
                    <a:ln>
                      <a:noFill/>
                    </a:ln>
                  </pic:spPr>
                </pic:pic>
              </a:graphicData>
            </a:graphic>
          </wp:inline>
        </w:drawing>
      </w:r>
    </w:p>
    <w:p w:rsidR="000A1A59" w:rsidRDefault="000A1A59" w:rsidP="000A1A59">
      <w:pPr>
        <w:spacing w:after="0" w:line="240" w:lineRule="auto"/>
        <w:jc w:val="both"/>
        <w:textAlignment w:val="baseline"/>
        <w:rPr>
          <w:rFonts w:ascii="Times New Roman" w:eastAsia="Times New Roman" w:hAnsi="Times New Roman" w:cs="Times New Roman"/>
          <w:color w:val="000000"/>
          <w:sz w:val="24"/>
          <w:szCs w:val="24"/>
        </w:rPr>
      </w:pPr>
    </w:p>
    <w:p w:rsidR="000A1A59" w:rsidRPr="00F01646" w:rsidRDefault="000A1A59" w:rsidP="000A1A59">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653C9C">
        <w:rPr>
          <w:rFonts w:ascii="Times New Roman" w:hAnsi="Times New Roman" w:cs="Times New Roman"/>
          <w:sz w:val="24"/>
          <w:szCs w:val="24"/>
          <w:u w:val="single"/>
        </w:rPr>
        <w:t>De los Chalecos Amarillos al Nuevo Trato Verde</w:t>
      </w:r>
      <w:r>
        <w:rPr>
          <w:rFonts w:ascii="Times New Roman" w:hAnsi="Times New Roman" w:cs="Times New Roman"/>
          <w:sz w:val="24"/>
          <w:szCs w:val="24"/>
        </w:rPr>
        <w:t xml:space="preserve"> (Project Syndicate - </w:t>
      </w:r>
      <w:r w:rsidRPr="00653C9C">
        <w:rPr>
          <w:rFonts w:ascii="Times New Roman" w:hAnsi="Times New Roman" w:cs="Times New Roman"/>
          <w:b/>
          <w:sz w:val="24"/>
          <w:szCs w:val="24"/>
        </w:rPr>
        <w:t>7/1/19</w:t>
      </w:r>
      <w:r>
        <w:rPr>
          <w:rFonts w:ascii="Times New Roman" w:hAnsi="Times New Roman" w:cs="Times New Roman"/>
          <w:sz w:val="24"/>
          <w:szCs w:val="24"/>
        </w:rPr>
        <w:t xml:space="preserve">) </w:t>
      </w:r>
    </w:p>
    <w:p w:rsidR="000A1A59" w:rsidRPr="00D5380D" w:rsidRDefault="000A1A59" w:rsidP="000A1A5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D5380D">
        <w:rPr>
          <w:rFonts w:ascii="Times New Roman" w:hAnsi="Times New Roman" w:cs="Times New Roman"/>
          <w:sz w:val="24"/>
          <w:szCs w:val="24"/>
          <w:u w:val="single"/>
        </w:rPr>
        <w:t xml:space="preserve">Ya es noticia vieja que grandes segmentos de la sociedad pasaron a estar profundamente descontentos con lo que ven como “el establishment”, especialmente la clase política. Las protestas de los “Chalecos Amarillos” en Francia, desencadenadas por la </w:t>
      </w:r>
      <w:r w:rsidRPr="00D5380D">
        <w:rPr>
          <w:rFonts w:ascii="Times New Roman" w:hAnsi="Times New Roman" w:cs="Times New Roman"/>
          <w:sz w:val="24"/>
          <w:szCs w:val="24"/>
          <w:u w:val="single"/>
        </w:rPr>
        <w:lastRenderedPageBreak/>
        <w:t>decisión del presidente Emmanuel Macron de aumentar los impuestos al combustible en nombre de la lucha contra el cambio climático, no son más que el último ejemplo de la magnitud de esta alienación.</w:t>
      </w:r>
    </w:p>
    <w:p w:rsidR="000A1A59" w:rsidRPr="00D5380D" w:rsidRDefault="000A1A59" w:rsidP="000A1A59">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color w:val="FF0000"/>
          <w:sz w:val="24"/>
          <w:szCs w:val="24"/>
          <w:u w:val="single"/>
        </w:rPr>
        <w:t>Hay buenos motivos para el descontento de hoy: cuatro décadas de promesas de los líderes políticos tanto de centro izquierda como de centro derecha, que abrazaron la fe neoliberal de que la globalización, la financiarización, la desregulación, la privatización y una serie de reformas relacionadas traerían aparejada una prosperidad sin precedentes, han caído en saco roto. Mientras que a una pequeña elite parece haberle ido muy bien, grandes segmentos de la población han quedado excluidos de la clase media y se han sumergido en un nuevo mundo de vulnerabilidad e inseguridad. Hasta los líderes en países con una desigualdad baja pero creciente han sentido la ira de su pueblo.</w:t>
      </w:r>
    </w:p>
    <w:p w:rsidR="000A1A59" w:rsidRPr="00653C9C" w:rsidRDefault="000A1A59" w:rsidP="000A1A59">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Si nos remitimos a las cifras, Francia parece estar mejor que la mayoría, pero lo que importa son las percepciones, no los números; aun en Francia, que evitó parte del extremismo de la era Reagan-Thatcher, las cosas no le están yendo bien a muchos. Cuando se bajaron los impuestos a las personas muy ricas, pero se aumentaron los impuestos a los ciudadanos comunes para poder cumplir con las demandas presupuestarias (ya sea de la lejana Bruselas como de los acaudalados financistas), no debería haber resultado una sorpresa que algunos se enojaran. El discurso de los Chalecos Amarillos habla de sus preocupaciones: “El gobierno habla del fin del mundo. A nosotr</w:t>
      </w:r>
      <w:r>
        <w:rPr>
          <w:rFonts w:ascii="Times New Roman" w:hAnsi="Times New Roman" w:cs="Times New Roman"/>
          <w:sz w:val="24"/>
          <w:szCs w:val="24"/>
        </w:rPr>
        <w:t>os nos preocupa el fin de mes”.</w:t>
      </w:r>
    </w:p>
    <w:p w:rsidR="000A1A59" w:rsidRPr="00653C9C" w:rsidRDefault="000A1A59" w:rsidP="000A1A59">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 xml:space="preserve">En resumen, existe una enorme desconfianza en los gobiernos y los políticos, lo que implica que pedir sacrificios hoy a cambio de la promesa de una vida mejor mañana no será aceptado. Y esto es particularmente válido para las políticas “de goteo”: recortes impositivos para los ricos que, se supone, terminarán beneficiando </w:t>
      </w:r>
      <w:r>
        <w:rPr>
          <w:rFonts w:ascii="Times New Roman" w:hAnsi="Times New Roman" w:cs="Times New Roman"/>
          <w:sz w:val="24"/>
          <w:szCs w:val="24"/>
        </w:rPr>
        <w:t>a todos los demás.</w:t>
      </w:r>
    </w:p>
    <w:p w:rsidR="000A1A59" w:rsidRPr="00653C9C" w:rsidRDefault="000A1A59" w:rsidP="000A1A59">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 xml:space="preserve">Cuando yo estaba en el Banco Mundial, </w:t>
      </w:r>
      <w:r w:rsidRPr="00D5380D">
        <w:rPr>
          <w:rFonts w:ascii="Times New Roman" w:hAnsi="Times New Roman" w:cs="Times New Roman"/>
          <w:color w:val="FF0000"/>
          <w:sz w:val="24"/>
          <w:szCs w:val="24"/>
          <w:u w:val="single"/>
        </w:rPr>
        <w:t>la primera lección en materia de reforma de políticas era que la secuencia y el ritmo importan</w:t>
      </w:r>
      <w:r w:rsidRPr="00653C9C">
        <w:rPr>
          <w:rFonts w:ascii="Times New Roman" w:hAnsi="Times New Roman" w:cs="Times New Roman"/>
          <w:sz w:val="24"/>
          <w:szCs w:val="24"/>
        </w:rPr>
        <w:t xml:space="preserve">. La promesa del Nuevo Trato Verde que hoy es defendida por los progresistas en Estados Unidos entiende </w:t>
      </w:r>
      <w:r>
        <w:rPr>
          <w:rFonts w:ascii="Times New Roman" w:hAnsi="Times New Roman" w:cs="Times New Roman"/>
          <w:sz w:val="24"/>
          <w:szCs w:val="24"/>
        </w:rPr>
        <w:t>muy bien estos dos elementos.</w:t>
      </w:r>
    </w:p>
    <w:p w:rsidR="000A1A59" w:rsidRPr="00D5380D" w:rsidRDefault="000A1A59" w:rsidP="000A1A59">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color w:val="FF0000"/>
          <w:sz w:val="24"/>
          <w:szCs w:val="24"/>
          <w:u w:val="single"/>
        </w:rPr>
        <w:t>El Nuevo Trato Verde se basa en tres observaciones: primero, existen recurso</w:t>
      </w:r>
      <w:r w:rsidR="0011116D">
        <w:rPr>
          <w:rFonts w:ascii="Times New Roman" w:hAnsi="Times New Roman" w:cs="Times New Roman"/>
          <w:color w:val="FF0000"/>
          <w:sz w:val="24"/>
          <w:szCs w:val="24"/>
          <w:u w:val="single"/>
        </w:rPr>
        <w:t>s inutilizados y subutilizados -</w:t>
      </w:r>
      <w:r w:rsidRPr="00D5380D">
        <w:rPr>
          <w:rFonts w:ascii="Times New Roman" w:hAnsi="Times New Roman" w:cs="Times New Roman"/>
          <w:color w:val="FF0000"/>
          <w:sz w:val="24"/>
          <w:szCs w:val="24"/>
          <w:u w:val="single"/>
        </w:rPr>
        <w:t>especialmente talento humano- que se pueden usar de manera efectiva. Segundo, si hubiera más demanda de aquellos que tienen habilidades bajas y medias, sus salarios y niveles de vida aumentarían. Tercero, un buen medio ambiente es una parte esencial del bienestar humano, hoy y en el futuro.</w:t>
      </w:r>
    </w:p>
    <w:p w:rsidR="000A1A59" w:rsidRPr="00D5380D" w:rsidRDefault="000A1A59" w:rsidP="000A1A59">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Si no se enfrentan los desafíos del cambio climático hoy, le estaremos imponiendo una carga pesada a la próxima generación. Está mal que esta generación le traslade estos costos a la próxima. Es mejor trasladar deudas financieras, que de alguna manera podemos manejar, que enfrentar a nuestros hijos a un desastre ambiental posiblemente inmanejable.</w:t>
      </w:r>
    </w:p>
    <w:p w:rsidR="000A1A59" w:rsidRPr="00D5380D" w:rsidRDefault="000A1A59" w:rsidP="000A1A59">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Hace casi 90 años, el presidente estadounidense Franklin D. Roosevelt respondió a la Gran Depresión con su Nuevo Trato, un paquete audaz de reformas que afectó casi todos los aspectos de la economía norteamericana. Pero lo que se está invocando hoy es algo más que el simbolismo del Nuevo Trato. </w:t>
      </w:r>
      <w:r w:rsidRPr="00D5380D">
        <w:rPr>
          <w:rFonts w:ascii="Times New Roman" w:hAnsi="Times New Roman" w:cs="Times New Roman"/>
          <w:sz w:val="24"/>
          <w:szCs w:val="24"/>
          <w:u w:val="single"/>
        </w:rPr>
        <w:t>Es su objetivo inspirador: lograr que la gente vuelva a tener trabajo, como lo hizo FDR para Estados Unidos, con el desempleo devastador de aquel momento. En aquel entonces, eso significó inversiones en electrificación rural, caminos y represas.</w:t>
      </w:r>
    </w:p>
    <w:p w:rsidR="000A1A59" w:rsidRPr="00D5380D" w:rsidRDefault="000A1A59" w:rsidP="000A1A59">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Los economistas han debatido cu</w:t>
      </w:r>
      <w:r>
        <w:rPr>
          <w:rFonts w:ascii="Times New Roman" w:hAnsi="Times New Roman" w:cs="Times New Roman"/>
          <w:sz w:val="24"/>
          <w:szCs w:val="24"/>
          <w:u w:val="single"/>
        </w:rPr>
        <w:t>án efectivo fue el Nuevo Trato -</w:t>
      </w:r>
      <w:r w:rsidRPr="00D5380D">
        <w:rPr>
          <w:rFonts w:ascii="Times New Roman" w:hAnsi="Times New Roman" w:cs="Times New Roman"/>
          <w:sz w:val="24"/>
          <w:szCs w:val="24"/>
          <w:u w:val="single"/>
        </w:rPr>
        <w:t xml:space="preserve">su inversión probablemente fue demasiado baja y no lo suficientemente sostenida como para generar el tipo de </w:t>
      </w:r>
      <w:r w:rsidRPr="00D5380D">
        <w:rPr>
          <w:rFonts w:ascii="Times New Roman" w:hAnsi="Times New Roman" w:cs="Times New Roman"/>
          <w:sz w:val="24"/>
          <w:szCs w:val="24"/>
          <w:u w:val="single"/>
        </w:rPr>
        <w:lastRenderedPageBreak/>
        <w:t>recuperación que necesitaba la economía-. De todos modos, dejó un legado sostenido al transformar el país en un momento crucial.</w:t>
      </w:r>
    </w:p>
    <w:p w:rsidR="000A1A59" w:rsidRPr="00D5380D" w:rsidRDefault="000A1A59" w:rsidP="000A1A59">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color w:val="FF0000"/>
          <w:sz w:val="24"/>
          <w:szCs w:val="24"/>
          <w:u w:val="single"/>
        </w:rPr>
        <w:t>Lo mismo para un Nuevo Trato Verde: puede ofrecer transporte público, vincular a la gente con los empleos y readaptar la economía para enfrentar el desafío del cambio climático. Al mismo tiempo, estas inversiones por sí mismas crearán empleos.</w:t>
      </w:r>
    </w:p>
    <w:p w:rsidR="000A1A59" w:rsidRPr="00D5380D" w:rsidRDefault="000A1A59" w:rsidP="000A1A59">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Desde hace mucho tiempo que se reconoce que la descarbonización, si se la realiza de manera correcta, sería un gran generador de empleo, en tanto la economía se prepara para un mundo con energía renovable</w:t>
      </w:r>
      <w:r w:rsidRPr="00653C9C">
        <w:rPr>
          <w:rFonts w:ascii="Times New Roman" w:hAnsi="Times New Roman" w:cs="Times New Roman"/>
          <w:sz w:val="24"/>
          <w:szCs w:val="24"/>
        </w:rPr>
        <w:t>.</w:t>
      </w:r>
      <w:r>
        <w:rPr>
          <w:rFonts w:ascii="Times New Roman" w:hAnsi="Times New Roman" w:cs="Times New Roman"/>
          <w:sz w:val="24"/>
          <w:szCs w:val="24"/>
        </w:rPr>
        <w:t xml:space="preserve"> Por supuesto, algunos empleos -</w:t>
      </w:r>
      <w:r w:rsidRPr="00653C9C">
        <w:rPr>
          <w:rFonts w:ascii="Times New Roman" w:hAnsi="Times New Roman" w:cs="Times New Roman"/>
          <w:sz w:val="24"/>
          <w:szCs w:val="24"/>
        </w:rPr>
        <w:t xml:space="preserve">por ejemplo, los de los 53.000 mineros de carbón en Estados Unidos- se perderán y hacen falta programas para volver a capacitar a esos trabajadores para otros empleos. </w:t>
      </w:r>
      <w:r w:rsidRPr="00D5380D">
        <w:rPr>
          <w:rFonts w:ascii="Times New Roman" w:hAnsi="Times New Roman" w:cs="Times New Roman"/>
          <w:sz w:val="24"/>
          <w:szCs w:val="24"/>
          <w:u w:val="single"/>
        </w:rPr>
        <w:t>Volvamos al mismo punto: la secuencia y el ritmo importan. Habría tenido más sentido empezar por crear nuevos empleos antes de que se destruyeran los viejos, garantizar que se gravaran las ganancias de las compañías petroleras y de carbón, y que se eliminaran los subsidios ocultos que reciben, antes de pedirles a los conductores que apenas salvan las necesidades que desembolsen más.</w:t>
      </w:r>
    </w:p>
    <w:p w:rsidR="000A1A59" w:rsidRPr="00D5380D" w:rsidRDefault="000A1A59" w:rsidP="000A1A59">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El Nuevo Trato Verde transmite un mensaje positivo de lo que el gobierno puede hacer, para esta generación de ciudadanos y la próxima. Puede ofrecer hoy lo que más necesitan los que sufren hoy –buenos empleos-. Y puede ofrecer las protecciones del cambio climático que se necesitan para el futuro.</w:t>
      </w:r>
    </w:p>
    <w:p w:rsidR="000A1A59" w:rsidRPr="00653C9C" w:rsidRDefault="000A1A59" w:rsidP="000A1A59">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El Nuevo Trato Verde tendrá que ser ampliado</w:t>
      </w:r>
      <w:r w:rsidRPr="00653C9C">
        <w:rPr>
          <w:rFonts w:ascii="Times New Roman" w:hAnsi="Times New Roman" w:cs="Times New Roman"/>
          <w:sz w:val="24"/>
          <w:szCs w:val="24"/>
        </w:rPr>
        <w:t>, y esto es especialmente válido en países como Estados Unidos donde muchos ciudadanos comunes carecen de acceso a una buena educación, a una atención médica a</w:t>
      </w:r>
      <w:r>
        <w:rPr>
          <w:rFonts w:ascii="Times New Roman" w:hAnsi="Times New Roman" w:cs="Times New Roman"/>
          <w:sz w:val="24"/>
          <w:szCs w:val="24"/>
        </w:rPr>
        <w:t>decuada o a una vivienda digna.</w:t>
      </w:r>
    </w:p>
    <w:p w:rsidR="000A1A59" w:rsidRPr="00D5380D" w:rsidRDefault="000A1A59" w:rsidP="000A1A59">
      <w:pPr>
        <w:spacing w:line="240" w:lineRule="auto"/>
        <w:jc w:val="both"/>
        <w:rPr>
          <w:rFonts w:ascii="Times New Roman" w:hAnsi="Times New Roman" w:cs="Times New Roman"/>
          <w:color w:val="FF0000"/>
          <w:sz w:val="24"/>
          <w:szCs w:val="24"/>
          <w:u w:val="single"/>
        </w:rPr>
      </w:pPr>
      <w:r w:rsidRPr="00D5380D">
        <w:rPr>
          <w:rFonts w:ascii="Times New Roman" w:hAnsi="Times New Roman" w:cs="Times New Roman"/>
          <w:sz w:val="24"/>
          <w:szCs w:val="24"/>
          <w:u w:val="single"/>
        </w:rPr>
        <w:t>El movimiento popular detrás del Nuevo Trato Verde ofrece una luz de esperanza al establishment maltrecho: deberían adoptarlo, desarrollarlo y transformarlo en parte de la agenda progresista</w:t>
      </w:r>
      <w:r w:rsidRPr="00653C9C">
        <w:rPr>
          <w:rFonts w:ascii="Times New Roman" w:hAnsi="Times New Roman" w:cs="Times New Roman"/>
          <w:sz w:val="24"/>
          <w:szCs w:val="24"/>
        </w:rPr>
        <w:t xml:space="preserve">. </w:t>
      </w:r>
      <w:r w:rsidRPr="00D5380D">
        <w:rPr>
          <w:rFonts w:ascii="Times New Roman" w:hAnsi="Times New Roman" w:cs="Times New Roman"/>
          <w:color w:val="FF0000"/>
          <w:sz w:val="24"/>
          <w:szCs w:val="24"/>
          <w:u w:val="single"/>
        </w:rPr>
        <w:t>Necesitamos algo positivo que nos salve de la ola desagradable de populismo, nativismo y protofascismo que está arrasando al mundo.</w:t>
      </w:r>
    </w:p>
    <w:p w:rsidR="000A1A59" w:rsidRDefault="000A1A59" w:rsidP="000A1A5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53C9C">
        <w:rPr>
          <w:rFonts w:ascii="Times New Roman" w:hAnsi="Times New Roman" w:cs="Times New Roman"/>
          <w:sz w:val="24"/>
          <w:szCs w:val="24"/>
          <w:lang w:val="en-US"/>
        </w:rPr>
        <w:t>Joseph E. Stiglitz, a Nobel laureate in economics, is University Professor at Columbia University and Chief Economist at the Roosevelt Institute. His most recent book is Globalization and Its Discontents Revisited: Anti-Globalization in the Era of Trum</w:t>
      </w:r>
      <w:r>
        <w:rPr>
          <w:rFonts w:ascii="Times New Roman" w:hAnsi="Times New Roman" w:cs="Times New Roman"/>
          <w:sz w:val="24"/>
          <w:szCs w:val="24"/>
          <w:lang w:val="en-US"/>
        </w:rPr>
        <w:t>p)</w:t>
      </w:r>
    </w:p>
    <w:p w:rsidR="000A1A59" w:rsidRPr="000865A8" w:rsidRDefault="000A1A59" w:rsidP="000A1A59">
      <w:pPr>
        <w:pStyle w:val="NormalWeb"/>
        <w:jc w:val="both"/>
        <w:rPr>
          <w:color w:val="FF0000"/>
        </w:rPr>
      </w:pPr>
      <w:r w:rsidRPr="00DE3FC5">
        <w:rPr>
          <w:color w:val="141414"/>
        </w:rPr>
        <w:t xml:space="preserve">- </w:t>
      </w:r>
      <w:r w:rsidRPr="00DE3FC5">
        <w:rPr>
          <w:color w:val="141414"/>
          <w:u w:val="single"/>
        </w:rPr>
        <w:t>Disturbios violentos en aumento. ¿Se puede culpar a la desigualdad?</w:t>
      </w:r>
      <w:r w:rsidRPr="00DE3FC5">
        <w:rPr>
          <w:color w:val="141414"/>
        </w:rPr>
        <w:t xml:space="preserve"> (World Economic Forum - </w:t>
      </w:r>
      <w:r w:rsidRPr="00DE3FC5">
        <w:rPr>
          <w:b/>
          <w:color w:val="141414"/>
        </w:rPr>
        <w:t>15/1/19</w:t>
      </w:r>
      <w:r w:rsidRPr="00DE3FC5">
        <w:rPr>
          <w:color w:val="141414"/>
        </w:rPr>
        <w:t>)</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141414"/>
          <w:sz w:val="24"/>
          <w:szCs w:val="24"/>
          <w:u w:val="single"/>
        </w:rPr>
      </w:pPr>
      <w:r w:rsidRPr="00DE3FC5">
        <w:rPr>
          <w:rFonts w:ascii="Times New Roman" w:eastAsia="Times New Roman" w:hAnsi="Times New Roman" w:cs="Times New Roman"/>
          <w:color w:val="FF0000"/>
          <w:sz w:val="24"/>
          <w:szCs w:val="24"/>
          <w:u w:val="single"/>
        </w:rPr>
        <w:t>¿El mundo se está volviendo más violento? La respuesta es sí y no. El mundo es menos mortal, pero está más turbulento</w:t>
      </w:r>
      <w:r w:rsidRPr="00DE3FC5">
        <w:rPr>
          <w:rFonts w:ascii="Times New Roman" w:eastAsia="Times New Roman" w:hAnsi="Times New Roman" w:cs="Times New Roman"/>
          <w:color w:val="141414"/>
          <w:sz w:val="24"/>
          <w:szCs w:val="24"/>
        </w:rPr>
        <w:t>. A pesar del enorme derramamiento de sangre en Afganistán, Siria y Yemen, </w:t>
      </w:r>
      <w:hyperlink r:id="rId80" w:history="1">
        <w:r w:rsidRPr="000A1A59">
          <w:rPr>
            <w:rFonts w:ascii="Times New Roman" w:eastAsia="Times New Roman" w:hAnsi="Times New Roman" w:cs="Times New Roman"/>
            <w:sz w:val="24"/>
            <w:szCs w:val="24"/>
          </w:rPr>
          <w:t>la incidencia del conflicto a gran escala ha disminuido</w:t>
        </w:r>
      </w:hyperlink>
      <w:r w:rsidRPr="00DE3FC5">
        <w:rPr>
          <w:rFonts w:ascii="Times New Roman" w:eastAsia="Times New Roman" w:hAnsi="Times New Roman" w:cs="Times New Roman"/>
          <w:color w:val="141414"/>
          <w:sz w:val="24"/>
          <w:szCs w:val="24"/>
        </w:rPr>
        <w:t xml:space="preserve"> en comparación con el pasado. </w:t>
      </w:r>
      <w:r w:rsidRPr="00DE3FC5">
        <w:rPr>
          <w:rFonts w:ascii="Times New Roman" w:eastAsia="Times New Roman" w:hAnsi="Times New Roman" w:cs="Times New Roman"/>
          <w:color w:val="141414"/>
          <w:sz w:val="24"/>
          <w:szCs w:val="24"/>
          <w:u w:val="single"/>
        </w:rPr>
        <w:t>Hoy hay menos guerras transfronterizas y civiles y muchas menos personas asesinadas violentamente en comparación con el siglo XX. Sin embargo, los conflictos armados contemporáneos parecen ser más difíciles que nunca de resolver</w:t>
      </w:r>
      <w:r w:rsidRPr="00DE3FC5">
        <w:rPr>
          <w:rFonts w:ascii="Times New Roman" w:eastAsia="Times New Roman" w:hAnsi="Times New Roman" w:cs="Times New Roman"/>
          <w:color w:val="141414"/>
          <w:sz w:val="24"/>
          <w:szCs w:val="24"/>
        </w:rPr>
        <w:t xml:space="preserve">. Se presentan en diversas formas y tamaños, y son precisamente estas manifestaciones alternativas las que están aumentando y contribuyendo a los disturbios. </w:t>
      </w:r>
      <w:r w:rsidRPr="00DE3FC5">
        <w:rPr>
          <w:rFonts w:ascii="Times New Roman" w:eastAsia="Times New Roman" w:hAnsi="Times New Roman" w:cs="Times New Roman"/>
          <w:color w:val="141414"/>
          <w:sz w:val="24"/>
          <w:szCs w:val="24"/>
          <w:u w:val="single"/>
        </w:rPr>
        <w:t>En un momento en que la mayoría de los países han experimentado mejoras generales en el desarrollo, ¿qué explica esta situación particular?</w:t>
      </w:r>
    </w:p>
    <w:p w:rsidR="000A1A59" w:rsidRPr="000A1A59" w:rsidRDefault="000A1A59" w:rsidP="000A1A59">
      <w:pPr>
        <w:spacing w:before="100" w:beforeAutospacing="1" w:after="100" w:afterAutospacing="1" w:line="240" w:lineRule="auto"/>
        <w:jc w:val="both"/>
        <w:rPr>
          <w:rFonts w:ascii="Times New Roman" w:eastAsia="Times New Roman" w:hAnsi="Times New Roman" w:cs="Times New Roman"/>
          <w:sz w:val="24"/>
          <w:szCs w:val="24"/>
          <w:u w:val="single"/>
        </w:rPr>
      </w:pPr>
      <w:r w:rsidRPr="00DE3FC5">
        <w:rPr>
          <w:rFonts w:ascii="Times New Roman" w:eastAsia="Times New Roman" w:hAnsi="Times New Roman" w:cs="Times New Roman"/>
          <w:color w:val="141414"/>
          <w:sz w:val="24"/>
          <w:szCs w:val="24"/>
          <w:u w:val="single"/>
        </w:rPr>
        <w:t>Una razón de la persistencia del conflicto armado de baja intensidad es la fragmentación y la proliferación de grupos armados. Los conflictos actuales rara vez están limitados a fuerzas del Estado y a uno o dos grupos guerrilleros. Desde 2010, </w:t>
      </w:r>
      <w:hyperlink r:id="rId81" w:history="1">
        <w:r w:rsidRPr="000A1A59">
          <w:rPr>
            <w:rFonts w:ascii="Times New Roman" w:eastAsia="Times New Roman" w:hAnsi="Times New Roman" w:cs="Times New Roman"/>
            <w:sz w:val="24"/>
            <w:szCs w:val="24"/>
            <w:u w:val="single"/>
          </w:rPr>
          <w:t xml:space="preserve">casi la mitad de todos los </w:t>
        </w:r>
        <w:r w:rsidRPr="000A1A59">
          <w:rPr>
            <w:rFonts w:ascii="Times New Roman" w:eastAsia="Times New Roman" w:hAnsi="Times New Roman" w:cs="Times New Roman"/>
            <w:sz w:val="24"/>
            <w:szCs w:val="24"/>
            <w:u w:val="single"/>
          </w:rPr>
          <w:lastRenderedPageBreak/>
          <w:t>conflictos armados involucraron a diez o más elementos armados</w:t>
        </w:r>
      </w:hyperlink>
      <w:r w:rsidRPr="000A1A5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En diversas zonas de conflicto -Mali, Libia o Siria-</w:t>
      </w:r>
      <w:r w:rsidRPr="000A1A59">
        <w:rPr>
          <w:rFonts w:ascii="Times New Roman" w:eastAsia="Times New Roman" w:hAnsi="Times New Roman" w:cs="Times New Roman"/>
          <w:sz w:val="24"/>
          <w:szCs w:val="24"/>
        </w:rPr>
        <w:t xml:space="preserve"> cientos de grupos armados están compitiendo por poder. Algunos de ellos están motivados por objetivos políticos, mientras que otros son meramente mentes criminales. </w:t>
      </w:r>
      <w:r w:rsidRPr="000A1A59">
        <w:rPr>
          <w:rFonts w:ascii="Times New Roman" w:eastAsia="Times New Roman" w:hAnsi="Times New Roman" w:cs="Times New Roman"/>
          <w:sz w:val="24"/>
          <w:szCs w:val="24"/>
          <w:u w:val="single"/>
        </w:rPr>
        <w:t>Hoy en día, la mayoría de los insurgentes, la milicia, los extremistas y los mafiosos muestran </w:t>
      </w:r>
      <w:hyperlink r:id="rId82" w:history="1">
        <w:r w:rsidRPr="000A1A59">
          <w:rPr>
            <w:rFonts w:ascii="Times New Roman" w:eastAsia="Times New Roman" w:hAnsi="Times New Roman" w:cs="Times New Roman"/>
            <w:sz w:val="24"/>
            <w:szCs w:val="24"/>
            <w:u w:val="single"/>
          </w:rPr>
          <w:t>tácticas e ideologías fluidas increíblemente similares</w:t>
        </w:r>
      </w:hyperlink>
      <w:r w:rsidRPr="000A1A59">
        <w:rPr>
          <w:rFonts w:ascii="Times New Roman" w:eastAsia="Times New Roman" w:hAnsi="Times New Roman" w:cs="Times New Roman"/>
          <w:sz w:val="24"/>
          <w:szCs w:val="24"/>
          <w:u w:val="single"/>
        </w:rPr>
        <w:t> que involucran la persecución de poder y lucro. No solo son difíciles de distinguir las modalidades de violencia, también se están fusionando las motivaciones.</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141414"/>
          <w:sz w:val="24"/>
          <w:szCs w:val="24"/>
        </w:rPr>
      </w:pPr>
      <w:r w:rsidRPr="00DE3FC5">
        <w:rPr>
          <w:rFonts w:ascii="Times New Roman" w:eastAsia="Times New Roman" w:hAnsi="Times New Roman" w:cs="Times New Roman"/>
          <w:color w:val="141414"/>
          <w:sz w:val="24"/>
          <w:szCs w:val="24"/>
          <w:u w:val="single"/>
        </w:rPr>
        <w:t>Dos tendencias opuestas han ayudado a asegurar la continuidad de los conflictos armados inextricables y la proliferación de grupos violentos. La primera es la inequidad: cuando son más grandes y más amplios los segmentos de la población que se sienten excluidos y marginados del poder, el descontento puede escalar a un malestar social e incluso a una rebelión absoluta</w:t>
      </w:r>
      <w:r w:rsidRPr="00DE3FC5">
        <w:rPr>
          <w:rFonts w:ascii="Times New Roman" w:eastAsia="Times New Roman" w:hAnsi="Times New Roman" w:cs="Times New Roman"/>
          <w:color w:val="141414"/>
          <w:sz w:val="24"/>
          <w:szCs w:val="24"/>
        </w:rPr>
        <w:t>. Este movimiento desde la intención hacia la perpetración requiere organización. Es por ello que el segundo factor es tan crucial como el primero: el ascenso y el dominio de las élites políticas. Durante años, muchos gobiernos posconflicto y recientemente democráticos fueron forjados sobre la base de complejos acuerdos de distribución de poder entre las élites. En algunos casos, las élites trabajaron para solucionar pacíficamente los desacuerdos potencialmente violentos, mientras que en otros casos utilizaron la violencia para preservar o incrementar su poder.</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141414"/>
          <w:sz w:val="24"/>
          <w:szCs w:val="24"/>
          <w:u w:val="single"/>
        </w:rPr>
      </w:pPr>
      <w:r w:rsidRPr="00DE3FC5">
        <w:rPr>
          <w:rFonts w:ascii="Times New Roman" w:eastAsia="Times New Roman" w:hAnsi="Times New Roman" w:cs="Times New Roman"/>
          <w:color w:val="141414"/>
          <w:sz w:val="24"/>
          <w:szCs w:val="24"/>
          <w:u w:val="single"/>
        </w:rPr>
        <w:t>En resumen, la violencia organizada es completamente racional y no una aberración. En muchos países, la violencia organizada es una característica intrínseca del sistema político, no un síntoma deplorable de su debacle. La violencia es ejercida con precisión instrumental porque es muy efectiva en señalar quejas específicas e incrementar la competitividad de determinados grupos elitistas. Mientras que todo esto es descaradamente obvio para los profesionales, durante décadas los hacedores de políticas han interpretado la violencia organizada como el resultado irracional de estados fallidos y frágiles</w:t>
      </w:r>
      <w:r w:rsidRPr="00DE3FC5">
        <w:rPr>
          <w:rFonts w:ascii="Times New Roman" w:eastAsia="Times New Roman" w:hAnsi="Times New Roman" w:cs="Times New Roman"/>
          <w:color w:val="141414"/>
          <w:sz w:val="24"/>
          <w:szCs w:val="24"/>
        </w:rPr>
        <w:t>. Los diplomáticos y los investig</w:t>
      </w:r>
      <w:r>
        <w:rPr>
          <w:rFonts w:ascii="Times New Roman" w:eastAsia="Times New Roman" w:hAnsi="Times New Roman" w:cs="Times New Roman"/>
          <w:color w:val="141414"/>
          <w:sz w:val="24"/>
          <w:szCs w:val="24"/>
        </w:rPr>
        <w:t>adores lo han descrito como un “arma de los débiles”</w:t>
      </w:r>
      <w:r w:rsidRPr="00DE3FC5">
        <w:rPr>
          <w:rFonts w:ascii="Times New Roman" w:eastAsia="Times New Roman" w:hAnsi="Times New Roman" w:cs="Times New Roman"/>
          <w:color w:val="141414"/>
          <w:sz w:val="24"/>
          <w:szCs w:val="24"/>
        </w:rPr>
        <w:t xml:space="preserve"> y una consecuencia del colapso del estado. Como resultado, </w:t>
      </w:r>
      <w:r w:rsidRPr="00DE3FC5">
        <w:rPr>
          <w:rFonts w:ascii="Times New Roman" w:eastAsia="Times New Roman" w:hAnsi="Times New Roman" w:cs="Times New Roman"/>
          <w:color w:val="141414"/>
          <w:sz w:val="24"/>
          <w:szCs w:val="24"/>
          <w:u w:val="single"/>
        </w:rPr>
        <w:t>las medidas convencionales para prevenir y reducir el conflicto armado frecuentemente enfatizan el fortalecimiento de la capacidad del Estado y la inclusión selecta. Sin embargo, estos son precisamente los factores que pueden también intensificar la violencia política competitiva.</w:t>
      </w:r>
    </w:p>
    <w:p w:rsidR="000A1A59" w:rsidRPr="000A1A59" w:rsidRDefault="000A1A59" w:rsidP="000A1A59">
      <w:pPr>
        <w:spacing w:before="100" w:beforeAutospacing="1" w:after="100" w:afterAutospacing="1" w:line="240" w:lineRule="auto"/>
        <w:jc w:val="both"/>
        <w:rPr>
          <w:rFonts w:ascii="Times New Roman" w:eastAsia="Times New Roman" w:hAnsi="Times New Roman" w:cs="Times New Roman"/>
          <w:sz w:val="24"/>
          <w:szCs w:val="24"/>
        </w:rPr>
      </w:pPr>
      <w:r w:rsidRPr="00DE3FC5">
        <w:rPr>
          <w:rFonts w:ascii="Times New Roman" w:eastAsia="Times New Roman" w:hAnsi="Times New Roman" w:cs="Times New Roman"/>
          <w:color w:val="141414"/>
          <w:sz w:val="24"/>
          <w:szCs w:val="24"/>
        </w:rPr>
        <w:t xml:space="preserve">Tomemos el caso de la República Democrática del Congo, donde millones de personas han sido asesinadas en violencia organizada desde la década de 1990. La RDC nunca ha tenido una transferencia pacífica de poder desde 1960, y el 2019 no es la excepción. Parte de la razón es que las élites están movilizando sistemáticamente la milicia para asegurar sus intereses. Una zona donde se ha materializado de forma particularmente devastadora es en Ituri, </w:t>
      </w:r>
      <w:r w:rsidRPr="000A1A59">
        <w:rPr>
          <w:rFonts w:ascii="Times New Roman" w:eastAsia="Times New Roman" w:hAnsi="Times New Roman" w:cs="Times New Roman"/>
          <w:sz w:val="24"/>
          <w:szCs w:val="24"/>
        </w:rPr>
        <w:t>la </w:t>
      </w:r>
      <w:hyperlink r:id="rId83" w:history="1">
        <w:r w:rsidRPr="000A1A59">
          <w:rPr>
            <w:rFonts w:ascii="Times New Roman" w:eastAsia="Times New Roman" w:hAnsi="Times New Roman" w:cs="Times New Roman"/>
            <w:sz w:val="24"/>
            <w:szCs w:val="24"/>
          </w:rPr>
          <w:t>provincia más volátil de la RDC</w:t>
        </w:r>
        <w:r w:rsidR="0011116D">
          <w:rPr>
            <w:rFonts w:ascii="Times New Roman" w:eastAsia="Times New Roman" w:hAnsi="Times New Roman" w:cs="Times New Roman"/>
            <w:sz w:val="24"/>
            <w:szCs w:val="24"/>
          </w:rPr>
          <w:t>,</w:t>
        </w:r>
        <w:r w:rsidRPr="000A1A59">
          <w:rPr>
            <w:rFonts w:ascii="Times New Roman" w:eastAsia="Times New Roman" w:hAnsi="Times New Roman" w:cs="Times New Roman"/>
            <w:sz w:val="24"/>
            <w:szCs w:val="24"/>
          </w:rPr>
          <w:t> </w:t>
        </w:r>
      </w:hyperlink>
      <w:r w:rsidRPr="000A1A59">
        <w:rPr>
          <w:rFonts w:ascii="Times New Roman" w:eastAsia="Times New Roman" w:hAnsi="Times New Roman" w:cs="Times New Roman"/>
          <w:sz w:val="24"/>
          <w:szCs w:val="24"/>
        </w:rPr>
        <w:t>al este del país. Durante décadas, ha habido disputas frecuentes entre los grupos Lendu y Hema, con frecuencia caracterizados como un conflicto entre los agricultores y los pastores locales. Es verdad que a menudo hay una competencia (violenta) por la tierra y el pastoreo. Pero también es cierto que los sucesivos gobiernos </w:t>
      </w:r>
      <w:hyperlink r:id="rId84" w:history="1">
        <w:r w:rsidRPr="000A1A59">
          <w:rPr>
            <w:rFonts w:ascii="Times New Roman" w:eastAsia="Times New Roman" w:hAnsi="Times New Roman" w:cs="Times New Roman"/>
            <w:sz w:val="24"/>
            <w:szCs w:val="24"/>
          </w:rPr>
          <w:t>tienen una larga historia de movilizar los grupos étnicos que compiten entre sí para su propio beneficio personal</w:t>
        </w:r>
      </w:hyperlink>
      <w:r w:rsidRPr="000A1A59">
        <w:rPr>
          <w:rFonts w:ascii="Times New Roman" w:eastAsia="Times New Roman" w:hAnsi="Times New Roman" w:cs="Times New Roman"/>
          <w:sz w:val="24"/>
          <w:szCs w:val="24"/>
        </w:rPr>
        <w:t>, en particular para debilitar a la oposición. Las élites con base en todas partes desde la capital nacional, Kinshasa, hasta ciudades provinciales como Bunia han movilizado a la milicia étnica para influir en las elecciones y controlar las lucrativas explotaciones mineras en toda la región.</w:t>
      </w:r>
    </w:p>
    <w:p w:rsidR="000A1A59" w:rsidRPr="00DE3FC5" w:rsidRDefault="000A1A59" w:rsidP="000A1A59">
      <w:pPr>
        <w:spacing w:after="0" w:line="240" w:lineRule="auto"/>
        <w:jc w:val="both"/>
        <w:rPr>
          <w:rFonts w:ascii="Times New Roman" w:eastAsia="Times New Roman" w:hAnsi="Times New Roman" w:cs="Times New Roman"/>
          <w:color w:val="141414"/>
          <w:sz w:val="24"/>
          <w:szCs w:val="24"/>
        </w:rPr>
      </w:pPr>
      <w:r w:rsidRPr="00DE3FC5">
        <w:rPr>
          <w:rFonts w:ascii="Times New Roman" w:eastAsia="Times New Roman" w:hAnsi="Times New Roman" w:cs="Times New Roman"/>
          <w:noProof/>
          <w:color w:val="141414"/>
          <w:sz w:val="24"/>
          <w:szCs w:val="24"/>
          <w:lang w:val="en-GB" w:eastAsia="en-GB"/>
        </w:rPr>
        <w:lastRenderedPageBreak/>
        <w:drawing>
          <wp:inline distT="0" distB="0" distL="0" distR="0">
            <wp:extent cx="5575300" cy="3276600"/>
            <wp:effectExtent l="0" t="0" r="6350" b="0"/>
            <wp:docPr id="41" name="Imagen 4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5300" cy="3276600"/>
                    </a:xfrm>
                    <a:prstGeom prst="rect">
                      <a:avLst/>
                    </a:prstGeom>
                    <a:noFill/>
                    <a:ln>
                      <a:noFill/>
                    </a:ln>
                  </pic:spPr>
                </pic:pic>
              </a:graphicData>
            </a:graphic>
          </wp:inline>
        </w:drawing>
      </w:r>
    </w:p>
    <w:p w:rsidR="000A1A59" w:rsidRPr="00DE3FC5" w:rsidRDefault="000A1A59" w:rsidP="000A1A59">
      <w:pPr>
        <w:spacing w:after="0" w:line="240" w:lineRule="auto"/>
        <w:jc w:val="both"/>
        <w:rPr>
          <w:rFonts w:ascii="Times New Roman" w:eastAsia="Times New Roman" w:hAnsi="Times New Roman" w:cs="Times New Roman"/>
          <w:sz w:val="24"/>
          <w:szCs w:val="24"/>
        </w:rPr>
      </w:pPr>
      <w:r w:rsidRPr="00DE3FC5">
        <w:rPr>
          <w:rFonts w:ascii="Times New Roman" w:eastAsia="Times New Roman" w:hAnsi="Times New Roman" w:cs="Times New Roman"/>
          <w:sz w:val="24"/>
          <w:szCs w:val="24"/>
        </w:rPr>
        <w:t>Imagen: Informe mundial sobre la violencia en el mundo. Editado por Etienne G. Krug, Linda L. Dahlberg, James A. Mercy, Anthony B. Zwi y Rafael Lozano/ OMS</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DE3FC5">
        <w:rPr>
          <w:rFonts w:ascii="Times New Roman" w:eastAsia="Times New Roman" w:hAnsi="Times New Roman" w:cs="Times New Roman"/>
          <w:color w:val="FF0000"/>
          <w:sz w:val="24"/>
          <w:szCs w:val="24"/>
          <w:u w:val="single"/>
        </w:rPr>
        <w:t>En conjunto, la violencia organizada es una de las maneras más estratégicas, eficientes y lógicas para las élites políticas y criminales para mantener su poder. Como la mayoría de los mediadores de paz saben, se implementa para reforzar el poder de negociación y retener el control de los lucrativos dividendos políticos y económicos. Esto explica por qué las elecciones en muchos países están acompañadas con frecuencia de un aluvión de violencia, gran parte de la cual es montada por una turba alquilada</w:t>
      </w:r>
      <w:r w:rsidRPr="00DE3FC5">
        <w:rPr>
          <w:rFonts w:ascii="Times New Roman" w:eastAsia="Times New Roman" w:hAnsi="Times New Roman" w:cs="Times New Roman"/>
          <w:color w:val="141414"/>
          <w:sz w:val="24"/>
          <w:szCs w:val="24"/>
        </w:rPr>
        <w:t xml:space="preserve">. Del mismo modo, la violencia comunitaria o étnica es con frecuencia orquestada por las élites, incluso si se describe en los canales de noticias como un estallido de odio instintivo. </w:t>
      </w:r>
      <w:r w:rsidRPr="00DE3FC5">
        <w:rPr>
          <w:rFonts w:ascii="Times New Roman" w:eastAsia="Times New Roman" w:hAnsi="Times New Roman" w:cs="Times New Roman"/>
          <w:color w:val="FF0000"/>
          <w:sz w:val="24"/>
          <w:szCs w:val="24"/>
          <w:u w:val="single"/>
        </w:rPr>
        <w:t>Las élites habitualmente contratan su acumulación de poder a empresarios de la violencia ideológicamente dúctiles, desde la milicia hasta la mafia. La incapacidad y la renuencia de muchas élites en invertir para mejorar los servicios públicos básicos, desde la seguridad hasta el bienestar social, asegura una reserva dispuesta de reclutas.</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141414"/>
          <w:sz w:val="24"/>
          <w:szCs w:val="24"/>
        </w:rPr>
      </w:pPr>
      <w:r w:rsidRPr="00DE3FC5">
        <w:rPr>
          <w:rFonts w:ascii="Times New Roman" w:eastAsia="Times New Roman" w:hAnsi="Times New Roman" w:cs="Times New Roman"/>
          <w:color w:val="141414"/>
          <w:sz w:val="24"/>
          <w:szCs w:val="24"/>
        </w:rPr>
        <w:t xml:space="preserve">Mientras que el aumento del malestar puede ser una consecuencia de las decisiones racionales, tiene secuelas altamente destructivas. </w:t>
      </w:r>
      <w:r w:rsidRPr="00DE3FC5">
        <w:rPr>
          <w:rFonts w:ascii="Times New Roman" w:eastAsia="Times New Roman" w:hAnsi="Times New Roman" w:cs="Times New Roman"/>
          <w:color w:val="141414"/>
          <w:sz w:val="24"/>
          <w:szCs w:val="24"/>
          <w:u w:val="single"/>
        </w:rPr>
        <w:t xml:space="preserve">Como puede verse en lugares como Afganistán y Libia o Brasil y </w:t>
      </w:r>
      <w:r w:rsidRPr="000A1A59">
        <w:rPr>
          <w:rFonts w:ascii="Times New Roman" w:eastAsia="Times New Roman" w:hAnsi="Times New Roman" w:cs="Times New Roman"/>
          <w:sz w:val="24"/>
          <w:szCs w:val="24"/>
          <w:u w:val="single"/>
        </w:rPr>
        <w:t>México, </w:t>
      </w:r>
      <w:hyperlink r:id="rId86" w:history="1">
        <w:r w:rsidRPr="000A1A59">
          <w:rPr>
            <w:rFonts w:ascii="Times New Roman" w:eastAsia="Times New Roman" w:hAnsi="Times New Roman" w:cs="Times New Roman"/>
            <w:sz w:val="24"/>
            <w:szCs w:val="24"/>
            <w:u w:val="single"/>
          </w:rPr>
          <w:t>los grupos de milicias fuertemente armados se están convirtiendo en participantes poderosos</w:t>
        </w:r>
      </w:hyperlink>
      <w:r w:rsidRPr="000A1A59">
        <w:rPr>
          <w:rFonts w:ascii="Times New Roman" w:eastAsia="Times New Roman" w:hAnsi="Times New Roman" w:cs="Times New Roman"/>
          <w:sz w:val="24"/>
          <w:szCs w:val="24"/>
          <w:u w:val="single"/>
        </w:rPr>
        <w:t xml:space="preserve"> por sí mismos. Y mientras que las élites con frecuencia reclutan estas bandas armadas </w:t>
      </w:r>
      <w:r w:rsidRPr="00DE3FC5">
        <w:rPr>
          <w:rFonts w:ascii="Times New Roman" w:eastAsia="Times New Roman" w:hAnsi="Times New Roman" w:cs="Times New Roman"/>
          <w:color w:val="141414"/>
          <w:sz w:val="24"/>
          <w:szCs w:val="24"/>
          <w:u w:val="single"/>
        </w:rPr>
        <w:t>para obedecer sus órdenes, sus tropas a menudo están motivadas por frustraciones legítimas y se dedican a actividades lícitas e ilícitas</w:t>
      </w:r>
      <w:r w:rsidRPr="00DE3FC5">
        <w:rPr>
          <w:rFonts w:ascii="Times New Roman" w:eastAsia="Times New Roman" w:hAnsi="Times New Roman" w:cs="Times New Roman"/>
          <w:color w:val="141414"/>
          <w:sz w:val="24"/>
          <w:szCs w:val="24"/>
        </w:rPr>
        <w:t xml:space="preserve">. </w:t>
      </w:r>
      <w:r w:rsidRPr="00DE3FC5">
        <w:rPr>
          <w:rFonts w:ascii="Times New Roman" w:eastAsia="Times New Roman" w:hAnsi="Times New Roman" w:cs="Times New Roman"/>
          <w:color w:val="141414"/>
          <w:sz w:val="24"/>
          <w:szCs w:val="24"/>
          <w:u w:val="single"/>
        </w:rPr>
        <w:t>Algunos pueden ser matones: jóvenes excluidos de la fuerza laboral formal con una baja adhesión a alguna causa específica. Otros pueden ser más coherentes y organizados, y haber desarrollado marcas atractivas que trascienden los límites tradicionales de clase, etnia o secta.</w:t>
      </w:r>
      <w:r w:rsidRPr="00DE3FC5">
        <w:rPr>
          <w:rFonts w:ascii="Times New Roman" w:eastAsia="Times New Roman" w:hAnsi="Times New Roman" w:cs="Times New Roman"/>
          <w:color w:val="141414"/>
          <w:sz w:val="24"/>
          <w:szCs w:val="24"/>
        </w:rPr>
        <w:t xml:space="preserve"> Consideremos a Al-Qaeda, Boko Haram, Al-Shabab o ISIS; cada uno ha atraído a una gran diversidad de seguidores, a menudo al expandir sus huellas digitales.Muchas de las organizaciones de ayuda aún no se enfocan en el rol de las élites en perpetuar un </w:t>
      </w:r>
      <w:r w:rsidRPr="00DE3FC5">
        <w:rPr>
          <w:rFonts w:ascii="Times New Roman" w:eastAsia="Times New Roman" w:hAnsi="Times New Roman" w:cs="Times New Roman"/>
          <w:i/>
          <w:iCs/>
          <w:color w:val="141414"/>
          <w:sz w:val="24"/>
          <w:szCs w:val="24"/>
        </w:rPr>
        <w:t>statu quo</w:t>
      </w:r>
      <w:r w:rsidRPr="00DE3FC5">
        <w:rPr>
          <w:rFonts w:ascii="Times New Roman" w:eastAsia="Times New Roman" w:hAnsi="Times New Roman" w:cs="Times New Roman"/>
          <w:color w:val="141414"/>
          <w:sz w:val="24"/>
          <w:szCs w:val="24"/>
        </w:rPr>
        <w:t> violento. Parte de la razón es que es muy “político” y podría meterlos en problemas rápidamente.</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DE3FC5">
        <w:rPr>
          <w:rFonts w:ascii="Times New Roman" w:eastAsia="Times New Roman" w:hAnsi="Times New Roman" w:cs="Times New Roman"/>
          <w:color w:val="141414"/>
          <w:sz w:val="24"/>
          <w:szCs w:val="24"/>
        </w:rPr>
        <w:lastRenderedPageBreak/>
        <w:t xml:space="preserve">En su lugar, el énfasis ha sido trabajar con los reclutas y desarrollar modos de desarmarlos, desmovilizarlos y reintegrarlos. </w:t>
      </w:r>
      <w:r w:rsidRPr="00DE3FC5">
        <w:rPr>
          <w:rFonts w:ascii="Times New Roman" w:eastAsia="Times New Roman" w:hAnsi="Times New Roman" w:cs="Times New Roman"/>
          <w:color w:val="141414"/>
          <w:sz w:val="24"/>
          <w:szCs w:val="24"/>
          <w:u w:val="single"/>
        </w:rPr>
        <w:t>Por su parte, los investigadores de conflicto con frecuencia han trazado una línea entre la pobreza, el subdesarrollo y los agravios históricos y la aparición y duración de la violencia organizada contemporánea. Una serie de teorías surgieron para explicar las causas estructurales subyacentes de las guerras civiles en particular, muchas de las cuales están fundamentadas por las nociones de </w:t>
      </w:r>
      <w:hyperlink r:id="rId87" w:history="1">
        <w:r w:rsidRPr="000A1A59">
          <w:rPr>
            <w:rFonts w:ascii="Times New Roman" w:eastAsia="Times New Roman" w:hAnsi="Times New Roman" w:cs="Times New Roman"/>
            <w:sz w:val="24"/>
            <w:szCs w:val="24"/>
            <w:u w:val="single"/>
          </w:rPr>
          <w:t>ambición y agravios</w:t>
        </w:r>
      </w:hyperlink>
      <w:r w:rsidRPr="000A1A59">
        <w:rPr>
          <w:rFonts w:ascii="Times New Roman" w:eastAsia="Times New Roman" w:hAnsi="Times New Roman" w:cs="Times New Roman"/>
          <w:sz w:val="24"/>
          <w:szCs w:val="24"/>
          <w:u w:val="single"/>
        </w:rPr>
        <w:t> y las </w:t>
      </w:r>
      <w:hyperlink r:id="rId88" w:history="1">
        <w:r w:rsidRPr="000A1A59">
          <w:rPr>
            <w:rFonts w:ascii="Times New Roman" w:eastAsia="Times New Roman" w:hAnsi="Times New Roman" w:cs="Times New Roman"/>
            <w:sz w:val="24"/>
            <w:szCs w:val="24"/>
            <w:u w:val="single"/>
          </w:rPr>
          <w:t>“débiles” capacidades</w:t>
        </w:r>
      </w:hyperlink>
      <w:r w:rsidRPr="000A1A59">
        <w:rPr>
          <w:rFonts w:ascii="Times New Roman" w:eastAsia="Times New Roman" w:hAnsi="Times New Roman" w:cs="Times New Roman"/>
          <w:sz w:val="24"/>
          <w:szCs w:val="24"/>
          <w:u w:val="single"/>
        </w:rPr>
        <w:t> de los países en desarrollo. Una conclusión fue que los conflictos ocurren porque los estados frágiles simplemente carecen de recursos. La idea de que </w:t>
      </w:r>
      <w:hyperlink r:id="rId89" w:history="1">
        <w:r w:rsidRPr="000A1A59">
          <w:rPr>
            <w:rFonts w:ascii="Times New Roman" w:eastAsia="Times New Roman" w:hAnsi="Times New Roman" w:cs="Times New Roman"/>
            <w:sz w:val="24"/>
            <w:szCs w:val="24"/>
            <w:u w:val="single"/>
          </w:rPr>
          <w:t>los países más pobres</w:t>
        </w:r>
      </w:hyperlink>
      <w:r>
        <w:rPr>
          <w:rFonts w:ascii="Times New Roman" w:eastAsia="Times New Roman" w:hAnsi="Times New Roman" w:cs="Times New Roman"/>
          <w:sz w:val="24"/>
          <w:szCs w:val="24"/>
          <w:u w:val="single"/>
        </w:rPr>
        <w:t> -y la gente pobre-</w:t>
      </w:r>
      <w:r w:rsidRPr="000A1A59">
        <w:rPr>
          <w:rFonts w:ascii="Times New Roman" w:eastAsia="Times New Roman" w:hAnsi="Times New Roman" w:cs="Times New Roman"/>
          <w:sz w:val="24"/>
          <w:szCs w:val="24"/>
          <w:u w:val="single"/>
        </w:rPr>
        <w:t xml:space="preserve"> son los principales perpetradores y víctimas </w:t>
      </w:r>
      <w:r w:rsidRPr="00DE3FC5">
        <w:rPr>
          <w:rFonts w:ascii="Times New Roman" w:eastAsia="Times New Roman" w:hAnsi="Times New Roman" w:cs="Times New Roman"/>
          <w:color w:val="141414"/>
          <w:sz w:val="24"/>
          <w:szCs w:val="24"/>
          <w:u w:val="single"/>
        </w:rPr>
        <w:t xml:space="preserve">de la violencia ha demostrado ser sorprendentemente sólida. </w:t>
      </w:r>
      <w:r w:rsidRPr="00DE3FC5">
        <w:rPr>
          <w:rFonts w:ascii="Times New Roman" w:eastAsia="Times New Roman" w:hAnsi="Times New Roman" w:cs="Times New Roman"/>
          <w:color w:val="FF0000"/>
          <w:sz w:val="24"/>
          <w:szCs w:val="24"/>
          <w:u w:val="single"/>
        </w:rPr>
        <w:t>Hay solo un problema: no es verdad.</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141414"/>
          <w:sz w:val="24"/>
          <w:szCs w:val="24"/>
        </w:rPr>
      </w:pPr>
      <w:r w:rsidRPr="00DE3FC5">
        <w:rPr>
          <w:rFonts w:ascii="Times New Roman" w:eastAsia="Times New Roman" w:hAnsi="Times New Roman" w:cs="Times New Roman"/>
          <w:color w:val="FF0000"/>
          <w:sz w:val="24"/>
          <w:szCs w:val="24"/>
          <w:u w:val="single"/>
        </w:rPr>
        <w:t>Una reinterpretación más convincente es que la violencia organizada está motivada, financiada y dirigida por los ricos e influyentes. En su mayoría, las élites provocan la violencia, son responsables de terminar la violencia y se benefician directamente de su uso.</w:t>
      </w:r>
      <w:r w:rsidRPr="00DE3FC5">
        <w:rPr>
          <w:rFonts w:ascii="Times New Roman" w:eastAsia="Times New Roman" w:hAnsi="Times New Roman" w:cs="Times New Roman"/>
          <w:color w:val="141414"/>
          <w:sz w:val="24"/>
          <w:szCs w:val="24"/>
          <w:u w:val="single"/>
        </w:rPr>
        <w:t>Las élites no solo son fundamentales para moldear la incidencia y la intensidad del conflicto armado, sino todo, desde la represión estatal hasta el crimen organizado. Al mirarlo de esta manera, se hace enseguida evidente que la violencia organizada está difícilmente circunscrita a los países y las comunidades subdesarrolladas</w:t>
      </w:r>
      <w:r w:rsidRPr="00DE3FC5">
        <w:rPr>
          <w:rFonts w:ascii="Times New Roman" w:eastAsia="Times New Roman" w:hAnsi="Times New Roman" w:cs="Times New Roman"/>
          <w:color w:val="141414"/>
          <w:sz w:val="24"/>
          <w:szCs w:val="24"/>
        </w:rPr>
        <w:t xml:space="preserve">. </w:t>
      </w:r>
      <w:r w:rsidRPr="00DE3FC5">
        <w:rPr>
          <w:rFonts w:ascii="Times New Roman" w:eastAsia="Times New Roman" w:hAnsi="Times New Roman" w:cs="Times New Roman"/>
          <w:color w:val="FF0000"/>
          <w:sz w:val="24"/>
          <w:szCs w:val="24"/>
          <w:u w:val="single"/>
        </w:rPr>
        <w:t>De hecho, el ejercicio violento del poder por parte de las élites es endémico también a lo largo de </w:t>
      </w:r>
      <w:hyperlink r:id="rId90" w:history="1">
        <w:r w:rsidRPr="004D4E12">
          <w:rPr>
            <w:rFonts w:ascii="Times New Roman" w:eastAsia="Times New Roman" w:hAnsi="Times New Roman" w:cs="Times New Roman"/>
            <w:color w:val="FF0000"/>
            <w:sz w:val="24"/>
            <w:szCs w:val="24"/>
            <w:u w:val="single"/>
          </w:rPr>
          <w:t>estados y ciudades de ingresos medios y altos</w:t>
        </w:r>
      </w:hyperlink>
      <w:r w:rsidRPr="00DE3FC5">
        <w:rPr>
          <w:rFonts w:ascii="Times New Roman" w:eastAsia="Times New Roman" w:hAnsi="Times New Roman" w:cs="Times New Roman"/>
          <w:color w:val="FF0000"/>
          <w:sz w:val="24"/>
          <w:szCs w:val="24"/>
          <w:u w:val="single"/>
        </w:rPr>
        <w:t>.</w:t>
      </w:r>
      <w:r w:rsidRPr="00DE3FC5">
        <w:rPr>
          <w:rFonts w:ascii="Times New Roman" w:eastAsia="Times New Roman" w:hAnsi="Times New Roman" w:cs="Times New Roman"/>
          <w:color w:val="141414"/>
          <w:sz w:val="24"/>
          <w:szCs w:val="24"/>
        </w:rPr>
        <w:t xml:space="preserve"> Son asesinadas casi la misma cantidad de personas en manos de agentes policiales y paramilitares en América Latina y el sudeste de Asia, por ejemplo, que civiles en zonas de guerra a lo largo de toda África. </w:t>
      </w:r>
      <w:r w:rsidRPr="00DE3FC5">
        <w:rPr>
          <w:rFonts w:ascii="Times New Roman" w:eastAsia="Times New Roman" w:hAnsi="Times New Roman" w:cs="Times New Roman"/>
          <w:color w:val="FF0000"/>
          <w:sz w:val="24"/>
          <w:szCs w:val="24"/>
          <w:u w:val="single"/>
        </w:rPr>
        <w:t>La idea de que la violencia organizada es prolífica en los niveles más adinerados no es un mensaje que los responsables políticos deseen escuchar. </w:t>
      </w:r>
      <w:r w:rsidRPr="00DE3FC5">
        <w:rPr>
          <w:rFonts w:ascii="Times New Roman" w:eastAsia="Times New Roman" w:hAnsi="Times New Roman" w:cs="Times New Roman"/>
          <w:color w:val="FF0000"/>
          <w:sz w:val="24"/>
          <w:szCs w:val="24"/>
          <w:u w:val="single"/>
        </w:rPr>
        <w:br/>
      </w:r>
      <w:r w:rsidRPr="00DE3FC5">
        <w:rPr>
          <w:rFonts w:ascii="Times New Roman" w:eastAsia="Times New Roman" w:hAnsi="Times New Roman" w:cs="Times New Roman"/>
          <w:color w:val="141414"/>
          <w:sz w:val="24"/>
          <w:szCs w:val="24"/>
        </w:rPr>
        <w:br/>
        <w:t xml:space="preserve">Si vamos a prevenir y reducir la violencia organizada, debemos repensar cómo se define. Durante los últimos cincuenta años, los estudiosos lógicamente se han enfocado en sus manifestaciones más visibles y trágicas, en particular, las muertes de soldados y civiles en las zonas de guerra alrededor del mundo. A medida que las guerras internacionales a gran escala comenzaron a declinar, los investigadores se volcaron a las guerras civiles y el terrorismo, en especial en África, el Medio Oriente, Asia y América Latina. Así, el conflicto y el terrorismo han sido tratados como un problema de los países en desarrollo. En su mayoría, la represión estatal y el crimen organizado fueron tratados como categorías completamente separadas y, hasta hace bastante poco, sometidas a mucho menos escrutinio. Aún hoy en día, los estados y los criminales matan muchas más personas que los conflictos armados y el terrorismo. En 2017, </w:t>
      </w:r>
      <w:r w:rsidRPr="000A1A59">
        <w:rPr>
          <w:rFonts w:ascii="Times New Roman" w:eastAsia="Times New Roman" w:hAnsi="Times New Roman" w:cs="Times New Roman"/>
          <w:sz w:val="24"/>
          <w:szCs w:val="24"/>
        </w:rPr>
        <w:t>por ejemplo, </w:t>
      </w:r>
      <w:hyperlink r:id="rId91" w:history="1">
        <w:r w:rsidRPr="000A1A59">
          <w:rPr>
            <w:rFonts w:ascii="Times New Roman" w:eastAsia="Times New Roman" w:hAnsi="Times New Roman" w:cs="Times New Roman"/>
            <w:sz w:val="24"/>
            <w:szCs w:val="24"/>
          </w:rPr>
          <w:t>Brasil registró más muertes violentas que la cantidad de bajas en Afganistán, Siria y Yemen</w:t>
        </w:r>
      </w:hyperlink>
      <w:r w:rsidRPr="000A1A59">
        <w:rPr>
          <w:rFonts w:ascii="Times New Roman" w:eastAsia="Times New Roman" w:hAnsi="Times New Roman" w:cs="Times New Roman"/>
          <w:sz w:val="24"/>
          <w:szCs w:val="24"/>
        </w:rPr>
        <w:t> juntas. Una interpretación más amplia de la violencia organizada es el primer paso para pensar en soluciones.</w:t>
      </w:r>
    </w:p>
    <w:p w:rsidR="000A1A59" w:rsidRPr="00DE3FC5" w:rsidRDefault="000A1A59" w:rsidP="000A1A59">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DE3FC5">
        <w:rPr>
          <w:rFonts w:ascii="Times New Roman" w:eastAsia="Times New Roman" w:hAnsi="Times New Roman" w:cs="Times New Roman"/>
          <w:color w:val="FF0000"/>
          <w:sz w:val="24"/>
          <w:szCs w:val="24"/>
          <w:u w:val="single"/>
        </w:rPr>
        <w:t xml:space="preserve">Poder abordar la violencia organizada que se está propagando actualmente necesitará revertir antiguos supuestos y prejuicios peligrosos. Mientras que la pobreza absoluta y las enemistades históricas profundamente arraigadas pueden contribuir a exacerbar y prolongar la violencia organizada, puede ser más valioso enfocarse en la búsqueda de poder político y económico de la élite como factor explicativo. Para estar seguros, otros factores (como la demografía de un país, su composición social y nivel de desarrollo) indudablemente moldearán la experiencia y las trayectorias de la violencia organizada. Pero el camino más seguro para compensar las “causas fundamentales” del conflicto armado, el terrorismo, la represión estatal y el crimen organizado es desarrollar interpretaciones más sofisticadas de las políticas domésticas y de la competencia pura entre élites. A pesar de que echar luz sobre las </w:t>
      </w:r>
      <w:r w:rsidRPr="00DE3FC5">
        <w:rPr>
          <w:rFonts w:ascii="Times New Roman" w:eastAsia="Times New Roman" w:hAnsi="Times New Roman" w:cs="Times New Roman"/>
          <w:color w:val="FF0000"/>
          <w:sz w:val="24"/>
          <w:szCs w:val="24"/>
          <w:u w:val="single"/>
        </w:rPr>
        <w:lastRenderedPageBreak/>
        <w:t>relaciones de poder establecidas puede ser amenazante para algunos, es crucial desarrollar estrategias para interrumpir la violencia organizada en el largo plazo.</w:t>
      </w:r>
    </w:p>
    <w:p w:rsidR="000A1A59" w:rsidRPr="000A1A59" w:rsidRDefault="000A1A59" w:rsidP="000A1A59">
      <w:pPr>
        <w:spacing w:before="100" w:beforeAutospacing="1" w:after="100" w:afterAutospacing="1" w:line="240" w:lineRule="auto"/>
        <w:jc w:val="both"/>
        <w:rPr>
          <w:rFonts w:ascii="Times New Roman" w:eastAsia="Times New Roman" w:hAnsi="Times New Roman" w:cs="Times New Roman"/>
          <w:sz w:val="24"/>
          <w:szCs w:val="24"/>
        </w:rPr>
      </w:pPr>
      <w:r w:rsidRPr="000A1A59">
        <w:rPr>
          <w:rFonts w:ascii="Times New Roman" w:eastAsia="Times New Roman" w:hAnsi="Times New Roman" w:cs="Times New Roman"/>
          <w:bCs/>
          <w:iCs/>
          <w:sz w:val="24"/>
          <w:szCs w:val="24"/>
        </w:rPr>
        <w:t>(</w:t>
      </w:r>
      <w:hyperlink r:id="rId92" w:history="1">
        <w:r w:rsidRPr="000A1A59">
          <w:rPr>
            <w:rFonts w:ascii="Times New Roman" w:eastAsia="Times New Roman" w:hAnsi="Times New Roman" w:cs="Times New Roman"/>
            <w:bCs/>
            <w:iCs/>
            <w:sz w:val="24"/>
            <w:szCs w:val="24"/>
          </w:rPr>
          <w:t>Robert Muggah</w:t>
        </w:r>
      </w:hyperlink>
      <w:r w:rsidRPr="000A1A59">
        <w:rPr>
          <w:rFonts w:ascii="Times New Roman" w:eastAsia="Times New Roman" w:hAnsi="Times New Roman" w:cs="Times New Roman"/>
          <w:bCs/>
          <w:iCs/>
          <w:sz w:val="24"/>
          <w:szCs w:val="24"/>
        </w:rPr>
        <w:t>, cofundador, Instituto Igarapé y Grupo SecDev</w:t>
      </w:r>
      <w:r w:rsidRPr="000A1A59">
        <w:rPr>
          <w:rFonts w:ascii="Times New Roman" w:eastAsia="Times New Roman" w:hAnsi="Times New Roman" w:cs="Times New Roman"/>
          <w:sz w:val="24"/>
          <w:szCs w:val="24"/>
        </w:rPr>
        <w:t xml:space="preserve"> - </w:t>
      </w:r>
      <w:hyperlink r:id="rId93" w:history="1">
        <w:r w:rsidRPr="000A1A59">
          <w:rPr>
            <w:rFonts w:ascii="Times New Roman" w:eastAsia="Times New Roman" w:hAnsi="Times New Roman" w:cs="Times New Roman"/>
            <w:bCs/>
            <w:iCs/>
            <w:sz w:val="24"/>
            <w:szCs w:val="24"/>
          </w:rPr>
          <w:t>Clionadh Raleigh</w:t>
        </w:r>
      </w:hyperlink>
      <w:r w:rsidRPr="000A1A59">
        <w:rPr>
          <w:rFonts w:ascii="Times New Roman" w:eastAsia="Times New Roman" w:hAnsi="Times New Roman" w:cs="Times New Roman"/>
          <w:bCs/>
          <w:iCs/>
          <w:sz w:val="24"/>
          <w:szCs w:val="24"/>
        </w:rPr>
        <w:t>, profesor de Geografía Política y Conflicto, Universidad de Sussex)</w:t>
      </w:r>
    </w:p>
    <w:p w:rsidR="000A1A59" w:rsidRPr="002050DB" w:rsidRDefault="000A1A59" w:rsidP="000A1A59">
      <w:pPr>
        <w:pStyle w:val="NormalWeb"/>
        <w:jc w:val="both"/>
        <w:rPr>
          <w:color w:val="FF0000"/>
        </w:rPr>
      </w:pPr>
      <w:r w:rsidRPr="002050DB">
        <w:t xml:space="preserve">- </w:t>
      </w:r>
      <w:r w:rsidRPr="002050DB">
        <w:rPr>
          <w:u w:val="single"/>
        </w:rPr>
        <w:t>La gran apuesta de Macron</w:t>
      </w:r>
      <w:r w:rsidRPr="002050DB">
        <w:t xml:space="preserve"> (Project Syndicate - </w:t>
      </w:r>
      <w:r w:rsidRPr="002050DB">
        <w:rPr>
          <w:b/>
        </w:rPr>
        <w:t>19/1/19</w:t>
      </w:r>
      <w:r w:rsidRPr="002050DB">
        <w:t xml:space="preserve">) </w:t>
      </w:r>
    </w:p>
    <w:p w:rsidR="000A1A59" w:rsidRPr="00ED6E3F" w:rsidRDefault="000A1A59" w:rsidP="000A1A59">
      <w:pPr>
        <w:pStyle w:val="NormalWeb"/>
        <w:jc w:val="both"/>
        <w:rPr>
          <w:u w:val="single"/>
        </w:rPr>
      </w:pPr>
      <w:r w:rsidRPr="0048591C">
        <w:t>T</w:t>
      </w:r>
      <w:r>
        <w:t>oulouse.-</w:t>
      </w:r>
      <w:r w:rsidRPr="00ED6E3F">
        <w:rPr>
          <w:u w:val="single"/>
        </w:rPr>
        <w:t>La reacción del presidente francés, Emmanuel Macron, a la revuelta en curso de los “Chalecos Amarillos” en Francia ha sido la decisión de llevar a cabo un “gran” debate nacional. En los próximos meses, talleres organizados localmente, consultas basadas en Internet y conferencias de ciudadanos regionales evaluarán las opiniones del público francés sobre cuatro cuestiones: política medioambiental, democracia e identidad, impuestos y la organización del estado.</w:t>
      </w:r>
    </w:p>
    <w:p w:rsidR="000A1A59" w:rsidRPr="0048591C" w:rsidRDefault="000A1A59" w:rsidP="000A1A59">
      <w:pPr>
        <w:pStyle w:val="NormalWeb"/>
        <w:jc w:val="both"/>
      </w:pPr>
      <w:r w:rsidRPr="00ED6E3F">
        <w:rPr>
          <w:u w:val="single"/>
        </w:rPr>
        <w:t>Pero el plan de Macron enfrenta tres obstáculos. Por empezar, la opinión pública francesa está llena de contradicciones</w:t>
      </w:r>
      <w:r w:rsidRPr="0048591C">
        <w:t>. Los chalecos amarillos, por ejemplo, quieren impuestos más bajos y más servicios públicos. Ninguna de las dos demandas es irrazonable. Pero una estrategia fiscal de estas características tampoco es sostenible en un país donde el gasto público representa el 57% del PIB y donde el ratio de deuda, que oficialmente ya se estima próximo al 100%, no incluye grandes compromisos públicos fuera de balance como la</w:t>
      </w:r>
      <w:r>
        <w:t>s pensiones sin financiamiento.</w:t>
      </w:r>
    </w:p>
    <w:p w:rsidR="000A1A59" w:rsidRPr="0048591C" w:rsidRDefault="000A1A59" w:rsidP="000A1A59">
      <w:pPr>
        <w:pStyle w:val="NormalWeb"/>
        <w:jc w:val="both"/>
      </w:pPr>
      <w:r w:rsidRPr="0048591C">
        <w:t>Para complicar un poco más las cosas, existe un amplio respaldo en Francia tanto de los chalecos amarillos, cuya rebelión comenzó con un reclamo en rechazo de un impuesto al carbono sobre el consumo de combustible, como de una iniciativa para demandar al gobierno francés por no ocuparse d</w:t>
      </w:r>
      <w:r>
        <w:t>el cambio climático.</w:t>
      </w:r>
    </w:p>
    <w:p w:rsidR="000A1A59" w:rsidRPr="00ED6E3F" w:rsidRDefault="000A1A59" w:rsidP="000A1A59">
      <w:pPr>
        <w:pStyle w:val="NormalWeb"/>
        <w:jc w:val="both"/>
        <w:rPr>
          <w:u w:val="single"/>
        </w:rPr>
      </w:pPr>
      <w:r w:rsidRPr="0048591C">
        <w:t xml:space="preserve">Es más, cuando </w:t>
      </w:r>
      <w:r w:rsidRPr="00ED6E3F">
        <w:rPr>
          <w:u w:val="single"/>
        </w:rPr>
        <w:t>los chalecos amarillos se quejan de la desigualdad</w:t>
      </w:r>
      <w:r w:rsidRPr="0048591C">
        <w:t>, tienden a focalizarse en la eliminación por parte de Macron del impuesto al patrimonio, que anteriormente aportaba 5.000 millones de euros (5.70</w:t>
      </w:r>
      <w:r w:rsidR="00732791">
        <w:t>0 millones de dólares) por año -</w:t>
      </w:r>
      <w:r w:rsidRPr="0048591C">
        <w:t xml:space="preserve">una miseria en comparación con los 188.000 millones de euros (214.000 millones de dólares) generados anualmente por el impuesto al valor agregado (VAT)-. O se quejan de los salarios de los altos funcionarios del gobierno. </w:t>
      </w:r>
      <w:r w:rsidRPr="00ED6E3F">
        <w:rPr>
          <w:u w:val="single"/>
        </w:rPr>
        <w:t>Pero no ofrecen ninguna propuesta concreta que encare los dos factores clave que generan la desigualdad en Francia: la educación y el acceso al mercado laboral.</w:t>
      </w:r>
    </w:p>
    <w:p w:rsidR="000A1A59" w:rsidRPr="00ED6E3F" w:rsidRDefault="000A1A59" w:rsidP="000A1A59">
      <w:pPr>
        <w:pStyle w:val="NormalWeb"/>
        <w:jc w:val="both"/>
        <w:rPr>
          <w:color w:val="FF0000"/>
          <w:u w:val="single"/>
        </w:rPr>
      </w:pPr>
      <w:r w:rsidRPr="00ED6E3F">
        <w:rPr>
          <w:color w:val="FF0000"/>
          <w:u w:val="single"/>
        </w:rPr>
        <w:t>Según el Programa para la Evaluación Internacional de los Alumnos, la brecha en el desempeño educativo entre los estudiantes de contextos desventajados y el resto de la población es más alto en Francia que en cualquier otro país de la OCDE. Y no sólo la tasa de desempleo de Francia ronda el 10%; su mercado laboral de dos niveles canaliza más del 90% de las nuevas c</w:t>
      </w:r>
      <w:r>
        <w:rPr>
          <w:color w:val="FF0000"/>
          <w:u w:val="single"/>
        </w:rPr>
        <w:t>ontrataciones -</w:t>
      </w:r>
      <w:r w:rsidRPr="00ED6E3F">
        <w:rPr>
          <w:color w:val="FF0000"/>
          <w:u w:val="single"/>
        </w:rPr>
        <w:t>particularmente los trabajadores más jóvenes y no muy capacitados- en contratos cortos y por términos fijos.</w:t>
      </w:r>
    </w:p>
    <w:p w:rsidR="000A1A59" w:rsidRPr="0048591C" w:rsidRDefault="000A1A59" w:rsidP="000A1A59">
      <w:pPr>
        <w:pStyle w:val="NormalWeb"/>
        <w:jc w:val="both"/>
      </w:pPr>
      <w:r w:rsidRPr="00ED6E3F">
        <w:rPr>
          <w:u w:val="single"/>
        </w:rPr>
        <w:t>Además de demandas contradictorias, Macron también tendrá que enfrentar obstáculos arraigados en la percepción pública</w:t>
      </w:r>
      <w:r w:rsidRPr="0048591C">
        <w:t>. La manera en que los ciudadanos franceses ven las condiciones económicas rara vez concuerda con la realidad. Uno muchas veces escucha decir que Francia no es un país particularmente igualitario, donde los ricos no pagan impuestos, donde siempre se perjudica a los jubilados y donde la evasión impositiva y los salarios de los políticos consumen vastos recursos. Ninguno de estos argumentos se sostiene ante un examen a fondo.</w:t>
      </w:r>
    </w:p>
    <w:p w:rsidR="000A1A59" w:rsidRPr="00ED6E3F" w:rsidRDefault="000A1A59" w:rsidP="000A1A59">
      <w:pPr>
        <w:pStyle w:val="NormalWeb"/>
        <w:jc w:val="both"/>
        <w:rPr>
          <w:u w:val="single"/>
        </w:rPr>
      </w:pPr>
      <w:r w:rsidRPr="00ED6E3F">
        <w:rPr>
          <w:u w:val="single"/>
        </w:rPr>
        <w:lastRenderedPageBreak/>
        <w:t>Sin duda, el gobierno de Macron fue demasiado lento a la hora de diseñar medidas compensatorias que contrarresten el impacto combinado de precios más altos del combustible, el aumento programado del impuesto al carbono y el rechazo de subsidios para vehículos diésel. Pero los franceses también lo están culpando por los efectos de políticas irrazonables que se remontan a décadas, incluidos los subsidios al diésel (sostenidos durante más de 20 años para respaldar a la industria automotriz francesa) y medidas para promover las altas rentas de la tierra en zonas urbanas.</w:t>
      </w:r>
    </w:p>
    <w:p w:rsidR="000A1A59" w:rsidRPr="0048591C" w:rsidRDefault="000A1A59" w:rsidP="000A1A59">
      <w:pPr>
        <w:pStyle w:val="NormalWeb"/>
        <w:jc w:val="both"/>
      </w:pPr>
      <w:r w:rsidRPr="00ED6E3F">
        <w:rPr>
          <w:u w:val="single"/>
        </w:rPr>
        <w:t>El tercer obstáculo para el progreso es la violencia</w:t>
      </w:r>
      <w:r w:rsidRPr="0048591C">
        <w:t>. En las últimas semanas, ha habido un asombroso incremento de las amenazas de los chalecos amarillos contra legisladores, periodistas y hasta otros manifestantes como ellos que han expresado un des</w:t>
      </w:r>
      <w:r>
        <w:t>eo de negociar con el gobierno.</w:t>
      </w:r>
    </w:p>
    <w:p w:rsidR="000A1A59" w:rsidRPr="00ED6E3F" w:rsidRDefault="000A1A59" w:rsidP="000A1A59">
      <w:pPr>
        <w:pStyle w:val="NormalWeb"/>
        <w:jc w:val="both"/>
        <w:rPr>
          <w:color w:val="FF0000"/>
          <w:u w:val="single"/>
        </w:rPr>
      </w:pPr>
      <w:r w:rsidRPr="00ED6E3F">
        <w:rPr>
          <w:color w:val="FF0000"/>
          <w:u w:val="single"/>
        </w:rPr>
        <w:t>El gobierno de Macron, por ende, se encuentra entre la espada y la pared. Sin embargo, una consulta pública bien podría generar daños aún mayores. Siglos de historia política sirven como advertencia contra el entusiasmo actual por entablar un “referendo de iniciativa ciudadana”.</w:t>
      </w:r>
    </w:p>
    <w:p w:rsidR="000A1A59" w:rsidRPr="00ED6E3F" w:rsidRDefault="000A1A59" w:rsidP="000A1A59">
      <w:pPr>
        <w:pStyle w:val="NormalWeb"/>
        <w:jc w:val="both"/>
        <w:rPr>
          <w:color w:val="FF0000"/>
          <w:u w:val="single"/>
        </w:rPr>
      </w:pPr>
      <w:r w:rsidRPr="00ED6E3F">
        <w:rPr>
          <w:color w:val="FF0000"/>
          <w:u w:val="single"/>
        </w:rPr>
        <w:t>Después de todo, la mayoría de las democracias han optado por un gobierno representativo, en lugar de un régimen por referendo, y por buenos motivos. Al menos en teoría, los representantes del pueblo pueden dedicar más tiempo a pensar en los pros y contras de las diferentes opciones políticas y tener más acceso que los ciudadanos comunes a una especialización. Y, a diferencia de los ciudadanos que debaten en cafés o en Facebook y Twitter, los argumentos de los representantes electos son escudriñados y revisados públicamente.</w:t>
      </w:r>
    </w:p>
    <w:p w:rsidR="000A1A59" w:rsidRPr="00ED6E3F" w:rsidRDefault="000A1A59" w:rsidP="000A1A59">
      <w:pPr>
        <w:pStyle w:val="NormalWeb"/>
        <w:jc w:val="both"/>
        <w:rPr>
          <w:u w:val="single"/>
        </w:rPr>
      </w:pPr>
      <w:r w:rsidRPr="00ED6E3F">
        <w:rPr>
          <w:u w:val="single"/>
        </w:rPr>
        <w:t xml:space="preserve">Es más, existen buenas razones para delegar ciertas formas de toma de decisiones pública en jueces independientes, bancos centrales y autoridades regulatorias. En la medida que estén aislados del lobby político y de las elecciones, esos actores pueden tener una visión de más largo plazo y proteger los derechos de las minorías. </w:t>
      </w:r>
    </w:p>
    <w:p w:rsidR="000A1A59" w:rsidRPr="00ED6E3F" w:rsidRDefault="000A1A59" w:rsidP="000A1A59">
      <w:pPr>
        <w:pStyle w:val="NormalWeb"/>
        <w:jc w:val="both"/>
        <w:rPr>
          <w:u w:val="single"/>
        </w:rPr>
      </w:pPr>
      <w:r w:rsidRPr="00ED6E3F">
        <w:rPr>
          <w:u w:val="single"/>
        </w:rPr>
        <w:t>Al evitar esos controles, los referendos en Francia podrían abrir la puerta a la derogación de leyes que permiten el aborto, que prohíben la pena capital y que reconocen el matrimonio homosexual. También podría derivar en todo tipo de políticas económicas demagogas –desde una edad jubilatoria más baja hasta medidas anti-inmigrantes o incluso un “Frexit” de la eurozona o de la Unión Europea.</w:t>
      </w:r>
    </w:p>
    <w:p w:rsidR="000A1A59" w:rsidRPr="00ED6E3F" w:rsidRDefault="000A1A59" w:rsidP="000A1A59">
      <w:pPr>
        <w:pStyle w:val="NormalWeb"/>
        <w:jc w:val="both"/>
        <w:rPr>
          <w:u w:val="single"/>
        </w:rPr>
      </w:pPr>
      <w:r w:rsidRPr="00ED6E3F">
        <w:rPr>
          <w:u w:val="single"/>
        </w:rPr>
        <w:t>Por otro lado, si el gobierno de Macron simplemente habla de la boca para afuera respecto de la consulta cívica, el malestar se profundizará; los chalecos amarillos habrán recibido una “confirmación” de que las elites no escuchan cuando los ciudadanos expresan lo que necesitan.</w:t>
      </w:r>
    </w:p>
    <w:p w:rsidR="000A1A59" w:rsidRPr="00ED6E3F" w:rsidRDefault="000A1A59" w:rsidP="000A1A59">
      <w:pPr>
        <w:pStyle w:val="NormalWeb"/>
        <w:jc w:val="both"/>
        <w:rPr>
          <w:color w:val="FF0000"/>
          <w:u w:val="single"/>
        </w:rPr>
      </w:pPr>
      <w:r w:rsidRPr="00ED6E3F">
        <w:rPr>
          <w:color w:val="FF0000"/>
          <w:u w:val="single"/>
        </w:rPr>
        <w:t>¿Qué cosa positiva, entonces, podría surgir de una consulta? Un debate exitoso volvería a comprometer a los franceses en la vida política de su país. En Francia, la toma de decisiones es altamente centralizada, las políticas son uniformes (a pesar de ciertos intentos tímidos de parte del gobierno de Macron de promover la flexibilidad) y la participación cívica es débil. La renuencia por parte de la elite de confiar en los ciudadanos, junto con la propia falta de compromiso y ocasional puerilidad de los ciudadanos, crea una profecía autocumplida.</w:t>
      </w:r>
    </w:p>
    <w:p w:rsidR="000A1A59" w:rsidRPr="00ED6E3F" w:rsidRDefault="000A1A59" w:rsidP="000A1A59">
      <w:pPr>
        <w:pStyle w:val="NormalWeb"/>
        <w:jc w:val="both"/>
        <w:rPr>
          <w:u w:val="single"/>
        </w:rPr>
      </w:pPr>
      <w:r w:rsidRPr="0048591C">
        <w:lastRenderedPageBreak/>
        <w:t>En este contexto, no asombra q</w:t>
      </w:r>
      <w:r>
        <w:t>ue el sentimiento de “existir” -</w:t>
      </w:r>
      <w:r w:rsidRPr="0048591C">
        <w:t xml:space="preserve">de participar en una aventura y que su voz se haga oír en los medios- se ha vuelto una característica palpable de la experiencia de los chalecos amarillos. </w:t>
      </w:r>
      <w:r w:rsidRPr="00ED6E3F">
        <w:rPr>
          <w:u w:val="single"/>
        </w:rPr>
        <w:t>El problema es que la falta de compromiso previa y la mala comprensión de las realidades económicas de los ciudadanos franceses los predispone a formular demandas categóricas, en lugar de presionar por reformas realistas.</w:t>
      </w:r>
    </w:p>
    <w:p w:rsidR="000A1A59" w:rsidRPr="0048591C" w:rsidRDefault="000A1A59" w:rsidP="000A1A59">
      <w:pPr>
        <w:pStyle w:val="NormalWeb"/>
        <w:jc w:val="both"/>
      </w:pPr>
      <w:r w:rsidRPr="00ED6E3F">
        <w:rPr>
          <w:color w:val="FF0000"/>
          <w:u w:val="single"/>
        </w:rPr>
        <w:t>Una consulta correctamente estructurada en la que los ciudadanos franceses reflexionen sobre las ventajas y desventajas, reconozcan datos objetivos y vuelvan a descubrir una sensación de comunidad podría ser un éxito inmenso</w:t>
      </w:r>
      <w:r w:rsidRPr="0048591C">
        <w:t>. Por ejemplo, una vez que todos acepten que existe una tensión entre reducir impuestos y mejorar los servicios públicos, se puede llevar a cabo un debate sobre la mejor manera de alcanzar una c</w:t>
      </w:r>
      <w:r>
        <w:t>ombinación de políticas óptima.</w:t>
      </w:r>
    </w:p>
    <w:p w:rsidR="000A1A59" w:rsidRPr="00ED6E3F" w:rsidRDefault="000A1A59" w:rsidP="000A1A59">
      <w:pPr>
        <w:pStyle w:val="NormalWeb"/>
        <w:jc w:val="both"/>
        <w:rPr>
          <w:u w:val="single"/>
        </w:rPr>
      </w:pPr>
      <w:r w:rsidRPr="00ED6E3F">
        <w:rPr>
          <w:u w:val="single"/>
        </w:rPr>
        <w:t>Se debería poner todo sobre la mesa. Los franceses deben considerar el objetivo de cada uno de los servicios públicos; si esos servicios están cumpliendo sus objetivos, y a un costo razonable; y si existen mejores alternativas a la vista. Esto es lo que hicieron los canadienses y los escandinavos en los años 1990 cuando ellos también enfrentaban sectores públicos disfuncionales, crecientes deudas públicas y un alto desempleo.</w:t>
      </w:r>
    </w:p>
    <w:p w:rsidR="000A1A59" w:rsidRPr="00ED6E3F" w:rsidRDefault="000A1A59" w:rsidP="000A1A59">
      <w:pPr>
        <w:pStyle w:val="NormalWeb"/>
        <w:jc w:val="both"/>
        <w:rPr>
          <w:color w:val="FF0000"/>
          <w:u w:val="single"/>
        </w:rPr>
      </w:pPr>
      <w:r w:rsidRPr="00ED6E3F">
        <w:rPr>
          <w:color w:val="FF0000"/>
          <w:u w:val="single"/>
        </w:rPr>
        <w:t>Francia finalmente está entablando un proceso para modernizar la economía protegiendo a la vez a sus ciudadanos. Pero el país está en una encrucijada y sus ciudadanos todavía podrían arrastrar a su país por el sendero del antiliberalismo y la demagogia.</w:t>
      </w:r>
    </w:p>
    <w:p w:rsidR="000A1A59" w:rsidRPr="0048591C" w:rsidRDefault="000A1A59" w:rsidP="000A1A59">
      <w:pPr>
        <w:pStyle w:val="NormalWeb"/>
        <w:jc w:val="both"/>
        <w:rPr>
          <w:lang w:val="en-US"/>
        </w:rPr>
      </w:pPr>
      <w:r>
        <w:rPr>
          <w:lang w:val="en-US"/>
        </w:rPr>
        <w:t>(</w:t>
      </w:r>
      <w:r w:rsidRPr="0048591C">
        <w:rPr>
          <w:lang w:val="en-US"/>
        </w:rPr>
        <w:t>Jean Tirole, the 2014 Nobel laureate in economics, is Honorary Chairman of the Toulouse School of Economics and Chairman of the Institute for Advanced Study in Toulouse. His most recent book i</w:t>
      </w:r>
      <w:r>
        <w:rPr>
          <w:lang w:val="en-US"/>
        </w:rPr>
        <w:t>s Economics for the Common Good)</w:t>
      </w:r>
    </w:p>
    <w:p w:rsidR="000A1A59" w:rsidRPr="00965E59" w:rsidRDefault="000A1A59" w:rsidP="000A1A5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65E59">
        <w:rPr>
          <w:rFonts w:ascii="Times New Roman" w:hAnsi="Times New Roman" w:cs="Times New Roman"/>
          <w:sz w:val="24"/>
          <w:szCs w:val="24"/>
          <w:u w:val="single"/>
        </w:rPr>
        <w:t>La OCDE alerta del impacto negativo del adelgazamiento de las clases medias</w:t>
      </w:r>
      <w:r>
        <w:rPr>
          <w:rFonts w:ascii="Times New Roman" w:hAnsi="Times New Roman" w:cs="Times New Roman"/>
          <w:sz w:val="24"/>
          <w:szCs w:val="24"/>
        </w:rPr>
        <w:t xml:space="preserve"> (Cinco Días - </w:t>
      </w:r>
      <w:r>
        <w:rPr>
          <w:rFonts w:ascii="Times New Roman" w:hAnsi="Times New Roman" w:cs="Times New Roman"/>
          <w:b/>
          <w:sz w:val="24"/>
          <w:szCs w:val="24"/>
        </w:rPr>
        <w:t>10</w:t>
      </w:r>
      <w:r w:rsidRPr="00965E59">
        <w:rPr>
          <w:rFonts w:ascii="Times New Roman" w:hAnsi="Times New Roman" w:cs="Times New Roman"/>
          <w:b/>
          <w:sz w:val="24"/>
          <w:szCs w:val="24"/>
        </w:rPr>
        <w:t>/4/19</w:t>
      </w:r>
      <w:r>
        <w:rPr>
          <w:rFonts w:ascii="Times New Roman" w:hAnsi="Times New Roman" w:cs="Times New Roman"/>
          <w:sz w:val="24"/>
          <w:szCs w:val="24"/>
        </w:rPr>
        <w:t xml:space="preserve">) </w:t>
      </w:r>
    </w:p>
    <w:p w:rsidR="000A1A59" w:rsidRPr="00577F67" w:rsidRDefault="000A1A59" w:rsidP="000A1A59">
      <w:pPr>
        <w:spacing w:line="240" w:lineRule="auto"/>
        <w:jc w:val="both"/>
        <w:rPr>
          <w:rFonts w:ascii="Times New Roman" w:hAnsi="Times New Roman" w:cs="Times New Roman"/>
          <w:color w:val="FF0000"/>
          <w:sz w:val="24"/>
          <w:szCs w:val="24"/>
        </w:rPr>
      </w:pPr>
      <w:r w:rsidRPr="00577F67">
        <w:rPr>
          <w:rFonts w:ascii="Times New Roman" w:hAnsi="Times New Roman" w:cs="Times New Roman"/>
          <w:color w:val="FF0000"/>
          <w:sz w:val="24"/>
          <w:szCs w:val="24"/>
        </w:rPr>
        <w:t>Esta organización aconseja a los Gobiernos rediseñar los sistemas impositivos y de ayudas sociales para recuperar un mayor peso de esta parte de la población</w:t>
      </w:r>
    </w:p>
    <w:p w:rsidR="000A1A59" w:rsidRPr="00965E59" w:rsidRDefault="000A1A59" w:rsidP="000A1A59">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965E59">
        <w:rPr>
          <w:rFonts w:ascii="Times New Roman" w:hAnsi="Times New Roman" w:cs="Times New Roman"/>
          <w:sz w:val="24"/>
          <w:szCs w:val="24"/>
        </w:rPr>
        <w:t>a clase media solía ser una aspiración. Durante muchas generaciones, pertenecer a la clase media suponía vivir en una casa confortable y tener un buen nivel de vida gracias a un trabajo estable y una carrera con oportunidades laborales. En el nivel macroeconómico, la existencia de una fuerte y próspera clase media suponía el avance de economías y sociedades saneadas y un crecimiento económico inclusivo para los países que la disfrutaban.</w:t>
      </w:r>
    </w:p>
    <w:p w:rsidR="000A1A59" w:rsidRPr="00965E59" w:rsidRDefault="000A1A59" w:rsidP="000A1A59">
      <w:pPr>
        <w:spacing w:line="240" w:lineRule="auto"/>
        <w:jc w:val="both"/>
        <w:rPr>
          <w:rFonts w:ascii="Times New Roman" w:hAnsi="Times New Roman" w:cs="Times New Roman"/>
          <w:sz w:val="24"/>
          <w:szCs w:val="24"/>
        </w:rPr>
      </w:pPr>
      <w:r w:rsidRPr="00965E59">
        <w:rPr>
          <w:rFonts w:ascii="Times New Roman" w:hAnsi="Times New Roman" w:cs="Times New Roman"/>
          <w:sz w:val="24"/>
          <w:szCs w:val="24"/>
        </w:rPr>
        <w:t>Así lo refleja el informe de la Organización para la Cooperación y el Desarrollo Económico (OCDE) titulado La expr</w:t>
      </w:r>
      <w:r w:rsidR="00FC37DB">
        <w:rPr>
          <w:rFonts w:ascii="Times New Roman" w:hAnsi="Times New Roman" w:cs="Times New Roman"/>
          <w:sz w:val="24"/>
          <w:szCs w:val="24"/>
        </w:rPr>
        <w:t>imida clase media, que asegura “</w:t>
      </w:r>
      <w:r w:rsidRPr="00965E59">
        <w:rPr>
          <w:rFonts w:ascii="Times New Roman" w:hAnsi="Times New Roman" w:cs="Times New Roman"/>
          <w:sz w:val="24"/>
          <w:szCs w:val="24"/>
        </w:rPr>
        <w:t>que sustenta las democracias y el crecimiento económico de los países, pero que está dando síntomas de no se</w:t>
      </w:r>
      <w:r w:rsidR="00FC37DB">
        <w:rPr>
          <w:rFonts w:ascii="Times New Roman" w:hAnsi="Times New Roman" w:cs="Times New Roman"/>
          <w:sz w:val="24"/>
          <w:szCs w:val="24"/>
        </w:rPr>
        <w:t>r tan estable como en el pasado”</w:t>
      </w:r>
      <w:r w:rsidRPr="00965E59">
        <w:rPr>
          <w:rFonts w:ascii="Times New Roman" w:hAnsi="Times New Roman" w:cs="Times New Roman"/>
          <w:sz w:val="24"/>
          <w:szCs w:val="24"/>
        </w:rPr>
        <w:t>.</w:t>
      </w:r>
    </w:p>
    <w:p w:rsidR="000A1A59" w:rsidRPr="00577F67" w:rsidRDefault="000A1A59" w:rsidP="000A1A59">
      <w:pPr>
        <w:spacing w:line="240" w:lineRule="auto"/>
        <w:jc w:val="both"/>
        <w:rPr>
          <w:rFonts w:ascii="Times New Roman" w:hAnsi="Times New Roman" w:cs="Times New Roman"/>
          <w:color w:val="FF0000"/>
          <w:sz w:val="24"/>
          <w:szCs w:val="24"/>
          <w:u w:val="single"/>
        </w:rPr>
      </w:pPr>
      <w:r w:rsidRPr="00577F67">
        <w:rPr>
          <w:rFonts w:ascii="Times New Roman" w:hAnsi="Times New Roman" w:cs="Times New Roman"/>
          <w:color w:val="FF0000"/>
          <w:sz w:val="24"/>
          <w:szCs w:val="24"/>
          <w:u w:val="single"/>
        </w:rPr>
        <w:t>La OCDE se pregunta si los hogares con ingresos medios están siendo socavados y la respuesta que ofrecen sus datos es claramente que sí. Considera clase media a las familias cuya renta está entre el 75% y el 200% de la renta nacional mediana, un grupo social que pasó de representar del 64% al 61% entre mediados de los años ochenta y mediados de 2010.</w:t>
      </w:r>
    </w:p>
    <w:p w:rsidR="000A1A59" w:rsidRPr="00577F67" w:rsidRDefault="000A1A59" w:rsidP="000A1A59">
      <w:pPr>
        <w:spacing w:line="240" w:lineRule="auto"/>
        <w:jc w:val="both"/>
        <w:rPr>
          <w:rFonts w:ascii="Times New Roman" w:hAnsi="Times New Roman" w:cs="Times New Roman"/>
          <w:color w:val="FF0000"/>
          <w:sz w:val="24"/>
          <w:szCs w:val="24"/>
          <w:u w:val="single"/>
        </w:rPr>
      </w:pPr>
      <w:r w:rsidRPr="00577F67">
        <w:rPr>
          <w:rFonts w:ascii="Times New Roman" w:hAnsi="Times New Roman" w:cs="Times New Roman"/>
          <w:color w:val="FF0000"/>
          <w:sz w:val="24"/>
          <w:szCs w:val="24"/>
          <w:u w:val="single"/>
        </w:rPr>
        <w:t>Pero además de adelgazar s</w:t>
      </w:r>
      <w:r>
        <w:rPr>
          <w:rFonts w:ascii="Times New Roman" w:hAnsi="Times New Roman" w:cs="Times New Roman"/>
          <w:color w:val="FF0000"/>
          <w:sz w:val="24"/>
          <w:szCs w:val="24"/>
          <w:u w:val="single"/>
        </w:rPr>
        <w:t>u peso, el informe asegura que “</w:t>
      </w:r>
      <w:r w:rsidRPr="00577F67">
        <w:rPr>
          <w:rFonts w:ascii="Times New Roman" w:hAnsi="Times New Roman" w:cs="Times New Roman"/>
          <w:color w:val="FF0000"/>
          <w:sz w:val="24"/>
          <w:szCs w:val="24"/>
          <w:u w:val="single"/>
        </w:rPr>
        <w:t>la influencia económica de la clase media y su papel como centro de gravedad eco</w:t>
      </w:r>
      <w:r>
        <w:rPr>
          <w:rFonts w:ascii="Times New Roman" w:hAnsi="Times New Roman" w:cs="Times New Roman"/>
          <w:color w:val="FF0000"/>
          <w:sz w:val="24"/>
          <w:szCs w:val="24"/>
          <w:u w:val="single"/>
        </w:rPr>
        <w:t>nómica también se ha debilitado”</w:t>
      </w:r>
      <w:r w:rsidRPr="00577F67">
        <w:rPr>
          <w:rFonts w:ascii="Times New Roman" w:hAnsi="Times New Roman" w:cs="Times New Roman"/>
          <w:color w:val="FF0000"/>
          <w:sz w:val="24"/>
          <w:szCs w:val="24"/>
          <w:u w:val="single"/>
        </w:rPr>
        <w:t>.</w:t>
      </w:r>
    </w:p>
    <w:p w:rsidR="000A1A59" w:rsidRPr="00577F67" w:rsidRDefault="000A1A59" w:rsidP="000A1A59">
      <w:pPr>
        <w:spacing w:line="240" w:lineRule="auto"/>
        <w:jc w:val="both"/>
        <w:rPr>
          <w:rFonts w:ascii="Times New Roman" w:hAnsi="Times New Roman" w:cs="Times New Roman"/>
          <w:sz w:val="24"/>
          <w:szCs w:val="24"/>
          <w:u w:val="single"/>
        </w:rPr>
      </w:pPr>
      <w:r w:rsidRPr="00577F67">
        <w:rPr>
          <w:rFonts w:ascii="Times New Roman" w:hAnsi="Times New Roman" w:cs="Times New Roman"/>
          <w:sz w:val="24"/>
          <w:szCs w:val="24"/>
          <w:u w:val="single"/>
        </w:rPr>
        <w:lastRenderedPageBreak/>
        <w:t>De los 19 países de la OCDE con datos disponibles a lo largo de dos o más décadas, solo Israel y Turquía experimentaron un incremento en sus ingresos medios que, además, fue considerablemente más alto en los últimos años, indica este informe.</w:t>
      </w:r>
    </w:p>
    <w:p w:rsidR="000A1A59" w:rsidRPr="00577F67" w:rsidRDefault="000A1A59" w:rsidP="000A1A59">
      <w:pPr>
        <w:spacing w:line="240" w:lineRule="auto"/>
        <w:jc w:val="both"/>
        <w:rPr>
          <w:rFonts w:ascii="Times New Roman" w:hAnsi="Times New Roman" w:cs="Times New Roman"/>
          <w:color w:val="FF0000"/>
          <w:sz w:val="24"/>
          <w:szCs w:val="24"/>
          <w:u w:val="single"/>
        </w:rPr>
      </w:pPr>
      <w:r w:rsidRPr="00965E59">
        <w:rPr>
          <w:rFonts w:ascii="Times New Roman" w:hAnsi="Times New Roman" w:cs="Times New Roman"/>
          <w:sz w:val="24"/>
          <w:szCs w:val="24"/>
        </w:rPr>
        <w:t xml:space="preserve">Si bien, en general en 21 de los 36 países de la OCDE, las rentas medias se estancaron o crecieron en un promedio anual de menos de 1% desde 2008. </w:t>
      </w:r>
      <w:r w:rsidRPr="00577F67">
        <w:rPr>
          <w:rFonts w:ascii="Times New Roman" w:hAnsi="Times New Roman" w:cs="Times New Roman"/>
          <w:color w:val="FF0000"/>
          <w:sz w:val="24"/>
          <w:szCs w:val="24"/>
          <w:u w:val="single"/>
        </w:rPr>
        <w:t>En Grecia, Italia, Japón, México, Eslovenia y España, los ingresos medios a</w:t>
      </w:r>
      <w:r>
        <w:rPr>
          <w:rFonts w:ascii="Times New Roman" w:hAnsi="Times New Roman" w:cs="Times New Roman"/>
          <w:color w:val="FF0000"/>
          <w:sz w:val="24"/>
          <w:szCs w:val="24"/>
          <w:u w:val="single"/>
        </w:rPr>
        <w:t xml:space="preserve"> mediados de la década de 2010 “</w:t>
      </w:r>
      <w:r w:rsidRPr="00577F67">
        <w:rPr>
          <w:rFonts w:ascii="Times New Roman" w:hAnsi="Times New Roman" w:cs="Times New Roman"/>
          <w:color w:val="FF0000"/>
          <w:sz w:val="24"/>
          <w:szCs w:val="24"/>
          <w:u w:val="single"/>
        </w:rPr>
        <w:t>eran considerablemente más bajos que en 2008, de</w:t>
      </w:r>
      <w:r>
        <w:rPr>
          <w:rFonts w:ascii="Times New Roman" w:hAnsi="Times New Roman" w:cs="Times New Roman"/>
          <w:color w:val="FF0000"/>
          <w:sz w:val="24"/>
          <w:szCs w:val="24"/>
          <w:u w:val="single"/>
        </w:rPr>
        <w:t>spués de descontar la inflación”</w:t>
      </w:r>
      <w:r w:rsidRPr="00577F67">
        <w:rPr>
          <w:rFonts w:ascii="Times New Roman" w:hAnsi="Times New Roman" w:cs="Times New Roman"/>
          <w:color w:val="FF0000"/>
          <w:sz w:val="24"/>
          <w:szCs w:val="24"/>
          <w:u w:val="single"/>
        </w:rPr>
        <w:t>. Y en el caso de Grecia, el descenso fue equivalente a una caída de casi el 6% anual.</w:t>
      </w:r>
    </w:p>
    <w:p w:rsidR="000A1A59" w:rsidRPr="00577F67" w:rsidRDefault="000A1A59" w:rsidP="000A1A59">
      <w:pPr>
        <w:spacing w:line="240" w:lineRule="auto"/>
        <w:jc w:val="both"/>
        <w:rPr>
          <w:rFonts w:ascii="Times New Roman" w:hAnsi="Times New Roman" w:cs="Times New Roman"/>
          <w:color w:val="FF0000"/>
          <w:sz w:val="24"/>
          <w:szCs w:val="24"/>
          <w:u w:val="single"/>
        </w:rPr>
      </w:pPr>
      <w:r w:rsidRPr="00577F67">
        <w:rPr>
          <w:rFonts w:ascii="Times New Roman" w:hAnsi="Times New Roman" w:cs="Times New Roman"/>
          <w:color w:val="FF0000"/>
          <w:sz w:val="24"/>
          <w:szCs w:val="24"/>
          <w:u w:val="single"/>
        </w:rPr>
        <w:t>Es más, las cifras de la OCDE consideran que los ingresos agregados de todos los hogares de ingresos medios eran cuatro veces mayor que los de las familias con rentas altas hace tres décadas. Mientras que en la actualidad no llega a ser tres veces mayor.</w:t>
      </w:r>
    </w:p>
    <w:p w:rsidR="000A1A59" w:rsidRPr="00577F67" w:rsidRDefault="000A1A59" w:rsidP="000A1A59">
      <w:pPr>
        <w:spacing w:line="240" w:lineRule="auto"/>
        <w:jc w:val="both"/>
        <w:rPr>
          <w:rFonts w:ascii="Times New Roman" w:hAnsi="Times New Roman" w:cs="Times New Roman"/>
          <w:color w:val="FF0000"/>
          <w:sz w:val="24"/>
          <w:szCs w:val="24"/>
          <w:u w:val="single"/>
        </w:rPr>
      </w:pPr>
      <w:r w:rsidRPr="00577F67">
        <w:rPr>
          <w:rFonts w:ascii="Times New Roman" w:hAnsi="Times New Roman" w:cs="Times New Roman"/>
          <w:color w:val="FF0000"/>
          <w:sz w:val="24"/>
          <w:szCs w:val="24"/>
          <w:u w:val="single"/>
        </w:rPr>
        <w:t>Otro dato que refleja la pérdida de peso de las clases medias es que el 70% de la generación del baby boom en los países desarrollados pertenecía a este grupo social cuando tuvieron 20 años, frente al 60% de los millennials. Y la OCDE atribuye esta merma a que los babyboomers disfrutaron de unas carreras laborales más estables.</w:t>
      </w:r>
    </w:p>
    <w:p w:rsidR="000A1A59" w:rsidRPr="00577F67" w:rsidRDefault="000A1A59" w:rsidP="000A1A59">
      <w:pPr>
        <w:spacing w:line="240" w:lineRule="auto"/>
        <w:jc w:val="both"/>
        <w:rPr>
          <w:rFonts w:ascii="Times New Roman" w:hAnsi="Times New Roman" w:cs="Times New Roman"/>
          <w:sz w:val="24"/>
          <w:szCs w:val="24"/>
          <w:u w:val="single"/>
        </w:rPr>
      </w:pPr>
      <w:r w:rsidRPr="00577F67">
        <w:rPr>
          <w:rFonts w:ascii="Times New Roman" w:hAnsi="Times New Roman" w:cs="Times New Roman"/>
          <w:color w:val="FF0000"/>
          <w:sz w:val="24"/>
          <w:szCs w:val="24"/>
          <w:u w:val="single"/>
        </w:rPr>
        <w:t>Es más, este organismo llama la atención sobre el hecho de que en los últimos 30 años las rentas medias han crecido menos de un tercio de lo que lo han hecho las rentas del 10% de los hogares más ricos. Y, en paralelo, los estándares de vida de la clase media se han encarecido más que la inflación, con lo que han perdido poder adquisitivo.</w:t>
      </w:r>
      <w:r w:rsidRPr="00965E59">
        <w:rPr>
          <w:rFonts w:ascii="Times New Roman" w:hAnsi="Times New Roman" w:cs="Times New Roman"/>
          <w:sz w:val="24"/>
          <w:szCs w:val="24"/>
        </w:rPr>
        <w:t xml:space="preserve"> En este escenario, </w:t>
      </w:r>
      <w:r w:rsidRPr="00577F67">
        <w:rPr>
          <w:rFonts w:ascii="Times New Roman" w:hAnsi="Times New Roman" w:cs="Times New Roman"/>
          <w:sz w:val="24"/>
          <w:szCs w:val="24"/>
          <w:u w:val="single"/>
        </w:rPr>
        <w:t>la OCDE recomienda a los Gobiernos que combatan la percepción de los miembros de la clase media de que el actual sistema socio</w:t>
      </w:r>
      <w:r>
        <w:rPr>
          <w:rFonts w:ascii="Times New Roman" w:hAnsi="Times New Roman" w:cs="Times New Roman"/>
          <w:sz w:val="24"/>
          <w:szCs w:val="24"/>
          <w:u w:val="single"/>
        </w:rPr>
        <w:t>económico es injusto, mediante “</w:t>
      </w:r>
      <w:r w:rsidRPr="00577F67">
        <w:rPr>
          <w:rFonts w:ascii="Times New Roman" w:hAnsi="Times New Roman" w:cs="Times New Roman"/>
          <w:sz w:val="24"/>
          <w:szCs w:val="24"/>
          <w:u w:val="single"/>
        </w:rPr>
        <w:t>la revisión adaptación del siste</w:t>
      </w:r>
      <w:r>
        <w:rPr>
          <w:rFonts w:ascii="Times New Roman" w:hAnsi="Times New Roman" w:cs="Times New Roman"/>
          <w:sz w:val="24"/>
          <w:szCs w:val="24"/>
          <w:u w:val="single"/>
        </w:rPr>
        <w:t>ma impositivo y de prestaciones”</w:t>
      </w:r>
      <w:r w:rsidRPr="00577F67">
        <w:rPr>
          <w:rFonts w:ascii="Times New Roman" w:hAnsi="Times New Roman" w:cs="Times New Roman"/>
          <w:sz w:val="24"/>
          <w:szCs w:val="24"/>
          <w:u w:val="single"/>
        </w:rPr>
        <w:t>.</w:t>
      </w:r>
    </w:p>
    <w:p w:rsidR="000A1A59" w:rsidRPr="00C44F99" w:rsidRDefault="000A1A59" w:rsidP="000A1A59">
      <w:pPr>
        <w:spacing w:line="240" w:lineRule="auto"/>
        <w:jc w:val="both"/>
        <w:rPr>
          <w:rFonts w:ascii="Times New Roman" w:hAnsi="Times New Roman" w:cs="Times New Roman"/>
          <w:sz w:val="24"/>
          <w:szCs w:val="24"/>
        </w:rPr>
      </w:pPr>
      <w:r w:rsidRPr="00C44F99">
        <w:rPr>
          <w:rFonts w:ascii="Times New Roman" w:hAnsi="Times New Roman" w:cs="Times New Roman"/>
          <w:sz w:val="24"/>
          <w:szCs w:val="24"/>
        </w:rPr>
        <w:t xml:space="preserve">- </w:t>
      </w:r>
      <w:r w:rsidRPr="00C44F99">
        <w:rPr>
          <w:rFonts w:ascii="Times New Roman" w:hAnsi="Times New Roman" w:cs="Times New Roman"/>
          <w:sz w:val="24"/>
          <w:szCs w:val="24"/>
          <w:u w:val="single"/>
        </w:rPr>
        <w:t>El mito de la movilidad social: 4 razones que explican por qué las clases medias no prosperan en las economías avanzadas</w:t>
      </w:r>
      <w:r w:rsidRPr="00C44F99">
        <w:rPr>
          <w:rFonts w:ascii="Times New Roman" w:hAnsi="Times New Roman" w:cs="Times New Roman"/>
          <w:sz w:val="24"/>
          <w:szCs w:val="24"/>
        </w:rPr>
        <w:t xml:space="preserve"> (BBCMundo - </w:t>
      </w:r>
      <w:r w:rsidRPr="00C44F99">
        <w:rPr>
          <w:rFonts w:ascii="Times New Roman" w:hAnsi="Times New Roman" w:cs="Times New Roman"/>
          <w:b/>
          <w:sz w:val="24"/>
          <w:szCs w:val="24"/>
        </w:rPr>
        <w:t>12/4/19</w:t>
      </w:r>
      <w:r w:rsidRPr="00C44F99">
        <w:rPr>
          <w:rFonts w:ascii="Times New Roman" w:hAnsi="Times New Roman" w:cs="Times New Roman"/>
          <w:sz w:val="24"/>
          <w:szCs w:val="24"/>
        </w:rPr>
        <w:t>)</w:t>
      </w:r>
    </w:p>
    <w:p w:rsidR="000A1A59" w:rsidRPr="00C44F99" w:rsidRDefault="000A1A59" w:rsidP="000A1A59">
      <w:pPr>
        <w:spacing w:line="240" w:lineRule="auto"/>
        <w:jc w:val="both"/>
        <w:rPr>
          <w:rFonts w:ascii="Times New Roman" w:hAnsi="Times New Roman" w:cs="Times New Roman"/>
          <w:sz w:val="24"/>
          <w:szCs w:val="24"/>
        </w:rPr>
      </w:pPr>
      <w:r w:rsidRPr="00C44F99">
        <w:rPr>
          <w:rFonts w:ascii="Times New Roman" w:hAnsi="Times New Roman" w:cs="Times New Roman"/>
          <w:sz w:val="24"/>
          <w:szCs w:val="24"/>
        </w:rPr>
        <w:t>(Por Sean Coughlan)</w:t>
      </w:r>
    </w:p>
    <w:p w:rsidR="000A1A59" w:rsidRPr="00C44F99" w:rsidRDefault="000A1A59" w:rsidP="000A1A59">
      <w:pPr>
        <w:pStyle w:val="story-bodyintroduction"/>
        <w:shd w:val="clear" w:color="auto" w:fill="FFFFFF"/>
        <w:spacing w:before="420" w:beforeAutospacing="0" w:after="0" w:afterAutospacing="0"/>
        <w:jc w:val="both"/>
        <w:textAlignment w:val="baseline"/>
        <w:rPr>
          <w:b/>
          <w:bCs/>
        </w:rPr>
      </w:pPr>
      <w:r w:rsidRPr="00C44F99">
        <w:rPr>
          <w:b/>
          <w:bCs/>
        </w:rPr>
        <w:t>Los ingresos de las familias de clase media se están estancando mientras que los ultrarricos se están llevando tajadas cada vez más grandes de dinero, advierte un informe de la Organización para la Cooperación y el Desarrollo Económico (OCDE).</w:t>
      </w:r>
    </w:p>
    <w:p w:rsidR="000A1A59" w:rsidRPr="00C44F99" w:rsidRDefault="000A1A59" w:rsidP="000A1A59">
      <w:pPr>
        <w:pStyle w:val="NormalWeb"/>
        <w:shd w:val="clear" w:color="auto" w:fill="FFFFFF"/>
        <w:spacing w:before="270" w:beforeAutospacing="0" w:after="0" w:afterAutospacing="0"/>
        <w:jc w:val="both"/>
        <w:textAlignment w:val="baseline"/>
      </w:pPr>
      <w:r w:rsidRPr="00C44F99">
        <w:t xml:space="preserve">El reporte dice que </w:t>
      </w:r>
      <w:r w:rsidR="00FC37DB">
        <w:t>las clases medias están siendo “despojadas”</w:t>
      </w:r>
      <w:r w:rsidRPr="00C44F99">
        <w:t xml:space="preserve"> y que tienen cada vez menos probabilidades de prosperar y crecientes temores de inseguridad laboral.</w:t>
      </w:r>
    </w:p>
    <w:p w:rsidR="000A1A59" w:rsidRPr="00C44F99" w:rsidRDefault="000A1A59" w:rsidP="000A1A59">
      <w:pPr>
        <w:pStyle w:val="NormalWeb"/>
        <w:shd w:val="clear" w:color="auto" w:fill="FFFFFF"/>
        <w:spacing w:before="0" w:beforeAutospacing="0" w:after="0" w:afterAutospacing="0"/>
        <w:jc w:val="both"/>
        <w:textAlignment w:val="baseline"/>
      </w:pPr>
    </w:p>
    <w:p w:rsidR="000A1A59" w:rsidRPr="000A1A59" w:rsidRDefault="000A1A59" w:rsidP="000A1A59">
      <w:pPr>
        <w:pStyle w:val="NormalWeb"/>
        <w:shd w:val="clear" w:color="auto" w:fill="FFFFFF"/>
        <w:spacing w:before="0" w:beforeAutospacing="0" w:after="0" w:afterAutospacing="0"/>
        <w:jc w:val="both"/>
        <w:textAlignment w:val="baseline"/>
        <w:rPr>
          <w:u w:val="single"/>
        </w:rPr>
      </w:pPr>
      <w:r w:rsidRPr="000A1A59">
        <w:rPr>
          <w:u w:val="single"/>
        </w:rPr>
        <w:t>En un contexto de populismo político y preocupaciones por el aumento del extremismo, el estudio asegura que las familias de clase media tradicionalmente moderadas </w:t>
      </w:r>
      <w:r>
        <w:rPr>
          <w:rStyle w:val="Textoennegrita"/>
          <w:u w:val="single"/>
          <w:bdr w:val="none" w:sz="0" w:space="0" w:color="auto" w:frame="1"/>
        </w:rPr>
        <w:t>se sienten “abandonadas”</w:t>
      </w:r>
      <w:r w:rsidRPr="000A1A59">
        <w:rPr>
          <w:rStyle w:val="Textoennegrita"/>
          <w:u w:val="single"/>
          <w:bdr w:val="none" w:sz="0" w:space="0" w:color="auto" w:frame="1"/>
        </w:rPr>
        <w:t xml:space="preserve"> y son cada vez más propen</w:t>
      </w:r>
      <w:r>
        <w:rPr>
          <w:rStyle w:val="Textoennegrita"/>
          <w:u w:val="single"/>
          <w:bdr w:val="none" w:sz="0" w:space="0" w:color="auto" w:frame="1"/>
        </w:rPr>
        <w:t>sas a apoyar a los movimientos “antisistema”</w:t>
      </w:r>
      <w:r w:rsidRPr="000A1A59">
        <w:rPr>
          <w:u w:val="single"/>
        </w:rPr>
        <w:t>.</w:t>
      </w:r>
    </w:p>
    <w:p w:rsidR="000A1A59" w:rsidRPr="00C44F99" w:rsidRDefault="000A1A59" w:rsidP="000A1A59">
      <w:pPr>
        <w:pStyle w:val="NormalWeb"/>
        <w:shd w:val="clear" w:color="auto" w:fill="FFFFFF"/>
        <w:spacing w:before="270" w:beforeAutospacing="0" w:after="0" w:afterAutospacing="0"/>
        <w:jc w:val="both"/>
        <w:textAlignment w:val="baseline"/>
      </w:pPr>
      <w:r w:rsidRPr="00C44F99">
        <w:t>L</w:t>
      </w:r>
      <w:r>
        <w:t>as clases medias suelen ser la “base de la democracia”</w:t>
      </w:r>
      <w:r w:rsidRPr="00C44F99">
        <w:t xml:space="preserve"> por lo que los países occidentales enfrentarán las consecuencias políticas de esta situación, advierte el análisis de la OCDE, presentado este miércoles.</w:t>
      </w:r>
    </w:p>
    <w:p w:rsidR="000A1A59" w:rsidRPr="00C44F99" w:rsidRDefault="000A1A59" w:rsidP="000A1A59">
      <w:pPr>
        <w:pStyle w:val="Ttulo2"/>
        <w:shd w:val="clear" w:color="auto" w:fill="FFFFFF"/>
        <w:spacing w:before="480"/>
        <w:jc w:val="both"/>
        <w:textAlignment w:val="baseline"/>
        <w:rPr>
          <w:sz w:val="24"/>
          <w:szCs w:val="24"/>
        </w:rPr>
      </w:pPr>
      <w:r w:rsidRPr="00C44F99">
        <w:rPr>
          <w:sz w:val="24"/>
          <w:szCs w:val="24"/>
        </w:rPr>
        <w:t>1. Impacto desestabilizador</w:t>
      </w:r>
    </w:p>
    <w:p w:rsidR="000A1A59" w:rsidRPr="00C44F99" w:rsidRDefault="000A1A59" w:rsidP="000A1A59">
      <w:pPr>
        <w:pStyle w:val="NormalWeb"/>
        <w:shd w:val="clear" w:color="auto" w:fill="FFFFFF"/>
        <w:spacing w:before="270" w:beforeAutospacing="0" w:after="0" w:afterAutospacing="0"/>
        <w:jc w:val="both"/>
        <w:textAlignment w:val="baseline"/>
      </w:pPr>
      <w:r w:rsidRPr="00C44F99">
        <w:lastRenderedPageBreak/>
        <w:t>La OCDE augura un impacto desestabilizador si este sector de la sociedad, definido como el que gana entre el 75% y el 200% del ingreso promedio, sigue sintiendo que pierde prosperidad.</w:t>
      </w:r>
    </w:p>
    <w:p w:rsidR="000A1A59" w:rsidRPr="000A1A59" w:rsidRDefault="000A1A59" w:rsidP="000A1A59">
      <w:pPr>
        <w:pStyle w:val="NormalWeb"/>
        <w:shd w:val="clear" w:color="auto" w:fill="FFFFFF"/>
        <w:spacing w:before="270" w:beforeAutospacing="0" w:after="0" w:afterAutospacing="0"/>
        <w:jc w:val="both"/>
        <w:textAlignment w:val="baseline"/>
      </w:pPr>
      <w:r w:rsidRPr="00C44F99">
        <w:t>A nivel internacional, la OCDE observa un modelo económico cambiante, en el que los ingresos altos se disparan hacia arriba, mientras que lo</w:t>
      </w:r>
      <w:r>
        <w:t>s ingresos medios registran un “crecimiento deprimente”</w:t>
      </w:r>
      <w:r w:rsidRPr="00C44F99">
        <w:t xml:space="preserve"> o una caída.</w:t>
      </w:r>
    </w:p>
    <w:p w:rsidR="000A1A59" w:rsidRPr="00C44F99" w:rsidRDefault="000A1A59" w:rsidP="000A1A59">
      <w:pPr>
        <w:pStyle w:val="NormalWeb"/>
        <w:shd w:val="clear" w:color="auto" w:fill="FFFFFF"/>
        <w:spacing w:before="270" w:beforeAutospacing="0" w:after="0" w:afterAutospacing="0"/>
        <w:jc w:val="both"/>
        <w:textAlignment w:val="baseline"/>
      </w:pPr>
      <w:r w:rsidRPr="00C44F99">
        <w:t>En los países de la OCDE, que incluyen a la mayoría de las grandes economías de Europa occidental y América del Norte, el 10% más rico ha aumentado sus ingresos en un tercio más que las personas con ingresos medios.</w:t>
      </w:r>
    </w:p>
    <w:p w:rsidR="000A1A59" w:rsidRPr="00C44F99" w:rsidRDefault="000A1A59" w:rsidP="000A1A59">
      <w:pPr>
        <w:pStyle w:val="NormalWeb"/>
        <w:shd w:val="clear" w:color="auto" w:fill="FFFFFF"/>
        <w:spacing w:before="0" w:beforeAutospacing="0" w:after="0" w:afterAutospacing="0"/>
        <w:jc w:val="both"/>
        <w:textAlignment w:val="baseline"/>
      </w:pPr>
    </w:p>
    <w:p w:rsidR="000A1A59" w:rsidRPr="000A1A59" w:rsidRDefault="000A1A59" w:rsidP="000A1A59">
      <w:pPr>
        <w:pStyle w:val="NormalWeb"/>
        <w:shd w:val="clear" w:color="auto" w:fill="FFFFFF"/>
        <w:spacing w:before="0" w:beforeAutospacing="0" w:after="0" w:afterAutospacing="0"/>
        <w:jc w:val="both"/>
        <w:textAlignment w:val="baseline"/>
        <w:rPr>
          <w:u w:val="single"/>
        </w:rPr>
      </w:pPr>
      <w:r w:rsidRPr="000A1A59">
        <w:rPr>
          <w:u w:val="single"/>
        </w:rPr>
        <w:t>En EEUU, durante las últimas tres décadas, </w:t>
      </w:r>
      <w:r w:rsidRPr="000A1A59">
        <w:rPr>
          <w:rStyle w:val="Textoennegrita"/>
          <w:u w:val="single"/>
          <w:bdr w:val="none" w:sz="0" w:space="0" w:color="auto" w:frame="1"/>
        </w:rPr>
        <w:t>el 1% de las personas que más ganan ha aumentado sus ingresos anuales entre un 11% y 20%</w:t>
      </w:r>
      <w:r w:rsidRPr="000A1A59">
        <w:rPr>
          <w:u w:val="single"/>
        </w:rPr>
        <w:t>.En cambio, “los ingresos medios son apenas más altos hoy que hace 10 años”, dice el análisis.</w:t>
      </w:r>
    </w:p>
    <w:p w:rsidR="000A1A59" w:rsidRPr="00C44F99" w:rsidRDefault="000A1A59" w:rsidP="000A1A59">
      <w:pPr>
        <w:pStyle w:val="Ttulo2"/>
        <w:shd w:val="clear" w:color="auto" w:fill="FFFFFF"/>
        <w:spacing w:before="480"/>
        <w:jc w:val="both"/>
        <w:textAlignment w:val="baseline"/>
        <w:rPr>
          <w:sz w:val="24"/>
          <w:szCs w:val="24"/>
        </w:rPr>
      </w:pPr>
      <w:r w:rsidRPr="00C44F99">
        <w:rPr>
          <w:sz w:val="24"/>
          <w:szCs w:val="24"/>
        </w:rPr>
        <w:t>2. Nacionalismo, aislacionismo, populismo, proteccionismo...</w:t>
      </w:r>
    </w:p>
    <w:p w:rsidR="00E6423A" w:rsidRDefault="000A1A59" w:rsidP="000A1A59">
      <w:pPr>
        <w:pStyle w:val="NormalWeb"/>
        <w:shd w:val="clear" w:color="auto" w:fill="FFFFFF"/>
        <w:spacing w:before="270" w:beforeAutospacing="0" w:after="0" w:afterAutospacing="0"/>
        <w:jc w:val="both"/>
        <w:textAlignment w:val="baseline"/>
      </w:pPr>
      <w:r w:rsidRPr="00C44F99">
        <w:t>El informe advierte sobre las consecuencias sociales, más allá de la economía de cada hogar, de que las clases medias pierdan la confianza en el sistema.El aumento de la desiguald</w:t>
      </w:r>
      <w:r>
        <w:t>ad de ingresos podría amenazar “</w:t>
      </w:r>
      <w:r w:rsidRPr="00C44F99">
        <w:t>su confianza en los demás y en</w:t>
      </w:r>
      <w:r>
        <w:t xml:space="preserve"> las instituciones democráticas”</w:t>
      </w:r>
      <w:r w:rsidRPr="00C44F99">
        <w:t>.En lugar de una movilidad social ascendente y una creciente prosperidad, el informe dice que las clases medias están más preocupadas por la tendencia a descender.</w:t>
      </w:r>
    </w:p>
    <w:p w:rsidR="000A1A59" w:rsidRPr="00E6423A" w:rsidRDefault="000A1A59" w:rsidP="000A1A59">
      <w:pPr>
        <w:pStyle w:val="NormalWeb"/>
        <w:shd w:val="clear" w:color="auto" w:fill="FFFFFF"/>
        <w:spacing w:before="270" w:beforeAutospacing="0" w:after="0" w:afterAutospacing="0"/>
        <w:jc w:val="both"/>
        <w:textAlignment w:val="baseline"/>
        <w:rPr>
          <w:u w:val="single"/>
        </w:rPr>
      </w:pPr>
      <w:r w:rsidRPr="000A1A59">
        <w:rPr>
          <w:u w:val="single"/>
        </w:rPr>
        <w:t>El estudio señala que </w:t>
      </w:r>
      <w:r w:rsidRPr="000A1A59">
        <w:rPr>
          <w:rStyle w:val="Textoennegrita"/>
          <w:u w:val="single"/>
          <w:bdr w:val="none" w:sz="0" w:space="0" w:color="auto" w:frame="1"/>
        </w:rPr>
        <w:t xml:space="preserve">la percepción de la disminución de </w:t>
      </w:r>
      <w:r w:rsidR="0011116D">
        <w:rPr>
          <w:rStyle w:val="Textoennegrita"/>
          <w:u w:val="single"/>
          <w:bdr w:val="none" w:sz="0" w:space="0" w:color="auto" w:frame="1"/>
        </w:rPr>
        <w:t>oportunidades está causando un “</w:t>
      </w:r>
      <w:r w:rsidRPr="000A1A59">
        <w:rPr>
          <w:rStyle w:val="Textoennegrita"/>
          <w:u w:val="single"/>
          <w:bdr w:val="none" w:sz="0" w:space="0" w:color="auto" w:frame="1"/>
        </w:rPr>
        <w:t>creciente</w:t>
      </w:r>
      <w:r w:rsidR="0011116D">
        <w:rPr>
          <w:rStyle w:val="Textoennegrita"/>
          <w:u w:val="single"/>
          <w:bdr w:val="none" w:sz="0" w:space="0" w:color="auto" w:frame="1"/>
        </w:rPr>
        <w:t xml:space="preserve"> descontento”</w:t>
      </w:r>
      <w:r w:rsidRPr="001A1F1D">
        <w:t>.</w:t>
      </w:r>
      <w:r>
        <w:t>El “</w:t>
      </w:r>
      <w:r w:rsidRPr="00C44F99">
        <w:t>estancamiento de los ni</w:t>
      </w:r>
      <w:r w:rsidR="00E6423A">
        <w:t>veles de vida de la clase media”</w:t>
      </w:r>
      <w:r w:rsidRPr="00C44F99">
        <w:t xml:space="preserve"> ha ido ac</w:t>
      </w:r>
      <w:r w:rsidR="00E6423A">
        <w:t>ompañado por el surgimiento de “</w:t>
      </w:r>
      <w:r w:rsidRPr="00C44F99">
        <w:t>nuevas formas de nacionalismo, aislacioni</w:t>
      </w:r>
      <w:r w:rsidR="00E6423A">
        <w:t>smo, populismo y proteccionismo”</w:t>
      </w:r>
      <w:r w:rsidRPr="00C44F99">
        <w:t>.</w:t>
      </w:r>
    </w:p>
    <w:p w:rsidR="00E6423A" w:rsidRDefault="000A1A59" w:rsidP="000A1A59">
      <w:pPr>
        <w:pStyle w:val="Ttulo2"/>
        <w:shd w:val="clear" w:color="auto" w:fill="FFFFFF"/>
        <w:spacing w:before="480"/>
        <w:jc w:val="both"/>
        <w:textAlignment w:val="baseline"/>
        <w:rPr>
          <w:sz w:val="24"/>
          <w:szCs w:val="24"/>
        </w:rPr>
      </w:pPr>
      <w:r w:rsidRPr="00C44F99">
        <w:rPr>
          <w:sz w:val="24"/>
          <w:szCs w:val="24"/>
        </w:rPr>
        <w:t>3. Menos acceso a vivienda y menos seguridad laboral</w:t>
      </w:r>
    </w:p>
    <w:p w:rsidR="00E6423A" w:rsidRPr="00C44F99" w:rsidRDefault="00E6423A" w:rsidP="000A1A59">
      <w:pPr>
        <w:pStyle w:val="Ttulo2"/>
        <w:shd w:val="clear" w:color="auto" w:fill="FFFFFF"/>
        <w:spacing w:before="480"/>
        <w:jc w:val="both"/>
        <w:textAlignment w:val="baseline"/>
        <w:rPr>
          <w:sz w:val="24"/>
          <w:szCs w:val="24"/>
        </w:rPr>
      </w:pPr>
      <w:r w:rsidRPr="00C44F99">
        <w:rPr>
          <w:noProof/>
          <w:sz w:val="24"/>
          <w:szCs w:val="24"/>
          <w:bdr w:val="none" w:sz="0" w:space="0" w:color="auto" w:frame="1"/>
          <w:lang w:val="en-GB" w:eastAsia="en-GB"/>
        </w:rPr>
        <w:drawing>
          <wp:inline distT="0" distB="0" distL="0" distR="0">
            <wp:extent cx="5638800" cy="2660650"/>
            <wp:effectExtent l="0" t="0" r="0" b="6350"/>
            <wp:docPr id="45" name="Imagen 45" descr="Gráfico de la evolución del ingreso me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de la evolución del ingreso medio"/>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660650"/>
                    </a:xfrm>
                    <a:prstGeom prst="rect">
                      <a:avLst/>
                    </a:prstGeom>
                    <a:noFill/>
                    <a:ln>
                      <a:noFill/>
                    </a:ln>
                  </pic:spPr>
                </pic:pic>
              </a:graphicData>
            </a:graphic>
          </wp:inline>
        </w:drawing>
      </w:r>
    </w:p>
    <w:p w:rsidR="00E6423A" w:rsidRPr="00C44F99" w:rsidRDefault="000A1A59" w:rsidP="00E6423A">
      <w:pPr>
        <w:pStyle w:val="NormalWeb"/>
        <w:shd w:val="clear" w:color="auto" w:fill="FFFFFF"/>
        <w:spacing w:before="270" w:beforeAutospacing="0" w:after="0" w:afterAutospacing="0"/>
        <w:jc w:val="both"/>
        <w:textAlignment w:val="baseline"/>
      </w:pPr>
      <w:r w:rsidRPr="00C44F99">
        <w:t xml:space="preserve">El informe, </w:t>
      </w:r>
      <w:r w:rsidR="00E6423A">
        <w:t>titulado “</w:t>
      </w:r>
      <w:r w:rsidRPr="00C44F99">
        <w:t>Bajo pr</w:t>
      </w:r>
      <w:r w:rsidR="00E6423A">
        <w:t>esión: la exprimida clase media”</w:t>
      </w:r>
      <w:r w:rsidRPr="00C44F99">
        <w:t>, dice que los tótems de la vida familiar de clase media, como el acceso a vivienda y a educación superior, se han vuelto cada</w:t>
      </w:r>
      <w:r w:rsidR="00E6423A">
        <w:t xml:space="preserve"> vez más caros.</w:t>
      </w:r>
      <w:r w:rsidR="00E6423A" w:rsidRPr="00C44F99">
        <w:t xml:space="preserve">El aumento del costo de las viviendas, en particular, ha superado al </w:t>
      </w:r>
      <w:r w:rsidR="00E6423A" w:rsidRPr="00C44F99">
        <w:lastRenderedPageBreak/>
        <w:t>crecimiento de los ingresos, situación que hace que los padres se preocupen por las perspectivas para sus hijos para comprar una casa o un apartamento.Otra ventaja tradicional de la clase media ha sido la seguridad en el empleo, pero esto también se ha erosionado.</w:t>
      </w:r>
    </w:p>
    <w:p w:rsidR="000A1A59" w:rsidRPr="00C44F99" w:rsidRDefault="000A1A59" w:rsidP="000A1A59">
      <w:pPr>
        <w:pStyle w:val="Ttulo2"/>
        <w:shd w:val="clear" w:color="auto" w:fill="FFFFFF"/>
        <w:spacing w:before="480"/>
        <w:jc w:val="both"/>
        <w:textAlignment w:val="baseline"/>
        <w:rPr>
          <w:sz w:val="24"/>
          <w:szCs w:val="24"/>
        </w:rPr>
      </w:pPr>
      <w:r w:rsidRPr="00C44F99">
        <w:rPr>
          <w:sz w:val="24"/>
          <w:szCs w:val="24"/>
        </w:rPr>
        <w:t>4. Menos gente joven</w:t>
      </w:r>
    </w:p>
    <w:p w:rsidR="000A1A59" w:rsidRPr="00C44F99" w:rsidRDefault="00E6423A" w:rsidP="000A1A59">
      <w:pPr>
        <w:pStyle w:val="NormalWeb"/>
        <w:shd w:val="clear" w:color="auto" w:fill="FFFFFF"/>
        <w:spacing w:before="270" w:beforeAutospacing="0" w:after="0" w:afterAutospacing="0"/>
        <w:jc w:val="both"/>
        <w:textAlignment w:val="baseline"/>
      </w:pPr>
      <w:r>
        <w:t>“</w:t>
      </w:r>
      <w:r w:rsidR="000A1A59" w:rsidRPr="00C44F99">
        <w:t xml:space="preserve">Hoy en día, la clase media se parece cada vez </w:t>
      </w:r>
      <w:r>
        <w:t>más a un barco en aguas rocosas”</w:t>
      </w:r>
      <w:r w:rsidR="000A1A59" w:rsidRPr="00C44F99">
        <w:t xml:space="preserve">, dice el secretario general de la OCDE, </w:t>
      </w:r>
      <w:r w:rsidR="007D67F3" w:rsidRPr="00C44F99">
        <w:t>Ángel</w:t>
      </w:r>
      <w:r w:rsidR="000A1A59" w:rsidRPr="00C44F99">
        <w:t xml:space="preserve"> Gurría.La OCDE destaca una división generacional: cada vez hay menos gente joven entre la clase media.</w:t>
      </w:r>
    </w:p>
    <w:p w:rsidR="000A1A59" w:rsidRDefault="000A1A59" w:rsidP="000A1A59">
      <w:pPr>
        <w:pStyle w:val="NormalWeb"/>
        <w:shd w:val="clear" w:color="auto" w:fill="FFFFFF"/>
        <w:spacing w:before="0" w:beforeAutospacing="0" w:after="0" w:afterAutospacing="0"/>
        <w:jc w:val="both"/>
        <w:textAlignment w:val="baseline"/>
      </w:pPr>
    </w:p>
    <w:p w:rsidR="000A1A59" w:rsidRPr="00C44F99" w:rsidRDefault="000A1A59" w:rsidP="00E6423A">
      <w:pPr>
        <w:pStyle w:val="NormalWeb"/>
        <w:shd w:val="clear" w:color="auto" w:fill="FFFFFF"/>
        <w:spacing w:before="0" w:beforeAutospacing="0" w:after="0" w:afterAutospacing="0"/>
        <w:jc w:val="both"/>
        <w:textAlignment w:val="baseline"/>
      </w:pPr>
      <w:r w:rsidRPr="00C44F99">
        <w:t>La creciente brecha de ingresos ha llevado a más personas a los extremos de riqueza y pobreza, por lo que los </w:t>
      </w:r>
      <w:r w:rsidRPr="00C44F99">
        <w:rPr>
          <w:i/>
          <w:iCs/>
          <w:bdr w:val="none" w:sz="0" w:space="0" w:color="auto" w:frame="1"/>
        </w:rPr>
        <w:t>millennials </w:t>
      </w:r>
      <w:r w:rsidRPr="00C44F99">
        <w:t>en sus 20 tienen menos probabilidades de formar hogares con ingresos medios que los </w:t>
      </w:r>
      <w:r w:rsidRPr="00C44F99">
        <w:rPr>
          <w:i/>
          <w:iCs/>
          <w:bdr w:val="none" w:sz="0" w:space="0" w:color="auto" w:frame="1"/>
        </w:rPr>
        <w:t>baby boomers</w:t>
      </w:r>
      <w:r w:rsidRPr="00C44F99">
        <w:t>, que están en sus 50 y 60 años.</w:t>
      </w:r>
      <w:r w:rsidR="00E6423A" w:rsidRPr="00E6423A">
        <w:rPr>
          <w:rStyle w:val="Textoennegrita"/>
          <w:u w:val="single"/>
          <w:bdr w:val="none" w:sz="0" w:space="0" w:color="auto" w:frame="1"/>
        </w:rPr>
        <w:t>“</w:t>
      </w:r>
      <w:r w:rsidRPr="00E6423A">
        <w:rPr>
          <w:rStyle w:val="Textoennegrita"/>
          <w:u w:val="single"/>
          <w:bdr w:val="none" w:sz="0" w:space="0" w:color="auto" w:frame="1"/>
        </w:rPr>
        <w:t>Una clase media fuerte y próspera es importante para la ec</w:t>
      </w:r>
      <w:r w:rsidR="00E6423A" w:rsidRPr="00E6423A">
        <w:rPr>
          <w:rStyle w:val="Textoennegrita"/>
          <w:u w:val="single"/>
          <w:bdr w:val="none" w:sz="0" w:space="0" w:color="auto" w:frame="1"/>
        </w:rPr>
        <w:t>onomía y la sociedad en general”</w:t>
      </w:r>
      <w:r w:rsidRPr="00E6423A">
        <w:rPr>
          <w:u w:val="single"/>
        </w:rPr>
        <w:t>, dice el estudio.</w:t>
      </w:r>
      <w:r w:rsidRPr="00C44F99">
        <w:t>Pero indica que los hogares de clase</w:t>
      </w:r>
      <w:r w:rsidR="00E6423A">
        <w:t xml:space="preserve"> media tienen una sensación de “injusticia” y están “</w:t>
      </w:r>
      <w:r w:rsidRPr="00C44F99">
        <w:t>cada vez más ansiosos por su situación econ</w:t>
      </w:r>
      <w:r w:rsidR="00E6423A">
        <w:t>ómica”</w:t>
      </w:r>
      <w:r w:rsidRPr="00C44F99">
        <w:t>.</w:t>
      </w:r>
    </w:p>
    <w:p w:rsidR="000A1A59" w:rsidRPr="000A1A59" w:rsidRDefault="000A1A59" w:rsidP="00183AF7">
      <w:pPr>
        <w:spacing w:line="240" w:lineRule="auto"/>
        <w:jc w:val="both"/>
        <w:rPr>
          <w:rFonts w:ascii="Times New Roman" w:hAnsi="Times New Roman" w:cs="Times New Roman"/>
          <w:sz w:val="24"/>
          <w:szCs w:val="24"/>
        </w:rPr>
      </w:pPr>
    </w:p>
    <w:p w:rsidR="00183AF7" w:rsidRDefault="00183AF7" w:rsidP="00183AF7">
      <w:pPr>
        <w:rPr>
          <w:rFonts w:ascii="Times New Roman" w:hAnsi="Times New Roman" w:cs="Times New Roman"/>
          <w:b/>
          <w:sz w:val="24"/>
          <w:szCs w:val="24"/>
        </w:rPr>
      </w:pPr>
      <w:r>
        <w:rPr>
          <w:rFonts w:ascii="Times New Roman" w:hAnsi="Times New Roman" w:cs="Times New Roman"/>
          <w:b/>
          <w:sz w:val="24"/>
          <w:szCs w:val="24"/>
        </w:rPr>
        <w:t>Anexo Euro punto de vista DEMOGR</w:t>
      </w:r>
      <w:r w:rsidR="001A1F1D">
        <w:rPr>
          <w:rFonts w:ascii="Times New Roman" w:hAnsi="Times New Roman" w:cs="Times New Roman"/>
          <w:b/>
          <w:sz w:val="24"/>
          <w:szCs w:val="24"/>
        </w:rPr>
        <w:t>AFÍA -</w:t>
      </w:r>
      <w:r>
        <w:rPr>
          <w:rFonts w:ascii="Times New Roman" w:hAnsi="Times New Roman" w:cs="Times New Roman"/>
          <w:b/>
          <w:sz w:val="24"/>
          <w:szCs w:val="24"/>
        </w:rPr>
        <w:t xml:space="preserve"> INMIGRACIÓN</w:t>
      </w:r>
    </w:p>
    <w:p w:rsidR="00183AF7" w:rsidRDefault="00183AF7" w:rsidP="00183AF7">
      <w:pPr>
        <w:rPr>
          <w:rFonts w:ascii="Times New Roman" w:hAnsi="Times New Roman" w:cs="Times New Roman"/>
          <w:b/>
          <w:sz w:val="24"/>
          <w:szCs w:val="24"/>
        </w:rPr>
      </w:pPr>
      <w:r>
        <w:rPr>
          <w:noProof/>
          <w:lang w:val="en-GB" w:eastAsia="en-GB"/>
        </w:rPr>
        <w:drawing>
          <wp:inline distT="0" distB="0" distL="0" distR="0">
            <wp:extent cx="5731510" cy="3232150"/>
            <wp:effectExtent l="0" t="0" r="2540" b="6350"/>
            <wp:docPr id="73" name="Imagen 73" descr="Image result for fotos sobre pat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fotos sobre pateras"/>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32150"/>
                    </a:xfrm>
                    <a:prstGeom prst="rect">
                      <a:avLst/>
                    </a:prstGeom>
                    <a:noFill/>
                    <a:ln>
                      <a:noFill/>
                    </a:ln>
                  </pic:spPr>
                </pic:pic>
              </a:graphicData>
            </a:graphic>
          </wp:inline>
        </w:drawing>
      </w:r>
    </w:p>
    <w:p w:rsidR="00183AF7" w:rsidRPr="000865A8" w:rsidRDefault="00183AF7" w:rsidP="00183AF7">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B85453">
        <w:rPr>
          <w:rFonts w:ascii="Times New Roman" w:hAnsi="Times New Roman" w:cs="Times New Roman"/>
          <w:sz w:val="24"/>
          <w:szCs w:val="24"/>
          <w:u w:val="single"/>
        </w:rPr>
        <w:t>La Eurozona y la libertad de migración: las dos cuestiones que han minado a la UE</w:t>
      </w:r>
      <w:r>
        <w:rPr>
          <w:rFonts w:ascii="Times New Roman" w:hAnsi="Times New Roman" w:cs="Times New Roman"/>
          <w:sz w:val="24"/>
          <w:szCs w:val="24"/>
        </w:rPr>
        <w:t xml:space="preserve"> (El Confidencial - </w:t>
      </w:r>
      <w:r w:rsidRPr="00B85453">
        <w:rPr>
          <w:rFonts w:ascii="Times New Roman" w:hAnsi="Times New Roman" w:cs="Times New Roman"/>
          <w:b/>
          <w:sz w:val="24"/>
          <w:szCs w:val="24"/>
        </w:rPr>
        <w:t>20/1/19</w:t>
      </w:r>
      <w:r>
        <w:rPr>
          <w:rFonts w:ascii="Times New Roman" w:hAnsi="Times New Roman" w:cs="Times New Roman"/>
          <w:sz w:val="24"/>
          <w:szCs w:val="24"/>
        </w:rPr>
        <w:t xml:space="preserve">) </w:t>
      </w:r>
    </w:p>
    <w:p w:rsidR="00183AF7" w:rsidRDefault="00183AF7" w:rsidP="00183AF7">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183AF7" w:rsidRPr="00CE1492" w:rsidRDefault="00183AF7" w:rsidP="00183AF7">
      <w:pPr>
        <w:spacing w:line="240" w:lineRule="auto"/>
        <w:jc w:val="both"/>
        <w:rPr>
          <w:rFonts w:ascii="Times New Roman" w:hAnsi="Times New Roman" w:cs="Times New Roman"/>
          <w:color w:val="FF0000"/>
          <w:sz w:val="24"/>
          <w:szCs w:val="24"/>
        </w:rPr>
      </w:pPr>
      <w:r w:rsidRPr="00CE1492">
        <w:rPr>
          <w:rFonts w:ascii="Times New Roman" w:hAnsi="Times New Roman" w:cs="Times New Roman"/>
          <w:color w:val="FF0000"/>
          <w:sz w:val="24"/>
          <w:szCs w:val="24"/>
        </w:rPr>
        <w:t>La debacle del Brexit arroja luz no solo sobre el Reino Unido, sino también sobre la propia Europa, y lo que se ve es un continente y un proyecto político que ha dejado de funcionar</w:t>
      </w:r>
    </w:p>
    <w:p w:rsidR="00183AF7" w:rsidRPr="00CE1492" w:rsidRDefault="00183AF7" w:rsidP="00183AF7">
      <w:pPr>
        <w:spacing w:line="240" w:lineRule="auto"/>
        <w:jc w:val="both"/>
        <w:rPr>
          <w:rFonts w:ascii="Times New Roman" w:hAnsi="Times New Roman" w:cs="Times New Roman"/>
          <w:sz w:val="24"/>
          <w:szCs w:val="24"/>
          <w:u w:val="single"/>
        </w:rPr>
      </w:pPr>
      <w:r w:rsidRPr="00CE1492">
        <w:rPr>
          <w:rFonts w:ascii="Times New Roman" w:hAnsi="Times New Roman" w:cs="Times New Roman"/>
          <w:sz w:val="24"/>
          <w:szCs w:val="24"/>
          <w:u w:val="single"/>
        </w:rPr>
        <w:t>Mientras vemos al Reino Unido sufrir los paroxismos del Brexit, es fácil ver su decisión de abandonar la Unión Europea como un acto de estupidez, una herida autoinflingida que empobrecerá a los británicos durante años</w:t>
      </w:r>
      <w:r w:rsidRPr="00B85453">
        <w:rPr>
          <w:rFonts w:ascii="Times New Roman" w:hAnsi="Times New Roman" w:cs="Times New Roman"/>
          <w:sz w:val="24"/>
          <w:szCs w:val="24"/>
        </w:rPr>
        <w:t xml:space="preserve">. Europa es el mayor mercado del Reino Unido, con </w:t>
      </w:r>
      <w:r w:rsidRPr="00B85453">
        <w:rPr>
          <w:rFonts w:ascii="Times New Roman" w:hAnsi="Times New Roman" w:cs="Times New Roman"/>
          <w:sz w:val="24"/>
          <w:szCs w:val="24"/>
        </w:rPr>
        <w:lastRenderedPageBreak/>
        <w:t xml:space="preserve">casi la mitad de las exportaciones del país. </w:t>
      </w:r>
      <w:r w:rsidRPr="00CE1492">
        <w:rPr>
          <w:rFonts w:ascii="Times New Roman" w:hAnsi="Times New Roman" w:cs="Times New Roman"/>
          <w:sz w:val="24"/>
          <w:szCs w:val="24"/>
          <w:u w:val="single"/>
        </w:rPr>
        <w:t>Perder un acceso especial a ello es un alto precio a pagar a cambio de algunas ganancias simbólicas en soberanía.</w:t>
      </w:r>
    </w:p>
    <w:p w:rsidR="00183AF7" w:rsidRPr="00CE1492" w:rsidRDefault="00183AF7" w:rsidP="00183AF7">
      <w:pPr>
        <w:spacing w:line="240" w:lineRule="auto"/>
        <w:jc w:val="both"/>
        <w:rPr>
          <w:rFonts w:ascii="Times New Roman" w:hAnsi="Times New Roman" w:cs="Times New Roman"/>
          <w:color w:val="FF0000"/>
          <w:sz w:val="24"/>
          <w:szCs w:val="24"/>
          <w:u w:val="single"/>
        </w:rPr>
      </w:pPr>
      <w:r w:rsidRPr="00CE1492">
        <w:rPr>
          <w:rFonts w:ascii="Times New Roman" w:hAnsi="Times New Roman" w:cs="Times New Roman"/>
          <w:color w:val="FF0000"/>
          <w:sz w:val="24"/>
          <w:szCs w:val="24"/>
          <w:u w:val="single"/>
        </w:rPr>
        <w:t>Pero la debacle del Brexit también arroja luz sobre la propia Europa, y lo que se ve es un continente y un proyecto político que ha dejado de funcionar, al menos para mucha gente en su núcleo en Europa Occidental. Lo digo como ardiente partidario de la Unión Europea.EEUU y la UE han sido los dos principales motores de un mundo basado en el libre mercado, la política democrática, la libertad y la ley, los derechos humanos y la riqueza global. Esos valores probablemente se verán erosionados en todo el mundo si la fortaleza y el propósito de cualquiera de esos dos núcleos siguen su declive.</w:t>
      </w:r>
    </w:p>
    <w:p w:rsidR="00183AF7" w:rsidRPr="00CE1492" w:rsidRDefault="00183AF7" w:rsidP="00183AF7">
      <w:pPr>
        <w:spacing w:line="240" w:lineRule="auto"/>
        <w:jc w:val="both"/>
        <w:rPr>
          <w:rFonts w:ascii="Times New Roman" w:hAnsi="Times New Roman" w:cs="Times New Roman"/>
          <w:color w:val="FF0000"/>
          <w:sz w:val="24"/>
          <w:szCs w:val="24"/>
          <w:u w:val="single"/>
        </w:rPr>
      </w:pPr>
      <w:r w:rsidRPr="00CE1492">
        <w:rPr>
          <w:rFonts w:ascii="Times New Roman" w:hAnsi="Times New Roman" w:cs="Times New Roman"/>
          <w:color w:val="FF0000"/>
          <w:sz w:val="24"/>
          <w:szCs w:val="24"/>
          <w:u w:val="single"/>
        </w:rPr>
        <w:t>Durante las tres últimas décadas, el proyecto europeo se ha ido saliendo de su rumbo. Lo que empezó como una comunidad de naciones cooperando para crear mercados más grandes y una mayor eficiencia y estabilidad política se ha obsesionado con dos grandes cuestiones que han minado sus logros principales.</w:t>
      </w:r>
    </w:p>
    <w:p w:rsidR="00183AF7" w:rsidRPr="00CE1492" w:rsidRDefault="00183AF7" w:rsidP="00183AF7">
      <w:pPr>
        <w:spacing w:line="240" w:lineRule="auto"/>
        <w:jc w:val="both"/>
        <w:rPr>
          <w:rFonts w:ascii="Times New Roman" w:hAnsi="Times New Roman" w:cs="Times New Roman"/>
          <w:sz w:val="24"/>
          <w:szCs w:val="24"/>
          <w:u w:val="single"/>
        </w:rPr>
      </w:pPr>
      <w:r w:rsidRPr="00CE1492">
        <w:rPr>
          <w:rFonts w:ascii="Times New Roman" w:hAnsi="Times New Roman" w:cs="Times New Roman"/>
          <w:color w:val="FF0000"/>
          <w:sz w:val="24"/>
          <w:szCs w:val="24"/>
          <w:u w:val="single"/>
        </w:rPr>
        <w:t>La primera fue, tras el colapso de la URSS, la rápida integración de muchos nuevos países que estaban mucho menos desarrollados económica y socialmente que los miembros originales de la UE</w:t>
      </w:r>
      <w:r w:rsidRPr="00B85453">
        <w:rPr>
          <w:rFonts w:ascii="Times New Roman" w:hAnsi="Times New Roman" w:cs="Times New Roman"/>
          <w:sz w:val="24"/>
          <w:szCs w:val="24"/>
        </w:rPr>
        <w:t xml:space="preserve">. </w:t>
      </w:r>
      <w:r w:rsidRPr="00CE1492">
        <w:rPr>
          <w:rFonts w:ascii="Times New Roman" w:hAnsi="Times New Roman" w:cs="Times New Roman"/>
          <w:sz w:val="24"/>
          <w:szCs w:val="24"/>
          <w:u w:val="single"/>
        </w:rPr>
        <w:t>Desde 1995, se ha expandido de 12 países a 28</w:t>
      </w:r>
      <w:r w:rsidRPr="00B85453">
        <w:rPr>
          <w:rFonts w:ascii="Times New Roman" w:hAnsi="Times New Roman" w:cs="Times New Roman"/>
          <w:sz w:val="24"/>
          <w:szCs w:val="24"/>
        </w:rPr>
        <w:t xml:space="preserve">. Enfocada originalmente en la apertura de mercados, la optimización de las regulaciones y la creación de nuevas oportunidades de crecimiento, </w:t>
      </w:r>
      <w:r w:rsidRPr="00CE1492">
        <w:rPr>
          <w:rFonts w:ascii="Times New Roman" w:hAnsi="Times New Roman" w:cs="Times New Roman"/>
          <w:sz w:val="24"/>
          <w:szCs w:val="24"/>
          <w:u w:val="single"/>
        </w:rPr>
        <w:t>la UE pronto se convirtió en una “unión de transferencias”, un vasto esquema para redistribuir fondos de los países prósperos a los mercados emergentes. Incluso en el fuerte entorno económico de hoy, el gasto de la UE supone más del 3% de la economía de Hungría y casi el 4% del de Lituania.</w:t>
      </w:r>
    </w:p>
    <w:p w:rsidR="00183AF7" w:rsidRPr="00CE1492" w:rsidRDefault="00183AF7" w:rsidP="00183AF7">
      <w:pPr>
        <w:spacing w:line="240" w:lineRule="auto"/>
        <w:jc w:val="both"/>
        <w:rPr>
          <w:rFonts w:ascii="Times New Roman" w:hAnsi="Times New Roman" w:cs="Times New Roman"/>
          <w:color w:val="FF0000"/>
          <w:sz w:val="24"/>
          <w:szCs w:val="24"/>
          <w:u w:val="single"/>
        </w:rPr>
      </w:pPr>
      <w:r w:rsidRPr="00CE1492">
        <w:rPr>
          <w:rFonts w:ascii="Times New Roman" w:hAnsi="Times New Roman" w:cs="Times New Roman"/>
          <w:color w:val="FF0000"/>
          <w:sz w:val="24"/>
          <w:szCs w:val="24"/>
          <w:u w:val="single"/>
        </w:rPr>
        <w:t>Esta brecha entre una Europa pobre y una Europa rica con fronteras abiertas inevitablemente produce una crisis migratoria</w:t>
      </w:r>
      <w:r w:rsidRPr="00B85453">
        <w:rPr>
          <w:rFonts w:ascii="Times New Roman" w:hAnsi="Times New Roman" w:cs="Times New Roman"/>
          <w:sz w:val="24"/>
          <w:szCs w:val="24"/>
        </w:rPr>
        <w:t xml:space="preserve">. Como ha señalado Matthias Matthijs en la publicación Foreign Affairs, </w:t>
      </w:r>
      <w:r w:rsidRPr="00CE1492">
        <w:rPr>
          <w:rFonts w:ascii="Times New Roman" w:hAnsi="Times New Roman" w:cs="Times New Roman"/>
          <w:sz w:val="24"/>
          <w:szCs w:val="24"/>
          <w:u w:val="single"/>
        </w:rPr>
        <w:t>de 2004 a 2014 unos dos millones de polacos emigraron al Reino Unido y Alemania y unos dos millones de rumanos se mudaron a Italia y España</w:t>
      </w:r>
      <w:r w:rsidRPr="00B85453">
        <w:rPr>
          <w:rFonts w:ascii="Times New Roman" w:hAnsi="Times New Roman" w:cs="Times New Roman"/>
          <w:sz w:val="24"/>
          <w:szCs w:val="24"/>
        </w:rPr>
        <w:t xml:space="preserve">. </w:t>
      </w:r>
      <w:r w:rsidRPr="00CE1492">
        <w:rPr>
          <w:rFonts w:ascii="Times New Roman" w:hAnsi="Times New Roman" w:cs="Times New Roman"/>
          <w:sz w:val="24"/>
          <w:szCs w:val="24"/>
          <w:u w:val="single"/>
        </w:rPr>
        <w:t>Estos movimientos supusieron cargas enormes para las redes de seguridad de los países de destino y agitaron el nacionalismo y el nativismo</w:t>
      </w:r>
      <w:r w:rsidRPr="00B85453">
        <w:rPr>
          <w:rFonts w:ascii="Times New Roman" w:hAnsi="Times New Roman" w:cs="Times New Roman"/>
          <w:sz w:val="24"/>
          <w:szCs w:val="24"/>
        </w:rPr>
        <w:t xml:space="preserve">. </w:t>
      </w:r>
      <w:r w:rsidRPr="00CE1492">
        <w:rPr>
          <w:rFonts w:ascii="Times New Roman" w:hAnsi="Times New Roman" w:cs="Times New Roman"/>
          <w:sz w:val="24"/>
          <w:szCs w:val="24"/>
          <w:u w:val="single"/>
        </w:rPr>
        <w:t xml:space="preserve">El influjo hacia Europa de más de un </w:t>
      </w:r>
      <w:r w:rsidR="007D67F3" w:rsidRPr="00CE1492">
        <w:rPr>
          <w:rFonts w:ascii="Times New Roman" w:hAnsi="Times New Roman" w:cs="Times New Roman"/>
          <w:sz w:val="24"/>
          <w:szCs w:val="24"/>
          <w:u w:val="single"/>
        </w:rPr>
        <w:t>millón</w:t>
      </w:r>
      <w:r w:rsidRPr="00CE1492">
        <w:rPr>
          <w:rFonts w:ascii="Times New Roman" w:hAnsi="Times New Roman" w:cs="Times New Roman"/>
          <w:sz w:val="24"/>
          <w:szCs w:val="24"/>
          <w:u w:val="single"/>
        </w:rPr>
        <w:t xml:space="preserve"> de refugiados en 2015, principalmente de Oriente Medio, debe ser puesto en el contexto de estas cifras ya enormes de inmigrantes</w:t>
      </w:r>
      <w:r w:rsidRPr="00B85453">
        <w:rPr>
          <w:rFonts w:ascii="Times New Roman" w:hAnsi="Times New Roman" w:cs="Times New Roman"/>
          <w:sz w:val="24"/>
          <w:szCs w:val="24"/>
        </w:rPr>
        <w:t xml:space="preserve">. </w:t>
      </w:r>
      <w:r w:rsidRPr="00CE1492">
        <w:rPr>
          <w:rFonts w:ascii="Times New Roman" w:hAnsi="Times New Roman" w:cs="Times New Roman"/>
          <w:color w:val="FF0000"/>
          <w:sz w:val="24"/>
          <w:szCs w:val="24"/>
          <w:u w:val="single"/>
        </w:rPr>
        <w:t>Y como puede verse en casi todas partes, de EEUU a Austria, los miedos sobre la inmigración son el combustible para los nacionalistas de derechas, que desacreditar a la clase política a la que achacan la responsabilidad para estos flujos no controlados.</w:t>
      </w:r>
    </w:p>
    <w:p w:rsidR="00183AF7" w:rsidRPr="00CE1492" w:rsidRDefault="00183AF7" w:rsidP="00183AF7">
      <w:pPr>
        <w:spacing w:line="240" w:lineRule="auto"/>
        <w:jc w:val="both"/>
        <w:rPr>
          <w:rFonts w:ascii="Times New Roman" w:hAnsi="Times New Roman" w:cs="Times New Roman"/>
          <w:sz w:val="24"/>
          <w:szCs w:val="24"/>
          <w:u w:val="single"/>
        </w:rPr>
      </w:pPr>
      <w:r w:rsidRPr="00CE1492">
        <w:rPr>
          <w:rFonts w:ascii="Times New Roman" w:hAnsi="Times New Roman" w:cs="Times New Roman"/>
          <w:color w:val="FF0000"/>
          <w:sz w:val="24"/>
          <w:szCs w:val="24"/>
          <w:u w:val="single"/>
        </w:rPr>
        <w:t>El segundo desafío que consume a la Unión Europea ha sido su divisa, el euro. Lanzado más con la política que con la economía en mente, el euro ha cobrado cuerpo con una profunda falla estructural: impone un sistema monetario unificado en 19 países que continúan teniendo sistemas fiscales muy diferentes</w:t>
      </w:r>
      <w:r w:rsidRPr="00B85453">
        <w:rPr>
          <w:rFonts w:ascii="Times New Roman" w:hAnsi="Times New Roman" w:cs="Times New Roman"/>
          <w:sz w:val="24"/>
          <w:szCs w:val="24"/>
        </w:rPr>
        <w:t xml:space="preserve">. </w:t>
      </w:r>
      <w:r w:rsidRPr="00CE1492">
        <w:rPr>
          <w:rFonts w:ascii="Times New Roman" w:hAnsi="Times New Roman" w:cs="Times New Roman"/>
          <w:sz w:val="24"/>
          <w:szCs w:val="24"/>
          <w:u w:val="single"/>
        </w:rPr>
        <w:t>Así que cuando llega una recesión, los países no tienen la capacidad de reducir el valor de su divisa, ni tampoco reciben recursos adicionales sustanciales de Bruselas, como harían los estados de EEUU de Washington cuando entran en recesión. Los resultados, como ha podido verse durante años desde 2008, son el estancamiento económico y la revuelta política.</w:t>
      </w:r>
    </w:p>
    <w:p w:rsidR="00183AF7" w:rsidRPr="00B85453" w:rsidRDefault="00183AF7" w:rsidP="00183AF7">
      <w:pPr>
        <w:spacing w:line="240" w:lineRule="auto"/>
        <w:jc w:val="both"/>
        <w:rPr>
          <w:rFonts w:ascii="Times New Roman" w:hAnsi="Times New Roman" w:cs="Times New Roman"/>
          <w:sz w:val="24"/>
          <w:szCs w:val="24"/>
        </w:rPr>
      </w:pPr>
      <w:r w:rsidRPr="00CE1492">
        <w:rPr>
          <w:rFonts w:ascii="Times New Roman" w:hAnsi="Times New Roman" w:cs="Times New Roman"/>
          <w:color w:val="FF0000"/>
          <w:sz w:val="24"/>
          <w:szCs w:val="24"/>
          <w:u w:val="single"/>
        </w:rPr>
        <w:t>El Brexit debería obligar a los británicos a pensar en profundidad sobre su lugar en el mundo y hacer los ajustes que les permitan prosperar en él. Pero debería también llevar a los europeos sobre todo a reapropiarse de su proyecto, una gran idea que se ha torcido. La Unión Europea necesita algo más que jueguecitos; necesita regresar a sus primeros principios, redescubrir su propósito central y cuestionar qué aspectos de su sistema actual ya no funcionan, o no pueden ser gestionados, o ya no se los puede permitir</w:t>
      </w:r>
      <w:r w:rsidRPr="00B85453">
        <w:rPr>
          <w:rFonts w:ascii="Times New Roman" w:hAnsi="Times New Roman" w:cs="Times New Roman"/>
          <w:sz w:val="24"/>
          <w:szCs w:val="24"/>
        </w:rPr>
        <w:t xml:space="preserve">. Como me dijo el ex </w:t>
      </w:r>
      <w:r w:rsidRPr="00B85453">
        <w:rPr>
          <w:rFonts w:ascii="Times New Roman" w:hAnsi="Times New Roman" w:cs="Times New Roman"/>
          <w:sz w:val="24"/>
          <w:szCs w:val="24"/>
        </w:rPr>
        <w:lastRenderedPageBreak/>
        <w:t>primer ministro británico Tony Blair en una entrevista esta semana en la CNN, es crucial que “el Reino Unido se lo vuelva a pensar, pero también que</w:t>
      </w:r>
      <w:r>
        <w:rPr>
          <w:rFonts w:ascii="Times New Roman" w:hAnsi="Times New Roman" w:cs="Times New Roman"/>
          <w:sz w:val="24"/>
          <w:szCs w:val="24"/>
        </w:rPr>
        <w:t xml:space="preserve"> Europa se lo vuelva a pensar”.</w:t>
      </w:r>
    </w:p>
    <w:p w:rsidR="00183AF7" w:rsidRPr="00212717" w:rsidRDefault="00183AF7" w:rsidP="00183AF7">
      <w:pPr>
        <w:spacing w:line="240" w:lineRule="auto"/>
        <w:jc w:val="both"/>
        <w:rPr>
          <w:rFonts w:ascii="Times New Roman" w:hAnsi="Times New Roman" w:cs="Times New Roman"/>
          <w:color w:val="FF0000"/>
          <w:sz w:val="24"/>
          <w:szCs w:val="24"/>
          <w:u w:val="single"/>
        </w:rPr>
      </w:pPr>
      <w:r w:rsidRPr="00212717">
        <w:rPr>
          <w:rFonts w:ascii="Times New Roman" w:hAnsi="Times New Roman" w:cs="Times New Roman"/>
          <w:color w:val="FF0000"/>
          <w:sz w:val="24"/>
          <w:szCs w:val="24"/>
          <w:u w:val="single"/>
        </w:rPr>
        <w:t>Europa se está yendo a pique. Aunque algunos estadounidenses parecen disfrutar con la idea, es malo para nuestro país.</w:t>
      </w:r>
    </w:p>
    <w:p w:rsidR="00183AF7" w:rsidRDefault="00183AF7" w:rsidP="00183AF7">
      <w:pPr>
        <w:spacing w:line="240" w:lineRule="auto"/>
        <w:jc w:val="both"/>
        <w:rPr>
          <w:rFonts w:ascii="Times New Roman" w:hAnsi="Times New Roman" w:cs="Times New Roman"/>
          <w:sz w:val="24"/>
          <w:szCs w:val="24"/>
        </w:rPr>
      </w:pPr>
      <w:r w:rsidRPr="00B85453">
        <w:rPr>
          <w:rFonts w:ascii="Times New Roman" w:hAnsi="Times New Roman" w:cs="Times New Roman"/>
          <w:sz w:val="24"/>
          <w:szCs w:val="24"/>
        </w:rPr>
        <w:t>“Para mediados de este siglo, vais a vivir en un mundo multipolar”, dijo Blair. “En estas circunstancias, Occidente debería permanecer unido y Europa debería seguir junto a EEUU, porque al final (...) somos países que creen en la democracia, la libertad y el estado de derecho. De otro modo, vamos a ver que, a medida que este siglo progresa y mis hijos y nietos descubren su lugar en el mundo, Occidente va a ser más débil. Y eso es malo para ellos, y malo para todos”.</w:t>
      </w:r>
    </w:p>
    <w:p w:rsidR="00FF2201" w:rsidRDefault="00FF2201" w:rsidP="00183AF7">
      <w:pPr>
        <w:spacing w:line="240" w:lineRule="auto"/>
        <w:jc w:val="both"/>
        <w:rPr>
          <w:rFonts w:ascii="Times New Roman" w:hAnsi="Times New Roman" w:cs="Times New Roman"/>
          <w:sz w:val="24"/>
          <w:szCs w:val="24"/>
        </w:rPr>
      </w:pPr>
    </w:p>
    <w:p w:rsidR="00FF2201" w:rsidRDefault="00FF2201" w:rsidP="00FF2201">
      <w:pPr>
        <w:spacing w:line="240" w:lineRule="auto"/>
        <w:jc w:val="both"/>
        <w:rPr>
          <w:rFonts w:ascii="Times New Roman" w:hAnsi="Times New Roman" w:cs="Times New Roman"/>
          <w:b/>
          <w:sz w:val="24"/>
          <w:szCs w:val="24"/>
          <w:lang w:val="en-US"/>
        </w:rPr>
      </w:pPr>
      <w:r w:rsidRPr="00450EF1">
        <w:rPr>
          <w:rFonts w:ascii="Times New Roman" w:hAnsi="Times New Roman" w:cs="Times New Roman"/>
          <w:b/>
          <w:sz w:val="24"/>
          <w:szCs w:val="24"/>
          <w:lang w:val="en-US"/>
        </w:rPr>
        <w:t>- Risk Analysis for 2019 -</w:t>
      </w:r>
      <w:r>
        <w:rPr>
          <w:rFonts w:ascii="Times New Roman" w:hAnsi="Times New Roman" w:cs="Times New Roman"/>
          <w:b/>
          <w:sz w:val="24"/>
          <w:szCs w:val="24"/>
          <w:lang w:val="en-US"/>
        </w:rPr>
        <w:t xml:space="preserve"> Frontex - European Border and Coast Guard Agency - February 2019</w:t>
      </w:r>
    </w:p>
    <w:p w:rsidR="00FF2201" w:rsidRDefault="00FF2201" w:rsidP="00FF2201">
      <w:pPr>
        <w:spacing w:line="240" w:lineRule="auto"/>
        <w:jc w:val="both"/>
        <w:rPr>
          <w:rFonts w:ascii="Times New Roman" w:hAnsi="Times New Roman" w:cs="Times New Roman"/>
          <w:b/>
          <w:sz w:val="24"/>
          <w:szCs w:val="24"/>
          <w:lang w:val="en-US"/>
        </w:rPr>
      </w:pPr>
    </w:p>
    <w:p w:rsidR="00FF2201" w:rsidRDefault="00FF2201" w:rsidP="00FF2201">
      <w:pPr>
        <w:spacing w:line="240" w:lineRule="auto"/>
        <w:jc w:val="both"/>
        <w:rPr>
          <w:rFonts w:ascii="Times New Roman" w:hAnsi="Times New Roman" w:cs="Times New Roman"/>
          <w:b/>
          <w:sz w:val="24"/>
          <w:szCs w:val="24"/>
          <w:lang w:val="en-US"/>
        </w:rPr>
      </w:pPr>
      <w:r w:rsidRPr="000F3BE0">
        <w:rPr>
          <w:rFonts w:ascii="Times New Roman" w:hAnsi="Times New Roman" w:cs="Times New Roman"/>
          <w:b/>
          <w:noProof/>
          <w:sz w:val="24"/>
          <w:szCs w:val="24"/>
          <w:lang w:val="en-GB" w:eastAsia="en-GB"/>
        </w:rPr>
        <w:drawing>
          <wp:inline distT="0" distB="0" distL="0" distR="0">
            <wp:extent cx="5734050" cy="31813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179941"/>
                    </a:xfrm>
                    <a:prstGeom prst="rect">
                      <a:avLst/>
                    </a:prstGeom>
                  </pic:spPr>
                </pic:pic>
              </a:graphicData>
            </a:graphic>
          </wp:inline>
        </w:drawing>
      </w:r>
    </w:p>
    <w:p w:rsidR="00FF2201" w:rsidRDefault="00FF2201" w:rsidP="00FF2201">
      <w:pPr>
        <w:spacing w:line="240" w:lineRule="auto"/>
        <w:jc w:val="both"/>
        <w:rPr>
          <w:rFonts w:ascii="Times New Roman" w:hAnsi="Times New Roman" w:cs="Times New Roman"/>
          <w:b/>
          <w:sz w:val="24"/>
          <w:szCs w:val="24"/>
          <w:lang w:val="en-US"/>
        </w:rPr>
      </w:pPr>
      <w:r w:rsidRPr="000F3BE0">
        <w:rPr>
          <w:rFonts w:ascii="Times New Roman" w:hAnsi="Times New Roman" w:cs="Times New Roman"/>
          <w:b/>
          <w:noProof/>
          <w:sz w:val="24"/>
          <w:szCs w:val="24"/>
          <w:lang w:val="en-GB" w:eastAsia="en-GB"/>
        </w:rPr>
        <w:lastRenderedPageBreak/>
        <w:drawing>
          <wp:inline distT="0" distB="0" distL="0" distR="0">
            <wp:extent cx="5732538" cy="3054350"/>
            <wp:effectExtent l="0" t="0" r="190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053802"/>
                    </a:xfrm>
                    <a:prstGeom prst="rect">
                      <a:avLst/>
                    </a:prstGeom>
                  </pic:spPr>
                </pic:pic>
              </a:graphicData>
            </a:graphic>
          </wp:inline>
        </w:drawing>
      </w:r>
    </w:p>
    <w:p w:rsidR="00FF2201" w:rsidRDefault="00FF2201" w:rsidP="00FF2201">
      <w:pPr>
        <w:spacing w:line="240" w:lineRule="auto"/>
        <w:jc w:val="both"/>
        <w:rPr>
          <w:rFonts w:ascii="Times New Roman" w:hAnsi="Times New Roman" w:cs="Times New Roman"/>
          <w:b/>
          <w:sz w:val="24"/>
          <w:szCs w:val="24"/>
          <w:lang w:val="en-US"/>
        </w:rPr>
      </w:pPr>
      <w:r w:rsidRPr="000F3BE0">
        <w:rPr>
          <w:rFonts w:ascii="Times New Roman" w:hAnsi="Times New Roman" w:cs="Times New Roman"/>
          <w:b/>
          <w:noProof/>
          <w:sz w:val="24"/>
          <w:szCs w:val="24"/>
          <w:lang w:val="en-GB" w:eastAsia="en-GB"/>
        </w:rPr>
        <w:drawing>
          <wp:inline distT="0" distB="0" distL="0" distR="0">
            <wp:extent cx="5727683" cy="4343400"/>
            <wp:effectExtent l="0" t="0" r="698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4346302"/>
                    </a:xfrm>
                    <a:prstGeom prst="rect">
                      <a:avLst/>
                    </a:prstGeom>
                  </pic:spPr>
                </pic:pic>
              </a:graphicData>
            </a:graphic>
          </wp:inline>
        </w:drawing>
      </w:r>
    </w:p>
    <w:p w:rsidR="00FF2201" w:rsidRDefault="00FF2201" w:rsidP="00FF2201">
      <w:pPr>
        <w:spacing w:line="240" w:lineRule="auto"/>
        <w:jc w:val="both"/>
        <w:rPr>
          <w:rFonts w:ascii="Times New Roman" w:hAnsi="Times New Roman" w:cs="Times New Roman"/>
          <w:b/>
          <w:sz w:val="24"/>
          <w:szCs w:val="24"/>
          <w:lang w:val="en-US"/>
        </w:rPr>
      </w:pPr>
      <w:r w:rsidRPr="000F3BE0">
        <w:rPr>
          <w:rFonts w:ascii="Times New Roman" w:hAnsi="Times New Roman" w:cs="Times New Roman"/>
          <w:b/>
          <w:noProof/>
          <w:sz w:val="24"/>
          <w:szCs w:val="24"/>
          <w:lang w:val="en-GB" w:eastAsia="en-GB"/>
        </w:rPr>
        <w:lastRenderedPageBreak/>
        <w:drawing>
          <wp:inline distT="0" distB="0" distL="0" distR="0">
            <wp:extent cx="5731510" cy="4188411"/>
            <wp:effectExtent l="0" t="0" r="2540" b="317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4188411"/>
                    </a:xfrm>
                    <a:prstGeom prst="rect">
                      <a:avLst/>
                    </a:prstGeom>
                  </pic:spPr>
                </pic:pic>
              </a:graphicData>
            </a:graphic>
          </wp:inline>
        </w:drawing>
      </w:r>
    </w:p>
    <w:p w:rsidR="00FF2201" w:rsidRDefault="00FF2201" w:rsidP="00FF2201">
      <w:pPr>
        <w:spacing w:line="240" w:lineRule="auto"/>
        <w:jc w:val="both"/>
        <w:rPr>
          <w:rFonts w:ascii="Times New Roman" w:hAnsi="Times New Roman" w:cs="Times New Roman"/>
          <w:b/>
          <w:sz w:val="24"/>
          <w:szCs w:val="24"/>
          <w:lang w:val="en-US"/>
        </w:rPr>
      </w:pPr>
      <w:r w:rsidRPr="000F3BE0">
        <w:rPr>
          <w:rFonts w:ascii="Times New Roman" w:hAnsi="Times New Roman" w:cs="Times New Roman"/>
          <w:b/>
          <w:noProof/>
          <w:sz w:val="24"/>
          <w:szCs w:val="24"/>
          <w:lang w:val="en-GB" w:eastAsia="en-GB"/>
        </w:rPr>
        <w:drawing>
          <wp:inline distT="0" distB="0" distL="0" distR="0">
            <wp:extent cx="5731510" cy="4248421"/>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4248421"/>
                    </a:xfrm>
                    <a:prstGeom prst="rect">
                      <a:avLst/>
                    </a:prstGeom>
                  </pic:spPr>
                </pic:pic>
              </a:graphicData>
            </a:graphic>
          </wp:inline>
        </w:drawing>
      </w:r>
    </w:p>
    <w:p w:rsidR="00FF2201" w:rsidRDefault="00FF2201" w:rsidP="00FF2201">
      <w:pPr>
        <w:spacing w:line="240" w:lineRule="auto"/>
        <w:jc w:val="both"/>
        <w:rPr>
          <w:rFonts w:ascii="Times New Roman" w:hAnsi="Times New Roman" w:cs="Times New Roman"/>
          <w:b/>
          <w:sz w:val="24"/>
          <w:szCs w:val="24"/>
          <w:lang w:val="en-US"/>
        </w:rPr>
      </w:pPr>
      <w:r w:rsidRPr="000F3BE0">
        <w:rPr>
          <w:rFonts w:ascii="Times New Roman" w:hAnsi="Times New Roman" w:cs="Times New Roman"/>
          <w:b/>
          <w:noProof/>
          <w:sz w:val="24"/>
          <w:szCs w:val="24"/>
          <w:lang w:val="en-GB" w:eastAsia="en-GB"/>
        </w:rPr>
        <w:lastRenderedPageBreak/>
        <w:drawing>
          <wp:inline distT="0" distB="0" distL="0" distR="0">
            <wp:extent cx="5731510" cy="4256993"/>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4256993"/>
                    </a:xfrm>
                    <a:prstGeom prst="rect">
                      <a:avLst/>
                    </a:prstGeom>
                  </pic:spPr>
                </pic:pic>
              </a:graphicData>
            </a:graphic>
          </wp:inline>
        </w:drawing>
      </w:r>
    </w:p>
    <w:p w:rsidR="00FF2201" w:rsidRPr="00A80D73"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1116D">
        <w:rPr>
          <w:rFonts w:ascii="Times New Roman" w:hAnsi="Times New Roman" w:cs="Times New Roman"/>
          <w:sz w:val="24"/>
          <w:szCs w:val="24"/>
          <w:u w:val="single"/>
        </w:rPr>
        <w:t>Europa tiene un gran problema, pero se niega a a</w:t>
      </w:r>
      <w:r w:rsidRPr="00A80D73">
        <w:rPr>
          <w:rFonts w:ascii="Times New Roman" w:hAnsi="Times New Roman" w:cs="Times New Roman"/>
          <w:sz w:val="24"/>
          <w:szCs w:val="24"/>
          <w:u w:val="single"/>
        </w:rPr>
        <w:t>dmitirlo</w:t>
      </w:r>
      <w:r>
        <w:rPr>
          <w:rFonts w:ascii="Times New Roman" w:hAnsi="Times New Roman" w:cs="Times New Roman"/>
          <w:sz w:val="24"/>
          <w:szCs w:val="24"/>
        </w:rPr>
        <w:t xml:space="preserve"> (Noticias de Israel - </w:t>
      </w:r>
      <w:r w:rsidRPr="00A80D73">
        <w:rPr>
          <w:rFonts w:ascii="Times New Roman" w:hAnsi="Times New Roman" w:cs="Times New Roman"/>
          <w:b/>
          <w:sz w:val="24"/>
          <w:szCs w:val="24"/>
        </w:rPr>
        <w:t>28/4/19</w:t>
      </w:r>
      <w:r>
        <w:rPr>
          <w:rFonts w:ascii="Times New Roman" w:hAnsi="Times New Roman" w:cs="Times New Roman"/>
          <w:sz w:val="24"/>
          <w:szCs w:val="24"/>
        </w:rPr>
        <w:t>)</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(Por Prof. Eyal Zisser)</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La guerra jihadista emprendida por grupos islamistas radicales en todo el mundo nunca se detuvo ante las puertas de los lugares sagrados y los lugares de culto. De hecho, incluso aquellos que adoran en estos lugares se han convertido en objetivos legítimos y convenientes para los jihadistas en Medio Oriente, África y Asia, como supimos de la reciente masacre en Sri Lanka, y también</w:t>
      </w:r>
      <w:r>
        <w:rPr>
          <w:rFonts w:ascii="Times New Roman" w:hAnsi="Times New Roman" w:cs="Times New Roman"/>
          <w:sz w:val="24"/>
          <w:szCs w:val="24"/>
        </w:rPr>
        <w:t xml:space="preserve"> en los últimos años en Europa.</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Las comunidades de minorías, en su mayoría cristianas, son perseguidas en grandes partes del mundo islámico, y la tolerancia que alguna vez se aplicó a judíos y cristianos ahora ha sido reemplazada por el extremismo que amenaza la existencia continua del cristianismo en estos lugares. Setenta años retirados desde el final de la vida judía en Irak y Siria debido a persecuciones y expulsiones, la comunidad cristiana del Medio Ori</w:t>
      </w:r>
      <w:r>
        <w:rPr>
          <w:rFonts w:ascii="Times New Roman" w:hAnsi="Times New Roman" w:cs="Times New Roman"/>
          <w:sz w:val="24"/>
          <w:szCs w:val="24"/>
        </w:rPr>
        <w:t>ente ahora está desapareciendo.</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El grupo Estado Islámico se ha involucrado en la destrucción sistemática de iglesias en los territorios que posee, pero las iglesias son atacadas y, a menudo, quemadas en otros países árabes y musulmanes, que luchan, a pesar de los esfuerzos de sus gobernantes, para proteger a sus minorías cristianas. Los extremistas tampoco perdonan a las mezquitas de los musulmanes que no comparten sus puntos de vista radicales y los han atacado en las decenas y cientos de ataques en el marco de su jihad. A la luz de estos ataques, la voz de Europa apenas se ha escuchado. Debido a su deseo de mantener la corrección política, los gobiernos europeos no han defendido a las comunidades cristianas en el Medio Oriente, Asia y África, solo para evitar disparos y ser perc</w:t>
      </w:r>
      <w:r>
        <w:rPr>
          <w:rFonts w:ascii="Times New Roman" w:hAnsi="Times New Roman" w:cs="Times New Roman"/>
          <w:sz w:val="24"/>
          <w:szCs w:val="24"/>
        </w:rPr>
        <w:t>ibidos como enemigos del Islam.</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lastRenderedPageBreak/>
        <w:t>Es interesante notar que el Islam radical ha encontrado un socio en la forma de la extrema derecha neonazi, cuyos miembros están detrás de los crímenes de odio contra las sinagogas judías, por ejemplo, la sinagoga Árbol de la Vida en Pennsylvania, pero también las mezquitas musulmanas, la más importante. Caso reciente de esto es Nueva Zelanda. En el contexto israelí, a estos dos campos se les une la extrema izquierda, que está inundando a Europa en una oleada de sentimient</w:t>
      </w:r>
      <w:r>
        <w:rPr>
          <w:rFonts w:ascii="Times New Roman" w:hAnsi="Times New Roman" w:cs="Times New Roman"/>
          <w:sz w:val="24"/>
          <w:szCs w:val="24"/>
        </w:rPr>
        <w:t>os antiisraelíes y antisemitas.</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 xml:space="preserve">La jihad, sin embargo, se abrió paso hacia las costas europeas hace un tiempo. Junto con numerosos ataques terroristas, se ha informado en los últimos años, solo en Francia, que cientos de iglesias han sido atacadas por extremistas, la mayoría musulmanes. Las autoridades en Europa también silencian esto. Aparentemente, creen que la manera más efectiva de enfrentar el extremismo y el terror es ignorarlo y contenerlo, con la esperanza </w:t>
      </w:r>
      <w:r>
        <w:rPr>
          <w:rFonts w:ascii="Times New Roman" w:hAnsi="Times New Roman" w:cs="Times New Roman"/>
          <w:sz w:val="24"/>
          <w:szCs w:val="24"/>
        </w:rPr>
        <w:t>de que simplemente desaparezca.</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La cuestión del acercamiento de Europa al Islam radical ha resurgido tras el incendio en la Catedral de Notre Dame en París, uno de los símbolos históricos y religiosos más importantes de Francia. La razón del incendio aún se desconoce, y podría ser que un contratiempo técnico, el sitio estaba en proceso de renov</w:t>
      </w:r>
      <w:r>
        <w:rPr>
          <w:rFonts w:ascii="Times New Roman" w:hAnsi="Times New Roman" w:cs="Times New Roman"/>
          <w:sz w:val="24"/>
          <w:szCs w:val="24"/>
        </w:rPr>
        <w:t>ación, estaba detrás del fuego.</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Sin embargo, fue fascinante ver la indignación en Europa hacia cualquiera que insinuara la posibilidad de un incendio provocado, tal vez por extremistas, y no por un accidente. Después de todo, como se dijo, solo en Francia cientos de iglesias han sido atacadas en los últimos años y se han hecho amenazas para atacar a Notre Dame. Sin embargo, nadie puede sugerir esta posibilidad. Este es también el enfoque, particularmente en Francia, de cualquier ataque terrorista que tenga lugar en el continente, donde el aspecto jihad</w:t>
      </w:r>
      <w:r>
        <w:rPr>
          <w:rFonts w:ascii="Times New Roman" w:hAnsi="Times New Roman" w:cs="Times New Roman"/>
          <w:sz w:val="24"/>
          <w:szCs w:val="24"/>
        </w:rPr>
        <w:t>ista se ve borroso y se ignora.</w:t>
      </w:r>
    </w:p>
    <w:p w:rsidR="00FF2201" w:rsidRPr="00A80D73" w:rsidRDefault="00FF2201" w:rsidP="00FF2201">
      <w:pPr>
        <w:spacing w:line="240" w:lineRule="auto"/>
        <w:jc w:val="both"/>
        <w:rPr>
          <w:rFonts w:ascii="Times New Roman" w:hAnsi="Times New Roman" w:cs="Times New Roman"/>
          <w:sz w:val="24"/>
          <w:szCs w:val="24"/>
        </w:rPr>
      </w:pPr>
      <w:r w:rsidRPr="00A80D73">
        <w:rPr>
          <w:rFonts w:ascii="Times New Roman" w:hAnsi="Times New Roman" w:cs="Times New Roman"/>
          <w:sz w:val="24"/>
          <w:szCs w:val="24"/>
        </w:rPr>
        <w:t>Europa aún cree que enterrar su cabeza en la arena es la mejor manera de enfrentar el desafío que plantea el Islam radical, pero una y otra vez vemos que negar la existencia de un problema no lo resuelve. Podemos asumir que el problema solo empeorará a la luz del fracaso de Europa para absorber las olas de inmigración musulmana en el continente. Actualmente, estos inmigrantes representan menos del 5% de toda la población de Europa, pero este porcentaje podría aumentar hasta el 20% e incluso una cuarta parte de la población debido a las bajas tasas de nacimientos naturales entre los europeos nativos. Y la proporción de musulmanes en algunas grandes ciudades europeas, como París o Bruselas, ya es de alrededor del 20% o más. Un esfuerzo para absorber a estos inmigrantes y acomodarlos en todo el continente, mientras se lucha contra el Islam radical con determinación, es, por lo tanto, el orden del día, pero en Europa, nadie está dispuesto a reconocer este desafío y abordarlo.</w:t>
      </w:r>
    </w:p>
    <w:p w:rsidR="00FF2201"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F79D4">
        <w:rPr>
          <w:rFonts w:ascii="Times New Roman" w:hAnsi="Times New Roman" w:cs="Times New Roman"/>
          <w:sz w:val="24"/>
          <w:szCs w:val="24"/>
          <w:u w:val="single"/>
        </w:rPr>
        <w:t>Los musulmanes en Europa, la construcción de un “problema</w:t>
      </w:r>
      <w:r w:rsidRPr="001964CD">
        <w:rPr>
          <w:rFonts w:ascii="Times New Roman" w:hAnsi="Times New Roman" w:cs="Times New Roman"/>
          <w:sz w:val="24"/>
          <w:szCs w:val="24"/>
        </w:rPr>
        <w:t>”</w:t>
      </w:r>
      <w:r>
        <w:rPr>
          <w:rFonts w:ascii="Times New Roman" w:hAnsi="Times New Roman" w:cs="Times New Roman"/>
          <w:sz w:val="24"/>
          <w:szCs w:val="24"/>
        </w:rPr>
        <w:t xml:space="preserve"> (Open Mind) </w:t>
      </w:r>
    </w:p>
    <w:p w:rsidR="00FF2201"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Bichara Khader - </w:t>
      </w:r>
      <w:r w:rsidRPr="001964CD">
        <w:rPr>
          <w:rFonts w:ascii="Times New Roman" w:hAnsi="Times New Roman" w:cs="Times New Roman"/>
          <w:sz w:val="24"/>
          <w:szCs w:val="24"/>
        </w:rPr>
        <w:t>Universidad Católica de Lovaina, Lovaina, Bélgica</w:t>
      </w:r>
      <w:r>
        <w:rPr>
          <w:rFonts w:ascii="Times New Roman" w:hAnsi="Times New Roman" w:cs="Times New Roman"/>
          <w:sz w:val="24"/>
          <w:szCs w:val="24"/>
        </w:rPr>
        <w:t>)</w:t>
      </w:r>
    </w:p>
    <w:p w:rsidR="00FF2201" w:rsidRPr="00A80D73"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 xml:space="preserve">En mi modesta opinión, cuatro factores pueden ayudarnos a comprender a fondo el proceso gradual de la radicalización. El primero es la radicalización por razones de identidad. Para muchos jóvenes musulmanes de origen inmigrante, estén marginados o plenamente integrados, existe un sentimiento generalizado de que no se los termina de aceptar como conciudadanos de pleno derecho. Después de tres generaciones, un francés de origen argelino sigue siendo considerado argelino y musulmán. Puede que no haya puesto un pie en Argelia, puede ser ateo; se lo sigue viendo como “otro”. Sin duda, algunos jóvenes musulmanes se </w:t>
      </w:r>
      <w:r w:rsidRPr="001964CD">
        <w:rPr>
          <w:rFonts w:ascii="Times New Roman" w:hAnsi="Times New Roman" w:cs="Times New Roman"/>
          <w:sz w:val="24"/>
          <w:szCs w:val="24"/>
        </w:rPr>
        <w:lastRenderedPageBreak/>
        <w:t>sienten divididos por dentro, entre un país de origen que no conocen y sus propias patrias (Francia, Bélgica o Alemania), que les dan la espalda. No es de extrañar que algunos jóvenes maldigan el país q</w:t>
      </w:r>
      <w:r>
        <w:rPr>
          <w:rFonts w:ascii="Times New Roman" w:hAnsi="Times New Roman" w:cs="Times New Roman"/>
          <w:sz w:val="24"/>
          <w:szCs w:val="24"/>
        </w:rPr>
        <w:t>ue los ha visto nacer y crecer.</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El segundo factor es la radicalización por razones socioeconómicas. Esta forma de radicalización está relacionada con los agravios socioeconómicos infligidos a los musulmanes de segunda y tercera generación. Sin duda, la falta de oportunidades está ligada a fracasos objetivos como una mala educación y formación. Otros están relacionados con la discriminación laboral. Por poner un ejemplo, un amigo mío, un joven musulmán de origen argelino, excelente ingeniero, mandó una solicitud para una vacante, firmada con su verdadero nombre. Le respondieron que el empleo ya no estaba vacante. Entonces envió la misma carta, con ligeras modificaciones entre las que se encontraba su propio nombre, occidentalizado, y lo han convocado a una entrevista. Esto ocurre con frecuencia, y alimenta la sensación de que los estudios universitarios no constituyen necesariamente un escalón útil en la vía del ascenso social para muchos musulmanes. A largo plazo, esto pue</w:t>
      </w:r>
      <w:r>
        <w:rPr>
          <w:rFonts w:ascii="Times New Roman" w:hAnsi="Times New Roman" w:cs="Times New Roman"/>
          <w:sz w:val="24"/>
          <w:szCs w:val="24"/>
        </w:rPr>
        <w:t>de sembrar la semilla del odio.</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El tercer factor es la búsqueda de una misión. En muchos casos hemos visto a terroristas que se han radicalizado en extremo, repentinamente y con gran fervor, y se han transformado en fanáticos religiosos, rompiendo con sus familias y amigos; dan cuerpo a lo que Oliver Roy ha llamado “ruptura generacional”. Estos jóvenes autorradicalizados persiguen una fantasía heroica que he descrito como el paso de “cero a héroe” (zero to hero), esto es, el paso del anonimato a la fama. Hemos vengado al profeta Mahoma, gritaron los asesinos de los caricaturistas del Charlie Hebdo en enero de 2015.</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Esta autorradicalización se debe en parte a los persistentes problemas socioeconómicos, pero también a la exposición a los medios sociales y a los canales de televisión por satélite, algunos de los cuales cuentan con una generosa financiación. No es ningún secreto que determinados canales por satélite sufragados con petrodólares están divulgando una lectura literalista de los textos coránicos, contribuyendo indirectamente a forjar una mentalidad radical proclive a ver el mundo con una lógica maniquea: el islam contra el “otro”, el bien contra el mal. Esta lógica lleva al fanatismo y al rechazo de la negociación, el diálogo o el acuerdo. Aquí radica la diferencia entre un terrorista religioso radical que no negocia y un terrorista nacionalista que sí lo hace.</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El cuarto factor es la radicalización por razones geopolíticas. relacionada con la constante exposición de los jóvenes musulmanes europeos a los sufrimientos infligidos por Occidente y sus aliados geopolíticos a los correligionarios musulmanes en muchas partes del mundo árabe y musulmán. No es casualidad que primero Al Qaeda y después el EI hayan incrementado su actividad en Iraq tras la invasión norteamericana de 2003. Las tres ofensivas israelíes sobre Gaza (2007, 2012 y 2014) alimentaron entre los musulmanes un drástico resentimiento contra Israel y sus aliados occidentales, sobre todo Estados Unidos, acusados de un doble rasero al alinearse con Israel a pesar de sus constantes violaciones de la legislación internacional y de los derechos humanos. Pero el convencimiento de que los terroristas que organizaron los espeluznantes atentados de Madrid, Londres y otros lugares estaban vengando el sufrimiento de los palestinos es totalmente erróneo y falaz. Palestina ha sido más una excusa que una fuente de radicalización en el caso de algunos jóvenes</w:t>
      </w:r>
      <w:r>
        <w:rPr>
          <w:rFonts w:ascii="Times New Roman" w:hAnsi="Times New Roman" w:cs="Times New Roman"/>
          <w:sz w:val="24"/>
          <w:szCs w:val="24"/>
        </w:rPr>
        <w:t xml:space="preserve"> europeos musulmanes radicales.</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Todas estas formas de radicalización pueden confluir o pueden no hacerlo. Hemos visto casos de nativos europeos conversos que emprenden actividades terroristas. Los terroristas del 11 de septiembre estaban altamente cualificados y eran económicamente acomodados. Muchos terroristas no eran religiosos en principio, pero de repente se hicieron devotos fanáticos en una especie de “radicalización religiosa informal”. También hemos visto casos de radicalización en países como Holanda, donde han hecho un gran esfuerzo por acomodar a los inmigrantes musulmanes (política proactiva de contratación, clases gratuitas de idioma, etcétera). Por ejemplo Mohamed Bouyeri, que asesinó al cineasta Theo Van Gogh, nació en Holanda y estaba cob</w:t>
      </w:r>
      <w:r>
        <w:rPr>
          <w:rFonts w:ascii="Times New Roman" w:hAnsi="Times New Roman" w:cs="Times New Roman"/>
          <w:sz w:val="24"/>
          <w:szCs w:val="24"/>
        </w:rPr>
        <w:t>rando el subsidio de desempleo.</w:t>
      </w:r>
    </w:p>
    <w:p w:rsidR="00FF2201" w:rsidRPr="00A80D73"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Estos hechos no invalidan por completo la relación entre integración fallida y radicalización. Pero lo que parece incuestionable es que la radicalización de la minoría musulmana joven en Europa tiene más que ver, como defiende Anna Triandafyllidou, “con las actuales conexiones mundiales y locales que con una integración fallida o con una penalización étnica”.</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El argumento de que la difamación del islam es inherente a la cultura occidental peca asimismo de exageración, al considerar a Occidente como un monolito incapaz de sentir empatía, atrapado en su cerrada visión del islam y de los musulmanes. Esto es históricamente erróneo, toda vez que numerosos intelectuales europeos han salido en defensa de los musulmanes tanto en el pasado como en el presente (véase Edwy Plenel, Pour les Musulmans, 2014) e incluso han puesto de relieve la magnífica contribución del i</w:t>
      </w:r>
      <w:r>
        <w:rPr>
          <w:rFonts w:ascii="Times New Roman" w:hAnsi="Times New Roman" w:cs="Times New Roman"/>
          <w:sz w:val="24"/>
          <w:szCs w:val="24"/>
        </w:rPr>
        <w:t>slam a la civilización mundial.</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Por otro lado, hablar de una industria de la islamofobia puede presuponer la existencia de una especie de conspiración intelectual y política contra el islam y los musulmanes, y no comulgo con esta teoría conspirativ</w:t>
      </w:r>
      <w:r>
        <w:rPr>
          <w:rFonts w:ascii="Times New Roman" w:hAnsi="Times New Roman" w:cs="Times New Roman"/>
          <w:sz w:val="24"/>
          <w:szCs w:val="24"/>
        </w:rPr>
        <w:t xml:space="preserve">a. De lo que no cabe duda es </w:t>
      </w:r>
      <w:r w:rsidRPr="001964CD">
        <w:rPr>
          <w:rFonts w:ascii="Times New Roman" w:hAnsi="Times New Roman" w:cs="Times New Roman"/>
          <w:sz w:val="24"/>
          <w:szCs w:val="24"/>
        </w:rPr>
        <w:t>que la islamofobia tiene que ver con la política identitaria, que permite a sus adeptos construir su identidad por contraste con una imagen negativa de los musulmanes, su cultura y su religión. El asentamiento definitivo de los musulmanes inmigrantes o de origen inmigrante en Europa ha traído “dentro lo de fuera”, y ha transformado el islam y los musulmanes en cuestión interna y amenaza desde dentro, exacerbada por la fatwa iraní contra el novelista Salman Rushdie, las algaradas de los suburbios en Francia, los atentados terroristas, la polémica de las caricaturas, el asesinato del cineasta neerlandés Theo Van Gogh y los recientes atentados contra lo</w:t>
      </w:r>
      <w:r>
        <w:rPr>
          <w:rFonts w:ascii="Times New Roman" w:hAnsi="Times New Roman" w:cs="Times New Roman"/>
          <w:sz w:val="24"/>
          <w:szCs w:val="24"/>
        </w:rPr>
        <w:t>s dibujantes del Charlie Hebdo.</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Contra un panorama de fondo en que los propios países europeos se enfrentan a una crisis de identidad, un desastre económico y elevadas tasas de desempleo, todos estos hechos no podían menos que reavivar el sentimiento antiislámico. El islam europeo se ha convertido a la vez en una especie de chivo expiatorio y en una suerte de espantajo. Por tanto, no es de extrañar que los libros de los intelectuales europeos críticos con el islam se estén convirtiendo en best sellers: Oriana Fallaci en Italia (La rabbia e l’orgoglio, 2001); Thilo Sarrazin en Alemania (Deutchsland schafft sich ab, 2010); Houellebecq en Francia (Soumission, 2015); Christopher Caldwell (Reflections on the revolution in Europe: immigration, Islam and the West, 2009) y Bruce Bawer (While Europe slept: how radical Islam is destroying the West from within, 200</w:t>
      </w:r>
      <w:r>
        <w:rPr>
          <w:rFonts w:ascii="Times New Roman" w:hAnsi="Times New Roman" w:cs="Times New Roman"/>
          <w:sz w:val="24"/>
          <w:szCs w:val="24"/>
        </w:rPr>
        <w:t>6) en el Reino Unido, etcétera.</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En el plano popular, el sentimiento antiislámico también está creciendo drásticamente, tal como pone de manifiesto el estudio especial sobre el islam titulado Special Study on Islam (2015) de la Fundación Bertelsmann. Tomando como referencia Alemania, las encuestas de opinión de 2014 muestran las siguientes y alarmantes cifras: un 57% de la población alemana considera que el islam es una amenaza; un 61% está convencido de que el islam es incompatible con Occidente; según un 40%, por culpa del islam se siente extranjero en su país; un 24% piensa que no debería permitirse a los musulmanes emigrar a Alemania; una encuesta realizada en Inglaterra en octubre de 2012 mostró asimismo que un 49% de la población creía probable un choque de civilizaciones entre musulmane</w:t>
      </w:r>
      <w:r>
        <w:rPr>
          <w:rFonts w:ascii="Times New Roman" w:hAnsi="Times New Roman" w:cs="Times New Roman"/>
          <w:sz w:val="24"/>
          <w:szCs w:val="24"/>
        </w:rPr>
        <w:t>s y blancos británicos nativos.</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Estos porcentajes son muy reveladores. Los países musulmanes harían mal en ignorarlos; también son responsables del deterioro de la imagen del islam y de los musulmanes. No pueden limitarse a rehuir sus responsabilidades pasando esta cuestión de largo y sugiriendo que la islamofobia es una especie de “enfermedad incurable de Occidente”, o que los terro</w:t>
      </w:r>
      <w:r w:rsidR="00E6423A">
        <w:rPr>
          <w:rFonts w:ascii="Times New Roman" w:hAnsi="Times New Roman" w:cs="Times New Roman"/>
          <w:sz w:val="24"/>
          <w:szCs w:val="24"/>
        </w:rPr>
        <w:t>ristas y yihadistas islamistas -</w:t>
      </w:r>
      <w:r w:rsidRPr="001964CD">
        <w:rPr>
          <w:rFonts w:ascii="Times New Roman" w:hAnsi="Times New Roman" w:cs="Times New Roman"/>
          <w:sz w:val="24"/>
          <w:szCs w:val="24"/>
        </w:rPr>
        <w:t>como pueden ser los yihadistas europeos nativos, Al Qa</w:t>
      </w:r>
      <w:r w:rsidR="00E6423A">
        <w:rPr>
          <w:rFonts w:ascii="Times New Roman" w:hAnsi="Times New Roman" w:cs="Times New Roman"/>
          <w:sz w:val="24"/>
          <w:szCs w:val="24"/>
        </w:rPr>
        <w:t>eda, el EI, Boko Haram, y demás-</w:t>
      </w:r>
      <w:r w:rsidRPr="001964CD">
        <w:rPr>
          <w:rFonts w:ascii="Times New Roman" w:hAnsi="Times New Roman" w:cs="Times New Roman"/>
          <w:sz w:val="24"/>
          <w:szCs w:val="24"/>
        </w:rPr>
        <w:t xml:space="preserve"> no representan al verdadero islam, y que incluso mancillan la imagen del islam, que es una religión de paz. Este argumento es políticamente correcto, pero también es ensimismado y poco sostenible. En resumidas cuentas, el islam radical es la forma religiosa en la que se expresa un tipo particular de violenta furia política. De alguna manera es el “grito de protesta” contra Estados que no han conseguido estar a la altura de sus compromisos, contra la prevaleciente permisividad y atonía de las sociedades musulmanas y contra las élites gobernantes, que han embridado la religión </w:t>
      </w:r>
      <w:r>
        <w:rPr>
          <w:rFonts w:ascii="Times New Roman" w:hAnsi="Times New Roman" w:cs="Times New Roman"/>
          <w:sz w:val="24"/>
          <w:szCs w:val="24"/>
        </w:rPr>
        <w:t>al servicio del poder político.</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Por tanto, en lugar de culpar a Occidente por su odio al musulmán, los países musulmanes deberían hacerse esta inquietante pregunta: ¿qué ha fallado en términos de participación política, eficiencia económica y educación religiosa? ¿Por qué tanta rabia destructiva y nihilista, nacida en la propia comunidad musulmana? ¿Por qué algunos países árabes ricos han financiado y exportado movimientos fundamentalistas a la vez que mantienen un férreo control de la protesta y el desacuerdo internos? Salvo que se traten correctamente estas preguntas, será difícil desenraizar las ideologías radicales, restañar la violencia religiosa en el nombre de Dios y, en consecuencia, reducir el atractivo del discurso islamofóbico.</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Desde los primeros atentados terroristas en Europa se han orquestado estrategias, se han creado centros de estudios especializados y se han adoptado políticas para combatir el extremismo violento. Algunos países europeos han fomentado la integración musulmana mediante la creación de estructuras de diálogo entre las autoridades y los representantes del islam. Por ejemplo, en 2003 Francia estableció el Consejo Francés del Culto Musulmán (Conseil Français du Culte Musulman); nombró a ministros musulmanes y adoptó una nueva política con respecto a los suburbios (une nouvelle politique pour les b</w:t>
      </w:r>
      <w:r>
        <w:rPr>
          <w:rFonts w:ascii="Times New Roman" w:hAnsi="Times New Roman" w:cs="Times New Roman"/>
          <w:sz w:val="24"/>
          <w:szCs w:val="24"/>
        </w:rPr>
        <w:t>anlieues), entre otras medidas.</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Durante décadas, Alemania ha percibido a sus inmigrantes como trabajadores invitados temporales, y no ha mostrado ninguna prisa por facilitar su integración. Hasta los años noventa, la naturalización estaba limitada; pero en 1999 se aprobó una normativa que permitía a los extranjeros de segunda generación solicitar la nacionalidad. En 2005 entró en vigor una ley de inmigración que suministraba fondos para unos cursos de integración obligatorios. En 2006, el Gobierno alemán inauguró la “Conferencia Nacional sobre el Islam”, y en 2007 adoptó el Primer Plan Nacional de Integración, centrado en el cultivo de los valores alemanes de igualdad y compromiso civil. En julio de 2010, el ministro alemán del Interior anunció el lanzamiento de un “programa de salida” para auxiliar a aquellos radicales violentos que estuvieran intentando dejar atrás el extremismo. Aunque Alemania no ha sufrido atentados terroristas a gran escala como los de Madrid, tampoco ha estado totalmente libre de terrorismo. El 2 de marzo de 2011, un musulmán kosovar abrió fuego sobre un autobús en el que viajaban soldados norteameric</w:t>
      </w:r>
      <w:r>
        <w:rPr>
          <w:rFonts w:ascii="Times New Roman" w:hAnsi="Times New Roman" w:cs="Times New Roman"/>
          <w:sz w:val="24"/>
          <w:szCs w:val="24"/>
        </w:rPr>
        <w:t>anos y mató a dos personas.</w:t>
      </w:r>
    </w:p>
    <w:p w:rsidR="00FF2201" w:rsidRPr="001964CD"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Los Países Bajos han tomado una serie de medidas para impulsar la adaptación de sus inmigrantes. Ya en 1998, el Gobierno aprobó la Ley de Integración de Recién Llegados. A diferencia de lo ocurrido en Francia, no se ha prohibido utilizar el velo, pero sí el burka a educadores y funcionarios. Desde 1986 se ha creado un grupo de comunicación de corte musulmán. Asimismo, se ha establecido un grupo de contacto entre musulmanes y autoridades públicas para alimentar el diálogo. En junio de 2009 se adoptó una ley de servicios municipales no discriminatorios; el mismo año fue testigo de la participación de siete musulmanes en el Congreso de los Diputados neerlandés, uno en el Senado y otro en el Consejo de Ministros, en tanto que el propio alcalde de Rotterdam era musulmán también. Como Alemania, tampoco los Países Bajos han sido escenario de atentados terroristas a gran escala, pero en mayo de 2002 fue asesinado a tiros Pim Fortuyn, crítico con el islam, y en 2004 murió apuñalado el cine</w:t>
      </w:r>
      <w:r>
        <w:rPr>
          <w:rFonts w:ascii="Times New Roman" w:hAnsi="Times New Roman" w:cs="Times New Roman"/>
          <w:sz w:val="24"/>
          <w:szCs w:val="24"/>
        </w:rPr>
        <w:t>asta Theo Van Gogh.</w:t>
      </w:r>
    </w:p>
    <w:p w:rsidR="00FF2201" w:rsidRDefault="00FF2201" w:rsidP="00FF2201">
      <w:pPr>
        <w:spacing w:line="240" w:lineRule="auto"/>
        <w:jc w:val="both"/>
        <w:rPr>
          <w:rFonts w:ascii="Times New Roman" w:hAnsi="Times New Roman" w:cs="Times New Roman"/>
          <w:sz w:val="24"/>
          <w:szCs w:val="24"/>
        </w:rPr>
      </w:pPr>
      <w:r w:rsidRPr="001964CD">
        <w:rPr>
          <w:rFonts w:ascii="Times New Roman" w:hAnsi="Times New Roman" w:cs="Times New Roman"/>
          <w:sz w:val="24"/>
          <w:szCs w:val="24"/>
        </w:rPr>
        <w:t>Por su parte, España ha sido un país de paso para la inmigración ilegal, y desde 1990 se ha convertido en destino final. La mayoría de los musulmanes en España son árabes y bereberes marroquíes, que han trabajado en diversos sectores económicos en expansión. Dada la proximidad de Marruecos, vecino del sur y socio en economía y pesca, España regularizó con generosidad a la inmensa mayoría de los inmigrantes ilegales marroquíes. Pero esto no impidió que España sufriese, en marzo de 2004, los peores atentados terroristas de toda Europa</w:t>
      </w:r>
      <w:r>
        <w:rPr>
          <w:rFonts w:ascii="Times New Roman" w:hAnsi="Times New Roman" w:cs="Times New Roman"/>
          <w:sz w:val="24"/>
          <w:szCs w:val="24"/>
        </w:rPr>
        <w:t>…</w:t>
      </w:r>
    </w:p>
    <w:p w:rsidR="00FF2201" w:rsidRPr="00751585"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“islamismo para niños” que horroriza a Holanda: “</w:t>
      </w:r>
      <w:r w:rsidRPr="00751585">
        <w:rPr>
          <w:rFonts w:ascii="Times New Roman" w:hAnsi="Times New Roman" w:cs="Times New Roman"/>
          <w:sz w:val="24"/>
          <w:szCs w:val="24"/>
          <w:u w:val="single"/>
        </w:rPr>
        <w:t>Esto solo es la punta del iceberg</w:t>
      </w:r>
      <w:r>
        <w:rPr>
          <w:rFonts w:ascii="Times New Roman" w:hAnsi="Times New Roman" w:cs="Times New Roman"/>
          <w:sz w:val="24"/>
          <w:szCs w:val="24"/>
        </w:rPr>
        <w:t xml:space="preserve">” (El Confidencial - </w:t>
      </w:r>
      <w:r w:rsidRPr="00751585">
        <w:rPr>
          <w:rFonts w:ascii="Times New Roman" w:hAnsi="Times New Roman" w:cs="Times New Roman"/>
          <w:b/>
          <w:sz w:val="24"/>
          <w:szCs w:val="24"/>
        </w:rPr>
        <w:t>2/9/19</w:t>
      </w:r>
      <w:r>
        <w:rPr>
          <w:rFonts w:ascii="Times New Roman" w:hAnsi="Times New Roman" w:cs="Times New Roman"/>
          <w:sz w:val="24"/>
          <w:szCs w:val="24"/>
        </w:rPr>
        <w:t>)</w:t>
      </w:r>
    </w:p>
    <w:p w:rsidR="00FF2201"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El libro “¡Ayuda! Estoy creciendo”</w:t>
      </w:r>
      <w:r w:rsidRPr="00751585">
        <w:rPr>
          <w:rFonts w:ascii="Times New Roman" w:hAnsi="Times New Roman" w:cs="Times New Roman"/>
          <w:sz w:val="24"/>
          <w:szCs w:val="24"/>
        </w:rPr>
        <w:t>, escrito por una holandesa convertida al islam, se ha convertido en escándalo público tras una investigación contra las aulas islámicas en el país</w:t>
      </w:r>
    </w:p>
    <w:p w:rsidR="00FF2201"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(Por Imane Rachidi)</w:t>
      </w:r>
    </w:p>
    <w:p w:rsidR="00FF2201" w:rsidRPr="00751585"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751585">
        <w:rPr>
          <w:rFonts w:ascii="Times New Roman" w:hAnsi="Times New Roman" w:cs="Times New Roman"/>
          <w:sz w:val="24"/>
          <w:szCs w:val="24"/>
        </w:rPr>
        <w:t>temario es propio de la Edad Media, pero algunos alumnos de Primaria en Holanda lo estudian en pleno 2019. Un total de 44 escuelas islámicas oficiales reconocidas y subvencionadas por el Estado utilizan un manual educativo en el que se insta a los niños y niñas a subrayar sus diferencias, a condenar la homosexualidad o a considerar el contacto visual entre ambos s</w:t>
      </w:r>
      <w:r>
        <w:rPr>
          <w:rFonts w:ascii="Times New Roman" w:hAnsi="Times New Roman" w:cs="Times New Roman"/>
          <w:sz w:val="24"/>
          <w:szCs w:val="24"/>
        </w:rPr>
        <w:t>exos como un acto prohibido de “zina” (adulterio, en árabe).</w:t>
      </w:r>
    </w:p>
    <w:p w:rsidR="00FF2201" w:rsidRPr="00751585"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El libro de educación sexual “¡Ayuda! Estoy creciendo”</w:t>
      </w:r>
      <w:r w:rsidRPr="00751585">
        <w:rPr>
          <w:rFonts w:ascii="Times New Roman" w:hAnsi="Times New Roman" w:cs="Times New Roman"/>
          <w:sz w:val="24"/>
          <w:szCs w:val="24"/>
        </w:rPr>
        <w:t xml:space="preserve"> se ha convertido en escándalo tras la publicación hace unos días de una investigación de los dos grandes grupos de comunicación nacionales, Nieuwsuur y NRC Handelsblad. El material didáctico, elaborado por una holandesa conversa al islam, Asma Claassen, y desarrollado bajo el paraguas de la Organización de Juntas Escolares Islámicas (ISBO), cuenta con una versión para chicos y otra para chicas y explica, entre otras cosas, por qué Alá “aborrece a los homosexuales” y “prohíbe la unión con alguien” del mismo sexo.</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Un ejemplo es este fragmento de la página 75: “La gente del pueblo de Lot se había desviado por completo del camino de Alá. Los hombres de Sodoma habían comenzado a tener relaciones sexuales entre ellos, en lugar de con sus esposas… Esto nunca antes había sucedido en la historia y Alá lo aborreció y lo consideró un gran pecado. Alá instruyó a Gabriel para destruir las siete ciudades de Sodoma con todos los edificios, personas y animales… Dejó que llovieran las piedras de arcilla dura, en cada piedra estaba el nombre de la pe</w:t>
      </w:r>
      <w:r>
        <w:rPr>
          <w:rFonts w:ascii="Times New Roman" w:hAnsi="Times New Roman" w:cs="Times New Roman"/>
          <w:sz w:val="24"/>
          <w:szCs w:val="24"/>
        </w:rPr>
        <w:t>rsona a ser golpeada con ella”.</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Espiar a las propias niñas</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Otro de los apartados polémicos de este libro se centra en la prohibición de mirarse entre niños y niñas y la necesidad de que las chicas no usen “ropa de los no creyentes”, lo que incluye prendas ajustadas, ausencia de un pañuelo cubriendo el pelo e, incluso, condenas al maquillaje o la depilación de cejas. Además, en un pasaje del libro, se aconseja a las niñas que recopilen fotos de musulmanas que van vestidas de forma adecuada y otras de mujeres que van “mal vestidas”. Según la televisión holandesa NOS, que hizo una investigación sobre el temario de estas escuelas, las chicas tuvieron que colgar estos rec</w:t>
      </w:r>
      <w:r>
        <w:rPr>
          <w:rFonts w:ascii="Times New Roman" w:hAnsi="Times New Roman" w:cs="Times New Roman"/>
          <w:sz w:val="24"/>
          <w:szCs w:val="24"/>
        </w:rPr>
        <w:t>ortes en los baños del colegio.</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La Inspección de Educación alegó en un principio “no ver razones” para intervenir estos libros porque "no entran en conflicto" con los valores básicos del Estado constitucional democrático. Sin embargo, la asociación de defensa de los derechos LGTBI (COC) instó al Gobierno a revisar el libro porque a los niños homosexuale</w:t>
      </w:r>
      <w:r w:rsidR="00E6423A">
        <w:rPr>
          <w:rFonts w:ascii="Times New Roman" w:hAnsi="Times New Roman" w:cs="Times New Roman"/>
          <w:sz w:val="24"/>
          <w:szCs w:val="24"/>
        </w:rPr>
        <w:t>s se les está diciendo “que no son bienvenidos”. “</w:t>
      </w:r>
      <w:r w:rsidRPr="00751585">
        <w:rPr>
          <w:rFonts w:ascii="Times New Roman" w:hAnsi="Times New Roman" w:cs="Times New Roman"/>
          <w:sz w:val="24"/>
          <w:szCs w:val="24"/>
        </w:rPr>
        <w:t xml:space="preserve">Es horrible, inaceptable y contrario a la ley. Los estudiantes tienen derecho a una escuela donde se sientan seguros y aceptados”, afirmó la presidenta de esta </w:t>
      </w:r>
      <w:r>
        <w:rPr>
          <w:rFonts w:ascii="Times New Roman" w:hAnsi="Times New Roman" w:cs="Times New Roman"/>
          <w:sz w:val="24"/>
          <w:szCs w:val="24"/>
        </w:rPr>
        <w:t>organización, Astrid Oosenbrug.</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Ante las denuncias públicas del contenido de este libro, que se lleva utilizando en estas escuelas desde 2013, los editores enviaron un manual adicional a los profe</w:t>
      </w:r>
      <w:r>
        <w:rPr>
          <w:rFonts w:ascii="Times New Roman" w:hAnsi="Times New Roman" w:cs="Times New Roman"/>
          <w:sz w:val="24"/>
          <w:szCs w:val="24"/>
        </w:rPr>
        <w:t>sores para 'aclarar' conceptos.</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En el apartado sobre la homosexualidad, introdujeron algunos cambios: “Alá envió un castigo a la gente porque no escuchaba ni mejoraba. Si observamos el comportamiento de los dos profetas que vivían</w:t>
      </w:r>
      <w:r>
        <w:rPr>
          <w:rFonts w:ascii="Times New Roman" w:hAnsi="Times New Roman" w:cs="Times New Roman"/>
          <w:sz w:val="24"/>
          <w:szCs w:val="24"/>
        </w:rPr>
        <w:t xml:space="preserve"> en ese momento de la historia -Abraham y Lot-</w:t>
      </w:r>
      <w:r w:rsidRPr="00751585">
        <w:rPr>
          <w:rFonts w:ascii="Times New Roman" w:hAnsi="Times New Roman" w:cs="Times New Roman"/>
          <w:sz w:val="24"/>
          <w:szCs w:val="24"/>
        </w:rPr>
        <w:t xml:space="preserve"> vemos que tratan a la gente de Sodoma de una manera cortés y amable. Permanecieron tranquilos, firmes, justos, amables y educados y no fueron tentados por un mal comportamiento o un lenguaje inapropiado”, añaden, en un inten</w:t>
      </w:r>
      <w:r>
        <w:rPr>
          <w:rFonts w:ascii="Times New Roman" w:hAnsi="Times New Roman" w:cs="Times New Roman"/>
          <w:sz w:val="24"/>
          <w:szCs w:val="24"/>
        </w:rPr>
        <w:t>to de suavizar el temario.</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Escuelas salafistas y la muerte con espada</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Mientras que los colegios islámicos de Primaria están sometidos a la Inspección del Ministerio de Educación y reciben financiación estatal al ofrecer un currículo reconocido por el Estado, hay otras escuelas coránicas y extraescolares instaladas en mezquitas salafistas que escapan al control oficial. La misma investigación periodística, que se publicó en dos entregas, concluyó que se educa a los niños en “alejarse de la sociedad holandesa” y “buscar un país islámico” al que recurrir cuando crezca.</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Los investigadores se hicieron pasar por padres que estaban pensando inscribir a sus hijos en varias escuelas coránicas para pedir material didáctico de estos centros, tildados de 'clubes' por el Gobierno. Gracias a ello, pudieron escuchar alrededor de 70 horas de grabaciones de audio y vídeo de lecciones en donde los maestros glorifican un sistema donde se aplica el castigo de la ley islámica (la sharía) a to</w:t>
      </w:r>
      <w:r>
        <w:rPr>
          <w:rFonts w:ascii="Times New Roman" w:hAnsi="Times New Roman" w:cs="Times New Roman"/>
          <w:sz w:val="24"/>
          <w:szCs w:val="24"/>
        </w:rPr>
        <w:t>dos los infieles y pecadores.</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Estas organizaciones enseñan a los jóvenes musulmanes qué grupos y tipos de personas son “enemigos” y “no creyentes”, y señalan “la pena de muerte que merecen los adúlteros, los homosexuales, los apóstatas y los brujos”. Para ello, los niños tienen que hacer ejercicios de relleno y preguntas de opción múltiple, donde deben elegir qué castigo es el correcto para cada pecado cometido: latigazos, lapi</w:t>
      </w:r>
      <w:r>
        <w:rPr>
          <w:rFonts w:ascii="Times New Roman" w:hAnsi="Times New Roman" w:cs="Times New Roman"/>
          <w:sz w:val="24"/>
          <w:szCs w:val="24"/>
        </w:rPr>
        <w:t>dación o muerte con una espada.</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El salafismo, el movimiento fundamentalista y ultraconservador por excelencia dentro de la educación islámica informal, se está volviendo cada vez más influyente en Holanda y el resto de Europa, promovido por la financiación extranjera procedente de diferentes países del Golfo. La investigación ha identificado al menos 50 centros de enseñanza salafista en Holanda, que ofrecen este tipo de lecciones a más de 1.000 niños durante la</w:t>
      </w:r>
      <w:r>
        <w:rPr>
          <w:rFonts w:ascii="Times New Roman" w:hAnsi="Times New Roman" w:cs="Times New Roman"/>
          <w:sz w:val="24"/>
          <w:szCs w:val="24"/>
        </w:rPr>
        <w:t>s tardes o los fines de semana.</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Los liberales de VVD y Unión Cristiana, ambos partidos de la coalición del Gobierno holandés, proponen hacer cambios en la Constitución que aclaren los límites de las escuelas informales y que permitan a la Inspección de Educación intervenir en estos centros en caso de que haya señales de irregularida</w:t>
      </w:r>
      <w:r>
        <w:rPr>
          <w:rFonts w:ascii="Times New Roman" w:hAnsi="Times New Roman" w:cs="Times New Roman"/>
          <w:sz w:val="24"/>
          <w:szCs w:val="24"/>
        </w:rPr>
        <w:t>des.</w:t>
      </w:r>
    </w:p>
    <w:p w:rsidR="00FF2201" w:rsidRPr="00751585"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“Solo es la punta del iceberg”</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 xml:space="preserve">Otros son más tajantes. La principal voz contra el salafismo en el Parlamento holandés de los últimos 10 años, Ahmed Marcouch, insta al Gobierno de La Haya a tomar medidas más radicales y prohibir el movimiento salafista en Holanda. Marcouch, actual alcalde de Arnhem y musulmán, pide “llevar ante la justicia” a las organizaciones salafistas y alerta de que lo que ha salido a </w:t>
      </w:r>
      <w:r>
        <w:rPr>
          <w:rFonts w:ascii="Times New Roman" w:hAnsi="Times New Roman" w:cs="Times New Roman"/>
          <w:sz w:val="24"/>
          <w:szCs w:val="24"/>
        </w:rPr>
        <w:t>la luz sobre estas escuelas es “</w:t>
      </w:r>
      <w:r w:rsidRPr="00751585">
        <w:rPr>
          <w:rFonts w:ascii="Times New Roman" w:hAnsi="Times New Roman" w:cs="Times New Roman"/>
          <w:sz w:val="24"/>
          <w:szCs w:val="24"/>
        </w:rPr>
        <w:t>solo la punta del iceberg”, porque “si esto nos asusta, qué habrá detrás. El problema es mucho más profundo”, explica este holandés de ori</w:t>
      </w:r>
      <w:r>
        <w:rPr>
          <w:rFonts w:ascii="Times New Roman" w:hAnsi="Times New Roman" w:cs="Times New Roman"/>
          <w:sz w:val="24"/>
          <w:szCs w:val="24"/>
        </w:rPr>
        <w:t>gen marroquí a El Confidencial.</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Marcouch considera que los salafistas “usan la máscara religiosa para difundir estas ideas y envenenar a los niños pequeños y a los adolescentes, aprovechando que todavía están en una etapa en la que se intentan conocer a sí mismos, buscando su identidad”. Además, recuerda que muchos jóvenes se han radicalizado en estos centros “y han acabado tomando las armas contra su propia sociedad, o emigrando a territorios de la yihad” como Siria o Irak. Solo en su municipio, unos 70 jóvenes se han unido a un grupo terrorista.</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“Les conve</w:t>
      </w:r>
      <w:r>
        <w:rPr>
          <w:rFonts w:ascii="Times New Roman" w:hAnsi="Times New Roman" w:cs="Times New Roman"/>
          <w:sz w:val="24"/>
          <w:szCs w:val="24"/>
        </w:rPr>
        <w:t>ncen de la idea de que hay una “umma” (comunidad musulmana)</w:t>
      </w:r>
      <w:r w:rsidRPr="00751585">
        <w:rPr>
          <w:rFonts w:ascii="Times New Roman" w:hAnsi="Times New Roman" w:cs="Times New Roman"/>
          <w:sz w:val="24"/>
          <w:szCs w:val="24"/>
        </w:rPr>
        <w:t>, de que deben luchar contra la democracia y el Estado de derecho. Les dicen que su objetivo puede lograrse incluso con la violencia contra los infieles, apóstatas y demás. Con estas ideas, son capaces de matar a su propia familia. No es un grupo político con el que se pueda hablar o escuchar su opinión. Buscan la violencia, son una fuente de radicalización y debemos actuar ya”, alerta e</w:t>
      </w:r>
      <w:r>
        <w:rPr>
          <w:rFonts w:ascii="Times New Roman" w:hAnsi="Times New Roman" w:cs="Times New Roman"/>
          <w:sz w:val="24"/>
          <w:szCs w:val="24"/>
        </w:rPr>
        <w:t>ste exdiputado socialdemócrata.</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La comunidad religiosa también ha condenado estas lecciones. El presidente del Consejo de Mezquitas Marroquíes en Holanda, Said Bouharrou, asegura estar muy preocupado por el aumento de influencia del salafismo en la educación islámica en Holanda. “Un cambio en la Constitución es una medida sin sentido porque tardará años en llevarse a cabo y en dar resultado. Estos niños no tienen ese tiempo. Si queremos ser efectivos en la lucha contra los abusos dentro de la educación salafista, hay que atajar el problema de raíz, hablar con los padres y con las mezquitas”, alerta, en declaraciones a este diario.</w:t>
      </w:r>
    </w:p>
    <w:p w:rsidR="00FF2201" w:rsidRPr="00751585"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El Parlamento holandés lleva el tema en agenda para los próximos meses, entre exigencias de la propia comunidad musulmana a tomar medidas rápidas y urgentes. “La libertad de educación no significa libertad para poner a los niños en contra de nuestra sociedad", advirtió el líder del partido liberal, Klaas Dijkhoff. El ministerio investigará lo que está sucediendo en las escuelas oficiales islámicas, pero en cuanto a las academias de fin de semana, que ofrecen una educación informal y no subvencionada, se requiere un cambio en la ley y</w:t>
      </w:r>
      <w:r>
        <w:rPr>
          <w:rFonts w:ascii="Times New Roman" w:hAnsi="Times New Roman" w:cs="Times New Roman"/>
          <w:sz w:val="24"/>
          <w:szCs w:val="24"/>
        </w:rPr>
        <w:t xml:space="preserve"> un mayor control más efectivo.</w:t>
      </w:r>
    </w:p>
    <w:p w:rsidR="00FF2201"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“Estas prácticas son inaceptables y son muy peligrosas”, añade René Peters, de Llamada Democristiana (CDA), otro partido integrado en el Gobierno holandés. Su compañero de coalición, el progresista Paul van Meenen (D66), considera estas escuelas extraoficiales una forma de adoctrinamiento de los niños holandeses “con ideas repugnantes y degradantes, y no debería haber lugar para ello”.</w:t>
      </w:r>
    </w:p>
    <w:p w:rsidR="00FF2201" w:rsidRDefault="00FF2201" w:rsidP="00FF2201">
      <w:pPr>
        <w:spacing w:line="240" w:lineRule="auto"/>
        <w:jc w:val="both"/>
        <w:rPr>
          <w:rFonts w:ascii="Times New Roman" w:hAnsi="Times New Roman" w:cs="Times New Roman"/>
          <w:sz w:val="24"/>
          <w:szCs w:val="24"/>
        </w:rPr>
      </w:pPr>
      <w:r w:rsidRPr="00751585">
        <w:rPr>
          <w:rFonts w:ascii="Times New Roman" w:hAnsi="Times New Roman" w:cs="Times New Roman"/>
          <w:sz w:val="24"/>
          <w:szCs w:val="24"/>
        </w:rPr>
        <w:t>El uso patológico de las nuevas tecnologías ha trascendido en los últimos años la consideración de trastorno del control de impulsos para encuadrarse dentro de las adicciones de comportamiento o sin sustancia. Se acepta que tiene una base común con el resto de conductas adictivas clásicas. Esta raíz común hace que la prevalencia de consumo de drogas como el alcohol y el cannabis sea superior entre los individuos que realizan un uso compulsivo de internet.</w:t>
      </w:r>
    </w:p>
    <w:p w:rsidR="00FF2201" w:rsidRPr="00450EF1" w:rsidRDefault="00FF2201" w:rsidP="00FF2201">
      <w:pPr>
        <w:spacing w:line="240" w:lineRule="auto"/>
        <w:jc w:val="both"/>
        <w:rPr>
          <w:rFonts w:ascii="Times New Roman" w:hAnsi="Times New Roman" w:cs="Times New Roman"/>
          <w:sz w:val="24"/>
          <w:szCs w:val="24"/>
        </w:rPr>
      </w:pPr>
      <w:r w:rsidRPr="00450EF1">
        <w:rPr>
          <w:rFonts w:ascii="Times New Roman" w:hAnsi="Times New Roman" w:cs="Times New Roman"/>
          <w:sz w:val="24"/>
          <w:szCs w:val="24"/>
        </w:rPr>
        <w:t xml:space="preserve">- </w:t>
      </w:r>
      <w:r w:rsidRPr="00450EF1">
        <w:rPr>
          <w:rFonts w:ascii="Times New Roman" w:hAnsi="Times New Roman" w:cs="Times New Roman"/>
          <w:sz w:val="24"/>
          <w:szCs w:val="24"/>
          <w:u w:val="single"/>
        </w:rPr>
        <w:t>El hambre es más poderosa que el muro</w:t>
      </w:r>
      <w:r w:rsidRPr="00450EF1">
        <w:rPr>
          <w:rFonts w:ascii="Times New Roman" w:hAnsi="Times New Roman" w:cs="Times New Roman"/>
          <w:sz w:val="24"/>
          <w:szCs w:val="24"/>
        </w:rPr>
        <w:t xml:space="preserve"> (Project Syndicate - </w:t>
      </w:r>
      <w:r w:rsidRPr="00450EF1">
        <w:rPr>
          <w:rFonts w:ascii="Times New Roman" w:hAnsi="Times New Roman" w:cs="Times New Roman"/>
          <w:b/>
          <w:sz w:val="24"/>
          <w:szCs w:val="24"/>
        </w:rPr>
        <w:t>16/9/19</w:t>
      </w:r>
      <w:r w:rsidRPr="00450EF1">
        <w:rPr>
          <w:rFonts w:ascii="Times New Roman" w:hAnsi="Times New Roman" w:cs="Times New Roman"/>
          <w:sz w:val="24"/>
          <w:szCs w:val="24"/>
        </w:rPr>
        <w:t>)</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N</w:t>
      </w:r>
      <w:r>
        <w:rPr>
          <w:rFonts w:ascii="Times New Roman" w:hAnsi="Times New Roman" w:cs="Times New Roman"/>
          <w:sz w:val="24"/>
          <w:szCs w:val="24"/>
        </w:rPr>
        <w:t>ueva Orleans.-</w:t>
      </w:r>
      <w:r w:rsidRPr="00816F00">
        <w:rPr>
          <w:rFonts w:ascii="Times New Roman" w:hAnsi="Times New Roman" w:cs="Times New Roman"/>
          <w:sz w:val="24"/>
          <w:szCs w:val="24"/>
        </w:rPr>
        <w:t xml:space="preserve"> La palabra “migración” evoca imágenes de guerras, desastres naturales y graves dificultades económicas. Todas son razones importantes por las cuales las personas buscan refugio lejos de su hogar. Sin embargo, el impulsor más poderoso de la migración puede que sea los alimentos, o mejor dicho, la falta de ellos.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Desde el año 2017, unos 821 millones</w:t>
      </w:r>
      <w:r w:rsidR="0011116D">
        <w:rPr>
          <w:rFonts w:ascii="Times New Roman" w:hAnsi="Times New Roman" w:cs="Times New Roman"/>
          <w:sz w:val="24"/>
          <w:szCs w:val="24"/>
        </w:rPr>
        <w:t xml:space="preserve"> de personas en todo el mundo -</w:t>
      </w:r>
      <w:r w:rsidRPr="00816F00">
        <w:rPr>
          <w:rFonts w:ascii="Times New Roman" w:hAnsi="Times New Roman" w:cs="Times New Roman"/>
          <w:sz w:val="24"/>
          <w:szCs w:val="24"/>
        </w:rPr>
        <w:t>apr</w:t>
      </w:r>
      <w:r w:rsidR="0011116D">
        <w:rPr>
          <w:rFonts w:ascii="Times New Roman" w:hAnsi="Times New Roman" w:cs="Times New Roman"/>
          <w:sz w:val="24"/>
          <w:szCs w:val="24"/>
        </w:rPr>
        <w:t>oximadamente una de cada nueve-</w:t>
      </w:r>
      <w:r w:rsidRPr="00816F00">
        <w:rPr>
          <w:rFonts w:ascii="Times New Roman" w:hAnsi="Times New Roman" w:cs="Times New Roman"/>
          <w:sz w:val="24"/>
          <w:szCs w:val="24"/>
        </w:rPr>
        <w:t xml:space="preserve"> han confrontado una carencia crónica de alimentos. Si bien se han logrado algunos avances para reducir el hambre extrema, el número total de personas con hamb</w:t>
      </w:r>
      <w:r>
        <w:rPr>
          <w:rFonts w:ascii="Times New Roman" w:hAnsi="Times New Roman" w:cs="Times New Roman"/>
          <w:sz w:val="24"/>
          <w:szCs w:val="24"/>
        </w:rPr>
        <w:t>re crónica continúa en aumento.</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El vínculo con la migración está claro. Cuando las personas en África, Medio Oriente y América Latina no pueden alimentarse, ni alimentar a sus familias, a menudo dejan sus lugares de origen. Según un estudio del Programa Mundial de Alimentos de las Naciones Unidas (PMA), cada aumento de un punto porcentual en la inseguridad alimentaria incrementa los flujos de salida de refugiados en un 1,9%</w:t>
      </w:r>
      <w:r>
        <w:rPr>
          <w:rFonts w:ascii="Times New Roman" w:hAnsi="Times New Roman" w:cs="Times New Roman"/>
          <w:sz w:val="24"/>
          <w:szCs w:val="24"/>
        </w:rPr>
        <w:t>.</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Aquellos que enfrentan inseguridad alimentaria a menudo exigen mejores condiciones en sus lugares de origen. En el mundo árabe, las “revueltas por el pan” han estallado periódicamente desde mediados de la década de los ochenta. Los aumentos en los precios de los alimentos, especialmente del trigo, desencadenaron las protestas de la Primavera Árabe que come</w:t>
      </w:r>
      <w:r>
        <w:rPr>
          <w:rFonts w:ascii="Times New Roman" w:hAnsi="Times New Roman" w:cs="Times New Roman"/>
          <w:sz w:val="24"/>
          <w:szCs w:val="24"/>
        </w:rPr>
        <w:t>nzaron en Túnez en el año 2010.</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 xml:space="preserve">Si la escasez inicial de alimentos no bastó como motivador para que una persona migre, el malestar social y el conflicto resultantes a menudo sí sirven de motivadores suficientes, entre otras cosas, debido a que limitan aún más el suministro de alimentos. Según informa el PMA, la inseguridad alimentaria es “un determinante importante de la incidencia y la intensidad de los conflictos armados”. Por cada año adicional de conflicto, los flujos de salida de </w:t>
      </w:r>
      <w:r>
        <w:rPr>
          <w:rFonts w:ascii="Times New Roman" w:hAnsi="Times New Roman" w:cs="Times New Roman"/>
          <w:sz w:val="24"/>
          <w:szCs w:val="24"/>
        </w:rPr>
        <w:t>refugiados aumentan en un 0,4%.</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De acuerdo con el Observatorio de Alimentos y Migración, muchos migrantes son hombres solteros, que dejan a sus familiares mujeres en sus lugares de origen para que sean ellas quienes se encarguen del funcionamiento de sus mermadas granjas. En el norte de África, según el Banco Mundial, las mujeres ahora representan el 43% de todos los agricultores – un aumento desde la cifra del 30% en el año 1980.</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Estas mujeres operan sus granjas en un ámbito significativamente desventajoso. Por ejemplo, el Banco Mundial informa que en América Latina, “cuando las mujeres asumen la responsabilidad principal de la granja familiar, ellas enfrentan ciertas dificultades específicas de género, incluidas dificultades para contratar y supervisar mano de obra y adquirir conocimientos técnico</w:t>
      </w:r>
      <w:r>
        <w:rPr>
          <w:rFonts w:ascii="Times New Roman" w:hAnsi="Times New Roman" w:cs="Times New Roman"/>
          <w:sz w:val="24"/>
          <w:szCs w:val="24"/>
        </w:rPr>
        <w:t>s sobre operaciones agrícolas”.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De manera similar, si bien las mujeres agricultoras representan el 70% de la fuerza laboral de Senegal, el Observatorio de Alimentos y Migración informa que sólo se permite que sean los hombres quienes tomen decisiones sobre la producción agrícola o las operaciones agrícolas. Esto hace que sea extremadamente difícil lograr una producción agrícola sólida, lo que exacerba la escasez de alimentos.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 xml:space="preserve">Los migrantes que llegan a Europa o Estados Unidos a menudo forman la columna vertebral de los sectores agrícolas de sus nuevos países. Según un estudio del centro de estudios académicos MacroGeo y la fundación Barilla Center for Food and Nutrition (BCFN), más de la mitad de los trabajadores agrícolas en el sur de Italia son inmigrantes, y más de tres millones de inmigrantes trabajan en granjas estadounidenses. El gobierno de Estados Unidos estima que aproximadamente la mitad de todos los trabajadores agrícolas </w:t>
      </w:r>
      <w:r>
        <w:rPr>
          <w:rFonts w:ascii="Times New Roman" w:hAnsi="Times New Roman" w:cs="Times New Roman"/>
          <w:sz w:val="24"/>
          <w:szCs w:val="24"/>
        </w:rPr>
        <w:t>son inmigrantes indocumentados.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 xml:space="preserve">Muchos de estos trabajadores viven en condiciones que se asemejan a las de la esclavitud, ya que ellos aran la tierra en condiciones muy duras por salarios muy bajos. En el sur de Italia, por ejemplo, los trabajadores agrícolas migrantes a menudo se reclutan mediante el sistema denominado caporalato, en </w:t>
      </w:r>
      <w:r w:rsidR="000A1A59">
        <w:rPr>
          <w:rFonts w:ascii="Times New Roman" w:hAnsi="Times New Roman" w:cs="Times New Roman"/>
          <w:sz w:val="24"/>
          <w:szCs w:val="24"/>
        </w:rPr>
        <w:t>el cual bandas criminales -lideradas por “caporales”-</w:t>
      </w:r>
      <w:r w:rsidRPr="00816F00">
        <w:rPr>
          <w:rFonts w:ascii="Times New Roman" w:hAnsi="Times New Roman" w:cs="Times New Roman"/>
          <w:sz w:val="24"/>
          <w:szCs w:val="24"/>
        </w:rPr>
        <w:t xml:space="preserve"> organizan grupos de trabajadores migrantes, les proporcionan alimentos y alojamiento, y los transportan de sus hogares a los campos agrícolas (todo ello a </w:t>
      </w:r>
      <w:r>
        <w:rPr>
          <w:rFonts w:ascii="Times New Roman" w:hAnsi="Times New Roman" w:cs="Times New Roman"/>
          <w:sz w:val="24"/>
          <w:szCs w:val="24"/>
        </w:rPr>
        <w:t>cambio de cobros exorbitantes).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 xml:space="preserve">Las jornadas laborales de los trabajadores pueden durar 16 horas, y cuando regresan a casa, con salarios minúsculos en sus manos, enfrentan condiciones de vida que son terribles. En un caso que salió a la luz pública, ochocientos trabajadores fueron encontrados </w:t>
      </w:r>
      <w:r>
        <w:rPr>
          <w:rFonts w:ascii="Times New Roman" w:hAnsi="Times New Roman" w:cs="Times New Roman"/>
          <w:sz w:val="24"/>
          <w:szCs w:val="24"/>
        </w:rPr>
        <w:t>viviendo con sólo cinco duchas.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Ya que los cobros de los caporales se deducen de los salarios de los trabajadores, los agricultores adoptan este sistema, que también les permite evitar los impuestos sobre la nómina de salarios. Y, a menudo dichos agricultores, no sólo en Italia sino en toda Europa y en Estados Unidos (donde los trabajadores agrícolas indocumentados son explotados de manera similar), ya se benefician de generosos subsidios, mismos que a su vez les alientan a producir d</w:t>
      </w:r>
      <w:r>
        <w:rPr>
          <w:rFonts w:ascii="Times New Roman" w:hAnsi="Times New Roman" w:cs="Times New Roman"/>
          <w:sz w:val="24"/>
          <w:szCs w:val="24"/>
        </w:rPr>
        <w:t>emasiada cantidad de alimentos.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El excedente de alimentos puede ser exportado a precios tan bajos que los agricultores y productores de alimentos en los países en desarrollo no pueden competir. O, el mencionado excedente se puede desperdiciar: según la Organización de las Naciones Unidas para la Alimentación y la Agricultura, un tercio de todos los alimentos producidos mundialmente se echan a perder o se descartan, lo que equivale a un gran</w:t>
      </w:r>
      <w:r w:rsidR="000A1A59">
        <w:rPr>
          <w:rFonts w:ascii="Times New Roman" w:hAnsi="Times New Roman" w:cs="Times New Roman"/>
          <w:sz w:val="24"/>
          <w:szCs w:val="24"/>
        </w:rPr>
        <w:t xml:space="preserve"> uso indebido de los recursos -</w:t>
      </w:r>
      <w:r w:rsidRPr="00816F00">
        <w:rPr>
          <w:rFonts w:ascii="Times New Roman" w:hAnsi="Times New Roman" w:cs="Times New Roman"/>
          <w:sz w:val="24"/>
          <w:szCs w:val="24"/>
        </w:rPr>
        <w:t>desde</w:t>
      </w:r>
      <w:r w:rsidR="000A1A59">
        <w:rPr>
          <w:rFonts w:ascii="Times New Roman" w:hAnsi="Times New Roman" w:cs="Times New Roman"/>
          <w:sz w:val="24"/>
          <w:szCs w:val="24"/>
        </w:rPr>
        <w:t xml:space="preserve"> la mano de obra hasta el agua-</w:t>
      </w:r>
      <w:r w:rsidRPr="00816F00">
        <w:rPr>
          <w:rFonts w:ascii="Times New Roman" w:hAnsi="Times New Roman" w:cs="Times New Roman"/>
          <w:sz w:val="24"/>
          <w:szCs w:val="24"/>
        </w:rPr>
        <w:t xml:space="preserve"> qu</w:t>
      </w:r>
      <w:r>
        <w:rPr>
          <w:rFonts w:ascii="Times New Roman" w:hAnsi="Times New Roman" w:cs="Times New Roman"/>
          <w:sz w:val="24"/>
          <w:szCs w:val="24"/>
        </w:rPr>
        <w:t>e se utilizan para producirlos.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Los mayores culpables son los países tecnológicamente más avanzados, según el Índice de Sostenibilidad Alimentaria, elaborado por la Fundación BCFN y la Economist Intelligence Unit. En la lista de clasificaci</w:t>
      </w:r>
      <w:r w:rsidR="000A1A59">
        <w:rPr>
          <w:rFonts w:ascii="Times New Roman" w:hAnsi="Times New Roman" w:cs="Times New Roman"/>
          <w:sz w:val="24"/>
          <w:szCs w:val="24"/>
        </w:rPr>
        <w:t>ón de sostenibilidad agrícola -</w:t>
      </w:r>
      <w:r w:rsidRPr="00816F00">
        <w:rPr>
          <w:rFonts w:ascii="Times New Roman" w:hAnsi="Times New Roman" w:cs="Times New Roman"/>
          <w:sz w:val="24"/>
          <w:szCs w:val="24"/>
        </w:rPr>
        <w:t>que incluy</w:t>
      </w:r>
      <w:r w:rsidR="000A1A59">
        <w:rPr>
          <w:rFonts w:ascii="Times New Roman" w:hAnsi="Times New Roman" w:cs="Times New Roman"/>
          <w:sz w:val="24"/>
          <w:szCs w:val="24"/>
        </w:rPr>
        <w:t>e el desperdicio de alimentos-</w:t>
      </w:r>
      <w:r w:rsidRPr="00816F00">
        <w:rPr>
          <w:rFonts w:ascii="Times New Roman" w:hAnsi="Times New Roman" w:cs="Times New Roman"/>
          <w:sz w:val="24"/>
          <w:szCs w:val="24"/>
        </w:rPr>
        <w:t xml:space="preserve"> Estados Unidos y el Reino Unido ocupan los puestos 45 y 49, respectivamente, casi al final de una lista</w:t>
      </w:r>
      <w:r>
        <w:rPr>
          <w:rFonts w:ascii="Times New Roman" w:hAnsi="Times New Roman" w:cs="Times New Roman"/>
          <w:sz w:val="24"/>
          <w:szCs w:val="24"/>
        </w:rPr>
        <w:t xml:space="preserve"> de clasificación de 67 países.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En contraste, los países menos desarrollados muestran algunos éxitos sorprendentes. América Latina, Asia oriental y el Pacífico se desempeñan bien en cuanto a la pérdida y el desperdicio de alimentos, con cuatro países de cada región entre los 20 primeros en la mencionada clasificación. Etiopía, Kenia y la India también se encuentran entre los países con estrategias sólidas para min</w:t>
      </w:r>
      <w:r>
        <w:rPr>
          <w:rFonts w:ascii="Times New Roman" w:hAnsi="Times New Roman" w:cs="Times New Roman"/>
          <w:sz w:val="24"/>
          <w:szCs w:val="24"/>
        </w:rPr>
        <w:t>imizar la pérdida de alimentos.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Un desafío tan complejo como la migración no se puede abordar simplemente a través de leyes de inmigración más estrictas, y mucho menos mediante un muro fronterizo como el que el presidente de Estados Unidos, Donald Trump, busca construir en la frontera sur de su país con México. En cambio, las autoridades que formulan políticas deben abordar las causas subyacentes de la migración, comenzando por un sistema alimentario mundial que se funciona mal.</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En el caso de los gobiernos de los países desarrollados, eso significa repensar los subsidios agrícolas y aplicar políticas específicas para reducir la pérdida y el desperdicio de alimentos. Por su parte, los gobiernos de los países en desarrollo deben tomar medidas para mi</w:t>
      </w:r>
      <w:r>
        <w:rPr>
          <w:rFonts w:ascii="Times New Roman" w:hAnsi="Times New Roman" w:cs="Times New Roman"/>
          <w:sz w:val="24"/>
          <w:szCs w:val="24"/>
        </w:rPr>
        <w:t>tigar la desigualdad de género.</w:t>
      </w:r>
    </w:p>
    <w:p w:rsidR="00FF2201" w:rsidRPr="00816F00" w:rsidRDefault="000A1A59"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Hay poco tiempo que perder -</w:t>
      </w:r>
      <w:r w:rsidR="00FF2201" w:rsidRPr="00816F00">
        <w:rPr>
          <w:rFonts w:ascii="Times New Roman" w:hAnsi="Times New Roman" w:cs="Times New Roman"/>
          <w:sz w:val="24"/>
          <w:szCs w:val="24"/>
        </w:rPr>
        <w:t xml:space="preserve"> y pocos alimentos para desperdiciar.</w:t>
      </w:r>
    </w:p>
    <w:p w:rsidR="00FF2201" w:rsidRPr="00816F00" w:rsidRDefault="00FF2201" w:rsidP="00FF220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16F00">
        <w:rPr>
          <w:rFonts w:ascii="Times New Roman" w:hAnsi="Times New Roman" w:cs="Times New Roman"/>
          <w:sz w:val="24"/>
          <w:szCs w:val="24"/>
          <w:lang w:val="en-US"/>
        </w:rPr>
        <w:t>Danielle Nierenberg is President of Food Tank: The Think Tank for Food and a member of the Barilla Center for Food and Nutrit</w:t>
      </w:r>
      <w:r>
        <w:rPr>
          <w:rFonts w:ascii="Times New Roman" w:hAnsi="Times New Roman" w:cs="Times New Roman"/>
          <w:sz w:val="24"/>
          <w:szCs w:val="24"/>
          <w:lang w:val="en-US"/>
        </w:rPr>
        <w:t>ion Foundation’s advisory board)</w:t>
      </w:r>
    </w:p>
    <w:p w:rsidR="00FF2201" w:rsidRPr="00816F00" w:rsidRDefault="00FF2201"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16F00">
        <w:rPr>
          <w:rFonts w:ascii="Times New Roman" w:hAnsi="Times New Roman" w:cs="Times New Roman"/>
          <w:sz w:val="24"/>
          <w:szCs w:val="24"/>
          <w:u w:val="single"/>
        </w:rPr>
        <w:t>Europa necesita reformular la política migratoria</w:t>
      </w:r>
      <w:r>
        <w:rPr>
          <w:rFonts w:ascii="Times New Roman" w:hAnsi="Times New Roman" w:cs="Times New Roman"/>
          <w:sz w:val="24"/>
          <w:szCs w:val="24"/>
        </w:rPr>
        <w:t xml:space="preserve"> (Project Syndicate - </w:t>
      </w:r>
      <w:r w:rsidRPr="00816F00">
        <w:rPr>
          <w:rFonts w:ascii="Times New Roman" w:hAnsi="Times New Roman" w:cs="Times New Roman"/>
          <w:b/>
          <w:sz w:val="24"/>
          <w:szCs w:val="24"/>
        </w:rPr>
        <w:t>30/9/19</w:t>
      </w:r>
      <w:r>
        <w:rPr>
          <w:rFonts w:ascii="Times New Roman" w:hAnsi="Times New Roman" w:cs="Times New Roman"/>
          <w:sz w:val="24"/>
          <w:szCs w:val="24"/>
        </w:rPr>
        <w:t>)</w:t>
      </w:r>
    </w:p>
    <w:p w:rsidR="00FF2201" w:rsidRPr="00816F00" w:rsidRDefault="000A1A59" w:rsidP="00FF2201">
      <w:pPr>
        <w:spacing w:line="240" w:lineRule="auto"/>
        <w:jc w:val="both"/>
        <w:rPr>
          <w:rFonts w:ascii="Times New Roman" w:hAnsi="Times New Roman" w:cs="Times New Roman"/>
          <w:sz w:val="24"/>
          <w:szCs w:val="24"/>
        </w:rPr>
      </w:pPr>
      <w:r>
        <w:rPr>
          <w:rFonts w:ascii="Times New Roman" w:hAnsi="Times New Roman" w:cs="Times New Roman"/>
          <w:sz w:val="24"/>
          <w:szCs w:val="24"/>
        </w:rPr>
        <w:t>Bruselas.-</w:t>
      </w:r>
      <w:r w:rsidR="00FF2201" w:rsidRPr="00816F00">
        <w:rPr>
          <w:rFonts w:ascii="Times New Roman" w:hAnsi="Times New Roman" w:cs="Times New Roman"/>
          <w:sz w:val="24"/>
          <w:szCs w:val="24"/>
        </w:rPr>
        <w:t xml:space="preserve"> Más de 900 migrantes que intentaban llegar a Europa se han ahogado en el Mediterráneo en lo que va del año. Mientras tanto, los barc</w:t>
      </w:r>
      <w:r>
        <w:rPr>
          <w:rFonts w:ascii="Times New Roman" w:hAnsi="Times New Roman" w:cs="Times New Roman"/>
          <w:sz w:val="24"/>
          <w:szCs w:val="24"/>
        </w:rPr>
        <w:t>os de</w:t>
      </w:r>
      <w:r w:rsidR="00FF2201" w:rsidRPr="00816F00">
        <w:rPr>
          <w:rFonts w:ascii="Times New Roman" w:hAnsi="Times New Roman" w:cs="Times New Roman"/>
          <w:sz w:val="24"/>
          <w:szCs w:val="24"/>
        </w:rPr>
        <w:t xml:space="preserve"> rescate Open Arms y Ocean Viking se han pasado el verano buscando un puerto seguro que permita el desembarque de su carga humana. Los campos de refugiados y de migrantes en la isla griega de Lesbos están desbordados y las condiciones en los centros de retención en Libia son igual de atroces. Turquía, por su parte, ha minado el acuerdo de 2016 según el cual venía canalizando el flujo de migrantes hacia la Unión Europea.</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Si bien Europa quiere ayudar a los migrantes y respetar el derecho internacional, no quiere verse superada por la situación. El punto álgido de 2015-16 en la cantidad de refugiados y migrantes que ingresaron a la UE, muchos de los cuales huían de la guerra en Siria, minó drásticamente la confianza al interior del bloque. La gigantesca afluencia erosionó la confianza de los gobiernos en las fronteras externas y en la gestión de asilo de la UE, y reveló las debilidades de las alianzas con los países de origen de los migrantes. La migración, por ende, se ha convertido en un fútbol político, para del</w:t>
      </w:r>
      <w:r>
        <w:rPr>
          <w:rFonts w:ascii="Times New Roman" w:hAnsi="Times New Roman" w:cs="Times New Roman"/>
          <w:sz w:val="24"/>
          <w:szCs w:val="24"/>
        </w:rPr>
        <w:t>icia de los populistas.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La nueva Comisión Europea bajo la presidencia de Ursula von der Leyen debe, por lo tanto, recuperar el control de la migración respetando a la vez la dignidad de quienes buscan una vida mejor. Para lograrlo, necesita restablecer la estrategia de la UE en cuatro áreas, movilizando a los estad</w:t>
      </w:r>
      <w:r>
        <w:rPr>
          <w:rFonts w:ascii="Times New Roman" w:hAnsi="Times New Roman" w:cs="Times New Roman"/>
          <w:sz w:val="24"/>
          <w:szCs w:val="24"/>
        </w:rPr>
        <w:t>os miembro para bien de Europa.</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 xml:space="preserve">Primero, la UE debe asegurar con urgencia su frontera externa como prerrequisito para mantener sus fronteras internas abiertas. Ninguna otra zona con un movimiento interno libre de personas, incluidos países como Estados Unidos, India, China, Suiza o Rusia, está delegando el control de sus fronteras externas a sus estados o regiones. Controlar la frontera externa de la UE debe ser </w:t>
      </w:r>
      <w:r>
        <w:rPr>
          <w:rFonts w:ascii="Times New Roman" w:hAnsi="Times New Roman" w:cs="Times New Roman"/>
          <w:sz w:val="24"/>
          <w:szCs w:val="24"/>
        </w:rPr>
        <w:t>una tarea colectiva y nacional.</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Por lo tanto, debe reforzarse aún más la agencia fronteriza y guardacostas de la UE, Frontex, y se deberían desplegar guardias en co</w:t>
      </w:r>
      <w:r w:rsidR="000A1A59">
        <w:rPr>
          <w:rFonts w:ascii="Times New Roman" w:hAnsi="Times New Roman" w:cs="Times New Roman"/>
          <w:sz w:val="24"/>
          <w:szCs w:val="24"/>
        </w:rPr>
        <w:t>njunto con los estados miembro -</w:t>
      </w:r>
      <w:r w:rsidRPr="00816F00">
        <w:rPr>
          <w:rFonts w:ascii="Times New Roman" w:hAnsi="Times New Roman" w:cs="Times New Roman"/>
          <w:sz w:val="24"/>
          <w:szCs w:val="24"/>
        </w:rPr>
        <w:t>incluido en las fronteras marítimas y aeropuertos-. La UE también debe revitalizar su iniciativa Operación Sofía para combatir el contrabando de</w:t>
      </w:r>
      <w:r>
        <w:rPr>
          <w:rFonts w:ascii="Times New Roman" w:hAnsi="Times New Roman" w:cs="Times New Roman"/>
          <w:sz w:val="24"/>
          <w:szCs w:val="24"/>
        </w:rPr>
        <w:t xml:space="preserve"> refugiados en el Mediterráneo.</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Segundo, Europa tiene que manejar a los migrantes económicos y a los buscadores de asilo por separado. Combinarlos ha llevado al sistema de asilo casi al colapso; separarlos ayudaría a garantizar que quienes temen por su vida puedan tener una audiencia justa en la que se protejan sus derechos.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Abordar las necesidades económicas y sociales genuinas en la UE requiere u</w:t>
      </w:r>
      <w:r w:rsidR="000A1A59">
        <w:rPr>
          <w:rFonts w:ascii="Times New Roman" w:hAnsi="Times New Roman" w:cs="Times New Roman"/>
          <w:sz w:val="24"/>
          <w:szCs w:val="24"/>
        </w:rPr>
        <w:t>na política de tarjetas azules -</w:t>
      </w:r>
      <w:r w:rsidRPr="00816F00">
        <w:rPr>
          <w:rFonts w:ascii="Times New Roman" w:hAnsi="Times New Roman" w:cs="Times New Roman"/>
          <w:sz w:val="24"/>
          <w:szCs w:val="24"/>
        </w:rPr>
        <w:t>o verdes- efectiva para los migrantes económicos, con un objetivo inmigratorio general. Y los responsables de las políticas no deben esperar hasta la próxima crisis migrato</w:t>
      </w:r>
      <w:r>
        <w:rPr>
          <w:rFonts w:ascii="Times New Roman" w:hAnsi="Times New Roman" w:cs="Times New Roman"/>
          <w:sz w:val="24"/>
          <w:szCs w:val="24"/>
        </w:rPr>
        <w:t>ria para introducir el esquema.</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Para que esto suceda, la UE puede tener que romper con ciertos tabúes. En primer lugar, debe reconocerse la cantidad de migrantes económicos que ingresan al mercado laboral de la UE como una cuestión de interés común. En segundo lugar, la política debe dejar en claro qué migrantes son bienvenidos. En tercer lugar, se les debe preguntar a los estados miembro qué asistencia de la UE necesitarían para agilizar el proceso. Por último, las visas y los permisos de trabajo deben estar sobre la mesa para facilitar el retorno de los migrantes i</w:t>
      </w:r>
      <w:r>
        <w:rPr>
          <w:rFonts w:ascii="Times New Roman" w:hAnsi="Times New Roman" w:cs="Times New Roman"/>
          <w:sz w:val="24"/>
          <w:szCs w:val="24"/>
        </w:rPr>
        <w:t>legales a sus países de origen.</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Es verdad, según el Tratado de la UE, cada estado miembro gestiona por cuenta propia la inmigración desde fuera de la UE. Sin embargo, no sería un salto gigante para los gobiernos acordar un objetivo de inmigración general a nivel de la UE. A su vez, los estados miembro podrían indicar qué países de origen y perfil de migrantes económicos prefieren, y los recursos presupuestarios de la UE necesarios para recibirlos. Tener derechos de giro para los migrantes, por lo tanto, sería u</w:t>
      </w:r>
      <w:r>
        <w:rPr>
          <w:rFonts w:ascii="Times New Roman" w:hAnsi="Times New Roman" w:cs="Times New Roman"/>
          <w:sz w:val="24"/>
          <w:szCs w:val="24"/>
        </w:rPr>
        <w:t>n privilegio más que una carga.</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Canadá, por ejemplo, ha tenido una política de inmigración activa desde hace tiempo, en la cual la selección se hace según criterios como país de origen, conjunto de capacidades y grupo etari</w:t>
      </w:r>
      <w:r>
        <w:rPr>
          <w:rFonts w:ascii="Times New Roman" w:hAnsi="Times New Roman" w:cs="Times New Roman"/>
          <w:sz w:val="24"/>
          <w:szCs w:val="24"/>
        </w:rPr>
        <w:t>o. Europa puede hacer lo mismo.</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Tercero, la UE necesita reparar su sistema de asilo. Por empezar, debe eliminar la insistencia insensible sobre la redistribución forzada de los buscadores de asilo al interior de la UE. Esto ha contaminado la atmósfera en el bloque, pero puede funcionar una vez que se implemente un sistema fronterizo, de asilo y de in</w:t>
      </w:r>
      <w:r>
        <w:rPr>
          <w:rFonts w:ascii="Times New Roman" w:hAnsi="Times New Roman" w:cs="Times New Roman"/>
          <w:sz w:val="24"/>
          <w:szCs w:val="24"/>
        </w:rPr>
        <w:t>migración plenamente eficiente.</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Por otra parte, no se puede esperar que los estados miembro de primera línea de la UE se las arreglen por sí solos frente a los migrantes ilegales que cruzan las fronteras externas. Los campamentos están superpoblados y los migrantes o son abusados o son enviados hacia el norte por autoridades desbordadas. La responsabilidad del primer estado miembro donde llegan estos migrantes debe estar complement</w:t>
      </w:r>
      <w:r>
        <w:rPr>
          <w:rFonts w:ascii="Times New Roman" w:hAnsi="Times New Roman" w:cs="Times New Roman"/>
          <w:sz w:val="24"/>
          <w:szCs w:val="24"/>
        </w:rPr>
        <w:t>ada por la solidaridad europea.</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La UE también debe ofrecer experiencia y financiamiento para alinear las prácticas y las capacidades de gestión de las agencias de asilo nacionales. Sólo entonces se respetarán las decisiones nacionales en toda la zona Schengen, garantizando la preservación de la zona de turismo de fronteras libres. Este alineamiento también permitirá, finalmente, que se comparta el proceso de solicitudes de a</w:t>
      </w:r>
      <w:r>
        <w:rPr>
          <w:rFonts w:ascii="Times New Roman" w:hAnsi="Times New Roman" w:cs="Times New Roman"/>
          <w:sz w:val="24"/>
          <w:szCs w:val="24"/>
        </w:rPr>
        <w:t>silo entre los estados miembro.</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Cuarto, la UE debería forjar alianzas más sólidas y mutuamente beneficiales con los países de origen y de tránsito. Estos lazos son esenciales para permitir el pronto retorno de aquellas personas a las que legalmente se les niega el ingreso a la UE. Para ayudar a garantizar la cooperación, la UE debería movilizar todos sus instrumentos de política exterior, incluida la asistencia para el desarrollo y los fondos de inversión, e iniciativas en seguridad, comercio, energía, agricultura, industria pesquera, acción climática, transporte aéreo y salud. También podrían ofrecerse los objetivos de inmigración de la UE, combinados con alianzas de competencias para una preparación para los empleos en Europa, a terceros países i</w:t>
      </w:r>
      <w:r>
        <w:rPr>
          <w:rFonts w:ascii="Times New Roman" w:hAnsi="Times New Roman" w:cs="Times New Roman"/>
          <w:sz w:val="24"/>
          <w:szCs w:val="24"/>
        </w:rPr>
        <w:t>nteresados en remesas estables.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Al mismo tiempo, la UE debe intentar abordar las causas subyacentes de la migración. Éstas incluyen la explosión demográfica en el África subsahariana; el cambio climático, que está minando la seguridad alimenticia; las pandemias recurrentes; el conflicto é</w:t>
      </w:r>
      <w:r>
        <w:rPr>
          <w:rFonts w:ascii="Times New Roman" w:hAnsi="Times New Roman" w:cs="Times New Roman"/>
          <w:sz w:val="24"/>
          <w:szCs w:val="24"/>
        </w:rPr>
        <w:t>tnico y una escasez de empleos.</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La asistencia de la UE debería centrarse en restablecer la estabilidad y reducir los riesgos respaldando la seguridad, la resiliencia comunitaria y la buena gobernanza. El éxito en este terreno hará que las inversiones sean más seguras y destrabará el financiamiento privado y doméstico, permitiendo así que las economías nacionales crezcan, creen empleos y ofrezcan una alternativa a la migración.</w:t>
      </w:r>
    </w:p>
    <w:p w:rsidR="00FF2201" w:rsidRPr="00816F00" w:rsidRDefault="00FF2201" w:rsidP="00FF2201">
      <w:pPr>
        <w:spacing w:line="240" w:lineRule="auto"/>
        <w:jc w:val="both"/>
        <w:rPr>
          <w:rFonts w:ascii="Times New Roman" w:hAnsi="Times New Roman" w:cs="Times New Roman"/>
          <w:sz w:val="24"/>
          <w:szCs w:val="24"/>
        </w:rPr>
      </w:pPr>
      <w:r w:rsidRPr="00816F00">
        <w:rPr>
          <w:rFonts w:ascii="Times New Roman" w:hAnsi="Times New Roman" w:cs="Times New Roman"/>
          <w:sz w:val="24"/>
          <w:szCs w:val="24"/>
        </w:rPr>
        <w:t>La nueva Comisión Europea tiene la oportunidad de lograr que la UE deje de lado las reacciones irreflexivas frente a las crisis migratorias y adopte una estrategia mucho más coherente y sostenida, interna y externamente. No puede permitirse dejar pasar esta oportunidad.</w:t>
      </w:r>
    </w:p>
    <w:p w:rsidR="00FF2201" w:rsidRDefault="00FF2201" w:rsidP="00FF2201">
      <w:pPr>
        <w:spacing w:line="240" w:lineRule="auto"/>
        <w:jc w:val="both"/>
        <w:rPr>
          <w:rFonts w:ascii="Times New Roman" w:hAnsi="Times New Roman" w:cs="Times New Roman"/>
          <w:sz w:val="24"/>
          <w:szCs w:val="24"/>
        </w:rPr>
      </w:pPr>
      <w:r w:rsidRPr="00450EF1">
        <w:rPr>
          <w:rFonts w:ascii="Times New Roman" w:hAnsi="Times New Roman" w:cs="Times New Roman"/>
          <w:sz w:val="24"/>
          <w:szCs w:val="24"/>
        </w:rPr>
        <w:t>(Claus Sørensen is a former director general of the European Commission’s Civil Protection and Humanitarian Aid department)</w:t>
      </w:r>
    </w:p>
    <w:p w:rsidR="00D95F69" w:rsidRDefault="00D95F69" w:rsidP="00D95F69">
      <w:pPr>
        <w:rPr>
          <w:rFonts w:ascii="Times New Roman" w:hAnsi="Times New Roman" w:cs="Times New Roman"/>
          <w:b/>
          <w:sz w:val="24"/>
          <w:szCs w:val="24"/>
        </w:rPr>
      </w:pPr>
    </w:p>
    <w:p w:rsidR="00D95F69" w:rsidRDefault="00D95F69" w:rsidP="00D95F69">
      <w:pPr>
        <w:rPr>
          <w:rFonts w:ascii="Times New Roman" w:hAnsi="Times New Roman" w:cs="Times New Roman"/>
          <w:b/>
          <w:sz w:val="24"/>
          <w:szCs w:val="24"/>
        </w:rPr>
      </w:pPr>
    </w:p>
    <w:p w:rsidR="00D95F69" w:rsidRDefault="00D95F69" w:rsidP="00D95F69">
      <w:pPr>
        <w:rPr>
          <w:rFonts w:ascii="Times New Roman" w:hAnsi="Times New Roman" w:cs="Times New Roman"/>
          <w:b/>
          <w:sz w:val="24"/>
          <w:szCs w:val="24"/>
        </w:rPr>
      </w:pPr>
    </w:p>
    <w:p w:rsidR="00D95F69" w:rsidRDefault="00D95F69" w:rsidP="00D95F69">
      <w:pPr>
        <w:rPr>
          <w:rFonts w:ascii="Times New Roman" w:hAnsi="Times New Roman" w:cs="Times New Roman"/>
          <w:b/>
          <w:sz w:val="24"/>
          <w:szCs w:val="24"/>
        </w:rPr>
      </w:pPr>
    </w:p>
    <w:p w:rsidR="00D95F69" w:rsidRDefault="00D95F69" w:rsidP="00D95F69">
      <w:pPr>
        <w:rPr>
          <w:rFonts w:ascii="Times New Roman" w:hAnsi="Times New Roman" w:cs="Times New Roman"/>
          <w:b/>
          <w:sz w:val="24"/>
          <w:szCs w:val="24"/>
        </w:rPr>
      </w:pPr>
    </w:p>
    <w:p w:rsidR="00D95F69" w:rsidRDefault="00D95F69" w:rsidP="00D95F69">
      <w:pPr>
        <w:rPr>
          <w:rFonts w:ascii="Times New Roman" w:hAnsi="Times New Roman" w:cs="Times New Roman"/>
          <w:b/>
          <w:sz w:val="24"/>
          <w:szCs w:val="24"/>
        </w:rPr>
      </w:pPr>
      <w:r>
        <w:rPr>
          <w:rFonts w:ascii="Times New Roman" w:hAnsi="Times New Roman" w:cs="Times New Roman"/>
          <w:b/>
          <w:sz w:val="24"/>
          <w:szCs w:val="24"/>
        </w:rPr>
        <w:t>Anexo Euro punto de vista TECNOLOGÍA - GLOBALIZACIÓN</w:t>
      </w:r>
    </w:p>
    <w:p w:rsidR="00D95F69" w:rsidRPr="001D3DFD" w:rsidRDefault="00D95F69" w:rsidP="00D95F69">
      <w:pPr>
        <w:rPr>
          <w:rFonts w:ascii="Times New Roman" w:hAnsi="Times New Roman" w:cs="Times New Roman"/>
          <w:b/>
          <w:sz w:val="24"/>
          <w:szCs w:val="24"/>
        </w:rPr>
      </w:pPr>
      <w:r>
        <w:rPr>
          <w:noProof/>
          <w:lang w:val="en-GB" w:eastAsia="en-GB"/>
        </w:rPr>
        <w:drawing>
          <wp:inline distT="0" distB="0" distL="0" distR="0">
            <wp:extent cx="5729713" cy="2489200"/>
            <wp:effectExtent l="0" t="0" r="4445" b="6350"/>
            <wp:docPr id="36" name="Imagen 36" descr="Robo advis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 advisors"/>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89981"/>
                    </a:xfrm>
                    <a:prstGeom prst="rect">
                      <a:avLst/>
                    </a:prstGeom>
                    <a:noFill/>
                    <a:ln>
                      <a:noFill/>
                    </a:ln>
                  </pic:spPr>
                </pic:pic>
              </a:graphicData>
            </a:graphic>
          </wp:inline>
        </w:drawing>
      </w:r>
    </w:p>
    <w:p w:rsidR="00D95F69" w:rsidRPr="00F01646" w:rsidRDefault="00D95F69" w:rsidP="00D95F69">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C1352C">
        <w:rPr>
          <w:rFonts w:ascii="Times New Roman" w:hAnsi="Times New Roman" w:cs="Times New Roman"/>
          <w:sz w:val="24"/>
          <w:szCs w:val="24"/>
          <w:u w:val="single"/>
        </w:rPr>
        <w:t>Normas a la altura de los tiempos</w:t>
      </w:r>
      <w:r>
        <w:rPr>
          <w:rFonts w:ascii="Times New Roman" w:hAnsi="Times New Roman" w:cs="Times New Roman"/>
          <w:sz w:val="24"/>
          <w:szCs w:val="24"/>
        </w:rPr>
        <w:t xml:space="preserve"> (El Economista - </w:t>
      </w:r>
      <w:r>
        <w:rPr>
          <w:rFonts w:ascii="Times New Roman" w:hAnsi="Times New Roman" w:cs="Times New Roman"/>
          <w:b/>
          <w:sz w:val="24"/>
          <w:szCs w:val="24"/>
        </w:rPr>
        <w:t>9</w:t>
      </w:r>
      <w:r w:rsidRPr="00C1352C">
        <w:rPr>
          <w:rFonts w:ascii="Times New Roman" w:hAnsi="Times New Roman" w:cs="Times New Roman"/>
          <w:b/>
          <w:sz w:val="24"/>
          <w:szCs w:val="24"/>
        </w:rPr>
        <w:t>/1/19</w:t>
      </w:r>
      <w:r>
        <w:rPr>
          <w:rFonts w:ascii="Times New Roman" w:hAnsi="Times New Roman" w:cs="Times New Roman"/>
          <w:sz w:val="24"/>
          <w:szCs w:val="24"/>
        </w:rPr>
        <w:t xml:space="preserve">) </w:t>
      </w:r>
    </w:p>
    <w:p w:rsidR="00D95F69" w:rsidRPr="00B67271" w:rsidRDefault="00D95F69" w:rsidP="00D95F69">
      <w:pPr>
        <w:spacing w:line="240" w:lineRule="auto"/>
        <w:jc w:val="both"/>
        <w:rPr>
          <w:rFonts w:ascii="Times New Roman" w:hAnsi="Times New Roman" w:cs="Times New Roman"/>
          <w:color w:val="FF0000"/>
          <w:sz w:val="24"/>
          <w:szCs w:val="24"/>
        </w:rPr>
      </w:pPr>
      <w:r w:rsidRPr="00B67271">
        <w:rPr>
          <w:rFonts w:ascii="Times New Roman" w:hAnsi="Times New Roman" w:cs="Times New Roman"/>
          <w:color w:val="FF0000"/>
          <w:sz w:val="24"/>
          <w:szCs w:val="24"/>
        </w:rPr>
        <w:t>Urge regular la competencia, la privacidad y las condiciones laborales</w:t>
      </w:r>
    </w:p>
    <w:p w:rsidR="00D95F69" w:rsidRPr="00B67271" w:rsidRDefault="00D95F69" w:rsidP="00D95F69">
      <w:pPr>
        <w:spacing w:line="240" w:lineRule="auto"/>
        <w:jc w:val="both"/>
        <w:rPr>
          <w:rFonts w:ascii="Times New Roman" w:hAnsi="Times New Roman" w:cs="Times New Roman"/>
          <w:color w:val="FF0000"/>
          <w:sz w:val="24"/>
          <w:szCs w:val="24"/>
        </w:rPr>
      </w:pPr>
      <w:r w:rsidRPr="00B67271">
        <w:rPr>
          <w:rFonts w:ascii="Times New Roman" w:hAnsi="Times New Roman" w:cs="Times New Roman"/>
          <w:color w:val="FF0000"/>
          <w:sz w:val="24"/>
          <w:szCs w:val="24"/>
        </w:rPr>
        <w:t>Se deben igualar las condiciones entre el empleo asalariado y el autoempleo</w:t>
      </w:r>
    </w:p>
    <w:p w:rsidR="00D95F69" w:rsidRPr="00C1352C" w:rsidRDefault="00D95F69" w:rsidP="00D95F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1352C">
        <w:rPr>
          <w:rFonts w:ascii="Times New Roman" w:hAnsi="Times New Roman" w:cs="Times New Roman"/>
          <w:sz w:val="24"/>
          <w:szCs w:val="24"/>
        </w:rPr>
        <w:t>Jean Tirole</w:t>
      </w:r>
      <w:r>
        <w:rPr>
          <w:rFonts w:ascii="Times New Roman" w:hAnsi="Times New Roman" w:cs="Times New Roman"/>
          <w:sz w:val="24"/>
          <w:szCs w:val="24"/>
        </w:rPr>
        <w:t>)</w:t>
      </w:r>
    </w:p>
    <w:p w:rsidR="00D95F69" w:rsidRPr="00C576F6" w:rsidRDefault="00D95F69" w:rsidP="00D95F69">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Las grandes empresas tecnológicas -como Apple, Amazon, Facebook y Google- se propusieron explícitamente alterar gran parte del statu quo industrial y social del mundo. Tuvieron (sospecho) mucho más éxito del que jamás soñaron, y probablemente más de lo que algunos de sus fundadores hubieran deseado, en vista de los efectos nocivos que las redes sociales han tenido en las elecciones democráticas.</w:t>
      </w:r>
    </w:p>
    <w:p w:rsidR="00D95F69" w:rsidRPr="00C576F6" w:rsidRDefault="00D95F69" w:rsidP="00D95F69">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En vista de la escala y el alcance del impacto de estas empresas en nuestras sociedades, no sorprende que inspiren a la vez esperanza y temor en la conciencia pública.</w:t>
      </w:r>
    </w:p>
    <w:p w:rsidR="00D95F69" w:rsidRPr="00C1352C" w:rsidRDefault="00D95F69" w:rsidP="00D95F69">
      <w:pPr>
        <w:spacing w:line="240" w:lineRule="auto"/>
        <w:jc w:val="both"/>
        <w:rPr>
          <w:rFonts w:ascii="Times New Roman" w:hAnsi="Times New Roman" w:cs="Times New Roman"/>
          <w:sz w:val="24"/>
          <w:szCs w:val="24"/>
        </w:rPr>
      </w:pPr>
      <w:r w:rsidRPr="00C576F6">
        <w:rPr>
          <w:rFonts w:ascii="Times New Roman" w:hAnsi="Times New Roman" w:cs="Times New Roman"/>
          <w:color w:val="FF0000"/>
          <w:sz w:val="24"/>
          <w:szCs w:val="24"/>
          <w:u w:val="single"/>
        </w:rPr>
        <w:t>El cambio tecnológico acelerado y la globalización restaron eficacia a las herramientas regulatorias tradicionales, y la política de defensa de la competencia quedó rezagada</w:t>
      </w:r>
      <w:r w:rsidRPr="00C1352C">
        <w:rPr>
          <w:rFonts w:ascii="Times New Roman" w:hAnsi="Times New Roman" w:cs="Times New Roman"/>
          <w:sz w:val="24"/>
          <w:szCs w:val="24"/>
        </w:rPr>
        <w:t>. Para desmantelar monopolios y regular servicios públicos es necesario identificar componentes esenciales o que suponen una restricción permanente de la competencia (como el circuito local de conexión en el caso de las telecomunicaciones, las vías y la estación en el caso de los ferrocarriles, o la red de transmisión en el caso de la electricidad). En un mundo de empresas globales sin ninguna autoridad reguladora supranacional, la regulación exige una contabilidad detallada. Y demanda seguir a las empresas a lo largo de todo su ciclo de vida para medir la rentabilidad del capital (una tarea imposible).</w:t>
      </w:r>
    </w:p>
    <w:p w:rsidR="00D95F69" w:rsidRPr="00C576F6" w:rsidRDefault="00D95F69" w:rsidP="00D95F69">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Tenemos que idear políticas más ágiles, por ejemplo mecanismos de solicitud de revisión regulatoria anticipada (business review letter) que permitan a las empresas introducir nuevas prácticas con cierta seguridad jurídica mientras respeten las condiciones fijadas por las autoridades, o entornos regulatorios protegidos (sandbox) donde puedan poner a prueba nuevos mode</w:t>
      </w:r>
      <w:r w:rsidR="001A1F1D">
        <w:rPr>
          <w:rFonts w:ascii="Times New Roman" w:hAnsi="Times New Roman" w:cs="Times New Roman"/>
          <w:sz w:val="24"/>
          <w:szCs w:val="24"/>
          <w:u w:val="single"/>
        </w:rPr>
        <w:t>los de negocios en un contexto “seguro”</w:t>
      </w:r>
      <w:r w:rsidRPr="00C576F6">
        <w:rPr>
          <w:rFonts w:ascii="Times New Roman" w:hAnsi="Times New Roman" w:cs="Times New Roman"/>
          <w:sz w:val="24"/>
          <w:szCs w:val="24"/>
          <w:u w:val="single"/>
        </w:rPr>
        <w:t>. Los reguladores y los economistas deben ser humildes, ya que aprenderán con la práctica, y no deben instituir políticas de una vez y para siempre.</w:t>
      </w:r>
    </w:p>
    <w:p w:rsidR="00D95F69" w:rsidRPr="00C576F6" w:rsidRDefault="00D95F69" w:rsidP="00D95F69">
      <w:pPr>
        <w:spacing w:line="240" w:lineRule="auto"/>
        <w:jc w:val="both"/>
        <w:rPr>
          <w:rFonts w:ascii="Times New Roman" w:hAnsi="Times New Roman" w:cs="Times New Roman"/>
          <w:sz w:val="24"/>
          <w:szCs w:val="24"/>
          <w:u w:val="single"/>
        </w:rPr>
      </w:pPr>
      <w:r w:rsidRPr="00C576F6">
        <w:rPr>
          <w:rFonts w:ascii="Times New Roman" w:hAnsi="Times New Roman" w:cs="Times New Roman"/>
          <w:sz w:val="24"/>
          <w:szCs w:val="24"/>
          <w:u w:val="single"/>
        </w:rPr>
        <w:t>En cuanto a la legislación laboral, está claro que en su forma actual no se adapta bien a la era digital. Los códigos laborales de casi todos los países desarrollados se concibieron hace décadas, pensando en el obrero fabril; de modo que prestan poca atención a los contratos laborales temporales, y menos aún a teletrabajadores, contratistas independientes, freelancers o estudiantes y jubilados que trabajan a tiempo parcial como conductores de Uber.</w:t>
      </w:r>
    </w:p>
    <w:p w:rsidR="00D95F69" w:rsidRPr="00C1352C" w:rsidRDefault="00D95F69" w:rsidP="00D95F69">
      <w:pPr>
        <w:spacing w:line="240" w:lineRule="auto"/>
        <w:jc w:val="both"/>
        <w:rPr>
          <w:rFonts w:ascii="Times New Roman" w:hAnsi="Times New Roman" w:cs="Times New Roman"/>
          <w:sz w:val="24"/>
          <w:szCs w:val="24"/>
        </w:rPr>
      </w:pPr>
      <w:r w:rsidRPr="00C576F6">
        <w:rPr>
          <w:rFonts w:ascii="Times New Roman" w:hAnsi="Times New Roman" w:cs="Times New Roman"/>
          <w:sz w:val="24"/>
          <w:szCs w:val="24"/>
          <w:u w:val="single"/>
        </w:rPr>
        <w:t xml:space="preserve">Hay que pasar de una cultura centrada en el seguimiento de la presencia de los trabajadores a otra cultura centrada en el seguimiento de sus resultados. Ya hay muchos asalariados (especialmente profesionales) cuya presencia física en un lugar de trabajo es una consideración secundaria (y cuyo esfuerzo, en todo caso, sería bastante difícil de controlar). </w:t>
      </w:r>
      <w:r w:rsidRPr="00C1352C">
        <w:rPr>
          <w:rFonts w:ascii="Times New Roman" w:hAnsi="Times New Roman" w:cs="Times New Roman"/>
          <w:sz w:val="24"/>
          <w:szCs w:val="24"/>
        </w:rPr>
        <w:t xml:space="preserve">Confrontados con las tendencias actuales del mercado laboral, a menudo los legisladores tratan de encajar las nuevas formas de empleo en los moldes antiguos. </w:t>
      </w:r>
      <w:r w:rsidR="001A1F1D">
        <w:rPr>
          <w:rFonts w:ascii="Times New Roman" w:hAnsi="Times New Roman" w:cs="Times New Roman"/>
          <w:sz w:val="24"/>
          <w:szCs w:val="24"/>
          <w:u w:val="single"/>
        </w:rPr>
        <w:t>¿Es un conductor de Uber un “empleado”</w:t>
      </w:r>
      <w:r w:rsidRPr="00C576F6">
        <w:rPr>
          <w:rFonts w:ascii="Times New Roman" w:hAnsi="Times New Roman" w:cs="Times New Roman"/>
          <w:sz w:val="24"/>
          <w:szCs w:val="24"/>
          <w:u w:val="single"/>
        </w:rPr>
        <w:t xml:space="preserve"> o no? Algunos dicen que sí</w:t>
      </w:r>
      <w:r w:rsidRPr="00C1352C">
        <w:rPr>
          <w:rFonts w:ascii="Times New Roman" w:hAnsi="Times New Roman" w:cs="Times New Roman"/>
          <w:sz w:val="24"/>
          <w:szCs w:val="24"/>
        </w:rPr>
        <w:t>, porque no puede negociar precios y debe cumplir ciertos requisitos de capacitación y condiciones del vehículo, entre ellas la limpieza. Y en particular, Uber se reserva el derecho de finalizar la relación con chóferes qu</w:t>
      </w:r>
      <w:r>
        <w:rPr>
          <w:rFonts w:ascii="Times New Roman" w:hAnsi="Times New Roman" w:cs="Times New Roman"/>
          <w:sz w:val="24"/>
          <w:szCs w:val="24"/>
        </w:rPr>
        <w:t>e reciban bajas calificaciones.</w:t>
      </w:r>
    </w:p>
    <w:p w:rsidR="00D95F69" w:rsidRPr="00C1352C" w:rsidRDefault="00D95F69" w:rsidP="00D95F69">
      <w:pPr>
        <w:spacing w:line="240" w:lineRule="auto"/>
        <w:jc w:val="both"/>
        <w:rPr>
          <w:rFonts w:ascii="Times New Roman" w:hAnsi="Times New Roman" w:cs="Times New Roman"/>
          <w:sz w:val="24"/>
          <w:szCs w:val="24"/>
        </w:rPr>
      </w:pPr>
      <w:r w:rsidRPr="00C576F6">
        <w:rPr>
          <w:rFonts w:ascii="Times New Roman" w:hAnsi="Times New Roman" w:cs="Times New Roman"/>
          <w:sz w:val="24"/>
          <w:szCs w:val="24"/>
          <w:u w:val="single"/>
        </w:rPr>
        <w:t>Otros sostienen que los conductores de Uber no son empleados</w:t>
      </w:r>
      <w:r w:rsidRPr="00C1352C">
        <w:rPr>
          <w:rFonts w:ascii="Times New Roman" w:hAnsi="Times New Roman" w:cs="Times New Roman"/>
          <w:sz w:val="24"/>
          <w:szCs w:val="24"/>
        </w:rPr>
        <w:t>. Al fin y al cabo, son libres de decidir cuándo, dónde y cuánto trabajar. Hay chóferes que obtienen todos sus ingresos con Uber; otros que también conducen para otras plataformas de pedido de autos, o que paralelamente trabajan a tiempo parcial en un restaurante. Y como los contratistas independientes, asumen sus p</w:t>
      </w:r>
      <w:r>
        <w:rPr>
          <w:rFonts w:ascii="Times New Roman" w:hAnsi="Times New Roman" w:cs="Times New Roman"/>
          <w:sz w:val="24"/>
          <w:szCs w:val="24"/>
        </w:rPr>
        <w:t>ropios riesgos económicos.</w:t>
      </w:r>
    </w:p>
    <w:p w:rsidR="00D95F69" w:rsidRPr="00C1352C" w:rsidRDefault="00D95F69" w:rsidP="00D95F69">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Además, hay restricciones que se aplican a muchos trabajadores autoempleados cuya libertad de elección está limitada por la necesidad de proteger una reputación colectiva (por ejemplo, la de una profesión o marca). En muchos países, los médicos independientes no son empleados, pero no pueden decidir sus precios, y deben seguir reglas específicas para no perder la acreditación. Hasta un vitivinicultor independiente debe respetar no</w:t>
      </w:r>
      <w:r>
        <w:rPr>
          <w:rFonts w:ascii="Times New Roman" w:hAnsi="Times New Roman" w:cs="Times New Roman"/>
          <w:sz w:val="24"/>
          <w:szCs w:val="24"/>
        </w:rPr>
        <w:t>rmas de certificación regional.</w:t>
      </w:r>
    </w:p>
    <w:p w:rsidR="00D95F69" w:rsidRPr="00C576F6" w:rsidRDefault="00D95F69" w:rsidP="00D95F69">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sz w:val="24"/>
          <w:szCs w:val="24"/>
          <w:u w:val="single"/>
        </w:rPr>
        <w:t xml:space="preserve">Lamentablemente, aunque el estatuto de los conductores de Uber y otros trabajadores de plataformas es discutible, la discusión no está yendo a ninguna parte. Cualquier categorización que se elija será arbitraria, y sin duda cada uno la interpretará de manera positiva o negativa según sus prejuicios personales o su predisposición ideológica en relación con las nuevas formas de trabajo. </w:t>
      </w:r>
      <w:r w:rsidRPr="00C576F6">
        <w:rPr>
          <w:rFonts w:ascii="Times New Roman" w:hAnsi="Times New Roman" w:cs="Times New Roman"/>
          <w:color w:val="FF0000"/>
          <w:sz w:val="24"/>
          <w:szCs w:val="24"/>
          <w:u w:val="single"/>
        </w:rPr>
        <w:t>En cualquier caso, la discusión pierde de vista la razón por la que se categorizan las formas de empleo en primer lugar: para proveer al bienestar de los trabajadores.</w:t>
      </w:r>
    </w:p>
    <w:p w:rsidR="00D95F69" w:rsidRPr="00C576F6" w:rsidRDefault="00D95F69" w:rsidP="00D95F69">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De cara al futuro, la prioridad debería ser asegurar la neutralidad competitiva: que haya igualdad de condiciones entre el empleo asalariado y el autoempleo. El Estado debe promover el derecho de los trabajadores de plataformas a la atención médica y a la seguridad social. Al mismo tiempo, debe evitar políticas que vuelvan inviables las plataformas digitales, aunque puedan resultar extrañas y disruptivas.</w:t>
      </w:r>
    </w:p>
    <w:p w:rsidR="00D95F69" w:rsidRPr="00C1352C" w:rsidRDefault="00D95F69" w:rsidP="00D95F69">
      <w:pPr>
        <w:spacing w:line="240" w:lineRule="auto"/>
        <w:jc w:val="both"/>
        <w:rPr>
          <w:rFonts w:ascii="Times New Roman" w:hAnsi="Times New Roman" w:cs="Times New Roman"/>
          <w:sz w:val="24"/>
          <w:szCs w:val="24"/>
        </w:rPr>
      </w:pPr>
      <w:r w:rsidRPr="00C576F6">
        <w:rPr>
          <w:rFonts w:ascii="Times New Roman" w:hAnsi="Times New Roman" w:cs="Times New Roman"/>
          <w:color w:val="FF0000"/>
          <w:sz w:val="24"/>
          <w:szCs w:val="24"/>
          <w:u w:val="single"/>
        </w:rPr>
        <w:t>También se necesitan avances en lo referido a impedir que empresas y gobiernos sigan entrometiéndose en la vida privada de los consumidores</w:t>
      </w:r>
      <w:r w:rsidRPr="00C1352C">
        <w:rPr>
          <w:rFonts w:ascii="Times New Roman" w:hAnsi="Times New Roman" w:cs="Times New Roman"/>
          <w:sz w:val="24"/>
          <w:szCs w:val="24"/>
        </w:rPr>
        <w:t xml:space="preserve">. Es bien sabido -aunque no por todos- que estas entidades recolectan grandes cantidades de información sobre la gente. Pero incluso quienes son conscientes de esto suelen ignorar la escala real de estos procesos o sus </w:t>
      </w:r>
      <w:r>
        <w:rPr>
          <w:rFonts w:ascii="Times New Roman" w:hAnsi="Times New Roman" w:cs="Times New Roman"/>
          <w:sz w:val="24"/>
          <w:szCs w:val="24"/>
        </w:rPr>
        <w:t>consecuencias.</w:t>
      </w:r>
    </w:p>
    <w:p w:rsidR="00D95F69" w:rsidRPr="00C1352C" w:rsidRDefault="00D95F69" w:rsidP="00D95F69">
      <w:pPr>
        <w:spacing w:line="240" w:lineRule="auto"/>
        <w:jc w:val="both"/>
        <w:rPr>
          <w:rFonts w:ascii="Times New Roman" w:hAnsi="Times New Roman" w:cs="Times New Roman"/>
          <w:sz w:val="24"/>
          <w:szCs w:val="24"/>
        </w:rPr>
      </w:pPr>
      <w:r w:rsidRPr="00C576F6">
        <w:rPr>
          <w:rFonts w:ascii="Times New Roman" w:hAnsi="Times New Roman" w:cs="Times New Roman"/>
          <w:color w:val="FF0000"/>
          <w:sz w:val="24"/>
          <w:szCs w:val="24"/>
          <w:u w:val="single"/>
        </w:rPr>
        <w:t>Básicamente, tenemos menos control sobre la información que reúnen las empresas y los gobiernos de lo que pensamos</w:t>
      </w:r>
      <w:r w:rsidRPr="00C1352C">
        <w:rPr>
          <w:rFonts w:ascii="Times New Roman" w:hAnsi="Times New Roman" w:cs="Times New Roman"/>
          <w:sz w:val="24"/>
          <w:szCs w:val="24"/>
        </w:rPr>
        <w:t>. Por ejemplo, una empresa puede obtener y almacenar información sobre personas que no usan su plataforma, o que ni siquiera usan Internet, por lo que publican otras personas (e-mails, fotos o comentarios en redes sociales). Además, las plataformas no invierten suficiente en seguridad, ya que sólo internalizan las consecuencias de eventuales filtraciones sobre sus ganancias, pero</w:t>
      </w:r>
      <w:r>
        <w:rPr>
          <w:rFonts w:ascii="Times New Roman" w:hAnsi="Times New Roman" w:cs="Times New Roman"/>
          <w:sz w:val="24"/>
          <w:szCs w:val="24"/>
        </w:rPr>
        <w:t xml:space="preserve"> no sobre sus clientes.</w:t>
      </w:r>
    </w:p>
    <w:p w:rsidR="00D95F69" w:rsidRPr="00C576F6" w:rsidRDefault="00D95F69" w:rsidP="00D95F69">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Debería preocuparnos la aparente pérdida del derecho al olvido, un principio básico de muchos sistemas legales. Debería preocuparnos el posible quiebre de la solidaridad sanitaria, así como la divulgación de información personal potencialmente delicada (religión, política, sexualidad) en ámbitos divisivos. Y debería preocuparnos la vigilancia estatal a gran escala.</w:t>
      </w:r>
    </w:p>
    <w:p w:rsidR="00D95F69" w:rsidRPr="00C1352C" w:rsidRDefault="00D95F69" w:rsidP="00D95F69">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El Reglamento General de Protección de Datos de la Unión Europea es sólo un primer paso, pequeño, en la dirección de protegernos de esas amenazas. Se necesitan también otras medidas, entre ellas la creación de un conjunto de políticas estándar comprensibles para todos (la regulación estatal es compatible con</w:t>
      </w:r>
      <w:r w:rsidR="001A1F1D">
        <w:rPr>
          <w:rFonts w:ascii="Times New Roman" w:hAnsi="Times New Roman" w:cs="Times New Roman"/>
          <w:sz w:val="24"/>
          <w:szCs w:val="24"/>
        </w:rPr>
        <w:t xml:space="preserve"> el “paternalismo libertario”</w:t>
      </w:r>
      <w:r>
        <w:rPr>
          <w:rFonts w:ascii="Times New Roman" w:hAnsi="Times New Roman" w:cs="Times New Roman"/>
          <w:sz w:val="24"/>
          <w:szCs w:val="24"/>
        </w:rPr>
        <w:t>).</w:t>
      </w:r>
    </w:p>
    <w:p w:rsidR="00D95F69" w:rsidRPr="00C576F6" w:rsidRDefault="00D95F69" w:rsidP="00D95F69">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Finalmente, como Internet no tiene fronteras (lo cual en general es bueno), los países tendrán que cooperar cada vez más en materia tributaria; por un lado, para evitar una competencia impositiva entre ellos; por el otro, para aprovechar como fuente de ingresos este inmenso sector de la economía. Un modelo promisorio en ese sentido es el acuerdo de 2015 para poner fin a la competencia impositiva en el ámbito del comercio electrónico dentro de la Unión Europea.</w:t>
      </w:r>
    </w:p>
    <w:p w:rsidR="00D95F69" w:rsidRPr="00C1352C" w:rsidRDefault="00D95F69" w:rsidP="00D95F69">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En concreto, la nueva política de la UE autoriza a cobrar el impuesto al valor agregado sobre las compras electrónicas en el país del comprador (con el régimen anterior se cobraba en el país del proveedor). Con esto las empresas tienen menos incentivos para radicarse en países donde el IVA es bajo o para buscar consumidores allí don</w:t>
      </w:r>
      <w:r>
        <w:rPr>
          <w:rFonts w:ascii="Times New Roman" w:hAnsi="Times New Roman" w:cs="Times New Roman"/>
          <w:sz w:val="24"/>
          <w:szCs w:val="24"/>
        </w:rPr>
        <w:t>de es alto.</w:t>
      </w:r>
    </w:p>
    <w:p w:rsidR="00D95F69" w:rsidRPr="00C1352C" w:rsidRDefault="00D95F69" w:rsidP="00D95F69">
      <w:pPr>
        <w:spacing w:line="240" w:lineRule="auto"/>
        <w:jc w:val="both"/>
        <w:rPr>
          <w:rFonts w:ascii="Times New Roman" w:hAnsi="Times New Roman" w:cs="Times New Roman"/>
          <w:sz w:val="24"/>
          <w:szCs w:val="24"/>
        </w:rPr>
      </w:pPr>
      <w:r w:rsidRPr="00C576F6">
        <w:rPr>
          <w:rFonts w:ascii="Times New Roman" w:hAnsi="Times New Roman" w:cs="Times New Roman"/>
          <w:sz w:val="24"/>
          <w:szCs w:val="24"/>
          <w:u w:val="single"/>
        </w:rPr>
        <w:t>El nuevo sistema demostró ser una respuesta regulatoria satisfactoria para modelos de negocios como el de Amazon, donde se le cobra a cada consumidor por separado. Pero no resuelve el problema de plataformas como Google, que técnicamente no vende nada a consumidores individuales británicos, daneses, franceses o alemanes, sino que les cobra a los anunciantes que luego les venden a los consumidores</w:t>
      </w:r>
      <w:r w:rsidRPr="00C1352C">
        <w:rPr>
          <w:rFonts w:ascii="Times New Roman" w:hAnsi="Times New Roman" w:cs="Times New Roman"/>
          <w:sz w:val="24"/>
          <w:szCs w:val="24"/>
        </w:rPr>
        <w:t xml:space="preserve">. Este problema es tema de debate entre los reguladores en las economías desarrolladas, porque en el caso de Google la base impositiva es mucho menos clara que en el caso </w:t>
      </w:r>
      <w:r>
        <w:rPr>
          <w:rFonts w:ascii="Times New Roman" w:hAnsi="Times New Roman" w:cs="Times New Roman"/>
          <w:sz w:val="24"/>
          <w:szCs w:val="24"/>
        </w:rPr>
        <w:t>de la venta de libros o música.</w:t>
      </w:r>
    </w:p>
    <w:p w:rsidR="00D95F69" w:rsidRPr="00D95F69" w:rsidRDefault="00D95F69" w:rsidP="00D95F69">
      <w:pPr>
        <w:spacing w:line="240" w:lineRule="auto"/>
        <w:jc w:val="both"/>
        <w:rPr>
          <w:rFonts w:ascii="Times New Roman" w:hAnsi="Times New Roman" w:cs="Times New Roman"/>
          <w:color w:val="FF0000"/>
          <w:sz w:val="24"/>
          <w:szCs w:val="24"/>
          <w:u w:val="single"/>
        </w:rPr>
      </w:pPr>
      <w:r w:rsidRPr="00C576F6">
        <w:rPr>
          <w:rFonts w:ascii="Times New Roman" w:hAnsi="Times New Roman" w:cs="Times New Roman"/>
          <w:color w:val="FF0000"/>
          <w:sz w:val="24"/>
          <w:szCs w:val="24"/>
          <w:u w:val="single"/>
        </w:rPr>
        <w:t>En resumen, la digitalización es una oportunidad maravillosa para nuestras sociedades; pero también crea peligros nuevos y amplifica otros. Para lograr una economía al servicio del bien común en este nuevo mundo, tenemos que encarar una gran variedad de desafíos que incluyen desde la confianza pública y la solidaridad social hasta la propiedad de los datos y los efectos de la difusión de la tecnología. El éxito dependerá, en particular, de que podamos elaborar nuevas estrategias viables en las áreas de defensa de la competencia, legislación laboral, privacidad y tributación.</w:t>
      </w:r>
      <w:r w:rsidRPr="00F96337">
        <w:rPr>
          <w:rFonts w:ascii="Times New Roman" w:hAnsi="Times New Roman" w:cs="Times New Roman"/>
          <w:sz w:val="24"/>
          <w:szCs w:val="24"/>
        </w:rPr>
        <w:t>© Project Syndicate</w:t>
      </w:r>
    </w:p>
    <w:p w:rsidR="00D95F69" w:rsidRDefault="00D95F69" w:rsidP="00D95F69">
      <w:pPr>
        <w:spacing w:line="240" w:lineRule="auto"/>
        <w:jc w:val="both"/>
        <w:rPr>
          <w:rFonts w:ascii="Times New Roman" w:hAnsi="Times New Roman" w:cs="Times New Roman"/>
          <w:sz w:val="24"/>
          <w:szCs w:val="24"/>
        </w:rPr>
      </w:pPr>
      <w:r w:rsidRPr="00C1352C">
        <w:rPr>
          <w:rFonts w:ascii="Times New Roman" w:hAnsi="Times New Roman" w:cs="Times New Roman"/>
          <w:sz w:val="24"/>
          <w:szCs w:val="24"/>
        </w:rPr>
        <w:t>(Jean Tirole</w:t>
      </w:r>
      <w:r>
        <w:rPr>
          <w:rFonts w:ascii="Times New Roman" w:hAnsi="Times New Roman" w:cs="Times New Roman"/>
          <w:sz w:val="24"/>
          <w:szCs w:val="24"/>
        </w:rPr>
        <w:t xml:space="preserve"> - </w:t>
      </w:r>
      <w:r w:rsidRPr="00C1352C">
        <w:rPr>
          <w:rFonts w:ascii="Times New Roman" w:hAnsi="Times New Roman" w:cs="Times New Roman"/>
          <w:sz w:val="24"/>
          <w:szCs w:val="24"/>
        </w:rPr>
        <w:t>Premio Nobel de Economía 2014 y presidente de la Escuela de Economía de Toulouse</w:t>
      </w:r>
      <w:r>
        <w:rPr>
          <w:rFonts w:ascii="Times New Roman" w:hAnsi="Times New Roman" w:cs="Times New Roman"/>
          <w:sz w:val="24"/>
          <w:szCs w:val="24"/>
        </w:rPr>
        <w:t>)</w:t>
      </w:r>
    </w:p>
    <w:p w:rsidR="00D95F69" w:rsidRDefault="00D95F69" w:rsidP="00D95F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E3FC5">
        <w:rPr>
          <w:rFonts w:ascii="Times New Roman" w:hAnsi="Times New Roman" w:cs="Times New Roman"/>
          <w:sz w:val="24"/>
          <w:szCs w:val="24"/>
          <w:u w:val="single"/>
        </w:rPr>
        <w:t>Una mirada diferente de la Globalización 4.0, y cómo llegar allí</w:t>
      </w:r>
      <w:r>
        <w:rPr>
          <w:rFonts w:ascii="Times New Roman" w:hAnsi="Times New Roman" w:cs="Times New Roman"/>
          <w:sz w:val="24"/>
          <w:szCs w:val="24"/>
        </w:rPr>
        <w:t xml:space="preserve"> (World Economic Forum - </w:t>
      </w:r>
      <w:r w:rsidRPr="00DE3FC5">
        <w:rPr>
          <w:rFonts w:ascii="Times New Roman" w:hAnsi="Times New Roman" w:cs="Times New Roman"/>
          <w:b/>
          <w:sz w:val="24"/>
          <w:szCs w:val="24"/>
        </w:rPr>
        <w:t>16/1/19</w:t>
      </w:r>
      <w:r>
        <w:rPr>
          <w:rFonts w:ascii="Times New Roman" w:hAnsi="Times New Roman" w:cs="Times New Roman"/>
          <w:sz w:val="24"/>
          <w:szCs w:val="24"/>
        </w:rPr>
        <w:t xml:space="preserve">) </w:t>
      </w:r>
    </w:p>
    <w:p w:rsidR="00D95F69" w:rsidRPr="00DE3FC5" w:rsidRDefault="00D95F69" w:rsidP="00D95F69">
      <w:pPr>
        <w:pStyle w:val="NormalWeb"/>
        <w:jc w:val="both"/>
        <w:rPr>
          <w:color w:val="141414"/>
        </w:rPr>
      </w:pPr>
      <w:r w:rsidRPr="00D95F69">
        <w:t>El profesor Richard Baldwin presenta a la Globalización 4.0 como una </w:t>
      </w:r>
      <w:hyperlink r:id="rId103" w:history="1">
        <w:r w:rsidRPr="00D95F69">
          <w:rPr>
            <w:rStyle w:val="Hipervnculo"/>
            <w:rFonts w:eastAsiaTheme="majorEastAsia"/>
            <w:color w:val="auto"/>
          </w:rPr>
          <w:t>era próxima dominada por el arbitraje internacional</w:t>
        </w:r>
      </w:hyperlink>
      <w:r w:rsidRPr="00D95F69">
        <w:rPr>
          <w:color w:val="141414"/>
          <w:u w:val="single"/>
        </w:rPr>
        <w:t> en los servicios</w:t>
      </w:r>
      <w:r w:rsidRPr="00DE3FC5">
        <w:rPr>
          <w:color w:val="141414"/>
        </w:rPr>
        <w:t xml:space="preserve">. Me gustaría confirmar una perspectiva distinta </w:t>
      </w:r>
      <w:r>
        <w:rPr>
          <w:color w:val="141414"/>
        </w:rPr>
        <w:t>-</w:t>
      </w:r>
      <w:r w:rsidRPr="00DE3FC5">
        <w:rPr>
          <w:color w:val="141414"/>
        </w:rPr>
        <w:t>o quizás compl</w:t>
      </w:r>
      <w:r>
        <w:rPr>
          <w:color w:val="141414"/>
        </w:rPr>
        <w:t>ementaria-</w:t>
      </w:r>
      <w:r w:rsidRPr="00DE3FC5">
        <w:rPr>
          <w:color w:val="141414"/>
        </w:rPr>
        <w:t xml:space="preserve"> que se basa en trabajos recientes y está inspirada en el historiador económico Karl Polanyi.</w:t>
      </w:r>
    </w:p>
    <w:p w:rsidR="00D95F69" w:rsidRPr="0002354B" w:rsidRDefault="00D95F69" w:rsidP="00D95F69">
      <w:pPr>
        <w:pStyle w:val="NormalWeb"/>
        <w:jc w:val="both"/>
        <w:rPr>
          <w:color w:val="141414"/>
          <w:u w:val="single"/>
        </w:rPr>
      </w:pPr>
      <w:r w:rsidRPr="0002354B">
        <w:rPr>
          <w:color w:val="141414"/>
          <w:u w:val="single"/>
        </w:rPr>
        <w:t>El profesor Baldwin llama Globalización 1.0 al período anterior a 1914, Globalización 2.0 a la era posterior a 1945, y supone que nuestra era más reciente fue la Globalización 3.0. En su opinión, esta última se caracteriza por “fábricas que cruzan las fronteras”. Dado que ve a la Globalización 4.0 como particularmente transformadora, en especial debido al “</w:t>
      </w:r>
      <w:hyperlink r:id="rId104" w:history="1">
        <w:r w:rsidRPr="00D95F69">
          <w:rPr>
            <w:rStyle w:val="Hipervnculo"/>
            <w:rFonts w:eastAsiaTheme="majorEastAsia"/>
            <w:color w:val="auto"/>
          </w:rPr>
          <w:t>trastorno de la globótica</w:t>
        </w:r>
      </w:hyperlink>
      <w:r>
        <w:rPr>
          <w:color w:val="141414"/>
          <w:u w:val="single"/>
        </w:rPr>
        <w:t>” -</w:t>
      </w:r>
      <w:r w:rsidRPr="0002354B">
        <w:rPr>
          <w:color w:val="141414"/>
          <w:u w:val="single"/>
        </w:rPr>
        <w:t>la combi</w:t>
      </w:r>
      <w:r>
        <w:rPr>
          <w:color w:val="141414"/>
          <w:u w:val="single"/>
        </w:rPr>
        <w:t>nación de globalismo y robótica-</w:t>
      </w:r>
      <w:r w:rsidRPr="0002354B">
        <w:rPr>
          <w:color w:val="141414"/>
          <w:u w:val="single"/>
        </w:rPr>
        <w:t xml:space="preserve"> se podría sugerir que 4.0 debería ir seguida de 5.0, similar a la Globalización 2.0, que superó los peores excesos de la anterior fase disruptiva.</w:t>
      </w:r>
    </w:p>
    <w:p w:rsidR="00D95F69" w:rsidRPr="00DE3FC5" w:rsidRDefault="00D95F69" w:rsidP="00D95F69">
      <w:pPr>
        <w:pStyle w:val="Ttulo2"/>
        <w:jc w:val="both"/>
        <w:rPr>
          <w:color w:val="141414"/>
          <w:sz w:val="24"/>
          <w:szCs w:val="24"/>
        </w:rPr>
      </w:pPr>
      <w:r w:rsidRPr="00DE3FC5">
        <w:rPr>
          <w:color w:val="141414"/>
          <w:sz w:val="24"/>
          <w:szCs w:val="24"/>
        </w:rPr>
        <w:t>Globalización 1.0 y 2.0</w:t>
      </w:r>
    </w:p>
    <w:p w:rsidR="00D95F69" w:rsidRPr="00DE3FC5" w:rsidRDefault="00D95F69" w:rsidP="00D95F69">
      <w:pPr>
        <w:pStyle w:val="NormalWeb"/>
        <w:jc w:val="both"/>
        <w:rPr>
          <w:color w:val="141414"/>
        </w:rPr>
      </w:pPr>
      <w:r w:rsidRPr="00DE3FC5">
        <w:rPr>
          <w:color w:val="141414"/>
        </w:rPr>
        <w:t>Aquí está la visión alternativa o complementaria. Si se adopta el enfoque de Polany</w:t>
      </w:r>
      <w:r>
        <w:rPr>
          <w:color w:val="141414"/>
        </w:rPr>
        <w:t>i, lo que él describió como la “fase no incrustada”</w:t>
      </w:r>
      <w:r w:rsidRPr="00DE3FC5">
        <w:rPr>
          <w:color w:val="141414"/>
        </w:rPr>
        <w:t xml:space="preserve"> de </w:t>
      </w:r>
      <w:r w:rsidRPr="0002354B">
        <w:rPr>
          <w:color w:val="141414"/>
          <w:u w:val="single"/>
        </w:rPr>
        <w:t>la </w:t>
      </w:r>
      <w:hyperlink r:id="rId105" w:history="1">
        <w:r w:rsidRPr="00D95F69">
          <w:rPr>
            <w:rStyle w:val="Hipervnculo"/>
            <w:rFonts w:eastAsiaTheme="majorEastAsia"/>
            <w:color w:val="auto"/>
          </w:rPr>
          <w:t>Gran Transformación</w:t>
        </w:r>
      </w:hyperlink>
      <w:r w:rsidRPr="0002354B">
        <w:rPr>
          <w:color w:val="141414"/>
          <w:u w:val="single"/>
        </w:rPr>
        <w:t> del siglo XIX y principios del siglo XX fue la Globalización 1.0, que trataba acerca de la construcción de economías de mercado nacionales. Liderada por el Reino Unido como el poder capitalista dominante</w:t>
      </w:r>
      <w:r w:rsidRPr="00DE3FC5">
        <w:rPr>
          <w:color w:val="141414"/>
        </w:rPr>
        <w:t>, fue una era de economía de </w:t>
      </w:r>
      <w:r w:rsidRPr="00DE3FC5">
        <w:rPr>
          <w:i/>
          <w:iCs/>
          <w:color w:val="141414"/>
        </w:rPr>
        <w:t>laissez-faire</w:t>
      </w:r>
      <w:r w:rsidRPr="00DE3FC5">
        <w:rPr>
          <w:color w:val="141414"/>
        </w:rPr>
        <w:t>, comercio de bienes complementarios, revolución tecnológica y, fundamentalmente, la dominación del capital financiero nacional.</w:t>
      </w:r>
    </w:p>
    <w:p w:rsidR="00D95F69" w:rsidRPr="0002354B" w:rsidRDefault="00D95F69" w:rsidP="00D95F69">
      <w:pPr>
        <w:pStyle w:val="NormalWeb"/>
        <w:jc w:val="both"/>
        <w:rPr>
          <w:color w:val="141414"/>
          <w:u w:val="single"/>
        </w:rPr>
      </w:pPr>
      <w:r w:rsidRPr="00DE3FC5">
        <w:rPr>
          <w:color w:val="141414"/>
        </w:rPr>
        <w:t xml:space="preserve">Comprendió la mercantilización laboral, ya que los trabajadores fueron arrancados de los sistemas de apoyo terrestre y rural. Y, si bien los historiadores económicos apenas lo analizan, implicó un saqueo de los bienes comunes, a través del confinamiento y la privatización. </w:t>
      </w:r>
      <w:r w:rsidRPr="0002354B">
        <w:rPr>
          <w:color w:val="141414"/>
          <w:u w:val="single"/>
        </w:rPr>
        <w:t>Condujo a una forma de capitalismo rentista. Los resultados fueron el aumento de las desigualdades (la desigualdad de la riqueza más que la desigualdad de ingresos), la inseguridad generalizada y una nueva estructura de clases, con una burguesía y una clase obrera: el proletariado.</w:t>
      </w:r>
    </w:p>
    <w:p w:rsidR="00D95F69" w:rsidRPr="0002354B" w:rsidRDefault="00D95F69" w:rsidP="00D95F69">
      <w:pPr>
        <w:pStyle w:val="NormalWeb"/>
        <w:jc w:val="both"/>
        <w:rPr>
          <w:color w:val="141414"/>
          <w:u w:val="single"/>
        </w:rPr>
      </w:pPr>
      <w:r w:rsidRPr="00DE3FC5">
        <w:rPr>
          <w:color w:val="141414"/>
        </w:rPr>
        <w:t xml:space="preserve">No nos detendremos en la Globalización 1.0, más allá de señalar que, como en todas las fases posteriores de la globalización, implicó un cambio en el dinamismo económico geopolítico. </w:t>
      </w:r>
      <w:r w:rsidRPr="0002354B">
        <w:rPr>
          <w:color w:val="141414"/>
          <w:u w:val="single"/>
        </w:rPr>
        <w:t>Europa trasta</w:t>
      </w:r>
      <w:r>
        <w:rPr>
          <w:color w:val="141414"/>
          <w:u w:val="single"/>
        </w:rPr>
        <w:t>billó y acusó a Estados Unidos -</w:t>
      </w:r>
      <w:r w:rsidRPr="0002354B">
        <w:rPr>
          <w:color w:val="141414"/>
          <w:u w:val="single"/>
        </w:rPr>
        <w:t>el c</w:t>
      </w:r>
      <w:r>
        <w:rPr>
          <w:color w:val="141414"/>
          <w:u w:val="single"/>
        </w:rPr>
        <w:t>entro emergente del capitalismo-</w:t>
      </w:r>
      <w:r w:rsidRPr="0002354B">
        <w:rPr>
          <w:color w:val="141414"/>
          <w:u w:val="single"/>
        </w:rPr>
        <w:t xml:space="preserve"> de robar su propiedad intelectual, lo cual fue totalmente cierto. Las potencias debilitadas</w:t>
      </w:r>
      <w:r>
        <w:rPr>
          <w:color w:val="141414"/>
          <w:u w:val="single"/>
        </w:rPr>
        <w:t xml:space="preserve"> -</w:t>
      </w:r>
      <w:r w:rsidRPr="0002354B">
        <w:rPr>
          <w:color w:val="141414"/>
          <w:u w:val="single"/>
        </w:rPr>
        <w:t xml:space="preserve">principalmente el </w:t>
      </w:r>
      <w:r>
        <w:rPr>
          <w:color w:val="141414"/>
          <w:u w:val="single"/>
        </w:rPr>
        <w:t>Reino Unido, Alemania y Francia-</w:t>
      </w:r>
      <w:r w:rsidRPr="0002354B">
        <w:rPr>
          <w:color w:val="141414"/>
          <w:u w:val="single"/>
        </w:rPr>
        <w:t xml:space="preserve"> también arremetieron contra el proteccionismo y las “guerras comerciales”, que pueden resultar familiares.</w:t>
      </w:r>
    </w:p>
    <w:p w:rsidR="00D95F69" w:rsidRPr="0002354B" w:rsidRDefault="00D95F69" w:rsidP="00D95F69">
      <w:pPr>
        <w:pStyle w:val="NormalWeb"/>
        <w:jc w:val="both"/>
        <w:rPr>
          <w:color w:val="141414"/>
          <w:u w:val="single"/>
        </w:rPr>
      </w:pPr>
      <w:r w:rsidRPr="0002354B">
        <w:rPr>
          <w:color w:val="141414"/>
          <w:u w:val="single"/>
        </w:rPr>
        <w:t>La crisis de la Globalización 1.0 fue lo que Polanyi describió como “la amenaza de destrucción de la civilización”: el horror de la Gran Guerra, la Depresión y la Segunda Guerra Mundial. Lo que surgió después de 1945 fue la Globalización 2.0, la fase de reincrustación de la Gran Transformación</w:t>
      </w:r>
      <w:r w:rsidRPr="00DE3FC5">
        <w:rPr>
          <w:color w:val="141414"/>
        </w:rPr>
        <w:t xml:space="preserve"> de Polanyi. </w:t>
      </w:r>
      <w:r w:rsidRPr="0002354B">
        <w:rPr>
          <w:color w:val="141414"/>
          <w:u w:val="single"/>
        </w:rPr>
        <w:t>Esta fue la era de la socialdemocracia, en la que los nuevos sistemas de regulación, redistribución y protección social mitigaron las desigualdades y la inseguridad laboral</w:t>
      </w:r>
      <w:r w:rsidRPr="00DE3FC5">
        <w:rPr>
          <w:color w:val="141414"/>
        </w:rPr>
        <w:t xml:space="preserve">. Se frenó el capitalismo rentista y se regularon las finanzas. No fue una “época dorada”, pero por un tiempo ofreció mejoras ampliamente compartidas en los niveles de vida de los países de la OCDE. </w:t>
      </w:r>
      <w:r w:rsidRPr="0002354B">
        <w:rPr>
          <w:color w:val="141414"/>
          <w:u w:val="single"/>
        </w:rPr>
        <w:t>Por motivos que se explican en otra parte, no pudo durar.</w:t>
      </w:r>
    </w:p>
    <w:p w:rsidR="00D95F69" w:rsidRPr="00DE3FC5" w:rsidRDefault="00D95F69" w:rsidP="00D95F69">
      <w:pPr>
        <w:pStyle w:val="Ttulo2"/>
        <w:jc w:val="both"/>
        <w:rPr>
          <w:color w:val="141414"/>
          <w:sz w:val="24"/>
          <w:szCs w:val="24"/>
        </w:rPr>
      </w:pPr>
      <w:r w:rsidRPr="00DE3FC5">
        <w:rPr>
          <w:color w:val="141414"/>
          <w:sz w:val="24"/>
          <w:szCs w:val="24"/>
        </w:rPr>
        <w:t>¿Liberalización del mercado?</w:t>
      </w:r>
    </w:p>
    <w:p w:rsidR="00D95F69" w:rsidRPr="0002354B" w:rsidRDefault="00D95F69" w:rsidP="00D95F69">
      <w:pPr>
        <w:pStyle w:val="NormalWeb"/>
        <w:jc w:val="both"/>
        <w:rPr>
          <w:color w:val="141414"/>
          <w:u w:val="single"/>
        </w:rPr>
      </w:pPr>
      <w:r w:rsidRPr="0002354B">
        <w:rPr>
          <w:color w:val="141414"/>
          <w:u w:val="single"/>
        </w:rPr>
        <w:t>El resultado fue la globalización 3.0. Esta fue la fase no incrustada de la transformación global, la construcción dolorosa de una economía de mercado global. Al igual que en la fase correspondiente de la Gran Transformación, esta estuvo dominada inicialmente por la ferviente defensa de los “mercados libres”, liderada por el neoliberalismo de la Sociedad Mont Pelerin y sus ejecutores políticos idénticos, Margaret Thatcher y Ronald Reagan.</w:t>
      </w:r>
    </w:p>
    <w:p w:rsidR="00D95F69" w:rsidRPr="0002354B" w:rsidRDefault="00D95F69" w:rsidP="00D95F69">
      <w:pPr>
        <w:pStyle w:val="NormalWeb"/>
        <w:jc w:val="both"/>
        <w:rPr>
          <w:color w:val="141414"/>
          <w:u w:val="single"/>
        </w:rPr>
      </w:pPr>
      <w:r w:rsidRPr="0002354B">
        <w:rPr>
          <w:color w:val="141414"/>
          <w:u w:val="single"/>
        </w:rPr>
        <w:t>Rechazaron las normativas socialdemócratas y los sistemas de redistribución. Liberalizaron las finanzas, que nuevamente dominaron las economías, aunque de una manera internacional sin precedentes. Para citar solo un indicador: en la década de 1970, los activos financieros de las i</w:t>
      </w:r>
      <w:r w:rsidR="001A1F1D">
        <w:rPr>
          <w:color w:val="141414"/>
          <w:u w:val="single"/>
        </w:rPr>
        <w:t>nstituciones financieras de EEUU</w:t>
      </w:r>
      <w:r w:rsidRPr="0002354B">
        <w:rPr>
          <w:color w:val="141414"/>
          <w:u w:val="single"/>
        </w:rPr>
        <w:t xml:space="preserve"> equivalían al 100 % del PBI; en la actualidad son más del 350 %. Al igual que en el período anterior a 1914, las finanzas están absorbiendo los ingresos por rentas.</w:t>
      </w:r>
    </w:p>
    <w:p w:rsidR="00D95F69" w:rsidRPr="00DE3FC5" w:rsidRDefault="00D95F69" w:rsidP="00D95F69">
      <w:pPr>
        <w:pStyle w:val="NormalWeb"/>
        <w:jc w:val="both"/>
        <w:rPr>
          <w:color w:val="141414"/>
        </w:rPr>
      </w:pPr>
      <w:r w:rsidRPr="00DE3FC5">
        <w:rPr>
          <w:color w:val="141414"/>
        </w:rPr>
        <w:t>La Globalización 3.0 tiene otras similitudes con la Globalización 1.0. Irónicamente, el neoliberalismo generó el sistema de mercado más libre que se haya construido, a través de una arquitectura internacional de instituciones. Si existe un símbolo de la era, es la aprobación en 1994 del </w:t>
      </w:r>
      <w:hyperlink r:id="rId106" w:history="1">
        <w:r w:rsidRPr="00D95F69">
          <w:rPr>
            <w:rStyle w:val="Hipervnculo"/>
            <w:rFonts w:eastAsiaTheme="majorEastAsia"/>
            <w:color w:val="auto"/>
          </w:rPr>
          <w:t>Acuerdo sobre los Aspectos de los Derechos de Propiedad Intelectual relacionados con el Comercio</w:t>
        </w:r>
      </w:hyperlink>
      <w:r w:rsidRPr="00D95F69">
        <w:t xml:space="preserve">, </w:t>
      </w:r>
      <w:r w:rsidRPr="00DE3FC5">
        <w:rPr>
          <w:color w:val="141414"/>
        </w:rPr>
        <w:t>o ADPIC. Fue instrumentado por la Organización Mundial de Comercio, aunque conformado por corporaciones multinacionales de los Estados Unidos y respaldado por el Banco Mundial, el FMI y otros organismos internacionales, con la ayuda de lo que se convertiría en más de 3000 acuerdos de comercio e inversión.</w:t>
      </w:r>
    </w:p>
    <w:p w:rsidR="00D95F69" w:rsidRPr="0002354B" w:rsidRDefault="00D95F69" w:rsidP="00D95F69">
      <w:pPr>
        <w:pStyle w:val="NormalWeb"/>
        <w:jc w:val="both"/>
        <w:rPr>
          <w:color w:val="141414"/>
          <w:u w:val="single"/>
        </w:rPr>
      </w:pPr>
      <w:r w:rsidRPr="00DE3FC5">
        <w:rPr>
          <w:color w:val="141414"/>
        </w:rPr>
        <w:t xml:space="preserve">El ADPIC prácticamente globalizó el sistema de derechos de propiedad intelectual de los Estados Unidos. Permitió que las grandes compañías farmacéuticas, las grandes finanzas y la gran tecnología obtuvieran enormes ingresos por renta en todo el mundo. En particular, se multiplicaron las patentes. </w:t>
      </w:r>
      <w:r w:rsidRPr="0002354B">
        <w:rPr>
          <w:color w:val="141414"/>
          <w:u w:val="single"/>
        </w:rPr>
        <w:t>No es posible describir esta época con precisión sin dar un lugar destacado a la corriente de derechos de propiedad intelectual, y detrás de eso, el papel facilitador del financiamiento mundial</w:t>
      </w:r>
      <w:r w:rsidRPr="00DE3FC5">
        <w:rPr>
          <w:color w:val="141414"/>
        </w:rPr>
        <w:t xml:space="preserve">. </w:t>
      </w:r>
      <w:r w:rsidRPr="0002354B">
        <w:rPr>
          <w:color w:val="141414"/>
          <w:u w:val="single"/>
        </w:rPr>
        <w:t>Una vez más, aquí basta con un indicador. En 1994, se presentaron menos de un millón de patentes; desde entonces ese número anual se ha más que triplicado, lo que garantiza ganancias de monopolio por 20 años o más cada una. ¿Qué mercado libre?</w:t>
      </w:r>
    </w:p>
    <w:p w:rsidR="00D95F69" w:rsidRPr="00DE3FC5" w:rsidRDefault="00D95F69" w:rsidP="00D95F69">
      <w:pPr>
        <w:pStyle w:val="Ttulo2"/>
        <w:jc w:val="both"/>
        <w:rPr>
          <w:color w:val="141414"/>
          <w:sz w:val="24"/>
          <w:szCs w:val="24"/>
        </w:rPr>
      </w:pPr>
      <w:r w:rsidRPr="00DE3FC5">
        <w:rPr>
          <w:color w:val="141414"/>
          <w:sz w:val="24"/>
          <w:szCs w:val="24"/>
        </w:rPr>
        <w:t>La historia se repite</w:t>
      </w:r>
    </w:p>
    <w:p w:rsidR="00D95F69" w:rsidRPr="0002354B" w:rsidRDefault="00D95F69" w:rsidP="00D95F69">
      <w:pPr>
        <w:pStyle w:val="NormalWeb"/>
        <w:jc w:val="both"/>
        <w:rPr>
          <w:color w:val="141414"/>
          <w:u w:val="single"/>
        </w:rPr>
      </w:pPr>
      <w:r w:rsidRPr="0002354B">
        <w:rPr>
          <w:color w:val="141414"/>
          <w:u w:val="single"/>
        </w:rPr>
        <w:t>Durante un tiempo, e</w:t>
      </w:r>
      <w:r>
        <w:rPr>
          <w:color w:val="141414"/>
          <w:u w:val="single"/>
        </w:rPr>
        <w:t>l principal beneficiario fue EEUU</w:t>
      </w:r>
      <w:r w:rsidRPr="0002354B">
        <w:rPr>
          <w:color w:val="141414"/>
          <w:u w:val="single"/>
        </w:rPr>
        <w:t>, seguido de Japón, la Unión Europea y Corea del Sur. Pero subestimaron a China. No era miembro de la OMC en 1994, pero se unió en 2001. Muy rápidamente, China se puso al día, y para 2011 estaba prese</w:t>
      </w:r>
      <w:r>
        <w:rPr>
          <w:color w:val="141414"/>
          <w:u w:val="single"/>
        </w:rPr>
        <w:t>ntando más patentes que los EE</w:t>
      </w:r>
      <w:r w:rsidRPr="0002354B">
        <w:rPr>
          <w:color w:val="141414"/>
          <w:u w:val="single"/>
        </w:rPr>
        <w:t>UU</w:t>
      </w:r>
      <w:r w:rsidRPr="00DE3FC5">
        <w:rPr>
          <w:color w:val="141414"/>
        </w:rPr>
        <w:t xml:space="preserve">. Es posible que no hayan sido tan valiosas, pero fue un momento simbólico, </w:t>
      </w:r>
      <w:r w:rsidRPr="0002354B">
        <w:rPr>
          <w:color w:val="141414"/>
          <w:u w:val="single"/>
        </w:rPr>
        <w:t>lo que indica que China estaba surgiendo como un centro geopolítico del globalismo. Para 2015, estaba presentando más patentes que Estados Unidos, Corea del Sur, Japón y la UE juntos. Habiendo sido utilizada como un grupo de mano de obra barata para la gran tecnología, China emergió como un estado rentista primario.</w:t>
      </w:r>
    </w:p>
    <w:p w:rsidR="00D95F69" w:rsidRPr="00DE3FC5" w:rsidRDefault="00D95F69" w:rsidP="00D95F69">
      <w:pPr>
        <w:pStyle w:val="NormalWeb"/>
        <w:jc w:val="both"/>
        <w:rPr>
          <w:color w:val="141414"/>
        </w:rPr>
      </w:pPr>
      <w:r w:rsidRPr="0002354B">
        <w:rPr>
          <w:color w:val="FF0000"/>
          <w:u w:val="single"/>
        </w:rPr>
        <w:t>Luego sobrevino una ironía histórica predecible. Así como las naciones europeas acusaron a los Estados Unidos de robar sus secretos industriales para obtener una ventaja competitiva en la era de la Globalización 1.0, hoy los Estados Unidos acusan a China de robar su propiedad intelectual. La hipocresía es impresionante</w:t>
      </w:r>
      <w:r w:rsidRPr="00DE3FC5">
        <w:rPr>
          <w:color w:val="141414"/>
        </w:rPr>
        <w:t>. Charles Dickens estaría sonriendo, al haber perdido ingresos considerables porque los Estados Unidos se negaron a respetar los derechos de autor europeos, para su disgusto. Samuel Slater, el inglés calificado como el “padre de la revolución industrial estadounidense”, robó secretos industriales de su base en Derbyshire, y es conocido en Inglaterra como “</w:t>
      </w:r>
      <w:hyperlink r:id="rId107" w:history="1">
        <w:r w:rsidRPr="00D95F69">
          <w:rPr>
            <w:rStyle w:val="Hipervnculo"/>
            <w:rFonts w:eastAsiaTheme="majorEastAsia"/>
            <w:color w:val="auto"/>
            <w:u w:val="none"/>
          </w:rPr>
          <w:t>Slater el traidor</w:t>
        </w:r>
      </w:hyperlink>
      <w:r w:rsidRPr="00DE3FC5">
        <w:rPr>
          <w:color w:val="141414"/>
        </w:rPr>
        <w:t>”.</w:t>
      </w:r>
    </w:p>
    <w:p w:rsidR="00D95F69" w:rsidRPr="0002354B" w:rsidRDefault="00D95F69" w:rsidP="00D95F69">
      <w:pPr>
        <w:pStyle w:val="NormalWeb"/>
        <w:jc w:val="both"/>
        <w:rPr>
          <w:color w:val="141414"/>
          <w:u w:val="single"/>
        </w:rPr>
      </w:pPr>
      <w:r w:rsidRPr="0002354B">
        <w:rPr>
          <w:color w:val="141414"/>
          <w:u w:val="single"/>
        </w:rPr>
        <w:t>Existen otros paralelismos entre la Globalización 3.0 de hoy y la Globalización 1.0. En la fase no incrustada de la Gran Transformación, el trabajo fue mercantilizado (sujeto a las fuerzas del mercado y con salarios pagados en dinero), mientras que los trabajadores como personas fueron mercantilizados, y ya no tenían la capacidad de rechazar el trabajo asala</w:t>
      </w:r>
      <w:r>
        <w:rPr>
          <w:color w:val="141414"/>
          <w:u w:val="single"/>
        </w:rPr>
        <w:t>riado. En la fase reincrustada -</w:t>
      </w:r>
      <w:r w:rsidRPr="0002354B">
        <w:rPr>
          <w:color w:val="141414"/>
          <w:u w:val="single"/>
        </w:rPr>
        <w:t>o Globaliz</w:t>
      </w:r>
      <w:r>
        <w:rPr>
          <w:color w:val="141414"/>
          <w:u w:val="single"/>
        </w:rPr>
        <w:t>ación 2.0-</w:t>
      </w:r>
      <w:r w:rsidRPr="0002354B">
        <w:rPr>
          <w:color w:val="141414"/>
          <w:u w:val="single"/>
        </w:rPr>
        <w:t xml:space="preserve"> la mano de obra se desmercantilizó parcialmente, ya que la mayor parte del pago tomó formas no salariales, de manera que el salario se convirtió en una parte menor de la remuneración de los trabajadores, lo que socavó el incentivo para la mano de obra.</w:t>
      </w:r>
    </w:p>
    <w:p w:rsidR="00D95F69" w:rsidRPr="0002354B" w:rsidRDefault="00D95F69" w:rsidP="00D95F69">
      <w:pPr>
        <w:pStyle w:val="NormalWeb"/>
        <w:jc w:val="both"/>
        <w:rPr>
          <w:color w:val="FF0000"/>
          <w:u w:val="single"/>
        </w:rPr>
      </w:pPr>
      <w:r w:rsidRPr="0002354B">
        <w:rPr>
          <w:color w:val="141414"/>
          <w:u w:val="single"/>
        </w:rPr>
        <w:t>En la fase no incrusta</w:t>
      </w:r>
      <w:r>
        <w:rPr>
          <w:color w:val="141414"/>
          <w:u w:val="single"/>
        </w:rPr>
        <w:t>da de la Transformación Global -la Globalización 3.0-</w:t>
      </w:r>
      <w:r w:rsidRPr="0002354B">
        <w:rPr>
          <w:color w:val="141414"/>
          <w:u w:val="single"/>
        </w:rPr>
        <w:t xml:space="preserve"> la mano de obra se remercantilizó, con la merma de las prestaciones extrasalariales y los beneficios estatales basados en la mano de obra, y con el surgimiento de la mano de obra en la nube y la economía de plataforma</w:t>
      </w:r>
      <w:r w:rsidRPr="00DE3FC5">
        <w:rPr>
          <w:color w:val="141414"/>
        </w:rPr>
        <w:t xml:space="preserve">. </w:t>
      </w:r>
      <w:r w:rsidRPr="0002354B">
        <w:rPr>
          <w:color w:val="FF0000"/>
          <w:u w:val="single"/>
        </w:rPr>
        <w:t>Para una economía de mercado razonable, la mano de obra se debe mercantilizar adecuadamente, no desmercantilizar. Sin embargo, el problema surge cuando los trabajadores también se sienten mercantilizados. No tienen seguridad fuera del mercado laboral. Quienes acepten la Globalización 4.0 tendrán que abordar eso, o nuestras sociedades se enfrentarán a las consecuencias.</w:t>
      </w:r>
    </w:p>
    <w:p w:rsidR="00D95F69" w:rsidRPr="00DE3FC5" w:rsidRDefault="00D95F69" w:rsidP="00D95F69">
      <w:pPr>
        <w:pStyle w:val="Ttulo2"/>
        <w:jc w:val="both"/>
        <w:rPr>
          <w:color w:val="141414"/>
          <w:sz w:val="24"/>
          <w:szCs w:val="24"/>
        </w:rPr>
      </w:pPr>
      <w:r w:rsidRPr="00DE3FC5">
        <w:rPr>
          <w:color w:val="141414"/>
          <w:sz w:val="24"/>
          <w:szCs w:val="24"/>
        </w:rPr>
        <w:t>Cambio del comercio</w:t>
      </w:r>
    </w:p>
    <w:p w:rsidR="00D95F69" w:rsidRPr="0002354B" w:rsidRDefault="00D95F69" w:rsidP="00D95F69">
      <w:pPr>
        <w:pStyle w:val="NormalWeb"/>
        <w:jc w:val="both"/>
        <w:rPr>
          <w:color w:val="141414"/>
          <w:u w:val="single"/>
        </w:rPr>
      </w:pPr>
      <w:r w:rsidRPr="0002354B">
        <w:rPr>
          <w:color w:val="141414"/>
          <w:u w:val="single"/>
        </w:rPr>
        <w:t>Esto lleva a otro paralelismo, que trata el </w:t>
      </w:r>
      <w:hyperlink r:id="rId108" w:history="1">
        <w:r w:rsidRPr="00D95F69">
          <w:rPr>
            <w:rStyle w:val="Hipervnculo"/>
            <w:rFonts w:eastAsiaTheme="majorEastAsia"/>
            <w:color w:val="auto"/>
          </w:rPr>
          <w:t>ensayo</w:t>
        </w:r>
      </w:hyperlink>
      <w:hyperlink r:id="rId109" w:history="1">
        <w:r w:rsidRPr="00D95F69">
          <w:rPr>
            <w:rStyle w:val="Hipervnculo"/>
            <w:rFonts w:eastAsiaTheme="majorEastAsia"/>
            <w:color w:val="auto"/>
          </w:rPr>
          <w:t> del profesor Baldwin</w:t>
        </w:r>
      </w:hyperlink>
      <w:r w:rsidRPr="0002354B">
        <w:rPr>
          <w:color w:val="141414"/>
          <w:u w:val="single"/>
        </w:rPr>
        <w:t>. Las principales pautas del comercio han cambiado en las diferentes épocas. En la fase no incrus</w:t>
      </w:r>
      <w:r>
        <w:rPr>
          <w:color w:val="141414"/>
          <w:u w:val="single"/>
        </w:rPr>
        <w:t>tada de la Gran Transformación -la Globalización 1.0-</w:t>
      </w:r>
      <w:r w:rsidRPr="0002354B">
        <w:rPr>
          <w:color w:val="141414"/>
          <w:u w:val="single"/>
        </w:rPr>
        <w:t xml:space="preserve"> el eje principal del comercio estuvo en los bienes complementarios, entre los productos primarios y los manufacturados, correspondientes al </w:t>
      </w:r>
      <w:hyperlink r:id="rId110" w:history="1">
        <w:r w:rsidRPr="00D95F69">
          <w:rPr>
            <w:rStyle w:val="Hipervnculo"/>
            <w:rFonts w:eastAsiaTheme="majorEastAsia"/>
            <w:color w:val="auto"/>
          </w:rPr>
          <w:t>Principio ricardiano de ventaja comparativa</w:t>
        </w:r>
      </w:hyperlink>
      <w:r w:rsidRPr="0002354B">
        <w:rPr>
          <w:color w:val="141414"/>
          <w:u w:val="single"/>
        </w:rPr>
        <w:t>, aunque arbitrado por el colonialismo y el imperialismo.</w:t>
      </w:r>
    </w:p>
    <w:p w:rsidR="00D95F69" w:rsidRPr="0002354B" w:rsidRDefault="00D95F69" w:rsidP="00D95F69">
      <w:pPr>
        <w:pStyle w:val="NormalWeb"/>
        <w:jc w:val="both"/>
        <w:rPr>
          <w:color w:val="FF0000"/>
          <w:u w:val="single"/>
        </w:rPr>
      </w:pPr>
      <w:r w:rsidRPr="0002354B">
        <w:rPr>
          <w:color w:val="FF0000"/>
          <w:u w:val="single"/>
        </w:rPr>
        <w:t>En la fase incrustada de la Gran Transformación, las economías industrializadas actuaron eficazmente como economías cerradas, en las que el comercio de bienes potencialmente competitivos estaba controlado por normativas que eliminaban los costos laborales de los cálculos, ya que las normas eran similares en los países que comercializaban bienes industriales. Esto se vino abajo en la fase incrustada de la Transformación Global. En la Globalización 3.0, los costos laborales relativos se han vuelto fundamentales para el comercio en un grado sin precedentes.</w:t>
      </w:r>
    </w:p>
    <w:p w:rsidR="00D95F69" w:rsidRPr="0002354B" w:rsidRDefault="00D95F69" w:rsidP="00D95F69">
      <w:pPr>
        <w:pStyle w:val="NormalWeb"/>
        <w:jc w:val="both"/>
        <w:rPr>
          <w:color w:val="FF0000"/>
          <w:u w:val="single"/>
        </w:rPr>
      </w:pPr>
      <w:r w:rsidRPr="0002354B">
        <w:rPr>
          <w:color w:val="FF0000"/>
          <w:u w:val="single"/>
        </w:rPr>
        <w:t>Esta relación ha caracterizado el período. Los gobiernos de todo el mundo se han esforzado por obtener una ventaja competitiva a través de reformas laborales destinadas a aumentar la “flexibilidad del mercado laboral”, y mediante todo tipo de subsidios, como los créditos fiscales, que las normas del GATT no han podido detener. Una consecuencia de la política comer</w:t>
      </w:r>
      <w:r w:rsidR="0011116D">
        <w:rPr>
          <w:color w:val="FF0000"/>
          <w:u w:val="single"/>
        </w:rPr>
        <w:t>cial de “empobrecer al vecino” -</w:t>
      </w:r>
      <w:r w:rsidRPr="0002354B">
        <w:rPr>
          <w:color w:val="FF0000"/>
          <w:u w:val="single"/>
        </w:rPr>
        <w:t>combinada con los avances tecnológicos que han facilitado mucho la redistribución técnica y geográf</w:t>
      </w:r>
      <w:r w:rsidR="0011116D">
        <w:rPr>
          <w:color w:val="FF0000"/>
          <w:u w:val="single"/>
        </w:rPr>
        <w:t>ica del trabajo y la producción-</w:t>
      </w:r>
      <w:r w:rsidRPr="0002354B">
        <w:rPr>
          <w:color w:val="FF0000"/>
          <w:u w:val="single"/>
        </w:rPr>
        <w:t xml:space="preserve"> es que el rasgo distintivo del comercio en la Globalización 3.0 ha sido el crecimiento del comercio de componentes de bienes y componentes de servicios.</w:t>
      </w:r>
    </w:p>
    <w:p w:rsidR="00D95F69" w:rsidRPr="00DE3FC5" w:rsidRDefault="00D95F69" w:rsidP="00D95F69">
      <w:pPr>
        <w:pStyle w:val="NormalWeb"/>
        <w:jc w:val="both"/>
        <w:rPr>
          <w:color w:val="141414"/>
        </w:rPr>
      </w:pPr>
      <w:r w:rsidRPr="00DE3FC5">
        <w:rPr>
          <w:color w:val="141414"/>
        </w:rPr>
        <w:t>Tengo una pequeña queja con respecto al análisis de Richard acerca del cambio en las pautas del comercio. Él sostiene que el comercio futuro dependerá de las “posibilidades de arbitraje global” conformadas por los “niveles salariales en el sector de servicios”. No serán los salarios </w:t>
      </w:r>
      <w:r w:rsidRPr="00DE3FC5">
        <w:rPr>
          <w:i/>
          <w:iCs/>
          <w:color w:val="141414"/>
        </w:rPr>
        <w:t>per se</w:t>
      </w:r>
      <w:r w:rsidRPr="00DE3FC5">
        <w:rPr>
          <w:color w:val="141414"/>
        </w:rPr>
        <w:t xml:space="preserve"> lo que importe, sino la productividad laboral y los costos laborales. Es probable que los niveles salariales de China aumenten hasta el promedio de la OCDE, y lo están haciendo, pero si el Estado chino puede exprimir más la productividad de sus trabajadores y si subvenciona los costos laborales no salariales de manera más eficaz, el arbitraje no dependerá de los niveles salariales relativos. </w:t>
      </w:r>
      <w:r w:rsidRPr="0002354B">
        <w:rPr>
          <w:color w:val="141414"/>
          <w:u w:val="single"/>
        </w:rPr>
        <w:t>El problema es que, en la Globalización 4.0, el estado de las economías de mercados emergentes bien puede asumir un porcentaje cada vez mayor de los costos laborales</w:t>
      </w:r>
      <w:r w:rsidRPr="00DE3FC5">
        <w:rPr>
          <w:color w:val="141414"/>
        </w:rPr>
        <w:t>. La respuesta de los países de la OCDE será un importante desafío.</w:t>
      </w:r>
    </w:p>
    <w:p w:rsidR="00D95F69" w:rsidRPr="00DE3FC5" w:rsidRDefault="00D95F69" w:rsidP="00D95F69">
      <w:pPr>
        <w:pStyle w:val="Ttulo2"/>
        <w:jc w:val="both"/>
        <w:rPr>
          <w:color w:val="141414"/>
          <w:sz w:val="24"/>
          <w:szCs w:val="24"/>
        </w:rPr>
      </w:pPr>
      <w:r w:rsidRPr="00DE3FC5">
        <w:rPr>
          <w:color w:val="141414"/>
          <w:sz w:val="24"/>
          <w:szCs w:val="24"/>
        </w:rPr>
        <w:t>El surgimiento del precariado</w:t>
      </w:r>
    </w:p>
    <w:p w:rsidR="00D95F69" w:rsidRPr="00DE3FC5" w:rsidRDefault="00D95F69" w:rsidP="00D95F69">
      <w:pPr>
        <w:pStyle w:val="NormalWeb"/>
        <w:jc w:val="both"/>
        <w:rPr>
          <w:color w:val="141414"/>
        </w:rPr>
      </w:pPr>
      <w:r w:rsidRPr="00DE3FC5">
        <w:rPr>
          <w:color w:val="141414"/>
        </w:rPr>
        <w:t xml:space="preserve">Una analogía final es fundamental para entender el desafío más general que tenemos por delante. </w:t>
      </w:r>
      <w:r w:rsidRPr="004D4E12">
        <w:rPr>
          <w:color w:val="FF0000"/>
          <w:u w:val="single"/>
        </w:rPr>
        <w:t xml:space="preserve">En la fase no incrustada de la Gran Transformación, una nueva estructura de clases cobró forma, y la lucha del proletariado definió la era. </w:t>
      </w:r>
      <w:r>
        <w:rPr>
          <w:color w:val="FF0000"/>
          <w:u w:val="single"/>
        </w:rPr>
        <w:t>La posterior fase reincrustada -o Globalización 2.0-</w:t>
      </w:r>
      <w:r w:rsidRPr="004D4E12">
        <w:rPr>
          <w:color w:val="FF0000"/>
          <w:u w:val="single"/>
        </w:rPr>
        <w:t xml:space="preserve"> consolidó la agenda de esa clase obrera. En cambio, en la fase no incrusta</w:t>
      </w:r>
      <w:r>
        <w:rPr>
          <w:color w:val="FF0000"/>
          <w:u w:val="single"/>
        </w:rPr>
        <w:t>da de la Transformación Global -o Globalización 3.0-</w:t>
      </w:r>
      <w:r w:rsidRPr="004D4E12">
        <w:rPr>
          <w:color w:val="FF0000"/>
          <w:u w:val="single"/>
        </w:rPr>
        <w:t xml:space="preserve"> el proletariado se ha marchitado junto con la política socialdemócrata, mientras que una nueva estructura de clases ha tomado forma. La clase obrera es ahora el precariado.</w:t>
      </w:r>
    </w:p>
    <w:p w:rsidR="00D95F69" w:rsidRPr="004D4E12" w:rsidRDefault="00D95F69" w:rsidP="00D95F69">
      <w:pPr>
        <w:pStyle w:val="NormalWeb"/>
        <w:jc w:val="both"/>
        <w:rPr>
          <w:color w:val="FF0000"/>
          <w:u w:val="single"/>
        </w:rPr>
      </w:pPr>
      <w:r w:rsidRPr="004D4E12">
        <w:rPr>
          <w:color w:val="FF0000"/>
          <w:u w:val="single"/>
        </w:rPr>
        <w:t>Si se prevé una nueva fase (una deseable Globalización 4.0), esta será configurada por las necesidades y aspiraciones del precariado. Forjarán una nueva política del paraíso, orientada a reducir las desigualdades e inseguridades, y hacer retroceder el capitalismo rentista. El desafío histórico para el precariado es obligar a los Gobiernos a construir un sistema económico sustentable ecológicamente en el que las recompensas por el avance tecnológico se compartan de manera más equitativa y en que se supere la amenaza de la “extinción”. El nuevo </w:t>
      </w:r>
      <w:hyperlink r:id="rId111" w:history="1">
        <w:r w:rsidRPr="004D4E12">
          <w:rPr>
            <w:rStyle w:val="Hipervnculo"/>
            <w:rFonts w:eastAsiaTheme="majorEastAsia"/>
            <w:color w:val="FF0000"/>
          </w:rPr>
          <w:t>movimiento de protesta llamado “extinción”</w:t>
        </w:r>
      </w:hyperlink>
      <w:r w:rsidRPr="004D4E12">
        <w:rPr>
          <w:color w:val="FF0000"/>
          <w:u w:val="single"/>
        </w:rPr>
        <w:t> puede resultar fundamental.</w:t>
      </w:r>
    </w:p>
    <w:p w:rsidR="00D95F69" w:rsidRPr="004D4E12" w:rsidRDefault="00D95F69" w:rsidP="00D95F69">
      <w:pPr>
        <w:pStyle w:val="NormalWeb"/>
        <w:jc w:val="both"/>
        <w:rPr>
          <w:color w:val="FF0000"/>
          <w:u w:val="single"/>
        </w:rPr>
      </w:pPr>
      <w:r w:rsidRPr="004D4E12">
        <w:rPr>
          <w:color w:val="FF0000"/>
          <w:u w:val="single"/>
        </w:rPr>
        <w:t>En cierto modo, se puede decir que los bienes comunes fueron saqueados en la Globalización 1.0, recuperados en la Globalización 2.0, y saqueados más ampliamente en la Globalización 3.0. En la Globalización 4.0, deben ser rescatados y recuperados de manera radical.</w:t>
      </w:r>
    </w:p>
    <w:p w:rsidR="00D95F69" w:rsidRPr="00D95F69" w:rsidRDefault="00D95F69" w:rsidP="00D95F69">
      <w:pPr>
        <w:pStyle w:val="NormalWeb"/>
        <w:jc w:val="both"/>
        <w:rPr>
          <w:bCs/>
          <w:iCs/>
        </w:rPr>
      </w:pPr>
      <w:r w:rsidRPr="00D95F69">
        <w:rPr>
          <w:bCs/>
          <w:iCs/>
        </w:rPr>
        <w:t>(</w:t>
      </w:r>
      <w:hyperlink r:id="rId112" w:history="1">
        <w:r w:rsidRPr="00D95F69">
          <w:rPr>
            <w:rStyle w:val="Hipervnculo"/>
            <w:rFonts w:eastAsiaTheme="majorEastAsia"/>
            <w:iCs/>
            <w:color w:val="auto"/>
            <w:u w:val="none"/>
          </w:rPr>
          <w:t>Guy Standing</w:t>
        </w:r>
      </w:hyperlink>
      <w:r w:rsidRPr="00D95F69">
        <w:rPr>
          <w:bCs/>
          <w:iCs/>
        </w:rPr>
        <w:t>, miembro investigador profesional asociado, Escuela de Estudios Orientales y Africanos, Universidad de Londres)</w:t>
      </w:r>
    </w:p>
    <w:p w:rsidR="00D95F69" w:rsidRPr="000865A8" w:rsidRDefault="00D95F69" w:rsidP="00D95F69">
      <w:pPr>
        <w:spacing w:after="180" w:line="240" w:lineRule="auto"/>
        <w:jc w:val="both"/>
        <w:rPr>
          <w:rFonts w:ascii="Times New Roman" w:eastAsia="Times New Roman" w:hAnsi="Times New Roman" w:cs="Times New Roman"/>
          <w:bCs/>
          <w:color w:val="FF0000"/>
          <w:sz w:val="24"/>
          <w:szCs w:val="24"/>
        </w:rPr>
      </w:pPr>
      <w:r>
        <w:rPr>
          <w:rFonts w:ascii="Times New Roman" w:eastAsia="Times New Roman" w:hAnsi="Times New Roman" w:cs="Times New Roman"/>
          <w:bCs/>
          <w:sz w:val="24"/>
          <w:szCs w:val="24"/>
        </w:rPr>
        <w:t xml:space="preserve">- </w:t>
      </w:r>
      <w:r w:rsidRPr="00DE3FC5">
        <w:rPr>
          <w:rFonts w:ascii="Times New Roman" w:eastAsia="Times New Roman" w:hAnsi="Times New Roman" w:cs="Times New Roman"/>
          <w:bCs/>
          <w:sz w:val="24"/>
          <w:szCs w:val="24"/>
          <w:u w:val="single"/>
        </w:rPr>
        <w:t>Cómo sobrevivir y prosperar en nuestra época de incertidumbre</w:t>
      </w:r>
      <w:r w:rsidR="007D67F3">
        <w:rPr>
          <w:rFonts w:ascii="Times New Roman" w:eastAsia="Times New Roman" w:hAnsi="Times New Roman" w:cs="Times New Roman"/>
          <w:bCs/>
          <w:sz w:val="24"/>
          <w:szCs w:val="24"/>
        </w:rPr>
        <w:t xml:space="preserve"> (Wor</w:t>
      </w:r>
      <w:r>
        <w:rPr>
          <w:rFonts w:ascii="Times New Roman" w:eastAsia="Times New Roman" w:hAnsi="Times New Roman" w:cs="Times New Roman"/>
          <w:bCs/>
          <w:sz w:val="24"/>
          <w:szCs w:val="24"/>
        </w:rPr>
        <w:t xml:space="preserve">ld Economic Forum - </w:t>
      </w:r>
      <w:r w:rsidRPr="00DE3FC5">
        <w:rPr>
          <w:rFonts w:ascii="Times New Roman" w:eastAsia="Times New Roman" w:hAnsi="Times New Roman" w:cs="Times New Roman"/>
          <w:b/>
          <w:bCs/>
          <w:sz w:val="24"/>
          <w:szCs w:val="24"/>
        </w:rPr>
        <w:t>15/1/19</w:t>
      </w:r>
      <w:r>
        <w:rPr>
          <w:rFonts w:ascii="Times New Roman" w:eastAsia="Times New Roman" w:hAnsi="Times New Roman" w:cs="Times New Roman"/>
          <w:bCs/>
          <w:sz w:val="24"/>
          <w:szCs w:val="24"/>
        </w:rPr>
        <w:t xml:space="preserve">) </w:t>
      </w:r>
    </w:p>
    <w:p w:rsidR="00D95F69" w:rsidRPr="00997DA1" w:rsidRDefault="00D95F69" w:rsidP="00D95F69">
      <w:pPr>
        <w:pStyle w:val="NormalWeb"/>
        <w:jc w:val="both"/>
        <w:rPr>
          <w:color w:val="FF0000"/>
          <w:u w:val="single"/>
        </w:rPr>
      </w:pPr>
      <w:r w:rsidRPr="00997DA1">
        <w:rPr>
          <w:color w:val="141414"/>
          <w:u w:val="single"/>
        </w:rPr>
        <w:t xml:space="preserve">Vivimos una era de intensa turbulencia, desilusión y desconcierto. La profundización de las tensiones geopolíticas está transformando las relaciones internacionales, y el tribalismo político está revelando profundas fisuras dentro de los países. La propagación de tecnologías exponenciales está derrumbando antiguas suposiciones sobre seguridad, política, economía y mucho más. </w:t>
      </w:r>
      <w:r w:rsidRPr="00997DA1">
        <w:rPr>
          <w:color w:val="FF0000"/>
          <w:u w:val="single"/>
        </w:rPr>
        <w:t>Al menos dos factores distinguen la fase actual de la globalización del pasado.</w:t>
      </w:r>
    </w:p>
    <w:p w:rsidR="00D95F69" w:rsidRDefault="00D95F69" w:rsidP="00D95F69">
      <w:pPr>
        <w:pStyle w:val="NormalWeb"/>
        <w:jc w:val="both"/>
        <w:rPr>
          <w:color w:val="FF0000"/>
          <w:u w:val="single"/>
        </w:rPr>
      </w:pPr>
      <w:r w:rsidRPr="00997DA1">
        <w:rPr>
          <w:color w:val="FF0000"/>
          <w:u w:val="single"/>
        </w:rPr>
        <w:t xml:space="preserve">Primero, el ritmo acelerado del cambio hace que sea prácticamente imposible planificar con antelación. La </w:t>
      </w:r>
      <w:r>
        <w:rPr>
          <w:color w:val="FF0000"/>
          <w:u w:val="single"/>
        </w:rPr>
        <w:t>velocidad de la transformación -</w:t>
      </w:r>
      <w:r w:rsidRPr="00997DA1">
        <w:rPr>
          <w:color w:val="FF0000"/>
          <w:u w:val="single"/>
        </w:rPr>
        <w:t>así como sus efectos en los mercados, las empres</w:t>
      </w:r>
      <w:r>
        <w:rPr>
          <w:color w:val="FF0000"/>
          <w:u w:val="single"/>
        </w:rPr>
        <w:t>as y la mano de obra-</w:t>
      </w:r>
      <w:r w:rsidRPr="00997DA1">
        <w:rPr>
          <w:color w:val="FF0000"/>
          <w:u w:val="single"/>
        </w:rPr>
        <w:t xml:space="preserve"> es impresionante. En segundo lugar, la interdependencia de los sistemas financieros y comerciales globales y las cadenas de suministro indica que incluso los problemas locales más pequeños pueden tener ramificaciones planetarias. Y mientras el mundo nunca ha estado más interconectado, parece más difícil que nunca resolver los problemas multinacionales más apremiantes.</w:t>
      </w:r>
    </w:p>
    <w:p w:rsidR="00D95F69" w:rsidRPr="00997DA1" w:rsidRDefault="00D95F69" w:rsidP="00D95F69">
      <w:pPr>
        <w:pStyle w:val="NormalWeb"/>
        <w:jc w:val="both"/>
        <w:rPr>
          <w:color w:val="FF0000"/>
          <w:u w:val="single"/>
        </w:rPr>
      </w:pPr>
    </w:p>
    <w:p w:rsidR="00D95F69" w:rsidRPr="00DE3FC5" w:rsidRDefault="00D95F69" w:rsidP="00D95F69">
      <w:pPr>
        <w:pStyle w:val="Ttulo2"/>
        <w:jc w:val="both"/>
        <w:rPr>
          <w:color w:val="141414"/>
          <w:sz w:val="24"/>
          <w:szCs w:val="24"/>
        </w:rPr>
      </w:pPr>
      <w:r w:rsidRPr="00DE3FC5">
        <w:rPr>
          <w:color w:val="141414"/>
          <w:sz w:val="24"/>
          <w:szCs w:val="24"/>
        </w:rPr>
        <w:t>La diferencia que pueden hacer tres décadas</w:t>
      </w:r>
    </w:p>
    <w:p w:rsidR="00D95F69" w:rsidRPr="00DE3FC5" w:rsidRDefault="00D95F69" w:rsidP="00D95F69">
      <w:pPr>
        <w:pStyle w:val="NormalWeb"/>
        <w:jc w:val="both"/>
        <w:rPr>
          <w:color w:val="141414"/>
        </w:rPr>
      </w:pPr>
      <w:r w:rsidRPr="00997DA1">
        <w:rPr>
          <w:color w:val="141414"/>
          <w:u w:val="single"/>
        </w:rPr>
        <w:t>En 1989, hubo una sensación de progreso humano inevitable. Se suponía que la invención de la red informática mundial (World Wide Web, WWW) anunciaba una nueva y floreciente era</w:t>
      </w:r>
      <w:r w:rsidRPr="00DE3FC5">
        <w:rPr>
          <w:color w:val="141414"/>
        </w:rPr>
        <w:t>. Existía una expectativa generalizada de que los bienes comunes digitales achicarían el mundo, forjarían poderosas redes de solidaridad, ampliarían la libertad de expresión y reafirmarían los movimientos políticos y sociales progresistas en todas partes.</w:t>
      </w:r>
    </w:p>
    <w:p w:rsidR="00D95F69" w:rsidRPr="00B715FA" w:rsidRDefault="00D95F69" w:rsidP="00D95F69">
      <w:pPr>
        <w:pStyle w:val="NormalWeb"/>
        <w:jc w:val="both"/>
        <w:rPr>
          <w:u w:val="single"/>
        </w:rPr>
      </w:pPr>
      <w:r w:rsidRPr="00997DA1">
        <w:rPr>
          <w:color w:val="141414"/>
          <w:u w:val="single"/>
        </w:rPr>
        <w:t>Del mismo modo, se suponía que la caída del Muro de Berlín y el colapso de la Unión Soviética difundirían los principios y valores democráticos liberales y acelerarían el </w:t>
      </w:r>
      <w:hyperlink r:id="rId113" w:anchor="page_scan_tab_contents" w:history="1">
        <w:r w:rsidRPr="00B715FA">
          <w:rPr>
            <w:rStyle w:val="Hipervnculo"/>
            <w:rFonts w:eastAsiaTheme="minorEastAsia"/>
            <w:color w:val="auto"/>
          </w:rPr>
          <w:t>fin de la historia</w:t>
        </w:r>
      </w:hyperlink>
      <w:r w:rsidRPr="00B715FA">
        <w:rPr>
          <w:u w:val="single"/>
        </w:rPr>
        <w:t>.</w:t>
      </w:r>
      <w:r w:rsidRPr="00B715FA">
        <w:t xml:space="preserve"> Si bien la cantidad de democracias aumentó, también lo hicieron las </w:t>
      </w:r>
      <w:hyperlink r:id="rId114" w:history="1">
        <w:r w:rsidRPr="00B715FA">
          <w:rPr>
            <w:rStyle w:val="Hipervnculo"/>
            <w:rFonts w:eastAsiaTheme="minorEastAsia"/>
            <w:color w:val="auto"/>
          </w:rPr>
          <w:t>señales preocupantes de antiliberalismo.</w:t>
        </w:r>
      </w:hyperlink>
      <w:r w:rsidRPr="00B715FA">
        <w:t> </w:t>
      </w:r>
      <w:r w:rsidRPr="00B715FA">
        <w:rPr>
          <w:u w:val="single"/>
        </w:rPr>
        <w:t>No todos en las nuevas democracias se beneficiaron por igual. Con la distancia, las expectativas de que la red informática y la democracia nos harían libres parecen raras, incluso ingenuas.</w:t>
      </w:r>
    </w:p>
    <w:p w:rsidR="00D95F69" w:rsidRPr="00B715FA" w:rsidRDefault="00D95F69" w:rsidP="00D95F69">
      <w:pPr>
        <w:pStyle w:val="NormalWeb"/>
        <w:jc w:val="both"/>
      </w:pPr>
      <w:r w:rsidRPr="00B715FA">
        <w:rPr>
          <w:u w:val="single"/>
        </w:rPr>
        <w:t>Es cierto que el mundo ha enfrentado algunos graves contratiempos en el período intermedio. Pocos eventos han tenido mayor impacto en la historia reciente que los ataques terroristas del 11/9, la intervención de los Estados Unidos en Irak y la crisis financiera de 2008.</w:t>
      </w:r>
      <w:r w:rsidRPr="00B715FA">
        <w:t xml:space="preserve"> La guerra contra el terrorismo ha </w:t>
      </w:r>
      <w:hyperlink r:id="rId115" w:history="1">
        <w:r w:rsidRPr="00B715FA">
          <w:rPr>
            <w:rStyle w:val="Hipervnculo"/>
            <w:rFonts w:eastAsiaTheme="minorEastAsia"/>
            <w:color w:val="auto"/>
          </w:rPr>
          <w:t>costado a los contribuyentes estadounidenses cerca de 6 billones  de dólares</w:t>
        </w:r>
      </w:hyperlink>
      <w:r w:rsidRPr="00B715FA">
        <w:t>, alrededor de 32 millones por hora. También desencadenó una enorme agitación política, desde Afganistán hasta Siria, dejando al descubierto los límites del poder de los Estados Unidos.</w:t>
      </w:r>
    </w:p>
    <w:p w:rsidR="00D95F69" w:rsidRPr="00B715FA" w:rsidRDefault="00D95F69" w:rsidP="00D95F69">
      <w:pPr>
        <w:pStyle w:val="NormalWeb"/>
        <w:jc w:val="both"/>
        <w:rPr>
          <w:u w:val="single"/>
        </w:rPr>
      </w:pPr>
      <w:r w:rsidRPr="00B715FA">
        <w:rPr>
          <w:u w:val="single"/>
        </w:rPr>
        <w:t>Mientras tanto, en 2008, el colapso de los bancos, prestamistas hipotecarios y aseguradores de EE. UU. contribuyó a la </w:t>
      </w:r>
      <w:hyperlink r:id="rId116" w:history="1">
        <w:r w:rsidRPr="00B715FA">
          <w:rPr>
            <w:rStyle w:val="Hipervnculo"/>
            <w:rFonts w:eastAsiaTheme="minorEastAsia"/>
            <w:color w:val="auto"/>
          </w:rPr>
          <w:t>mayor crisis económica</w:t>
        </w:r>
      </w:hyperlink>
      <w:r w:rsidRPr="00B715FA">
        <w:rPr>
          <w:u w:val="single"/>
        </w:rPr>
        <w:t> de la historia, que incluyó alrededor de 10 billones de dólares en pérdidas</w:t>
      </w:r>
      <w:r w:rsidRPr="00B715FA">
        <w:t xml:space="preserve">. La crisis financiera de 2008 se expandió mucho más rápido que la Gran Depresión de la década de 1930; para 2009, el PBI mundial se redujo en términos reales por primera vez. </w:t>
      </w:r>
      <w:r w:rsidRPr="00B715FA">
        <w:rPr>
          <w:u w:val="single"/>
        </w:rPr>
        <w:t>La crisis destrozó la </w:t>
      </w:r>
      <w:hyperlink r:id="rId117" w:history="1">
        <w:r w:rsidRPr="00B715FA">
          <w:rPr>
            <w:rStyle w:val="Hipervnculo"/>
            <w:rFonts w:eastAsiaTheme="minorEastAsia"/>
            <w:color w:val="auto"/>
          </w:rPr>
          <w:t>ilusión de que la inestabilidad financiera</w:t>
        </w:r>
      </w:hyperlink>
      <w:r w:rsidRPr="00B715FA">
        <w:rPr>
          <w:u w:val="single"/>
        </w:rPr>
        <w:t> había quedado relegada al pasado. También desató una cepa virulenta de antagonismo partidista que sacudió la democracia estadounidense hasta sus cimientos, lo que llevó al surgimiento de Brexit y Trump. Ambos eventos han dejado profundas cicatrices políticas y económicas.</w:t>
      </w:r>
    </w:p>
    <w:p w:rsidR="00D95F69" w:rsidRPr="00DE3FC5" w:rsidRDefault="00D95F69" w:rsidP="00D95F69">
      <w:pPr>
        <w:pStyle w:val="Ttulo2"/>
        <w:jc w:val="both"/>
        <w:rPr>
          <w:color w:val="141414"/>
          <w:sz w:val="24"/>
          <w:szCs w:val="24"/>
        </w:rPr>
      </w:pPr>
      <w:r w:rsidRPr="00DE3FC5">
        <w:rPr>
          <w:color w:val="141414"/>
          <w:sz w:val="24"/>
          <w:szCs w:val="24"/>
        </w:rPr>
        <w:t>Tolerar la incertidumbre</w:t>
      </w:r>
    </w:p>
    <w:p w:rsidR="00D95F69" w:rsidRPr="00997DA1" w:rsidRDefault="00D95F69" w:rsidP="00D95F69">
      <w:pPr>
        <w:pStyle w:val="NormalWeb"/>
        <w:jc w:val="both"/>
        <w:rPr>
          <w:color w:val="141414"/>
          <w:u w:val="single"/>
        </w:rPr>
      </w:pPr>
      <w:r w:rsidRPr="00997DA1">
        <w:rPr>
          <w:color w:val="141414"/>
          <w:u w:val="single"/>
        </w:rPr>
        <w:t>En evidente contraste con los seguros años de la década de 1990, es difícil saber qué pasará después. La ansiedad ha sustituido a la arrogancia</w:t>
      </w:r>
      <w:r w:rsidRPr="00DE3FC5">
        <w:rPr>
          <w:color w:val="141414"/>
        </w:rPr>
        <w:t xml:space="preserve">. </w:t>
      </w:r>
      <w:r w:rsidRPr="00997DA1">
        <w:rPr>
          <w:color w:val="141414"/>
          <w:u w:val="single"/>
        </w:rPr>
        <w:t>Por un lado, los estados y las comunidades están cada vez más divididos.</w:t>
      </w:r>
      <w:r w:rsidRPr="00DE3FC5">
        <w:rPr>
          <w:color w:val="141414"/>
        </w:rPr>
        <w:t xml:space="preserve"> En los países occidentales, existe un resentimiento tangible hacia las élites por parte de los excluidos, que han visto cómo se estancan sus propios salarios. </w:t>
      </w:r>
      <w:r w:rsidRPr="00997DA1">
        <w:rPr>
          <w:color w:val="141414"/>
          <w:u w:val="single"/>
        </w:rPr>
        <w:t>Por otro lado, el ritmo y la magnitud del cambio tecnológico hacen que sea prácticamente imposible pronosticar qué tipos de amenazas se encuentran en el horizonte cercano, y mucho menos cómo enfrentarlas.</w:t>
      </w:r>
    </w:p>
    <w:p w:rsidR="00D95F69" w:rsidRPr="00997DA1" w:rsidRDefault="00D95F69" w:rsidP="00D95F69">
      <w:pPr>
        <w:pStyle w:val="NormalWeb"/>
        <w:jc w:val="both"/>
        <w:rPr>
          <w:color w:val="FF0000"/>
          <w:u w:val="single"/>
        </w:rPr>
      </w:pPr>
      <w:r w:rsidRPr="00997DA1">
        <w:rPr>
          <w:color w:val="FF0000"/>
          <w:u w:val="single"/>
        </w:rPr>
        <w:t xml:space="preserve">La incesante difusión de las nuevas tecnologías (inteligencia artificial, robótica, genómica y biotecnología) es fascinante y desconcertante en igual medida. Existe el temor generalizado de que la automatización genere un desempleo masivo, tanto en los países pobres como en los ricos, y que los algoritmos puedan acceder ilegalmente a los electorados y destruir la democracia misma. Las </w:t>
      </w:r>
      <w:r w:rsidR="00B715FA">
        <w:rPr>
          <w:color w:val="FF0000"/>
          <w:u w:val="single"/>
        </w:rPr>
        <w:t>últimas historias de fatalidad -</w:t>
      </w:r>
      <w:r w:rsidRPr="00997DA1">
        <w:rPr>
          <w:color w:val="FF0000"/>
          <w:u w:val="single"/>
        </w:rPr>
        <w:t>el poder potencial de Internet y el d</w:t>
      </w:r>
      <w:r w:rsidR="00B715FA">
        <w:rPr>
          <w:color w:val="FF0000"/>
          <w:u w:val="single"/>
        </w:rPr>
        <w:t>ominio de la democracia liberal-</w:t>
      </w:r>
      <w:r w:rsidRPr="00997DA1">
        <w:rPr>
          <w:color w:val="FF0000"/>
          <w:u w:val="single"/>
        </w:rPr>
        <w:t xml:space="preserve"> han terminado. No hay espacios discursivos que indiquen la dirección. La ausencia de una narrativa unificadora es profundamente inquietante, en especial en Occidente.</w:t>
      </w:r>
    </w:p>
    <w:p w:rsidR="00D95F69" w:rsidRPr="00997DA1" w:rsidRDefault="00D95F69" w:rsidP="00D95F69">
      <w:pPr>
        <w:pStyle w:val="NormalWeb"/>
        <w:jc w:val="both"/>
        <w:rPr>
          <w:color w:val="FF0000"/>
          <w:u w:val="single"/>
        </w:rPr>
      </w:pPr>
      <w:r w:rsidRPr="00997DA1">
        <w:rPr>
          <w:color w:val="FF0000"/>
          <w:u w:val="single"/>
        </w:rPr>
        <w:t>Todo esto exige que hagamos frente a una verdad incómoda. Si bien existen muchos motivos para ser optimistas acerca del futuro (especialmente si se es asiático), la interdependencia y la acelera</w:t>
      </w:r>
      <w:r w:rsidR="00B715FA">
        <w:rPr>
          <w:color w:val="FF0000"/>
          <w:u w:val="single"/>
        </w:rPr>
        <w:t>ción hacen que sea más difícil -no más fácil-</w:t>
      </w:r>
      <w:r w:rsidRPr="00997DA1">
        <w:rPr>
          <w:color w:val="FF0000"/>
          <w:u w:val="single"/>
        </w:rPr>
        <w:t xml:space="preserve"> trabajar en la solución de problemas mundiales comunes, que van desde el cambio climático y el colapso financiero hasta la proliferación de armas de destrucción masiva o las pandemias mortales. Quienes toman las decisiones no saben cómo continuar, mucho menos prosperar, en un mundo multipolar y displicente.</w:t>
      </w:r>
    </w:p>
    <w:p w:rsidR="00D95F69" w:rsidRPr="00997DA1" w:rsidRDefault="00D95F69" w:rsidP="00D95F69">
      <w:pPr>
        <w:pStyle w:val="NormalWeb"/>
        <w:jc w:val="both"/>
        <w:rPr>
          <w:color w:val="FF0000"/>
          <w:u w:val="single"/>
        </w:rPr>
      </w:pPr>
      <w:r w:rsidRPr="00997DA1">
        <w:rPr>
          <w:color w:val="141414"/>
          <w:u w:val="single"/>
        </w:rPr>
        <w:t>Para empeorar las cosas, </w:t>
      </w:r>
      <w:hyperlink r:id="rId118" w:history="1">
        <w:r w:rsidRPr="00B715FA">
          <w:rPr>
            <w:rStyle w:val="Hipervnculo"/>
            <w:rFonts w:eastAsiaTheme="minorEastAsia"/>
            <w:color w:val="auto"/>
          </w:rPr>
          <w:t>muchos partidos políticos de todo el mundo están en crisis</w:t>
        </w:r>
      </w:hyperlink>
      <w:r w:rsidRPr="00997DA1">
        <w:rPr>
          <w:color w:val="141414"/>
          <w:u w:val="single"/>
        </w:rPr>
        <w:t>. Muchos de ellos se apoyan en el paradigma anticuado del siglo XX que ve al mundo desde la óptica de la izquierda y la derecha, o el capitalismo contra el socialismo</w:t>
      </w:r>
      <w:r w:rsidRPr="00DE3FC5">
        <w:rPr>
          <w:color w:val="141414"/>
        </w:rPr>
        <w:t xml:space="preserve">. Si bien por lo general, los partidos políticos son buenos para administrar el trabajo diario del gobierno, se esfuerzan por elaborar un plan realista con vistas a 5 a 10 años en el futuro. </w:t>
      </w:r>
      <w:r w:rsidRPr="00997DA1">
        <w:rPr>
          <w:color w:val="141414"/>
          <w:u w:val="single"/>
        </w:rPr>
        <w:t>Con contadas excepciones, los políticos se están en cambio retirando hacia el pasado y venden fantasías nostálgicas</w:t>
      </w:r>
      <w:r w:rsidRPr="00DE3FC5">
        <w:rPr>
          <w:color w:val="141414"/>
        </w:rPr>
        <w:t xml:space="preserve">. </w:t>
      </w:r>
      <w:r w:rsidRPr="00997DA1">
        <w:rPr>
          <w:color w:val="FF0000"/>
          <w:u w:val="single"/>
        </w:rPr>
        <w:t>A menos que los partidos políticos se reinventen radicalmente, las democracias liberales corren el riesgo de perder importancia</w:t>
      </w:r>
    </w:p>
    <w:p w:rsidR="00D95F69" w:rsidRPr="00997DA1" w:rsidRDefault="00D95F69" w:rsidP="00D95F69">
      <w:pPr>
        <w:pStyle w:val="NormalWeb"/>
        <w:jc w:val="both"/>
        <w:rPr>
          <w:color w:val="141414"/>
          <w:u w:val="single"/>
        </w:rPr>
      </w:pPr>
      <w:r w:rsidRPr="00997DA1">
        <w:rPr>
          <w:color w:val="141414"/>
          <w:u w:val="single"/>
        </w:rPr>
        <w:t>La aceleración y la interdependencia generan incertidumbre en todos los ámbitos de la vida humana. Tomemos el caso de la educación. Por primera vez en un siglo, la mayoría de las sociedades no saben qué enseñar en sus escuelas y universidades. Al igual que en la política, el enfoque a menudo se centra en las prioridades a corto plazo o en reciclar el pasado. Algunos educadores están invirtiendo fuertemente en las materias STEM (ciencia, tecnología, ingeniería y matemáticas) y están preparando a los jóvenes para el aprendizaje permanente. El deseo es que los niños sean instruidos digitalmente y usuarios pioneros creativos. La realidad es que nadie tiene idea de qué habilidades serán necesarias dentro de unos años, y mucho menos cómo serán los trabajos del futuro.</w:t>
      </w:r>
    </w:p>
    <w:p w:rsidR="00D95F69" w:rsidRPr="00DE3FC5" w:rsidRDefault="00D95F69" w:rsidP="00D95F69">
      <w:pPr>
        <w:pStyle w:val="NormalWeb"/>
        <w:jc w:val="both"/>
        <w:rPr>
          <w:color w:val="141414"/>
        </w:rPr>
      </w:pPr>
      <w:r w:rsidRPr="00DE3FC5">
        <w:rPr>
          <w:color w:val="141414"/>
        </w:rPr>
        <w:t>En un mundo acelerado e interdependiente, las decisiones que tomen los líderes políticos y empresariales en los próximos años serán sumamente importantes, y darán forma a cada aspecto de nuestro futuro. La buena noticia es que un mayor acceso a Internet y los medios de comunicación está cerrando la brecha digital. Como resultado, cada vez más personas tendrán la oportunidad de influir en el debate y actuar. Ya sea que los ciudadanos tengan o no el tiempo o la energía para formar parte de las conversaciones, la verdad es que todos se verán afectados, algunos más negativamente que otros.</w:t>
      </w:r>
    </w:p>
    <w:p w:rsidR="00D95F69" w:rsidRPr="00DE3FC5" w:rsidRDefault="00D95F69" w:rsidP="00D95F69">
      <w:pPr>
        <w:pStyle w:val="Ttulo2"/>
        <w:jc w:val="both"/>
        <w:rPr>
          <w:color w:val="141414"/>
          <w:sz w:val="24"/>
          <w:szCs w:val="24"/>
        </w:rPr>
      </w:pPr>
      <w:r w:rsidRPr="00DE3FC5">
        <w:rPr>
          <w:color w:val="141414"/>
          <w:sz w:val="24"/>
          <w:szCs w:val="24"/>
        </w:rPr>
        <w:t>Es hora de arremangarse</w:t>
      </w:r>
    </w:p>
    <w:p w:rsidR="00D95F69" w:rsidRPr="00997DA1" w:rsidRDefault="00D95F69" w:rsidP="00D95F69">
      <w:pPr>
        <w:pStyle w:val="NormalWeb"/>
        <w:jc w:val="both"/>
        <w:rPr>
          <w:color w:val="FF0000"/>
          <w:u w:val="single"/>
        </w:rPr>
      </w:pPr>
      <w:r w:rsidRPr="00997DA1">
        <w:rPr>
          <w:color w:val="FF0000"/>
          <w:u w:val="single"/>
        </w:rPr>
        <w:t xml:space="preserve">Frente a la incertidumbre, muchos responsables de la toma de decisiones se verán tentados a detener el reloj, ofrecer soluciones simplistas y retirarse hacia el pasado. Esto es sumamente peligroso. Lo que se necesita más que nunca es una mayor alfabetización con ideas complejas y una reflexión activa sobre la causalidad futura. Los que se quejan de que esto es una tarea ardua deberían comenzar a </w:t>
      </w:r>
      <w:r w:rsidR="00B715FA">
        <w:rPr>
          <w:color w:val="FF0000"/>
          <w:u w:val="single"/>
        </w:rPr>
        <w:t>arremangarse. Las alternativas -</w:t>
      </w:r>
      <w:r w:rsidRPr="00997DA1">
        <w:rPr>
          <w:color w:val="FF0000"/>
          <w:u w:val="single"/>
        </w:rPr>
        <w:t>ignorar nuestros desafíos más apremiantes</w:t>
      </w:r>
      <w:r w:rsidR="00B715FA">
        <w:rPr>
          <w:color w:val="FF0000"/>
          <w:u w:val="single"/>
        </w:rPr>
        <w:t xml:space="preserve"> o abandonar los estudios-</w:t>
      </w:r>
      <w:r w:rsidRPr="00997DA1">
        <w:rPr>
          <w:color w:val="FF0000"/>
          <w:u w:val="single"/>
        </w:rPr>
        <w:t xml:space="preserve"> son catastróficas. La verdad es que todos debemos comprender más, para que podamos temer menos.</w:t>
      </w:r>
    </w:p>
    <w:p w:rsidR="00D95F69" w:rsidRPr="00DE3FC5" w:rsidRDefault="00D95F69" w:rsidP="00D95F69">
      <w:pPr>
        <w:pStyle w:val="NormalWeb"/>
        <w:jc w:val="both"/>
        <w:rPr>
          <w:color w:val="141414"/>
        </w:rPr>
      </w:pPr>
      <w:r w:rsidRPr="00997DA1">
        <w:rPr>
          <w:color w:val="141414"/>
          <w:u w:val="single"/>
        </w:rPr>
        <w:t>El futuro nunca ha sido estable o seguro. El arco de la historia nunca fue moral o justo, y siempre ha habido ganadores y perdedores. Si bien los discursos audaces de los populistas pueden ofrecer consuelo, también pueden llevarnos estrepitosamente por el camino equivocado</w:t>
      </w:r>
      <w:r w:rsidRPr="00DE3FC5">
        <w:rPr>
          <w:color w:val="141414"/>
        </w:rPr>
        <w:t>. Siempre ha habido muchos discursos, algunos más ruidosos que otros. Nuestra oportunidad y nuestro desafío son acomodar una pluralidad de ideas y principios, distinguir los hechos de la ficción y fomentar la acción colectiva sobre los riesgos existenciales más urgentes que enfrenta nuestro frágil mundo.</w:t>
      </w:r>
    </w:p>
    <w:p w:rsidR="00D95F69" w:rsidRPr="00DE3FC5" w:rsidRDefault="00D95F69" w:rsidP="00D95F69">
      <w:pPr>
        <w:pStyle w:val="NormalWeb"/>
        <w:jc w:val="both"/>
        <w:rPr>
          <w:color w:val="141414"/>
        </w:rPr>
      </w:pPr>
      <w:r w:rsidRPr="00997DA1">
        <w:rPr>
          <w:color w:val="FF0000"/>
          <w:u w:val="single"/>
        </w:rPr>
        <w:t>Si queremos sobrevivir y prosperar en esta nueva era de incertidumbre, todos tendremos que aprender a superar las dificultades. Aunque estamos mentalmente programados para pensar a corto plazo, tendremos que enseñarnos unos a otros, y a las generaciones futuras, a tener una visión a largo plazo</w:t>
      </w:r>
      <w:r w:rsidRPr="00DE3FC5">
        <w:rPr>
          <w:color w:val="141414"/>
        </w:rPr>
        <w:t>. El camino a seguir es incierto y probablemente será agotador. Será necesario perfeccionar nuestras habilidades críticas y analíticas, y desarrollar una mayor capacidad de anticipación, adaptación y resistencia frente a los cambios bruscos del sistema. No nos equivoquemos, ya no podemos darnos el lujo de dormirnos en los laureles.</w:t>
      </w:r>
    </w:p>
    <w:p w:rsidR="00D95F69" w:rsidRDefault="00D95F69" w:rsidP="00D95F69">
      <w:pPr>
        <w:pStyle w:val="NormalWeb"/>
        <w:jc w:val="both"/>
        <w:rPr>
          <w:bCs/>
          <w:iCs/>
        </w:rPr>
      </w:pPr>
      <w:r w:rsidRPr="00B715FA">
        <w:rPr>
          <w:bCs/>
          <w:iCs/>
        </w:rPr>
        <w:t>(</w:t>
      </w:r>
      <w:hyperlink r:id="rId119" w:history="1">
        <w:r w:rsidRPr="00B715FA">
          <w:rPr>
            <w:rStyle w:val="Hipervnculo"/>
            <w:rFonts w:eastAsiaTheme="minorEastAsia"/>
            <w:iCs/>
            <w:color w:val="auto"/>
            <w:u w:val="none"/>
          </w:rPr>
          <w:t>Robert Muggah</w:t>
        </w:r>
      </w:hyperlink>
      <w:r w:rsidRPr="00B715FA">
        <w:rPr>
          <w:bCs/>
          <w:iCs/>
        </w:rPr>
        <w:t>, cofundador, Instituto Igarapé y Grupo SecDev</w:t>
      </w:r>
      <w:r w:rsidRPr="00B715FA">
        <w:t xml:space="preserve"> - </w:t>
      </w:r>
      <w:hyperlink r:id="rId120" w:history="1">
        <w:r w:rsidRPr="00B715FA">
          <w:rPr>
            <w:rStyle w:val="Hipervnculo"/>
            <w:rFonts w:eastAsiaTheme="minorEastAsia"/>
            <w:iCs/>
            <w:color w:val="auto"/>
            <w:u w:val="none"/>
          </w:rPr>
          <w:t>Ian Goldin</w:t>
        </w:r>
      </w:hyperlink>
      <w:r w:rsidRPr="00B715FA">
        <w:rPr>
          <w:bCs/>
          <w:iCs/>
        </w:rPr>
        <w:t> profesor de Globalización y Desarrollo; director del Programa de Cambio Tecnológico y Económico de Oxford Martin, Universidad de Oxford)</w:t>
      </w:r>
    </w:p>
    <w:p w:rsidR="00B715FA" w:rsidRPr="00B97CD8" w:rsidRDefault="00B715FA" w:rsidP="00B715FA">
      <w:pPr>
        <w:pStyle w:val="NormalWeb"/>
        <w:shd w:val="clear" w:color="auto" w:fill="FFFFFF"/>
        <w:spacing w:after="180"/>
        <w:jc w:val="both"/>
        <w:rPr>
          <w:rFonts w:eastAsiaTheme="minorHAnsi"/>
          <w:color w:val="FF0000"/>
          <w:lang w:eastAsia="en-US"/>
        </w:rPr>
      </w:pPr>
      <w:r w:rsidRPr="00573280">
        <w:rPr>
          <w:rFonts w:eastAsiaTheme="minorHAnsi"/>
          <w:lang w:eastAsia="en-US"/>
        </w:rPr>
        <w:t>- ¿</w:t>
      </w:r>
      <w:r w:rsidRPr="00573280">
        <w:rPr>
          <w:rFonts w:eastAsiaTheme="minorHAnsi"/>
          <w:u w:val="single"/>
          <w:lang w:eastAsia="en-US"/>
        </w:rPr>
        <w:t>Cómo cobrar impuestos a las elusivas multinacionales</w:t>
      </w:r>
      <w:r w:rsidRPr="00573280">
        <w:rPr>
          <w:rFonts w:eastAsiaTheme="minorHAnsi"/>
          <w:lang w:eastAsia="en-US"/>
        </w:rPr>
        <w:t xml:space="preserve">? (Project Syndicate - </w:t>
      </w:r>
      <w:r w:rsidRPr="00573280">
        <w:rPr>
          <w:rFonts w:eastAsiaTheme="minorHAnsi"/>
          <w:b/>
          <w:lang w:eastAsia="en-US"/>
        </w:rPr>
        <w:t>13/2/19</w:t>
      </w:r>
      <w:r w:rsidRPr="00573280">
        <w:rPr>
          <w:rFonts w:eastAsiaTheme="minorHAnsi"/>
          <w:lang w:eastAsia="en-US"/>
        </w:rPr>
        <w:t>)</w:t>
      </w:r>
    </w:p>
    <w:p w:rsidR="00B715FA" w:rsidRPr="00D700A5" w:rsidRDefault="00B715FA" w:rsidP="00B715FA">
      <w:pPr>
        <w:pStyle w:val="NormalWeb"/>
        <w:shd w:val="clear" w:color="auto" w:fill="FFFFFF"/>
        <w:spacing w:after="180"/>
        <w:jc w:val="both"/>
        <w:rPr>
          <w:rFonts w:eastAsiaTheme="minorHAnsi"/>
          <w:color w:val="FF0000"/>
          <w:u w:val="single"/>
          <w:lang w:eastAsia="en-US"/>
        </w:rPr>
      </w:pPr>
      <w:r>
        <w:rPr>
          <w:rFonts w:eastAsiaTheme="minorHAnsi"/>
          <w:lang w:eastAsia="en-US"/>
        </w:rPr>
        <w:t>Nueva York.-</w:t>
      </w:r>
      <w:r w:rsidRPr="00D700A5">
        <w:rPr>
          <w:rFonts w:eastAsiaTheme="minorHAnsi"/>
          <w:color w:val="FF0000"/>
          <w:u w:val="single"/>
          <w:lang w:eastAsia="en-US"/>
        </w:rPr>
        <w:t xml:space="preserve">Estos últimos años la globalización ha vuelto a ser blanco de críticas. Algunas tal vez estén erradas, pero hay una muy certera: que ha permitido a grandes multinacionales como Apple, Google y Starbucks eludir el pago de impuestos. </w:t>
      </w:r>
    </w:p>
    <w:p w:rsidR="00B715FA" w:rsidRPr="00D700A5" w:rsidRDefault="00B715FA" w:rsidP="00B715FA">
      <w:pPr>
        <w:pStyle w:val="NormalWeb"/>
        <w:shd w:val="clear" w:color="auto" w:fill="FFFFFF"/>
        <w:spacing w:after="180"/>
        <w:jc w:val="both"/>
        <w:rPr>
          <w:rFonts w:eastAsiaTheme="minorHAnsi"/>
          <w:u w:val="single"/>
          <w:lang w:eastAsia="en-US"/>
        </w:rPr>
      </w:pPr>
      <w:r w:rsidRPr="00D700A5">
        <w:rPr>
          <w:rFonts w:eastAsiaTheme="minorHAnsi"/>
          <w:u w:val="single"/>
          <w:lang w:eastAsia="en-US"/>
        </w:rPr>
        <w:t>Apple es el mejor ejemplo de elusión fiscal corporativa</w:t>
      </w:r>
      <w:r w:rsidRPr="00573280">
        <w:rPr>
          <w:rFonts w:eastAsiaTheme="minorHAnsi"/>
          <w:lang w:eastAsia="en-US"/>
        </w:rPr>
        <w:t xml:space="preserve">: tras declarar que unos pocos cientos de empleados en Irlanda eran la fuente real de sus utilidades, llegó a un acuerdo con el gobierno de ese país por el que sólo paga en impuestos un 0,005% de las mismas. Apple, Google, Starbucks y empresas similares se dicen socialmente responsables; pero el primer elemento de la responsabilidad social debería ser pagar la parte de impuestos que a uno le corresponde. </w:t>
      </w:r>
      <w:r w:rsidRPr="00D700A5">
        <w:rPr>
          <w:rFonts w:eastAsiaTheme="minorHAnsi"/>
          <w:u w:val="single"/>
          <w:lang w:eastAsia="en-US"/>
        </w:rPr>
        <w:t>Si todos eludieran y evadieran impuestos como estas empresas, la sociedad no podría funcionar, y mucho menos hacer las inversiones públicas que hicieron posible Internet, de la que dependen Apple y Google.</w:t>
      </w:r>
    </w:p>
    <w:p w:rsidR="00B715FA" w:rsidRPr="00573280" w:rsidRDefault="00B715FA" w:rsidP="00B715FA">
      <w:pPr>
        <w:pStyle w:val="NormalWeb"/>
        <w:shd w:val="clear" w:color="auto" w:fill="FFFFFF"/>
        <w:spacing w:after="180"/>
        <w:jc w:val="both"/>
        <w:rPr>
          <w:rFonts w:eastAsiaTheme="minorHAnsi"/>
          <w:lang w:eastAsia="en-US"/>
        </w:rPr>
      </w:pPr>
      <w:r w:rsidRPr="00D700A5">
        <w:rPr>
          <w:rFonts w:eastAsiaTheme="minorHAnsi"/>
          <w:u w:val="single"/>
          <w:lang w:eastAsia="en-US"/>
        </w:rPr>
        <w:t>Las corporaciones multinacionales llevan años alentando a los países a competir entre sí por cobrar los impuestos más bajos</w:t>
      </w:r>
      <w:r w:rsidRPr="00573280">
        <w:rPr>
          <w:rFonts w:eastAsiaTheme="minorHAnsi"/>
          <w:lang w:eastAsia="en-US"/>
        </w:rPr>
        <w:t>. La rebaja impositiva promulgada en 2017 por el presidente estadounidense Donald Trump fue la última etapa de esta “carrera a la baja”, y un año después, sus resultados ya son visibles: el estímulo efímero que dio a la economía estadounidense está desapareciendo a toda prisa y dejando tras de sí una montaña de deuda (que el año pasado se incrementó en más de un billón de dólares).</w:t>
      </w:r>
    </w:p>
    <w:p w:rsidR="00B715FA" w:rsidRPr="00D700A5" w:rsidRDefault="00B715FA" w:rsidP="00B715FA">
      <w:pPr>
        <w:pStyle w:val="NormalWeb"/>
        <w:shd w:val="clear" w:color="auto" w:fill="FFFFFF"/>
        <w:spacing w:after="180"/>
        <w:jc w:val="both"/>
        <w:rPr>
          <w:rFonts w:eastAsiaTheme="minorHAnsi"/>
          <w:u w:val="single"/>
          <w:lang w:eastAsia="en-US"/>
        </w:rPr>
      </w:pPr>
      <w:r w:rsidRPr="00D700A5">
        <w:rPr>
          <w:rFonts w:eastAsiaTheme="minorHAnsi"/>
          <w:u w:val="single"/>
          <w:lang w:eastAsia="en-US"/>
        </w:rPr>
        <w:t>Acicateada por el riesgo de que la economía digital prive a los gobiernos de ingresos con que financiar su funcionamiento (amén de distorsionar la economía, al provocar el abandono de los modos de venta tradicionales), la comunidad internacional por fin se dio cuenta de que hay algo que no cuadra. Pero los defectos del marco actual para la trib</w:t>
      </w:r>
      <w:r>
        <w:rPr>
          <w:rFonts w:eastAsiaTheme="minorHAnsi"/>
          <w:u w:val="single"/>
          <w:lang w:eastAsia="en-US"/>
        </w:rPr>
        <w:t>utación de las multinacionales -</w:t>
      </w:r>
      <w:r w:rsidRPr="00D700A5">
        <w:rPr>
          <w:rFonts w:eastAsiaTheme="minorHAnsi"/>
          <w:u w:val="single"/>
          <w:lang w:eastAsia="en-US"/>
        </w:rPr>
        <w:t>basado en</w:t>
      </w:r>
      <w:r>
        <w:rPr>
          <w:rFonts w:eastAsiaTheme="minorHAnsi"/>
          <w:u w:val="single"/>
          <w:lang w:eastAsia="en-US"/>
        </w:rPr>
        <w:t xml:space="preserve"> los “precios de transferencia”-</w:t>
      </w:r>
      <w:r w:rsidRPr="00D700A5">
        <w:rPr>
          <w:rFonts w:eastAsiaTheme="minorHAnsi"/>
          <w:u w:val="single"/>
          <w:lang w:eastAsia="en-US"/>
        </w:rPr>
        <w:t xml:space="preserve"> se conocen hace ya mucho tiempo.</w:t>
      </w:r>
    </w:p>
    <w:p w:rsidR="00B715FA" w:rsidRPr="00D700A5" w:rsidRDefault="00B715FA" w:rsidP="00B715FA">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La idea de precios de transferencia se basa en el principio comúnmente aceptado de gravar las actividades económicas según el lugar donde se realizan. Pero ¿cómo se determina dicho lugar? En una economía globalizada, hay productos que atraviesan las fronteras varias veces, por lo general no terminados: camisas sin botones, autos sin transmisión, obleas electrónicas sin chips. El sistema de precios de transferencia da por sentado que es posible asignar a cada etapa de la producción un valor en forma independiente y luego calcular el valor agregado en cada país. Pero no es así.</w:t>
      </w:r>
    </w:p>
    <w:p w:rsidR="00B715FA" w:rsidRPr="00D700A5" w:rsidRDefault="00B715FA" w:rsidP="00B715FA">
      <w:pPr>
        <w:pStyle w:val="NormalWeb"/>
        <w:shd w:val="clear" w:color="auto" w:fill="FFFFFF"/>
        <w:spacing w:after="180"/>
        <w:jc w:val="both"/>
        <w:rPr>
          <w:rFonts w:eastAsiaTheme="minorHAnsi"/>
          <w:color w:val="FF0000"/>
          <w:u w:val="single"/>
          <w:lang w:eastAsia="en-US"/>
        </w:rPr>
      </w:pPr>
      <w:r w:rsidRPr="00573280">
        <w:rPr>
          <w:rFonts w:eastAsiaTheme="minorHAnsi"/>
          <w:lang w:eastAsia="en-US"/>
        </w:rPr>
        <w:t xml:space="preserve">Esto se complica todavía más por la creciente importancia de las propiedades intangibles e intelectuales, ya que es muy fácil pasar la declaración de propiedad de un país a otro. </w:t>
      </w:r>
      <w:r w:rsidRPr="00D700A5">
        <w:rPr>
          <w:rFonts w:eastAsiaTheme="minorHAnsi"/>
          <w:color w:val="FF0000"/>
          <w:u w:val="single"/>
          <w:lang w:eastAsia="en-US"/>
        </w:rPr>
        <w:t>Por eso hace mucho que dentro de Estados Unidos se dejó de usar el sistema de precios de transferencia, para aplicar en cambio una fórmula que distribuye el total de ganancias de las empresas según la proporción de ventas, empleados</w:t>
      </w:r>
      <w:r w:rsidR="0011116D">
        <w:rPr>
          <w:rFonts w:eastAsiaTheme="minorHAnsi"/>
          <w:color w:val="FF0000"/>
          <w:u w:val="single"/>
          <w:lang w:eastAsia="en-US"/>
        </w:rPr>
        <w:t>,</w:t>
      </w:r>
      <w:r w:rsidRPr="00D700A5">
        <w:rPr>
          <w:rFonts w:eastAsiaTheme="minorHAnsi"/>
          <w:color w:val="FF0000"/>
          <w:u w:val="single"/>
          <w:lang w:eastAsia="en-US"/>
        </w:rPr>
        <w:t xml:space="preserve"> y capital que tienen en cada estado. Tenemos que ir hacia un sistema similar para todo el mundo.</w:t>
      </w:r>
    </w:p>
    <w:p w:rsidR="00B715FA" w:rsidRPr="00D700A5" w:rsidRDefault="00B715FA" w:rsidP="00B715FA">
      <w:pPr>
        <w:pStyle w:val="NormalWeb"/>
        <w:shd w:val="clear" w:color="auto" w:fill="FFFFFF"/>
        <w:spacing w:after="180"/>
        <w:jc w:val="both"/>
        <w:rPr>
          <w:rFonts w:eastAsiaTheme="minorHAnsi"/>
          <w:color w:val="FF0000"/>
          <w:u w:val="single"/>
          <w:lang w:eastAsia="en-US"/>
        </w:rPr>
      </w:pPr>
      <w:r w:rsidRPr="00D700A5">
        <w:rPr>
          <w:rFonts w:eastAsiaTheme="minorHAnsi"/>
          <w:u w:val="single"/>
          <w:lang w:eastAsia="en-US"/>
        </w:rPr>
        <w:t>Pero no es lo mismo hacerlo de cualquier modo.</w:t>
      </w:r>
      <w:r w:rsidRPr="00573280">
        <w:rPr>
          <w:rFonts w:eastAsiaTheme="minorHAnsi"/>
          <w:lang w:eastAsia="en-US"/>
        </w:rPr>
        <w:t xml:space="preserve"> Si se aplica una fórmula basada ante todo en el lugar de la venta final (que ocurre desproporcionadamente en los países desarrollados), los países en desarrollo quedarán privados de ingresos necesarios, tanto más necesarios en la medida en que las restricciones fiscales disminuyan los flujos de ayuda internacional. </w:t>
      </w:r>
      <w:r w:rsidRPr="00D700A5">
        <w:rPr>
          <w:rFonts w:eastAsiaTheme="minorHAnsi"/>
          <w:color w:val="FF0000"/>
          <w:u w:val="single"/>
          <w:lang w:eastAsia="en-US"/>
        </w:rPr>
        <w:t>El criterio de lugar de venta final puede ser adecuado para gravar las transacciones digitales, pero no es aplicable a las manufacturas y otros sectores donde es esencial tener en cuenta también el nivel de contratación de empleados en cada país.</w:t>
      </w:r>
    </w:p>
    <w:p w:rsidR="00B715FA" w:rsidRPr="00D700A5" w:rsidRDefault="00B715FA" w:rsidP="00B715FA">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Algunos temen que incluir el criterio de contratación agrave la competencia impositiva entre países, ya que los gobiernos tratarán de alentar a las multinacionales a crear puestos de trabajo en sus respectivas jurisdicciones. La respuesta apropiada a esta inquietud es imponer un impuesto global mínimo a los ingresos corporativos. Estados Un</w:t>
      </w:r>
      <w:r w:rsidR="001A1F1D">
        <w:rPr>
          <w:rFonts w:eastAsiaTheme="minorHAnsi"/>
          <w:color w:val="FF0000"/>
          <w:u w:val="single"/>
          <w:lang w:eastAsia="en-US"/>
        </w:rPr>
        <w:t>idos y la Unión Europea pueden -y deben-</w:t>
      </w:r>
      <w:r w:rsidRPr="00D700A5">
        <w:rPr>
          <w:rFonts w:eastAsiaTheme="minorHAnsi"/>
          <w:color w:val="FF0000"/>
          <w:u w:val="single"/>
          <w:lang w:eastAsia="en-US"/>
        </w:rPr>
        <w:t xml:space="preserve"> tomar la delantera en esto; si lo hacen, otros los seguirán, y se evitará una competencia en la que sólo las multinacionales ganan.</w:t>
      </w:r>
    </w:p>
    <w:p w:rsidR="00B715FA" w:rsidRPr="00D700A5" w:rsidRDefault="00B715FA" w:rsidP="00B715FA">
      <w:pPr>
        <w:pStyle w:val="NormalWeb"/>
        <w:shd w:val="clear" w:color="auto" w:fill="FFFFFF"/>
        <w:spacing w:after="180"/>
        <w:jc w:val="both"/>
        <w:rPr>
          <w:rFonts w:eastAsiaTheme="minorHAnsi"/>
          <w:u w:val="single"/>
          <w:lang w:eastAsia="en-US"/>
        </w:rPr>
      </w:pPr>
      <w:r w:rsidRPr="00573280">
        <w:rPr>
          <w:rFonts w:eastAsiaTheme="minorHAnsi"/>
          <w:lang w:eastAsia="en-US"/>
        </w:rPr>
        <w:t xml:space="preserve">El proyecto sobre erosión de la base imponible y traslado de beneficios de la OCDE y el G20 viene haciendo desde su creación un importante aporte al replanteo de la tributación de las multinacionales, al promover una mejor comprensión de algunas de las cuestiones fundamentales involucradas. Por ejemplo, </w:t>
      </w:r>
      <w:r w:rsidRPr="00D700A5">
        <w:rPr>
          <w:rFonts w:eastAsiaTheme="minorHAnsi"/>
          <w:u w:val="single"/>
          <w:lang w:eastAsia="en-US"/>
        </w:rPr>
        <w:t>si en las multinacionales hay valor real, el todo es mayor que la suma de las partes. De modo que para la asignación del “valor residual” deberíamos guiarnos por los principios tributarios estándar de simplicidad, eficiencia y equidad, como sostiene la Comisión Independiente para la Reforma de la Fiscalidad Corporativa Internacional (de la que soy miembro). Pero estos principios son incompatibles ya con el sistema de precios de transferencia, ya con el criterio de tributación basado en el lugar de venta.</w:t>
      </w:r>
    </w:p>
    <w:p w:rsidR="00B715FA" w:rsidRPr="00D700A5" w:rsidRDefault="00B715FA" w:rsidP="00B715FA">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Hay en esto un componente político: el objetivo de las multinacionales es conseguir apoyo a reformas que prolonguen la competencia entre países y las oportunidades de elusión fiscal. Los gobiernos de algunos países avanzados donde estas empresas tienen una influencia política importante las apoyarán en el intento, aunque al hacerlo pongan en desventaja al resto del país. Otros países avanzados, pensando más que nada en sus propios presupuestos, simplemente lo verán como otra oportunidad de sacar provecho a costa de los países en desarrollo.</w:t>
      </w:r>
    </w:p>
    <w:p w:rsidR="00B715FA" w:rsidRPr="00573280" w:rsidRDefault="00B715FA" w:rsidP="00B715FA">
      <w:pPr>
        <w:pStyle w:val="NormalWeb"/>
        <w:shd w:val="clear" w:color="auto" w:fill="FFFFFF"/>
        <w:spacing w:after="180"/>
        <w:jc w:val="both"/>
        <w:rPr>
          <w:rFonts w:eastAsiaTheme="minorHAnsi"/>
          <w:lang w:eastAsia="en-US"/>
        </w:rPr>
      </w:pPr>
      <w:r w:rsidRPr="00573280">
        <w:rPr>
          <w:rFonts w:eastAsiaTheme="minorHAnsi"/>
          <w:lang w:eastAsia="en-US"/>
        </w:rPr>
        <w:t>La iniciativa de la OCDE y el G20 se presenta como un intento de proveer un “marco inclusivo”. Dicho marco tiene que basarse en principios, no sólo en consideraciones políticas. Si el objetivo es lograr una inclusión auténtica, la principal prioridad debe ser el bienestar de los más de seis mil millones de personas que viven en los países en desarrollo y en los mercados emergentes.</w:t>
      </w:r>
    </w:p>
    <w:p w:rsidR="00B715FA" w:rsidRDefault="00B715FA" w:rsidP="00B715FA">
      <w:pPr>
        <w:shd w:val="clear" w:color="auto" w:fill="FFFFFF"/>
        <w:spacing w:after="0" w:line="280" w:lineRule="atLeast"/>
        <w:jc w:val="both"/>
        <w:textAlignment w:val="baseline"/>
        <w:rPr>
          <w:rFonts w:ascii="Times New Roman" w:eastAsia="Times New Roman" w:hAnsi="Times New Roman" w:cs="Times New Roman"/>
          <w:color w:val="1A1A1A"/>
          <w:sz w:val="24"/>
          <w:szCs w:val="24"/>
          <w:lang w:val="en-US"/>
        </w:rPr>
      </w:pPr>
      <w:r w:rsidRPr="00573280">
        <w:rPr>
          <w:rFonts w:ascii="Times New Roman" w:hAnsi="Times New Roman" w:cs="Times New Roman"/>
          <w:sz w:val="24"/>
          <w:szCs w:val="24"/>
          <w:lang w:val="en-US"/>
        </w:rPr>
        <w:t>(Joseph E. Stiglitz, a Nobel laureate in economics, is University Professor at Columbia University and Chief Economist at the Roosevelt Institute. His most recent book is Globalization and Its Discontents Revisited: Anti-Globalization in the Era of Trump)</w:t>
      </w:r>
    </w:p>
    <w:p w:rsidR="00B715FA" w:rsidRPr="00B97CD8" w:rsidRDefault="00B715FA" w:rsidP="00B715FA">
      <w:pPr>
        <w:pStyle w:val="NormalWeb"/>
        <w:spacing w:after="180"/>
        <w:jc w:val="both"/>
        <w:rPr>
          <w:color w:val="FF0000"/>
          <w:spacing w:val="-1"/>
        </w:rPr>
      </w:pPr>
      <w:r w:rsidRPr="00B562AC">
        <w:rPr>
          <w:spacing w:val="-1"/>
        </w:rPr>
        <w:t>- ¿</w:t>
      </w:r>
      <w:r w:rsidRPr="00B562AC">
        <w:rPr>
          <w:spacing w:val="-1"/>
          <w:u w:val="single"/>
        </w:rPr>
        <w:t>El camino de IA hacia la servidumbre</w:t>
      </w:r>
      <w:r w:rsidRPr="00B562AC">
        <w:rPr>
          <w:spacing w:val="-1"/>
        </w:rPr>
        <w:t xml:space="preserve">? (Project Syndicate - </w:t>
      </w:r>
      <w:r w:rsidRPr="00B562AC">
        <w:rPr>
          <w:b/>
          <w:spacing w:val="-1"/>
        </w:rPr>
        <w:t>21/2/19</w:t>
      </w:r>
      <w:r w:rsidRPr="00B562AC">
        <w:rPr>
          <w:spacing w:val="-1"/>
        </w:rPr>
        <w:t>)</w:t>
      </w:r>
    </w:p>
    <w:p w:rsidR="00B715FA" w:rsidRPr="00FA006A" w:rsidRDefault="00B715FA" w:rsidP="00B715FA">
      <w:pPr>
        <w:pStyle w:val="NormalWeb"/>
        <w:spacing w:after="180"/>
        <w:jc w:val="both"/>
        <w:rPr>
          <w:spacing w:val="-1"/>
          <w:u w:val="single"/>
        </w:rPr>
      </w:pPr>
      <w:r>
        <w:rPr>
          <w:spacing w:val="-1"/>
        </w:rPr>
        <w:t>Londres.-</w:t>
      </w:r>
      <w:r w:rsidRPr="00FA006A">
        <w:rPr>
          <w:spacing w:val="-1"/>
          <w:u w:val="single"/>
        </w:rPr>
        <w:t>Las encuestas de todo el mundo muestran que la gente quiere trabajos seguros. Al mismo tiempo, la gente siempre ha soñado con una vida libre de esfuerzo. El “ascenso de los robots” ha hecho palpable la tensión entre estos dos impulsos.</w:t>
      </w:r>
    </w:p>
    <w:p w:rsidR="00B715FA" w:rsidRPr="00FA006A" w:rsidRDefault="00B715FA" w:rsidP="00B715FA">
      <w:pPr>
        <w:pStyle w:val="NormalWeb"/>
        <w:spacing w:after="180"/>
        <w:jc w:val="both"/>
        <w:rPr>
          <w:color w:val="FF0000"/>
          <w:spacing w:val="-1"/>
          <w:u w:val="single"/>
        </w:rPr>
      </w:pPr>
      <w:r w:rsidRPr="00FA006A">
        <w:rPr>
          <w:color w:val="FF0000"/>
          <w:spacing w:val="-1"/>
          <w:u w:val="single"/>
        </w:rPr>
        <w:t>Las estimaciones de pérdidas de empleos en el futuro cercano a manos de la automatización varían de 9% a 47%, y los empleos en sí se están volviendo cada vez más precarios. Sin embargo, la automatización también promete un alivio de la mayoría de las formas de trabajo obligado, acercando a la realidad la extraordinaria predicción de Aristóteles de que todo el trabajo necesario algún día sería realizado por “esclavos mecánicos”, dejando en libertad a los seres humanos para vivir la “buena vida”. Así las cosas, se vuelve a plantear la vieja pregunta: ¿las máquinas son una amenaza para los seres humanos o un medio para emanciparlos?</w:t>
      </w:r>
    </w:p>
    <w:p w:rsidR="00B715FA" w:rsidRPr="00FA006A" w:rsidRDefault="00B715FA" w:rsidP="00B715FA">
      <w:pPr>
        <w:pStyle w:val="NormalWeb"/>
        <w:spacing w:after="180"/>
        <w:jc w:val="both"/>
        <w:rPr>
          <w:spacing w:val="-1"/>
          <w:u w:val="single"/>
        </w:rPr>
      </w:pPr>
      <w:r w:rsidRPr="00FA006A">
        <w:rPr>
          <w:color w:val="FF0000"/>
          <w:spacing w:val="-1"/>
          <w:u w:val="single"/>
        </w:rPr>
        <w:t>En principio, no tiene por qué haber contradicción alguna. Automatizar parte del trabajo humano debería permitirle a la gente trabajar menos a cambio de más dinero, como ha estado sucediendo desde la Revolución Industrial.</w:t>
      </w:r>
      <w:r w:rsidRPr="00700821">
        <w:rPr>
          <w:spacing w:val="-1"/>
        </w:rPr>
        <w:t xml:space="preserve"> Las horas de trabajo han caído y los ingresos reales han aumentado, aun cuando la población mundial se ha multiplicado por siete, gracias a la mayor productividad de la mano de obra mejorada por las máquinas. En los </w:t>
      </w:r>
      <w:r>
        <w:rPr>
          <w:spacing w:val="-1"/>
        </w:rPr>
        <w:t>países ricos, la productividad -</w:t>
      </w:r>
      <w:r w:rsidRPr="00700821">
        <w:rPr>
          <w:spacing w:val="-1"/>
        </w:rPr>
        <w:t xml:space="preserve">la producción por hora trabajada- es 25 veces más alta que en 1831. </w:t>
      </w:r>
      <w:r w:rsidRPr="00FA006A">
        <w:rPr>
          <w:spacing w:val="-1"/>
          <w:u w:val="single"/>
        </w:rPr>
        <w:t>El mundo se ha vuelto cada vez más rico con menos horas hombre de trabajo necesarias para producir esa riqueza.</w:t>
      </w:r>
    </w:p>
    <w:p w:rsidR="00B715FA" w:rsidRPr="00FA006A" w:rsidRDefault="00B715FA" w:rsidP="00B715FA">
      <w:pPr>
        <w:pStyle w:val="NormalWeb"/>
        <w:spacing w:after="180"/>
        <w:jc w:val="both"/>
        <w:rPr>
          <w:color w:val="FF0000"/>
          <w:spacing w:val="-1"/>
          <w:u w:val="single"/>
        </w:rPr>
      </w:pPr>
      <w:r w:rsidRPr="00FA006A">
        <w:rPr>
          <w:color w:val="FF0000"/>
          <w:spacing w:val="-1"/>
          <w:u w:val="single"/>
        </w:rPr>
        <w:t>¿Por qué este proceso benigno no debería continuar? ¿Dónde está la serpiente en el jardín? La mayoría de los economistas diría que es imaginaria. La gente, al igual que los jugadores de ajedrez novatos, sólo ve la primera movida, no sus consecuencias. La primera movida es que los trabajadores en un determinado sector son reemplazados por máquinas, como los tejedores luditas que perdieron sus empleos a manos de los telares mecánicos en el siglo XIX. En la frase escalofriante de David Ricardo, se vuelven “redundantes”.</w:t>
      </w:r>
    </w:p>
    <w:p w:rsidR="00B715FA" w:rsidRPr="00FA006A" w:rsidRDefault="00B715FA" w:rsidP="00B715FA">
      <w:pPr>
        <w:pStyle w:val="NormalWeb"/>
        <w:spacing w:after="180"/>
        <w:jc w:val="both"/>
        <w:rPr>
          <w:color w:val="FF0000"/>
          <w:spacing w:val="-1"/>
          <w:u w:val="single"/>
        </w:rPr>
      </w:pPr>
      <w:r w:rsidRPr="00FA006A">
        <w:rPr>
          <w:color w:val="FF0000"/>
          <w:spacing w:val="-1"/>
          <w:u w:val="single"/>
        </w:rPr>
        <w:t>¿Pero qué pasa después? El precio de la ropa cae, porque se puede producir más al mismo costo. Entonces la gente puede comprar más ropa, y una mayor variedad de ropa, así como otros productos que no habría podido comprar antes. Se crean empleos para satisfacer el cambio en la demanda, reemplazando los empleos originales perdidos, y si el crecimiento de la productividad continúa, las horas de trabajo también pueden caer.</w:t>
      </w:r>
    </w:p>
    <w:p w:rsidR="00B715FA" w:rsidRPr="00FA006A" w:rsidRDefault="00B715FA" w:rsidP="00B715FA">
      <w:pPr>
        <w:pStyle w:val="NormalWeb"/>
        <w:spacing w:after="180"/>
        <w:jc w:val="both"/>
        <w:rPr>
          <w:color w:val="FF0000"/>
          <w:spacing w:val="-1"/>
          <w:u w:val="single"/>
        </w:rPr>
      </w:pPr>
      <w:r w:rsidRPr="00FA006A">
        <w:rPr>
          <w:color w:val="FF0000"/>
          <w:spacing w:val="-1"/>
          <w:u w:val="single"/>
        </w:rPr>
        <w:t>Hay que destacar que, en este escenario optimista, no se necesitan sindicatos, salarios mínimos, protecciones de empleos o planes de redistribución para aumentar el ingreso real (ajustado por inflación) de los trabajadores. El aumento de los salarios es un efecto automático de la caída del costo de los productos. Siempre que no haya una presión bajista sobre los salarios nominales como consecuencia de una mayor competencia por el trabajo, el efecto automático de la innovación tecnológica es aumentar el estándar de vida.</w:t>
      </w:r>
    </w:p>
    <w:p w:rsidR="00B715FA" w:rsidRPr="00700821" w:rsidRDefault="00B715FA" w:rsidP="00B715FA">
      <w:pPr>
        <w:pStyle w:val="NormalWeb"/>
        <w:spacing w:after="180"/>
        <w:jc w:val="both"/>
        <w:rPr>
          <w:spacing w:val="-1"/>
        </w:rPr>
      </w:pPr>
      <w:r w:rsidRPr="00700821">
        <w:rPr>
          <w:spacing w:val="-1"/>
        </w:rPr>
        <w:t>Este es el famoso argumento de Friedrich Hayek contra cualquier intento de parte de los gobiernos o los bancos centrales por estabilizar el nivel de precios. En cualquier economía tecnológicamente progresista, los precios deberían caer excepto en unos pocos mercados de nicho. Los empresarios no necesitan una inflación baja para expandir la producción. Sólo necesitan la perspectiva de más ventas. La “carestía” de productos es una seña</w:t>
      </w:r>
      <w:r>
        <w:rPr>
          <w:spacing w:val="-1"/>
        </w:rPr>
        <w:t>l de estancamiento tecnológico.</w:t>
      </w:r>
    </w:p>
    <w:p w:rsidR="00B715FA" w:rsidRPr="00FA006A" w:rsidRDefault="00B715FA" w:rsidP="00B715FA">
      <w:pPr>
        <w:pStyle w:val="NormalWeb"/>
        <w:spacing w:after="180"/>
        <w:jc w:val="both"/>
        <w:rPr>
          <w:spacing w:val="-1"/>
          <w:u w:val="single"/>
        </w:rPr>
      </w:pPr>
      <w:r w:rsidRPr="00FA006A">
        <w:rPr>
          <w:spacing w:val="-1"/>
          <w:u w:val="single"/>
        </w:rPr>
        <w:t>Pero nuestro novato de ajedrez plantea dos interrogantes importantes: “Si la automatización no está confinada a una sola industria, sino que se propaga a otras, ¿acaso más y más empleos no se volverán redundantes? ¿Y la mayor competencia por los trabajos que queden no hará bajar el salario, compensando y hasta revirtiendo las ganancias gracias al bajo costo?”</w:t>
      </w:r>
    </w:p>
    <w:p w:rsidR="00B715FA" w:rsidRPr="00FA006A" w:rsidRDefault="00B715FA" w:rsidP="00B715FA">
      <w:pPr>
        <w:pStyle w:val="NormalWeb"/>
        <w:spacing w:after="180"/>
        <w:jc w:val="both"/>
        <w:rPr>
          <w:color w:val="FF0000"/>
          <w:spacing w:val="-1"/>
          <w:u w:val="single"/>
        </w:rPr>
      </w:pPr>
      <w:r w:rsidRPr="00FA006A">
        <w:rPr>
          <w:color w:val="FF0000"/>
          <w:spacing w:val="-1"/>
          <w:u w:val="single"/>
        </w:rPr>
        <w:t>Los seres humanos, responde el economista, no serán reemplazados, sino complementados. Los sistemas automatizados, ya sea mediante robots o no, mejorarán, no destruirán, el valor del trabajo humano, de la misma manera que un ser humano más una buena computadora todavía pueden derrotar a la mejor computadora en ajedrez. Por supuesto, habrá que “mejorar las capacidades” de los seres humanos. Esto llevará tiempo, y tendrá que ser un esfuerzo continuo. Pero una vez que la capacitación esté en marcha, no hay motivos para esperar una pérdida neta de empleos. Y como el valor de los empleos habrá mejorado, los ingresos reales seguirán aumentando. En lugar de tenerle miedo a las máquinas, los seres humanos deberían relajarse y disfrutar del viaje hacia un futuro glorioso.</w:t>
      </w:r>
    </w:p>
    <w:p w:rsidR="00B715FA" w:rsidRPr="00FA006A" w:rsidRDefault="00B715FA" w:rsidP="00B715FA">
      <w:pPr>
        <w:pStyle w:val="NormalWeb"/>
        <w:spacing w:after="180"/>
        <w:jc w:val="both"/>
        <w:rPr>
          <w:color w:val="FF0000"/>
          <w:spacing w:val="-1"/>
          <w:u w:val="single"/>
        </w:rPr>
      </w:pPr>
      <w:r w:rsidRPr="00FA006A">
        <w:rPr>
          <w:color w:val="FF0000"/>
          <w:spacing w:val="-1"/>
          <w:u w:val="single"/>
        </w:rPr>
        <w:t>Además, agregará el economista, las máquinas no pueden reemplazar muchos empleos que exigen un contacto de persona a persona, destreza física o una toma de decisiones no rutinaria, al menos no en lo inmediato. De manera que siempre habrá lugar para los seres humanos en cualquier patrón de trabajo futuro.</w:t>
      </w:r>
    </w:p>
    <w:p w:rsidR="00B715FA" w:rsidRPr="00FA006A" w:rsidRDefault="00B715FA" w:rsidP="00B715FA">
      <w:pPr>
        <w:pStyle w:val="NormalWeb"/>
        <w:spacing w:after="180"/>
        <w:jc w:val="both"/>
        <w:rPr>
          <w:spacing w:val="-1"/>
          <w:u w:val="single"/>
        </w:rPr>
      </w:pPr>
      <w:r w:rsidRPr="00FA006A">
        <w:rPr>
          <w:spacing w:val="-1"/>
          <w:u w:val="single"/>
        </w:rPr>
        <w:t>Ignoremos por un momento los tremendos costos que implica esta redirección masiva del trabajo humano. La pregunta es qué empleos corren más riesgo en qué sectores</w:t>
      </w:r>
      <w:r w:rsidRPr="00700821">
        <w:rPr>
          <w:spacing w:val="-1"/>
        </w:rPr>
        <w:t xml:space="preserve">. Según el economista del MIT David Autor, la automatización reemplazará ocupaciones más rutinarias y complementará los empleos no rutinarios altamente calificados. </w:t>
      </w:r>
      <w:r w:rsidRPr="00FA006A">
        <w:rPr>
          <w:spacing w:val="-1"/>
          <w:u w:val="single"/>
        </w:rPr>
        <w:t>Mientras que los efectos en los empleos poco calificados no se percibirán tanto, los empleos medianamente calificados gradualmente irán desapareciendo, mientras que la demanda de empleos altamente calificados aumentará. “Empleos agradables” en la parte superior y “empleos miserables” en la parte inferior, como lo describieron los economistas de la LSE Maarten Goos y Alan Manning. La frontera de la tecnología se detiene en lo que es irreductiblemente humano.</w:t>
      </w:r>
    </w:p>
    <w:p w:rsidR="00B715FA" w:rsidRPr="00FA006A" w:rsidRDefault="00B715FA" w:rsidP="00B715FA">
      <w:pPr>
        <w:pStyle w:val="NormalWeb"/>
        <w:spacing w:after="180"/>
        <w:jc w:val="both"/>
        <w:rPr>
          <w:color w:val="FF0000"/>
          <w:spacing w:val="-1"/>
          <w:u w:val="single"/>
        </w:rPr>
      </w:pPr>
      <w:r w:rsidRPr="00FA006A">
        <w:rPr>
          <w:color w:val="FF0000"/>
          <w:spacing w:val="-1"/>
          <w:u w:val="single"/>
        </w:rPr>
        <w:t xml:space="preserve">Pero un futuro moldeado según las líneas sugeridas por Autor tiene una implicancia preocupantemente distópica. Es fácil ver por qué los empleos humanos agradables seguirán siendo valorados de la misma manera o incluso más. El talento excepcional siempre exigirá un plus. ¿Pero es verdad que los trabajos miserables estarán confinados a quienes tengan capacidades mínimas? ¿Cuánto tiempo va a llevarles a quienes están encaminados hacia la redundancia capacitarse lo suficiente como para complementar a las máquinas cada vez mejores? Y, a la espera de su capacitación, ¿no inflarán la competencia por trabajos miserables? ¿Cuántas generaciones tendrán que sacrificarse para cumplir la promesa de la automatización? La ciencia ficción se ha adelantado al análisis económico y ha imaginado un futuro en el que una pequeña minoría de rentistas ricos disfrutan de los servicios casi ilimitados de una mayoría que recibe un pago mínimo. </w:t>
      </w:r>
    </w:p>
    <w:p w:rsidR="00B715FA" w:rsidRPr="000E00EE" w:rsidRDefault="00B715FA" w:rsidP="00B715FA">
      <w:pPr>
        <w:pStyle w:val="NormalWeb"/>
        <w:spacing w:after="180"/>
        <w:jc w:val="both"/>
        <w:rPr>
          <w:color w:val="FF0000"/>
          <w:spacing w:val="-1"/>
          <w:u w:val="single"/>
        </w:rPr>
      </w:pPr>
      <w:r w:rsidRPr="000E00EE">
        <w:rPr>
          <w:b/>
          <w:color w:val="FF0000"/>
          <w:spacing w:val="-1"/>
          <w:u w:val="single"/>
        </w:rPr>
        <w:t>El optimista dice: dejen que el mercado establezca un equilibrio nuevo y superior, como siempre lo ha hecho. El pesimista dice: sin una acción colectiva para controlar el ritmo y el tipo de innovación, surge una nueva esclavitud</w:t>
      </w:r>
      <w:r w:rsidRPr="00700821">
        <w:rPr>
          <w:spacing w:val="-1"/>
        </w:rPr>
        <w:t xml:space="preserve">. </w:t>
      </w:r>
      <w:r w:rsidRPr="000E00EE">
        <w:rPr>
          <w:color w:val="FF0000"/>
          <w:spacing w:val="-1"/>
          <w:u w:val="single"/>
        </w:rPr>
        <w:t>Pero si bien la necesidad de una intervención política para canalizar la automatización a favor de los seres humanos es incuestionable, la verdadera serpiente en el jardín es la ceguera filosófica y ética. “Se puede decir que una sociedad es decadente”, escribió el filósofo checo Jan Patočka, “si funciona para alentar una vida decadente, una vida adicta a lo que es inhumano por naturaleza propia”.</w:t>
      </w:r>
    </w:p>
    <w:p w:rsidR="00B715FA" w:rsidRPr="000E00EE" w:rsidRDefault="00B715FA" w:rsidP="00B715FA">
      <w:pPr>
        <w:pStyle w:val="NormalWeb"/>
        <w:spacing w:after="180"/>
        <w:jc w:val="both"/>
        <w:rPr>
          <w:color w:val="FF0000"/>
          <w:spacing w:val="-1"/>
          <w:u w:val="single"/>
          <w:lang w:val="en-US"/>
        </w:rPr>
      </w:pPr>
      <w:r w:rsidRPr="000E00EE">
        <w:rPr>
          <w:color w:val="FF0000"/>
          <w:spacing w:val="-1"/>
          <w:u w:val="single"/>
        </w:rPr>
        <w:t xml:space="preserve">No son los empleos humanos los que están en riesgo como consecuencia del ascenso de los robots. </w:t>
      </w:r>
      <w:r w:rsidRPr="000E00EE">
        <w:rPr>
          <w:color w:val="FF0000"/>
          <w:spacing w:val="-1"/>
          <w:u w:val="single"/>
          <w:lang w:val="en-US"/>
        </w:rPr>
        <w:t>Es la humanidad misma.</w:t>
      </w:r>
    </w:p>
    <w:p w:rsidR="00B715FA" w:rsidRDefault="00B715FA" w:rsidP="00B715FA">
      <w:pPr>
        <w:pStyle w:val="NormalWeb"/>
        <w:spacing w:after="180"/>
        <w:jc w:val="both"/>
        <w:rPr>
          <w:spacing w:val="-1"/>
          <w:lang w:val="en-US"/>
        </w:rPr>
      </w:pPr>
      <w:r>
        <w:rPr>
          <w:spacing w:val="-1"/>
          <w:lang w:val="en-US"/>
        </w:rPr>
        <w:t>(</w:t>
      </w:r>
      <w:r w:rsidRPr="00700821">
        <w:rPr>
          <w:spacing w:val="-1"/>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w:t>
      </w:r>
      <w:r>
        <w:rPr>
          <w:spacing w:val="-1"/>
          <w:lang w:val="en-US"/>
        </w:rPr>
        <w:t xml:space="preserve"> intervention in Kosovo in 1999)</w:t>
      </w:r>
    </w:p>
    <w:p w:rsidR="00B715FA" w:rsidRPr="00B97CD8" w:rsidRDefault="00B715FA" w:rsidP="00B715FA">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FD1F24">
        <w:rPr>
          <w:rFonts w:ascii="Times New Roman" w:hAnsi="Times New Roman" w:cs="Times New Roman"/>
          <w:sz w:val="24"/>
          <w:szCs w:val="24"/>
        </w:rPr>
        <w:t>¿</w:t>
      </w:r>
      <w:r w:rsidRPr="00FD1F24">
        <w:rPr>
          <w:rFonts w:ascii="Times New Roman" w:hAnsi="Times New Roman" w:cs="Times New Roman"/>
          <w:sz w:val="24"/>
          <w:szCs w:val="24"/>
          <w:u w:val="single"/>
        </w:rPr>
        <w:t>Qué le pasa al capitalismo contemporáneo</w:t>
      </w:r>
      <w:r w:rsidRPr="00FD1F24">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FD1F24">
        <w:rPr>
          <w:rFonts w:ascii="Times New Roman" w:hAnsi="Times New Roman" w:cs="Times New Roman"/>
          <w:b/>
          <w:sz w:val="24"/>
          <w:szCs w:val="24"/>
        </w:rPr>
        <w:t>13/3/19</w:t>
      </w:r>
      <w:r>
        <w:rPr>
          <w:rFonts w:ascii="Times New Roman" w:hAnsi="Times New Roman" w:cs="Times New Roman"/>
          <w:sz w:val="24"/>
          <w:szCs w:val="24"/>
        </w:rPr>
        <w:t xml:space="preserve">) </w:t>
      </w:r>
    </w:p>
    <w:p w:rsidR="00B715FA" w:rsidRPr="0057246B" w:rsidRDefault="00B715FA" w:rsidP="00B715FA">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Princeton.-</w:t>
      </w:r>
      <w:r w:rsidRPr="0057246B">
        <w:rPr>
          <w:rFonts w:ascii="Times New Roman" w:hAnsi="Times New Roman" w:cs="Times New Roman"/>
          <w:color w:val="FF0000"/>
          <w:sz w:val="24"/>
          <w:szCs w:val="24"/>
          <w:u w:val="single"/>
        </w:rPr>
        <w:t>Casi de repente, el capitalismo se ha puesto visiblemente enfermo. El resurgido virus del socialismo infecta una vez más a los jóvenes. Otros más prudentes que aprecian los logros pasados del capitalismo y quieren salvarlo proponen diagnósticos y remedios. Pero sus propuestas a veces se superponen con las de quienes querrían hacer pedazos el sistema; y las distinciones tradicionales entre izquierda y derecha ya no dicen nada.</w:t>
      </w:r>
    </w:p>
    <w:p w:rsidR="00B715FA" w:rsidRPr="00E66A62" w:rsidRDefault="00B715FA" w:rsidP="00B715FA">
      <w:pPr>
        <w:spacing w:line="240" w:lineRule="auto"/>
        <w:jc w:val="both"/>
        <w:rPr>
          <w:rFonts w:ascii="Times New Roman" w:hAnsi="Times New Roman" w:cs="Times New Roman"/>
          <w:b/>
          <w:color w:val="FF0000"/>
          <w:sz w:val="24"/>
          <w:szCs w:val="24"/>
          <w:u w:val="single"/>
        </w:rPr>
      </w:pPr>
      <w:r w:rsidRPr="00FD1F24">
        <w:rPr>
          <w:rFonts w:ascii="Times New Roman" w:hAnsi="Times New Roman" w:cs="Times New Roman"/>
          <w:sz w:val="24"/>
          <w:szCs w:val="24"/>
        </w:rPr>
        <w:t xml:space="preserve">Felizmente, </w:t>
      </w:r>
      <w:r w:rsidRPr="00E66A62">
        <w:rPr>
          <w:rFonts w:ascii="Times New Roman" w:hAnsi="Times New Roman" w:cs="Times New Roman"/>
          <w:sz w:val="24"/>
          <w:szCs w:val="24"/>
          <w:u w:val="single"/>
        </w:rPr>
        <w:t>Raghuram G. Rajan, exgobernador del Banco de Reserva de la India y profesor en la Escuela de Negocios Booth de la Universidad de Chicago</w:t>
      </w:r>
      <w:r w:rsidRPr="00FD1F24">
        <w:rPr>
          <w:rFonts w:ascii="Times New Roman" w:hAnsi="Times New Roman" w:cs="Times New Roman"/>
          <w:sz w:val="24"/>
          <w:szCs w:val="24"/>
        </w:rPr>
        <w:t xml:space="preserve">, ha puesto su conocimiento y experiencia sin igual a la tarea de analizar el problema. En su nuevo libro, The Third Pillar: How Markets and the State Leave Community Behind </w:t>
      </w:r>
      <w:r>
        <w:rPr>
          <w:rFonts w:ascii="Times New Roman" w:hAnsi="Times New Roman" w:cs="Times New Roman"/>
          <w:b/>
          <w:color w:val="FF0000"/>
          <w:sz w:val="24"/>
          <w:szCs w:val="24"/>
          <w:u w:val="single"/>
        </w:rPr>
        <w:t>(</w:t>
      </w:r>
      <w:r w:rsidRPr="00E66A62">
        <w:rPr>
          <w:rFonts w:ascii="Times New Roman" w:hAnsi="Times New Roman" w:cs="Times New Roman"/>
          <w:b/>
          <w:color w:val="FF0000"/>
          <w:sz w:val="24"/>
          <w:szCs w:val="24"/>
          <w:u w:val="single"/>
        </w:rPr>
        <w:t>El tercer pilar: cómo los mercados y el Estado se olvidan de</w:t>
      </w:r>
      <w:r>
        <w:rPr>
          <w:rFonts w:ascii="Times New Roman" w:hAnsi="Times New Roman" w:cs="Times New Roman"/>
          <w:b/>
          <w:color w:val="FF0000"/>
          <w:sz w:val="24"/>
          <w:szCs w:val="24"/>
          <w:u w:val="single"/>
        </w:rPr>
        <w:t xml:space="preserve"> la comunidad)</w:t>
      </w:r>
      <w:r w:rsidRPr="00E66A62">
        <w:rPr>
          <w:rFonts w:ascii="Times New Roman" w:hAnsi="Times New Roman" w:cs="Times New Roman"/>
          <w:b/>
          <w:color w:val="FF0000"/>
          <w:sz w:val="24"/>
          <w:szCs w:val="24"/>
          <w:u w:val="single"/>
        </w:rPr>
        <w:t>, Rajan sostiene que el cáncer que aflige al capitalismo contemporáneo no es un problema de “Leviatán” (el Estado) ni de “Behemot” (el mercado), sino de la comunidad, que ya no actúa como freno a ambos monstruos. De modo que receta un “localismo inclusivo” para reconstruir comunidades que den a la gente un sentido de dignidad, estatus y significado.</w:t>
      </w:r>
    </w:p>
    <w:p w:rsidR="00B715FA" w:rsidRPr="00E66A62" w:rsidRDefault="00B715FA" w:rsidP="00B715FA">
      <w:pPr>
        <w:spacing w:line="240" w:lineRule="auto"/>
        <w:jc w:val="both"/>
        <w:rPr>
          <w:rFonts w:ascii="Times New Roman" w:hAnsi="Times New Roman" w:cs="Times New Roman"/>
          <w:color w:val="FF0000"/>
          <w:sz w:val="24"/>
          <w:szCs w:val="24"/>
        </w:rPr>
      </w:pPr>
      <w:r w:rsidRPr="00E66A62">
        <w:rPr>
          <w:rFonts w:ascii="Times New Roman" w:hAnsi="Times New Roman" w:cs="Times New Roman"/>
          <w:sz w:val="24"/>
          <w:szCs w:val="24"/>
          <w:u w:val="single"/>
        </w:rPr>
        <w:t>El libro de Rajan, igua</w:t>
      </w:r>
      <w:r w:rsidR="001A1F1D">
        <w:rPr>
          <w:rFonts w:ascii="Times New Roman" w:hAnsi="Times New Roman" w:cs="Times New Roman"/>
          <w:sz w:val="24"/>
          <w:szCs w:val="24"/>
          <w:u w:val="single"/>
        </w:rPr>
        <w:t>l que The Future of Capitalism (</w:t>
      </w:r>
      <w:r w:rsidRPr="00E66A62">
        <w:rPr>
          <w:rFonts w:ascii="Times New Roman" w:hAnsi="Times New Roman" w:cs="Times New Roman"/>
          <w:sz w:val="24"/>
          <w:szCs w:val="24"/>
          <w:u w:val="single"/>
        </w:rPr>
        <w:t xml:space="preserve">El </w:t>
      </w:r>
      <w:r w:rsidR="001A1F1D">
        <w:rPr>
          <w:rFonts w:ascii="Times New Roman" w:hAnsi="Times New Roman" w:cs="Times New Roman"/>
          <w:sz w:val="24"/>
          <w:szCs w:val="24"/>
          <w:u w:val="single"/>
        </w:rPr>
        <w:t>futuro del capitalismo)</w:t>
      </w:r>
      <w:r w:rsidRPr="00E66A62">
        <w:rPr>
          <w:rFonts w:ascii="Times New Roman" w:hAnsi="Times New Roman" w:cs="Times New Roman"/>
          <w:sz w:val="24"/>
          <w:szCs w:val="24"/>
          <w:u w:val="single"/>
        </w:rPr>
        <w:t xml:space="preserve"> de Paul Collier (economista de la Universidad de Oxford), es </w:t>
      </w:r>
      <w:r w:rsidRPr="00E66A62">
        <w:rPr>
          <w:rFonts w:ascii="Times New Roman" w:hAnsi="Times New Roman" w:cs="Times New Roman"/>
          <w:color w:val="FF0000"/>
          <w:sz w:val="24"/>
          <w:szCs w:val="24"/>
        </w:rPr>
        <w:t>exponente de un género cada vez más nutrido de críticas del capitalismo desde dentro. Rajan defiende el capitalismo, pero comprende que ya no está trabajando al servicio del bien social y que es preciso ponerlo otra vez bajo control.</w:t>
      </w:r>
    </w:p>
    <w:p w:rsidR="00B715FA" w:rsidRPr="00E66A62" w:rsidRDefault="00B715FA" w:rsidP="00B715FA">
      <w:pPr>
        <w:spacing w:line="240" w:lineRule="auto"/>
        <w:jc w:val="both"/>
        <w:rPr>
          <w:rFonts w:ascii="Times New Roman" w:hAnsi="Times New Roman" w:cs="Times New Roman"/>
          <w:sz w:val="24"/>
          <w:szCs w:val="24"/>
          <w:u w:val="single"/>
        </w:rPr>
      </w:pPr>
      <w:r w:rsidRPr="00FD1F24">
        <w:rPr>
          <w:rFonts w:ascii="Times New Roman" w:hAnsi="Times New Roman" w:cs="Times New Roman"/>
          <w:sz w:val="24"/>
          <w:szCs w:val="24"/>
        </w:rPr>
        <w:t xml:space="preserve">The Third Pillar hace un profundo análisis del contexto histórico para explicar el momento actual; pero sus mayores aciertos son cuando recapitula los acontecimientos posteriores a la Segunda Guerra Mundial para explicar por qué </w:t>
      </w:r>
      <w:r w:rsidRPr="00E66A62">
        <w:rPr>
          <w:rFonts w:ascii="Times New Roman" w:hAnsi="Times New Roman" w:cs="Times New Roman"/>
          <w:sz w:val="24"/>
          <w:szCs w:val="24"/>
          <w:u w:val="single"/>
        </w:rPr>
        <w:t>todo empezó a descomponerse allá por 1970. Hasta entonces, el mundo había estado ocupado en la recuperación y la reconstrucción, y el crecimiento económico había recibido un impulso adicional gracias a la adopción de tecnologías de frontera por medio de la inversión en reemplazos.</w:t>
      </w:r>
    </w:p>
    <w:p w:rsidR="00B715FA" w:rsidRPr="00E66A62" w:rsidRDefault="00B715FA" w:rsidP="00B715FA">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Pero después de 1970 el crecimiento tendencial se desaceleró, lo que explica muchas de las dificultades actuales. Mientras eso sucedía, los gobiernos no tuvieron idea de cómo hacer frente a la desaceleración, más que prometer la restauración del perdido paraíso de la posguerra. En la mayoría de los casos eso supuso más endeudamiento. Y en Europa, las élites se lanzaron a la unificación continental, con el elevado propósito de poner fin a la reiteración de episodios de matanza. Pero en su prisa por obtener los beneficios obvios de la integración, se olvidaron de sumar a la ciudadanía. Fue así como finalmente aprendieron que después de la hibris llega la némesis.</w:t>
      </w:r>
    </w:p>
    <w:p w:rsidR="00B715FA" w:rsidRPr="00E66A62" w:rsidRDefault="00B715FA" w:rsidP="00B715FA">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El éxito de la socialdemocracia en la posguerra debilitó el poder del mercado para actuar como una influencia moderadora sobre el Estado. Según Rajan, ambos debilitados actores, en Europa y en Estados Unidos, quedaron mal parados para lidiar con la inminente revolución de las tecnologías de la información y de las comunicaciones (TIC), de modo que la gente de a pie tuvo que hacer frente sola a las amenazas. Y las corporaciones, en vez de ayudar a sus trabajadores a manejar la disrupción, la empeoraron, al usar la vulnerabilidad de sus empleados para enriquecer a sus accionistas y ejecutivos.</w:t>
      </w:r>
    </w:p>
    <w:p w:rsidR="00B715FA" w:rsidRPr="00FD1F24" w:rsidRDefault="00B715FA" w:rsidP="00B715FA">
      <w:pPr>
        <w:spacing w:line="240" w:lineRule="auto"/>
        <w:jc w:val="both"/>
        <w:rPr>
          <w:rFonts w:ascii="Times New Roman" w:hAnsi="Times New Roman" w:cs="Times New Roman"/>
          <w:sz w:val="24"/>
          <w:szCs w:val="24"/>
        </w:rPr>
      </w:pPr>
      <w:r w:rsidRPr="00E66A62">
        <w:rPr>
          <w:rFonts w:ascii="Times New Roman" w:hAnsi="Times New Roman" w:cs="Times New Roman"/>
          <w:b/>
          <w:color w:val="FF0000"/>
          <w:sz w:val="24"/>
          <w:szCs w:val="24"/>
          <w:u w:val="single"/>
        </w:rPr>
        <w:t>¡Y cómo se enriquecieron! Conforme la mediana de ingreso de los hogares se estancó y aumentó la concentración de la riqueza, el capitalismo se volvió manifiestamente injusto y perdió el apoyo popular</w:t>
      </w:r>
      <w:r w:rsidRPr="00FD1F24">
        <w:rPr>
          <w:rFonts w:ascii="Times New Roman" w:hAnsi="Times New Roman" w:cs="Times New Roman"/>
          <w:sz w:val="24"/>
          <w:szCs w:val="24"/>
        </w:rPr>
        <w:t>. Para poner a raya a sus oponentes, Behemot llamó en su auxilio a Leviatán, sin comprender que un Leviatán populista de dere</w:t>
      </w:r>
      <w:r>
        <w:rPr>
          <w:rFonts w:ascii="Times New Roman" w:hAnsi="Times New Roman" w:cs="Times New Roman"/>
          <w:sz w:val="24"/>
          <w:szCs w:val="24"/>
        </w:rPr>
        <w:t>cha al final se come a Behemot.</w:t>
      </w:r>
    </w:p>
    <w:p w:rsidR="00B715FA" w:rsidRPr="00E66A62" w:rsidRDefault="00B715FA" w:rsidP="00B715FA">
      <w:pPr>
        <w:spacing w:line="240" w:lineRule="auto"/>
        <w:jc w:val="both"/>
        <w:rPr>
          <w:rFonts w:ascii="Times New Roman" w:hAnsi="Times New Roman" w:cs="Times New Roman"/>
          <w:b/>
          <w:color w:val="FF0000"/>
          <w:sz w:val="24"/>
          <w:szCs w:val="24"/>
          <w:u w:val="single"/>
        </w:rPr>
      </w:pPr>
      <w:r w:rsidRPr="00E66A62">
        <w:rPr>
          <w:rFonts w:ascii="Times New Roman" w:hAnsi="Times New Roman" w:cs="Times New Roman"/>
          <w:color w:val="FF0000"/>
          <w:sz w:val="24"/>
          <w:szCs w:val="24"/>
          <w:u w:val="single"/>
        </w:rPr>
        <w:t>Hay que destacar dos puntos de la exposición de Rajan. En primer lugar, la desaceleración del crecimiento es una causa fundamental (aunque de ritmo lento) del malestar social y económico de la actualidad. En segundo lugar, las consecuencias desafortunadas de la revolución de las TIC no son propiedades inherentes del cambio tecnológico; más bien, como señala Rajan, reflejan una “falta de modulación de los mercados por parte del Estado y de los mercados mismos”</w:t>
      </w:r>
      <w:r w:rsidRPr="00FD1F24">
        <w:rPr>
          <w:rFonts w:ascii="Times New Roman" w:hAnsi="Times New Roman" w:cs="Times New Roman"/>
          <w:sz w:val="24"/>
          <w:szCs w:val="24"/>
        </w:rPr>
        <w:t xml:space="preserve">. El autor no insiste en esto, pero el segundo punto nos da motivos de esperanza, porque implica que </w:t>
      </w:r>
      <w:r w:rsidRPr="00E66A62">
        <w:rPr>
          <w:rFonts w:ascii="Times New Roman" w:hAnsi="Times New Roman" w:cs="Times New Roman"/>
          <w:b/>
          <w:color w:val="FF0000"/>
          <w:sz w:val="24"/>
          <w:szCs w:val="24"/>
          <w:u w:val="single"/>
        </w:rPr>
        <w:t>las TIC no nos condenan a un futuro sin empleo; todavía hay lugar para una formulación de políticas esclarecida.</w:t>
      </w:r>
    </w:p>
    <w:p w:rsidR="00B715FA" w:rsidRPr="00E66A62" w:rsidRDefault="00B715FA" w:rsidP="00B715FA">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sz w:val="24"/>
          <w:szCs w:val="24"/>
          <w:u w:val="single"/>
        </w:rPr>
        <w:t>Rajan hace una muy buena exposición de la mala conducta de las corporaciones, tanto más eficaz cuanto que proviene de un profesor de una importante escuela de negocios</w:t>
      </w:r>
      <w:r w:rsidRPr="00FD1F24">
        <w:rPr>
          <w:rFonts w:ascii="Times New Roman" w:hAnsi="Times New Roman" w:cs="Times New Roman"/>
          <w:sz w:val="24"/>
          <w:szCs w:val="24"/>
        </w:rPr>
        <w:t xml:space="preserve">. </w:t>
      </w:r>
      <w:r w:rsidRPr="00E66A62">
        <w:rPr>
          <w:rFonts w:ascii="Times New Roman" w:hAnsi="Times New Roman" w:cs="Times New Roman"/>
          <w:color w:val="FF0000"/>
          <w:sz w:val="24"/>
          <w:szCs w:val="24"/>
          <w:u w:val="single"/>
        </w:rPr>
        <w:t>Según explica, el cuasiabsolutismo de la doctrina de la primacía de los accionistas sirvió desde el inicio para proteger a los ejecutivos a expensas de los empleados, y sus efectos perjudiciales se agravaron por la práctica de pagar a los ejecutivos con acciones.</w:t>
      </w:r>
    </w:p>
    <w:p w:rsidR="00B715FA" w:rsidRPr="00E66A62" w:rsidRDefault="00B715FA" w:rsidP="00B715FA">
      <w:pPr>
        <w:spacing w:line="240" w:lineRule="auto"/>
        <w:jc w:val="both"/>
        <w:rPr>
          <w:rFonts w:ascii="Times New Roman" w:hAnsi="Times New Roman" w:cs="Times New Roman"/>
          <w:color w:val="FF0000"/>
          <w:sz w:val="24"/>
          <w:szCs w:val="24"/>
          <w:u w:val="single"/>
        </w:rPr>
      </w:pPr>
      <w:r w:rsidRPr="00FD1F24">
        <w:rPr>
          <w:rFonts w:ascii="Times New Roman" w:hAnsi="Times New Roman" w:cs="Times New Roman"/>
          <w:sz w:val="24"/>
          <w:szCs w:val="24"/>
        </w:rPr>
        <w:t xml:space="preserve">En The Future of Capitalism, Collier hace una exposición similar desde Gran Bretaña, con la historia de la empresa británica más admirada de su infancia (y de la mía): </w:t>
      </w:r>
      <w:r w:rsidRPr="00E66A62">
        <w:rPr>
          <w:rFonts w:ascii="Times New Roman" w:hAnsi="Times New Roman" w:cs="Times New Roman"/>
          <w:sz w:val="24"/>
          <w:szCs w:val="24"/>
          <w:u w:val="single"/>
        </w:rPr>
        <w:t>Imperial Chemical Industries</w:t>
      </w:r>
      <w:r w:rsidRPr="00FD1F24">
        <w:rPr>
          <w:rFonts w:ascii="Times New Roman" w:hAnsi="Times New Roman" w:cs="Times New Roman"/>
          <w:sz w:val="24"/>
          <w:szCs w:val="24"/>
        </w:rPr>
        <w:t xml:space="preserve">. En aquel tiempo todos crecíamos soñando trabajar algún día en ICI, una empresa que proclamaba como misión “ser la mejor compañía química del mundo”. Pero </w:t>
      </w:r>
      <w:r w:rsidRPr="00E66A62">
        <w:rPr>
          <w:rFonts w:ascii="Times New Roman" w:hAnsi="Times New Roman" w:cs="Times New Roman"/>
          <w:color w:val="FF0000"/>
          <w:sz w:val="24"/>
          <w:szCs w:val="24"/>
          <w:u w:val="single"/>
        </w:rPr>
        <w:t>en los noventa, ICI cambió de norte, al adoptar el principio de valor para los accionistas. Y según Collier, ese único cambio destruyó a la empresa.</w:t>
      </w:r>
    </w:p>
    <w:p w:rsidR="00B715FA" w:rsidRPr="00E66A62" w:rsidRDefault="00B715FA" w:rsidP="00B715FA">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¿Y la comunidad? En otros tiempos, Estados Unidos fue un país líder en educación pública, cuyas comunidades locales ofrecían a niños de cualquier nivel de talento y condición económica escuelas donde aprendían juntos. Y cuando la educación primaria dejó de ser suficiente, también empezaron a proveer acceso universal a la educación secundaria.</w:t>
      </w:r>
    </w:p>
    <w:p w:rsidR="00B715FA" w:rsidRPr="00E66A62" w:rsidRDefault="00B715FA" w:rsidP="00B715FA">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Pero hoy que para triunfar se necesita título universitario, los jóvenes más talentosos van a buscarlo muy lejos de su comunidad de origen, y terminan autosegregándose en ciudades cada vez más grandes, de las que los menos talentosos quedan excluidos por los altos costos de vida. Protegidos en sus relucientes claustros, los que triunfan forman una meri</w:t>
      </w:r>
      <w:r w:rsidR="001A1F1D">
        <w:rPr>
          <w:rFonts w:ascii="Times New Roman" w:hAnsi="Times New Roman" w:cs="Times New Roman"/>
          <w:color w:val="FF0000"/>
          <w:sz w:val="24"/>
          <w:szCs w:val="24"/>
          <w:u w:val="single"/>
        </w:rPr>
        <w:t>tocracia en la que a sus hijos -y a casi nadie más-</w:t>
      </w:r>
      <w:r w:rsidRPr="00E66A62">
        <w:rPr>
          <w:rFonts w:ascii="Times New Roman" w:hAnsi="Times New Roman" w:cs="Times New Roman"/>
          <w:color w:val="FF0000"/>
          <w:sz w:val="24"/>
          <w:szCs w:val="24"/>
          <w:u w:val="single"/>
        </w:rPr>
        <w:t xml:space="preserve"> les va tan bien como a ellos.</w:t>
      </w:r>
    </w:p>
    <w:p w:rsidR="00B715FA" w:rsidRPr="00E66A62" w:rsidRDefault="00B715FA" w:rsidP="00B715FA">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Collier cuenta la misma historia en Gran Bretaña, donde el talento y la participación en el ingreso nacional se han ido concentrando en Londres, y se generó vaciamiento y resentimiento en las localidades del interior. Pero como señala Janan Ganesh, del Financial Times, las élites metropolitanas ahora se encuentran “encadenadas a un cadáver”.</w:t>
      </w:r>
    </w:p>
    <w:p w:rsidR="00B715FA" w:rsidRPr="008240EA" w:rsidRDefault="00B715FA" w:rsidP="00B715FA">
      <w:pPr>
        <w:spacing w:line="240" w:lineRule="auto"/>
        <w:jc w:val="both"/>
        <w:rPr>
          <w:rFonts w:ascii="Times New Roman" w:hAnsi="Times New Roman" w:cs="Times New Roman"/>
          <w:sz w:val="24"/>
          <w:szCs w:val="24"/>
        </w:rPr>
      </w:pPr>
      <w:r w:rsidRPr="006E45B9">
        <w:rPr>
          <w:rFonts w:ascii="Times New Roman" w:hAnsi="Times New Roman" w:cs="Times New Roman"/>
          <w:sz w:val="24"/>
          <w:szCs w:val="24"/>
          <w:u w:val="single"/>
        </w:rPr>
        <w:t>Rajan considera que la meritocracia es un producto de la revolución de las TIC. Pero yo sospecho que viene de antes</w:t>
      </w:r>
      <w:r w:rsidRPr="00FD1F24">
        <w:rPr>
          <w:rFonts w:ascii="Times New Roman" w:hAnsi="Times New Roman" w:cs="Times New Roman"/>
          <w:sz w:val="24"/>
          <w:szCs w:val="24"/>
        </w:rPr>
        <w:t xml:space="preserve">. No olvidemos que el sociólogo británico Michael Young publicó su </w:t>
      </w:r>
      <w:r w:rsidR="007D67F3" w:rsidRPr="00FD1F24">
        <w:rPr>
          <w:rFonts w:ascii="Times New Roman" w:hAnsi="Times New Roman" w:cs="Times New Roman"/>
          <w:sz w:val="24"/>
          <w:szCs w:val="24"/>
        </w:rPr>
        <w:t>presiente</w:t>
      </w:r>
      <w:r w:rsidRPr="00FD1F24">
        <w:rPr>
          <w:rFonts w:ascii="Times New Roman" w:hAnsi="Times New Roman" w:cs="Times New Roman"/>
          <w:sz w:val="24"/>
          <w:szCs w:val="24"/>
        </w:rPr>
        <w:t xml:space="preserve"> distop</w:t>
      </w:r>
      <w:r w:rsidR="0011116D">
        <w:rPr>
          <w:rFonts w:ascii="Times New Roman" w:hAnsi="Times New Roman" w:cs="Times New Roman"/>
          <w:sz w:val="24"/>
          <w:szCs w:val="24"/>
        </w:rPr>
        <w:t>ía The Rise of the Meritocracy (El ascenso de la meritocracia)</w:t>
      </w:r>
      <w:r w:rsidRPr="00FD1F24">
        <w:rPr>
          <w:rFonts w:ascii="Times New Roman" w:hAnsi="Times New Roman" w:cs="Times New Roman"/>
          <w:sz w:val="24"/>
          <w:szCs w:val="24"/>
        </w:rPr>
        <w:t xml:space="preserve"> en 1958. De hecho, Collier y yo somos parte de la primera camada de la meritocracia británica. Y tal como predijo Young, nuestra cohorte dejó el sistema inservible para las generaciones siguientes, sin dejar de alabar sus virtudes. En Escocia, donde crecí, los talentos locales, intelectuales, escritores, historiadores y artistas, todos partieron a buscar mejor fortuna, o renunciaron simplemente a competir con las superestrellas de los mercados de masas. </w:t>
      </w:r>
      <w:r w:rsidRPr="008240EA">
        <w:rPr>
          <w:rFonts w:ascii="Times New Roman" w:hAnsi="Times New Roman" w:cs="Times New Roman"/>
          <w:sz w:val="24"/>
          <w:szCs w:val="24"/>
        </w:rPr>
        <w:t>Y eso nos empobreció a todos.</w:t>
      </w:r>
    </w:p>
    <w:p w:rsidR="00B715FA" w:rsidRPr="006E45B9" w:rsidRDefault="00B715FA" w:rsidP="00B715FA">
      <w:pPr>
        <w:spacing w:line="240" w:lineRule="auto"/>
        <w:jc w:val="both"/>
        <w:rPr>
          <w:rFonts w:ascii="Times New Roman" w:hAnsi="Times New Roman" w:cs="Times New Roman"/>
          <w:color w:val="FF0000"/>
          <w:sz w:val="24"/>
          <w:szCs w:val="24"/>
          <w:u w:val="single"/>
        </w:rPr>
      </w:pPr>
      <w:r w:rsidRPr="006E45B9">
        <w:rPr>
          <w:rFonts w:ascii="Times New Roman" w:hAnsi="Times New Roman" w:cs="Times New Roman"/>
          <w:color w:val="FF0000"/>
          <w:sz w:val="24"/>
          <w:szCs w:val="24"/>
          <w:u w:val="single"/>
        </w:rPr>
        <w:t>Como Rajan, creo que la comunidad es una víctima de la captura de los mercados y del Estado por una élite minoritaria. Pero a diferencia de Rajan, dudo de que comunidades locales más fuertes o una política de localismo (inclusivo o no) puedan ser la cura del mal que nos aqueja. El genio de la meritocracia salió de la botella y ya no hay modo de volver a meterlo.</w:t>
      </w:r>
    </w:p>
    <w:p w:rsidR="00B715FA" w:rsidRDefault="00B715FA" w:rsidP="00B715F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D1F24">
        <w:rPr>
          <w:rFonts w:ascii="Times New Roman" w:hAnsi="Times New Roman" w:cs="Times New Roman"/>
          <w:sz w:val="24"/>
          <w:szCs w:val="24"/>
          <w:lang w:val="en-US"/>
        </w:rPr>
        <w:t>Angus Deaton, the 2015 Nobel laureate in economics, is Professor of Economics and International Affairs Emeritus at Princeton University’s Woodrow Wilson School of Public and International Affairs. He is the author of The Great Escape: Health, Wealth</w:t>
      </w:r>
      <w:r>
        <w:rPr>
          <w:rFonts w:ascii="Times New Roman" w:hAnsi="Times New Roman" w:cs="Times New Roman"/>
          <w:sz w:val="24"/>
          <w:szCs w:val="24"/>
          <w:lang w:val="en-US"/>
        </w:rPr>
        <w:t>, and the Origins of Inequality)</w:t>
      </w:r>
    </w:p>
    <w:p w:rsidR="00B715FA" w:rsidRPr="00EF1450" w:rsidRDefault="00B715FA" w:rsidP="00B715FA">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8F4763">
        <w:rPr>
          <w:rFonts w:ascii="Times New Roman" w:hAnsi="Times New Roman" w:cs="Times New Roman"/>
          <w:sz w:val="24"/>
          <w:szCs w:val="24"/>
          <w:u w:val="single"/>
        </w:rPr>
        <w:t>Una nueva visión de la vieja globalización</w:t>
      </w:r>
      <w:r>
        <w:rPr>
          <w:rFonts w:ascii="Times New Roman" w:hAnsi="Times New Roman" w:cs="Times New Roman"/>
          <w:sz w:val="24"/>
          <w:szCs w:val="24"/>
        </w:rPr>
        <w:t xml:space="preserve"> (Project Syndicate - </w:t>
      </w:r>
      <w:r w:rsidRPr="008F4763">
        <w:rPr>
          <w:rFonts w:ascii="Times New Roman" w:hAnsi="Times New Roman" w:cs="Times New Roman"/>
          <w:b/>
          <w:sz w:val="24"/>
          <w:szCs w:val="24"/>
        </w:rPr>
        <w:t>2/4/19</w:t>
      </w:r>
      <w:r>
        <w:rPr>
          <w:rFonts w:ascii="Times New Roman" w:hAnsi="Times New Roman" w:cs="Times New Roman"/>
          <w:sz w:val="24"/>
          <w:szCs w:val="24"/>
        </w:rPr>
        <w:t xml:space="preserve">) </w:t>
      </w:r>
    </w:p>
    <w:p w:rsidR="00B715FA" w:rsidRPr="008F4763" w:rsidRDefault="00B715FA" w:rsidP="00B715FA">
      <w:pPr>
        <w:spacing w:line="240" w:lineRule="auto"/>
        <w:jc w:val="both"/>
        <w:rPr>
          <w:rFonts w:ascii="Times New Roman" w:hAnsi="Times New Roman" w:cs="Times New Roman"/>
          <w:sz w:val="24"/>
          <w:szCs w:val="24"/>
        </w:rPr>
      </w:pPr>
      <w:r>
        <w:rPr>
          <w:rFonts w:ascii="Times New Roman" w:hAnsi="Times New Roman" w:cs="Times New Roman"/>
          <w:sz w:val="24"/>
          <w:szCs w:val="24"/>
        </w:rPr>
        <w:t>Princeton.-</w:t>
      </w:r>
      <w:r w:rsidRPr="008F4763">
        <w:rPr>
          <w:rFonts w:ascii="Times New Roman" w:hAnsi="Times New Roman" w:cs="Times New Roman"/>
          <w:sz w:val="24"/>
          <w:szCs w:val="24"/>
        </w:rPr>
        <w:t xml:space="preserve"> Hubo un tiempo en que todos daban por sentado que existía un único fenómeno llamado globalización, en el que los flujos transfronterizos de capital financiero impulsaban la innovación, la industrialización, el desarrollo y el comercio internacional. Pero la Iniciativa de la Franja y la Ruta (IFR) del presidente chino Xi Jinping promueve una visión alternativa de la globalización, basada en un sistema integrado de infraestructuras físicas, en el que el mundo material de los barcos y los trenes reemplazará al mundo inmaterial de la financierización.</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Xi concibió la IFR como un modo sencillo de mandar al basurero de la historia la vieja e inestable globalización liderada por Occidente, pero también tiene como objetivo resolver una dificultad local en particular: en concreto, la concentración del desarrollo económico a lo largo de la línea costera de China, donde ha surgido una rica y sofisticada élite ribereña. La estabilidad social exige a China una distribución intranacional más igualitaria de las mejoras de</w:t>
      </w:r>
      <w:r>
        <w:rPr>
          <w:rFonts w:ascii="Times New Roman" w:hAnsi="Times New Roman" w:cs="Times New Roman"/>
          <w:sz w:val="24"/>
          <w:szCs w:val="24"/>
        </w:rPr>
        <w:t xml:space="preserve"> su extraordinario crecimiento.</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 xml:space="preserve">Pero no es un problema exclusivamente chino. Históricamente, las ciudades con importancia global casi siempre han sido litorales, situadas en la línea costera o al lado de ríos navegables. Hace siglos, Ámsterdam, Amberes, Génova y Venecia (también la antigua Atenas y Tiro) eran los nodos comerciales del mundo. Hoy, metrópolis como Londres, Nueva York, Tokio, Hong Kong, </w:t>
      </w:r>
      <w:r w:rsidR="007D67F3" w:rsidRPr="008F4763">
        <w:rPr>
          <w:rFonts w:ascii="Times New Roman" w:hAnsi="Times New Roman" w:cs="Times New Roman"/>
          <w:sz w:val="24"/>
          <w:szCs w:val="24"/>
        </w:rPr>
        <w:t>Shanghái</w:t>
      </w:r>
      <w:r w:rsidRPr="008F4763">
        <w:rPr>
          <w:rFonts w:ascii="Times New Roman" w:hAnsi="Times New Roman" w:cs="Times New Roman"/>
          <w:sz w:val="24"/>
          <w:szCs w:val="24"/>
        </w:rPr>
        <w:t xml:space="preserve">, </w:t>
      </w:r>
      <w:r w:rsidR="007D67F3" w:rsidRPr="008F4763">
        <w:rPr>
          <w:rFonts w:ascii="Times New Roman" w:hAnsi="Times New Roman" w:cs="Times New Roman"/>
          <w:sz w:val="24"/>
          <w:szCs w:val="24"/>
        </w:rPr>
        <w:t>Dubái</w:t>
      </w:r>
      <w:r w:rsidRPr="008F4763">
        <w:rPr>
          <w:rFonts w:ascii="Times New Roman" w:hAnsi="Times New Roman" w:cs="Times New Roman"/>
          <w:sz w:val="24"/>
          <w:szCs w:val="24"/>
        </w:rPr>
        <w:t xml:space="preserve">, </w:t>
      </w:r>
      <w:r w:rsidR="007D67F3" w:rsidRPr="008F4763">
        <w:rPr>
          <w:rFonts w:ascii="Times New Roman" w:hAnsi="Times New Roman" w:cs="Times New Roman"/>
          <w:sz w:val="24"/>
          <w:szCs w:val="24"/>
        </w:rPr>
        <w:t>Sídney</w:t>
      </w:r>
      <w:r w:rsidRPr="008F4763">
        <w:rPr>
          <w:rFonts w:ascii="Times New Roman" w:hAnsi="Times New Roman" w:cs="Times New Roman"/>
          <w:sz w:val="24"/>
          <w:szCs w:val="24"/>
        </w:rPr>
        <w:t xml:space="preserve"> y Río de Janeiro cumplen un papel similar.</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En la división de tareas de la IFR, la “ruta” se refiere (</w:t>
      </w:r>
      <w:r w:rsidR="007D67F3" w:rsidRPr="008F4763">
        <w:rPr>
          <w:rFonts w:ascii="Times New Roman" w:hAnsi="Times New Roman" w:cs="Times New Roman"/>
          <w:sz w:val="24"/>
          <w:szCs w:val="24"/>
        </w:rPr>
        <w:t>contra intuitivamente</w:t>
      </w:r>
      <w:r w:rsidRPr="008F4763">
        <w:rPr>
          <w:rFonts w:ascii="Times New Roman" w:hAnsi="Times New Roman" w:cs="Times New Roman"/>
          <w:sz w:val="24"/>
          <w:szCs w:val="24"/>
        </w:rPr>
        <w:t>) a las conexiones marítimas, mientras que la “franja” se refiere a una serie de proyectos interconectados a lo largo de la masa continental eurasiática. La idea es que territorios interiores como Asia Central y Europa del Este pueden y deben estar tan conectados al resto de la economía global como h</w:t>
      </w:r>
      <w:r>
        <w:rPr>
          <w:rFonts w:ascii="Times New Roman" w:hAnsi="Times New Roman" w:cs="Times New Roman"/>
          <w:sz w:val="24"/>
          <w:szCs w:val="24"/>
        </w:rPr>
        <w:t>oy lo están los nodos costeros.</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 xml:space="preserve">Fuera de China, la IFR atrae en particular a los países que fueron víctimas de la debacle financiera global de 2008 y a la posterior crisis del euro. Por ejemplo, durante los peores días de su crisis de deuda soberana, Grecia atrajo inversiones chinas mediante la venta del 51% del puerto del Pireo a la empresa estatal China Ocean </w:t>
      </w:r>
      <w:r w:rsidR="007D67F3" w:rsidRPr="008F4763">
        <w:rPr>
          <w:rFonts w:ascii="Times New Roman" w:hAnsi="Times New Roman" w:cs="Times New Roman"/>
          <w:sz w:val="24"/>
          <w:szCs w:val="24"/>
        </w:rPr>
        <w:t>Shopping</w:t>
      </w:r>
      <w:r w:rsidRPr="008F4763">
        <w:rPr>
          <w:rFonts w:ascii="Times New Roman" w:hAnsi="Times New Roman" w:cs="Times New Roman"/>
          <w:sz w:val="24"/>
          <w:szCs w:val="24"/>
        </w:rPr>
        <w:t xml:space="preserve"> Company (COSCO). Asimismo, en los años de la crisis Serbia sufrió un tremendo corte del flujo de capitales, y ahora espera convertirse en un nodo de transporte, aun no sien</w:t>
      </w:r>
      <w:r>
        <w:rPr>
          <w:rFonts w:ascii="Times New Roman" w:hAnsi="Times New Roman" w:cs="Times New Roman"/>
          <w:sz w:val="24"/>
          <w:szCs w:val="24"/>
        </w:rPr>
        <w:t>do miembro de la Unión Europea.</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En tanto, el primer ministro portugués António Costa abrió las puertas a la inversión china, y hace poco advirtió contra la implementación de medidas proteccionistas amplias contra las empresas chinas que operan en Occidente. El gobierno de coalición populista italiano acaba de firmar un memorándum de entendimiento con China por el que avala la IFR. Y hasta el Reino Unido, sumido en el caos del Brexit, podría encontrar un nuevo salvavidas geopolítico en la relación económica y de inversiones con el país asiático.</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El intento chino de vincular por medio de la infraestructura regiones no alcanzadas por la globalización no es inédito. Hace más de un siglo, Gran Bretaña era la superpotencia mundial, pero Alemania se estaba poniendo a la par en términos de riqueza y desarrollo tecnológico. Como China en la actualidad, Alemania quería proyectar poder por tierra y por mar. Pero para competir con el Reino Unido, no podía confiar solamente en su marina mercante, así que inició su equivalente de la IFR: una ví</w:t>
      </w:r>
      <w:r>
        <w:rPr>
          <w:rFonts w:ascii="Times New Roman" w:hAnsi="Times New Roman" w:cs="Times New Roman"/>
          <w:sz w:val="24"/>
          <w:szCs w:val="24"/>
        </w:rPr>
        <w:t>a férrea entre Berlín y Bagdad.</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Como la IFR, los nuevos vínculos ferroviarios alemanes conectaban por tierra áreas remotas, y eran atractivos para los perdedores de ese período de globalización, entre los que se destacaba el Imperio Otomano, que había tenido dificultades durante todo el siglo XIX (se lo apodaba “el enfermo de Europa”) y había sido incapaz de encarar reformas y una modernización económica y financiera. Potencias extranjeras controlaban la administración de aduanas del imperio y se quedaban</w:t>
      </w:r>
      <w:r>
        <w:rPr>
          <w:rFonts w:ascii="Times New Roman" w:hAnsi="Times New Roman" w:cs="Times New Roman"/>
          <w:sz w:val="24"/>
          <w:szCs w:val="24"/>
        </w:rPr>
        <w:t xml:space="preserve"> con los ingresos del gobierno.</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Además, como la IFR, el plan de infraestructura alemán entre Berlín y Bagdad dependía de la presión del gobierno para obtener financiación generosa de los bancos privados (sobre todo el Deutsche Bank). Es verdad que esos préstamos habrían de pagarlos, y caros, los otomanos. Pero en aquel tiempo, los préstamos alemanes parecían un modo de escapar de una trampa de deuda arm</w:t>
      </w:r>
      <w:r>
        <w:rPr>
          <w:rFonts w:ascii="Times New Roman" w:hAnsi="Times New Roman" w:cs="Times New Roman"/>
          <w:sz w:val="24"/>
          <w:szCs w:val="24"/>
        </w:rPr>
        <w:t>ada por Gran Bretaña y Francia.</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Finalmente, parece que el plan ferroviario se basó más en la ambición alemana que en la realidad. Una vez concluido, el último tramo a través de las extensiones más áridas de Ana</w:t>
      </w:r>
      <w:r>
        <w:rPr>
          <w:rFonts w:ascii="Times New Roman" w:hAnsi="Times New Roman" w:cs="Times New Roman"/>
          <w:sz w:val="24"/>
          <w:szCs w:val="24"/>
        </w:rPr>
        <w:t>tolia condujo muy poco tráfico.</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 xml:space="preserve">En la IFR también hay potencial de despilfarro a gran escala. Sus críticos ya identificaron un puente con financiación china sobre el cañón del río Morača en Montenegro como un ejemplo clásico de puente a ninguna parte. Fue pensado para vincular el territorio serbio sin salida al mar con la costa del Adriático, pero en la actualidad no conecta absolutamente nada, ni lo hará en un futuro cercano. Dicho de otro modo, es </w:t>
      </w:r>
      <w:r>
        <w:rPr>
          <w:rFonts w:ascii="Times New Roman" w:hAnsi="Times New Roman" w:cs="Times New Roman"/>
          <w:sz w:val="24"/>
          <w:szCs w:val="24"/>
        </w:rPr>
        <w:t>una mera ruta al endeudamiento.</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Ahora que el presidente francés Emmanuel Macron impulsa un Renacimiento Europeo, podemos imaginar un futuro en el que Europa esté integrada no sólo políticamente sino también físicamente, por medio de trenes de alta velocidad, redes de electricidad y gaspetroductos. La globalización estrictamente financiera omitió por demasiad</w:t>
      </w:r>
      <w:r>
        <w:rPr>
          <w:rFonts w:ascii="Times New Roman" w:hAnsi="Times New Roman" w:cs="Times New Roman"/>
          <w:sz w:val="24"/>
          <w:szCs w:val="24"/>
        </w:rPr>
        <w:t>o tiempo esa clase de conexión.</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Pero los países europeos no se ponen de acuerdo en relación con China. Muchos gobiernos y corporaciones están razonablemente preocupados por el robo de propiedad intelectual. Pero otros ven en la inversión china una bienvenida fuente nueva de financiación, o un modo de contrarrestar la influencia de los países del n</w:t>
      </w:r>
      <w:r>
        <w:rPr>
          <w:rFonts w:ascii="Times New Roman" w:hAnsi="Times New Roman" w:cs="Times New Roman"/>
          <w:sz w:val="24"/>
          <w:szCs w:val="24"/>
        </w:rPr>
        <w:t>orte de Europa dentro de la UE.</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 xml:space="preserve">En cualquier caso, la estrategia de globalización china debería motivar a Europa a explorar por su cuenta rutas de desarrollo alternativas. Eso tal vez implique trascender el modesto y limitado “Plan Juncker” y perseguir </w:t>
      </w:r>
      <w:r>
        <w:rPr>
          <w:rFonts w:ascii="Times New Roman" w:hAnsi="Times New Roman" w:cs="Times New Roman"/>
          <w:sz w:val="24"/>
          <w:szCs w:val="24"/>
        </w:rPr>
        <w:t>una agenda mucho más ambiciosa.</w:t>
      </w:r>
    </w:p>
    <w:p w:rsidR="00B715FA" w:rsidRPr="008F4763" w:rsidRDefault="00B715FA" w:rsidP="00B715FA">
      <w:pPr>
        <w:spacing w:line="240" w:lineRule="auto"/>
        <w:jc w:val="both"/>
        <w:rPr>
          <w:rFonts w:ascii="Times New Roman" w:hAnsi="Times New Roman" w:cs="Times New Roman"/>
          <w:sz w:val="24"/>
          <w:szCs w:val="24"/>
        </w:rPr>
      </w:pPr>
      <w:r w:rsidRPr="008F4763">
        <w:rPr>
          <w:rFonts w:ascii="Times New Roman" w:hAnsi="Times New Roman" w:cs="Times New Roman"/>
          <w:sz w:val="24"/>
          <w:szCs w:val="24"/>
        </w:rPr>
        <w:t>La crisis financiera global confrontó a Europa con el desafío de construir un sistema financiero más estable, pero eso no bastará para crear una forma duradera de globalización. La reciente gira de Xi por Europa señaló un camino posible. Ahora es momento de que los europeos decidan cómo crear conexiones y canalizar inversiones hacia áreas que llevan demasiado tiempo ignoradas y empobrecidas.</w:t>
      </w:r>
    </w:p>
    <w:p w:rsidR="00B715FA" w:rsidRDefault="00B715FA" w:rsidP="00B715F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F4763">
        <w:rPr>
          <w:rFonts w:ascii="Times New Roman" w:hAnsi="Times New Roman" w:cs="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cs="Times New Roman"/>
          <w:sz w:val="24"/>
          <w:szCs w:val="24"/>
          <w:lang w:val="en-US"/>
        </w:rPr>
        <w:t>ing the European Monetary Union)</w:t>
      </w:r>
    </w:p>
    <w:p w:rsidR="00B715FA" w:rsidRPr="00C350DC" w:rsidRDefault="00B715FA" w:rsidP="00B715FA">
      <w:pPr>
        <w:spacing w:line="240" w:lineRule="auto"/>
        <w:jc w:val="both"/>
        <w:rPr>
          <w:rFonts w:ascii="Times New Roman" w:hAnsi="Times New Roman" w:cs="Times New Roman"/>
          <w:color w:val="FF0000"/>
          <w:sz w:val="24"/>
          <w:szCs w:val="24"/>
        </w:rPr>
      </w:pPr>
      <w:r w:rsidRPr="00E46556">
        <w:rPr>
          <w:rFonts w:ascii="Times New Roman" w:hAnsi="Times New Roman" w:cs="Times New Roman"/>
          <w:sz w:val="24"/>
          <w:szCs w:val="24"/>
        </w:rPr>
        <w:t xml:space="preserve">- </w:t>
      </w:r>
      <w:r w:rsidRPr="00E46556">
        <w:rPr>
          <w:rFonts w:ascii="Times New Roman" w:hAnsi="Times New Roman" w:cs="Times New Roman"/>
          <w:sz w:val="24"/>
          <w:szCs w:val="24"/>
          <w:u w:val="single"/>
        </w:rPr>
        <w:t>Monopsonio, gig economy o trabajo atípico: los conceptos que amenazan con dominar el mercado laboral</w:t>
      </w:r>
      <w:r>
        <w:rPr>
          <w:rFonts w:ascii="Times New Roman" w:hAnsi="Times New Roman" w:cs="Times New Roman"/>
          <w:sz w:val="24"/>
          <w:szCs w:val="24"/>
        </w:rPr>
        <w:t xml:space="preserve"> (El Economista - </w:t>
      </w:r>
      <w:r>
        <w:rPr>
          <w:rFonts w:ascii="Times New Roman" w:hAnsi="Times New Roman" w:cs="Times New Roman"/>
          <w:b/>
          <w:sz w:val="24"/>
          <w:szCs w:val="24"/>
        </w:rPr>
        <w:t>6</w:t>
      </w:r>
      <w:r w:rsidRPr="00E46556">
        <w:rPr>
          <w:rFonts w:ascii="Times New Roman" w:hAnsi="Times New Roman" w:cs="Times New Roman"/>
          <w:b/>
          <w:sz w:val="24"/>
          <w:szCs w:val="24"/>
        </w:rPr>
        <w:t>/5/19</w:t>
      </w:r>
      <w:r>
        <w:rPr>
          <w:rFonts w:ascii="Times New Roman" w:hAnsi="Times New Roman" w:cs="Times New Roman"/>
          <w:sz w:val="24"/>
          <w:szCs w:val="24"/>
        </w:rPr>
        <w:t xml:space="preserve">) </w:t>
      </w:r>
    </w:p>
    <w:p w:rsidR="00B715FA" w:rsidRPr="00E46556" w:rsidRDefault="00B715FA" w:rsidP="00B715F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46556">
        <w:rPr>
          <w:rFonts w:ascii="Times New Roman" w:hAnsi="Times New Roman" w:cs="Times New Roman"/>
          <w:sz w:val="24"/>
          <w:szCs w:val="24"/>
        </w:rPr>
        <w:t>Vicente Nieves</w:t>
      </w:r>
      <w:r>
        <w:rPr>
          <w:rFonts w:ascii="Times New Roman" w:hAnsi="Times New Roman" w:cs="Times New Roman"/>
          <w:sz w:val="24"/>
          <w:szCs w:val="24"/>
        </w:rPr>
        <w:t>)</w:t>
      </w:r>
    </w:p>
    <w:p w:rsidR="00B715FA" w:rsidRPr="007A48B2" w:rsidRDefault="00B715FA" w:rsidP="00B715FA">
      <w:pPr>
        <w:spacing w:line="240" w:lineRule="auto"/>
        <w:jc w:val="both"/>
        <w:rPr>
          <w:rFonts w:ascii="Times New Roman" w:hAnsi="Times New Roman" w:cs="Times New Roman"/>
          <w:sz w:val="24"/>
          <w:szCs w:val="24"/>
          <w:u w:val="single"/>
        </w:rPr>
      </w:pPr>
      <w:r w:rsidRPr="007A48B2">
        <w:rPr>
          <w:rFonts w:ascii="Times New Roman" w:hAnsi="Times New Roman" w:cs="Times New Roman"/>
          <w:sz w:val="24"/>
          <w:szCs w:val="24"/>
          <w:u w:val="single"/>
        </w:rPr>
        <w:t>El mercado laboral se está transformando y adaptando a las necesidades de la economía. Estos cambios generan oportunidades para muchos trabajadores, pero también son una fuente de riesgo para muchos otros, no sólo por la posibilidad de perder el empleo, sino por la transformación que están sufriendo los mismos y el giro que se está produciendo en la relación entre empleador y trabajador en las economías desarrolladas. Cada vez resulta más habitual escuchar las palabras monopsonio, gig economy, economía de plataformas o trabajo atípico, unos conceptos que reflejan la profunda transición a la que se está sometiendo el mercado laboral.</w:t>
      </w:r>
    </w:p>
    <w:p w:rsidR="00B715FA" w:rsidRPr="007A48B2" w:rsidRDefault="00B715FA" w:rsidP="00B715FA">
      <w:pPr>
        <w:spacing w:line="240" w:lineRule="auto"/>
        <w:jc w:val="both"/>
        <w:rPr>
          <w:rFonts w:ascii="Times New Roman" w:hAnsi="Times New Roman" w:cs="Times New Roman"/>
          <w:color w:val="FF0000"/>
          <w:sz w:val="24"/>
          <w:szCs w:val="24"/>
          <w:u w:val="single"/>
        </w:rPr>
      </w:pPr>
      <w:r w:rsidRPr="007A48B2">
        <w:rPr>
          <w:rFonts w:ascii="Times New Roman" w:hAnsi="Times New Roman" w:cs="Times New Roman"/>
          <w:color w:val="FF0000"/>
          <w:sz w:val="24"/>
          <w:szCs w:val="24"/>
          <w:u w:val="single"/>
        </w:rPr>
        <w:t>El último trabajo de la Organización para la Cooperación y el Desarrollo Económico (OCDE) sobre las perspectivas del empleo repite una y otra vez estos conceptos que vienen de la mano de las mejoras tecnológicas en muchos casos. “El progreso tecnológico puede mejorar la calidad del trabajo incrementando la productividad y los salarios, reduciendo la exposición al peligro, los problemas de salubridad y las tareas más duras... sin embargo, también puede ser fuente de mayor inestabilidad laboral caracterizada por nuevas formas de trabajo no convencionales que pueden provocar una pérdida de bienestar para los trabajadores”.</w:t>
      </w:r>
    </w:p>
    <w:p w:rsidR="00B715FA" w:rsidRPr="00E46556" w:rsidRDefault="00B715FA" w:rsidP="00B715FA">
      <w:pPr>
        <w:spacing w:line="240" w:lineRule="auto"/>
        <w:jc w:val="both"/>
        <w:rPr>
          <w:rFonts w:ascii="Times New Roman" w:hAnsi="Times New Roman" w:cs="Times New Roman"/>
          <w:sz w:val="24"/>
          <w:szCs w:val="24"/>
        </w:rPr>
      </w:pPr>
      <w:r w:rsidRPr="00E46556">
        <w:rPr>
          <w:rFonts w:ascii="Times New Roman" w:hAnsi="Times New Roman" w:cs="Times New Roman"/>
          <w:sz w:val="24"/>
          <w:szCs w:val="24"/>
        </w:rPr>
        <w:t>Flexibilidad e incertidumbre</w:t>
      </w:r>
    </w:p>
    <w:p w:rsidR="00B715FA" w:rsidRPr="007A48B2" w:rsidRDefault="00B715FA" w:rsidP="00B715FA">
      <w:pPr>
        <w:spacing w:line="240" w:lineRule="auto"/>
        <w:jc w:val="both"/>
        <w:rPr>
          <w:rFonts w:ascii="Times New Roman" w:hAnsi="Times New Roman" w:cs="Times New Roman"/>
          <w:sz w:val="24"/>
          <w:szCs w:val="24"/>
          <w:u w:val="single"/>
        </w:rPr>
      </w:pPr>
      <w:r w:rsidRPr="007A48B2">
        <w:rPr>
          <w:rFonts w:ascii="Times New Roman" w:hAnsi="Times New Roman" w:cs="Times New Roman"/>
          <w:color w:val="FF0000"/>
          <w:sz w:val="24"/>
          <w:szCs w:val="24"/>
          <w:u w:val="single"/>
        </w:rPr>
        <w:t>Estas nuevas formas de trabajo suelen incidir en la flexibilidad de horarios, de ingresos y de la duración de la relación laboral, lo genera todo menos certidumbre para el trabajador en el medio y largo plazo.</w:t>
      </w:r>
      <w:r w:rsidRPr="007A48B2">
        <w:rPr>
          <w:rFonts w:ascii="Times New Roman" w:hAnsi="Times New Roman" w:cs="Times New Roman"/>
          <w:sz w:val="24"/>
          <w:szCs w:val="24"/>
          <w:u w:val="single"/>
        </w:rPr>
        <w:t xml:space="preserve"> “Esto es una preocupación importante en países donde las formas no convencionales de trabajo (un contrato indefinido a tiempo completo) están proliferando y las empresas están confiando cada vez más en subcontratas y contratistas en lugar de una fuerza de trabajo permanente”.</w:t>
      </w:r>
    </w:p>
    <w:p w:rsidR="00B715FA" w:rsidRPr="00E46556" w:rsidRDefault="00B715FA" w:rsidP="00B715FA">
      <w:pPr>
        <w:spacing w:line="240" w:lineRule="auto"/>
        <w:jc w:val="both"/>
        <w:rPr>
          <w:rFonts w:ascii="Times New Roman" w:hAnsi="Times New Roman" w:cs="Times New Roman"/>
          <w:sz w:val="24"/>
          <w:szCs w:val="24"/>
        </w:rPr>
      </w:pPr>
      <w:r w:rsidRPr="007A48B2">
        <w:rPr>
          <w:rFonts w:ascii="Times New Roman" w:hAnsi="Times New Roman" w:cs="Times New Roman"/>
          <w:color w:val="FF0000"/>
          <w:sz w:val="24"/>
          <w:szCs w:val="24"/>
          <w:u w:val="single"/>
        </w:rPr>
        <w:t>El trabajo a tiempo completo y con una misma empresa ha sido considerado la norma durante décadas, pero esta relación laboral está cambiando</w:t>
      </w:r>
      <w:r w:rsidRPr="00E46556">
        <w:rPr>
          <w:rFonts w:ascii="Times New Roman" w:hAnsi="Times New Roman" w:cs="Times New Roman"/>
          <w:sz w:val="24"/>
          <w:szCs w:val="24"/>
        </w:rPr>
        <w:t>. Elisabet Motellón, directora del grado de Relaciones Laborales en la Universitat Oberta de Catalunya, explica que en España el trabajo atípico (temporal y/o a jorn</w:t>
      </w:r>
      <w:r>
        <w:rPr>
          <w:rFonts w:ascii="Times New Roman" w:hAnsi="Times New Roman" w:cs="Times New Roman"/>
          <w:sz w:val="24"/>
          <w:szCs w:val="24"/>
        </w:rPr>
        <w:t>ada parcial) no es algo nuevo. “</w:t>
      </w:r>
      <w:r w:rsidRPr="00E46556">
        <w:rPr>
          <w:rFonts w:ascii="Times New Roman" w:hAnsi="Times New Roman" w:cs="Times New Roman"/>
          <w:sz w:val="24"/>
          <w:szCs w:val="24"/>
        </w:rPr>
        <w:t>Desde hace décadas, el trabajo atípico es una de las señas de identidad más significativas d</w:t>
      </w:r>
      <w:r>
        <w:rPr>
          <w:rFonts w:ascii="Times New Roman" w:hAnsi="Times New Roman" w:cs="Times New Roman"/>
          <w:sz w:val="24"/>
          <w:szCs w:val="24"/>
        </w:rPr>
        <w:t>el mercado de trabajo español”.</w:t>
      </w:r>
    </w:p>
    <w:p w:rsidR="00B715FA" w:rsidRPr="007A48B2" w:rsidRDefault="00B715FA" w:rsidP="00B715FA">
      <w:pPr>
        <w:spacing w:line="240" w:lineRule="auto"/>
        <w:jc w:val="both"/>
        <w:rPr>
          <w:rFonts w:ascii="Times New Roman" w:hAnsi="Times New Roman" w:cs="Times New Roman"/>
          <w:sz w:val="24"/>
          <w:szCs w:val="24"/>
          <w:u w:val="single"/>
        </w:rPr>
      </w:pPr>
      <w:r w:rsidRPr="007A48B2">
        <w:rPr>
          <w:rFonts w:ascii="Times New Roman" w:hAnsi="Times New Roman" w:cs="Times New Roman"/>
          <w:sz w:val="24"/>
          <w:szCs w:val="24"/>
          <w:u w:val="single"/>
        </w:rPr>
        <w:t xml:space="preserve">La diferencia es que antes de la crisis mucho de ese empleo atípico, sobre todo el temporal en el sector de la construcción, no tenía una remuneración por debajo de la media, mientras que en la actualidad la gran parte de esos empleos están peor remunerados. </w:t>
      </w:r>
    </w:p>
    <w:p w:rsidR="00B715FA" w:rsidRPr="00E46556" w:rsidRDefault="00B715FA" w:rsidP="00B715F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46556">
        <w:rPr>
          <w:rFonts w:ascii="Times New Roman" w:hAnsi="Times New Roman" w:cs="Times New Roman"/>
          <w:sz w:val="24"/>
          <w:szCs w:val="24"/>
        </w:rPr>
        <w:t>Actualmente, el 35% de los asalariados tienen un contrato atípico (temporal y/o a jornada parcial), tres puntos porcentuales por debajo de la existente antes de la crisis. Esta evolución se debe, básicamente, a la reducción de la tasa de temporalidad en cerca de un 6% -no por haber pasado a un contrato indefinido sino porque la destrucción de empleo se h</w:t>
      </w:r>
      <w:r>
        <w:rPr>
          <w:rFonts w:ascii="Times New Roman" w:hAnsi="Times New Roman" w:cs="Times New Roman"/>
          <w:sz w:val="24"/>
          <w:szCs w:val="24"/>
        </w:rPr>
        <w:t>a concentrado en este colectivo”</w:t>
      </w:r>
      <w:r w:rsidRPr="00E46556">
        <w:rPr>
          <w:rFonts w:ascii="Times New Roman" w:hAnsi="Times New Roman" w:cs="Times New Roman"/>
          <w:sz w:val="24"/>
          <w:szCs w:val="24"/>
        </w:rPr>
        <w:t>, argumenta Motellón en declaraciones a elEconomista. Sin embargo, el empleo a tiempo parcial muestra una tendencia al alza, tanto en España como en el resto de países de</w:t>
      </w:r>
      <w:r>
        <w:rPr>
          <w:rFonts w:ascii="Times New Roman" w:hAnsi="Times New Roman" w:cs="Times New Roman"/>
          <w:sz w:val="24"/>
          <w:szCs w:val="24"/>
        </w:rPr>
        <w:t>sarrollados, desde los años 90.</w:t>
      </w:r>
    </w:p>
    <w:p w:rsidR="00B715FA" w:rsidRPr="007A48B2" w:rsidRDefault="00B715FA" w:rsidP="00B715FA">
      <w:pPr>
        <w:spacing w:line="240" w:lineRule="auto"/>
        <w:jc w:val="both"/>
        <w:rPr>
          <w:rFonts w:ascii="Times New Roman" w:hAnsi="Times New Roman" w:cs="Times New Roman"/>
          <w:color w:val="FF0000"/>
          <w:sz w:val="24"/>
          <w:szCs w:val="24"/>
          <w:u w:val="single"/>
        </w:rPr>
      </w:pPr>
      <w:r w:rsidRPr="007A48B2">
        <w:rPr>
          <w:rFonts w:ascii="Times New Roman" w:hAnsi="Times New Roman" w:cs="Times New Roman"/>
          <w:sz w:val="24"/>
          <w:szCs w:val="24"/>
          <w:u w:val="single"/>
        </w:rPr>
        <w:t>No obstante, el tipo de contratos que se generan son el reflejo del modelo productivo de un país y de las empresas que lo conforman</w:t>
      </w:r>
      <w:r w:rsidRPr="00E46556">
        <w:rPr>
          <w:rFonts w:ascii="Times New Roman" w:hAnsi="Times New Roman" w:cs="Times New Roman"/>
          <w:sz w:val="24"/>
          <w:szCs w:val="24"/>
        </w:rPr>
        <w:t xml:space="preserve">. El elevado peso del turismo y la construcción en España pueden explicar la elevada presencia del trabajo temporal y, por ende, del empleo atípico. </w:t>
      </w:r>
      <w:r w:rsidRPr="007A48B2">
        <w:rPr>
          <w:rFonts w:ascii="Times New Roman" w:hAnsi="Times New Roman" w:cs="Times New Roman"/>
          <w:color w:val="FF0000"/>
          <w:sz w:val="24"/>
          <w:szCs w:val="24"/>
          <w:u w:val="single"/>
        </w:rPr>
        <w:t>Aun así, la Organización Internacional del Trabajo (OIT) asegura que el auge del trabajo atípico es un hecho en muchos países industrializados en segmentos que antes estaban asociados a formas de empleo tradicional.</w:t>
      </w:r>
    </w:p>
    <w:p w:rsidR="00B715FA" w:rsidRPr="00E46556" w:rsidRDefault="00B715FA" w:rsidP="00B715FA">
      <w:pPr>
        <w:spacing w:line="240" w:lineRule="auto"/>
        <w:jc w:val="both"/>
        <w:rPr>
          <w:rFonts w:ascii="Times New Roman" w:hAnsi="Times New Roman" w:cs="Times New Roman"/>
          <w:sz w:val="24"/>
          <w:szCs w:val="24"/>
        </w:rPr>
      </w:pPr>
      <w:r w:rsidRPr="00E46556">
        <w:rPr>
          <w:rFonts w:ascii="Times New Roman" w:hAnsi="Times New Roman" w:cs="Times New Roman"/>
          <w:sz w:val="24"/>
          <w:szCs w:val="24"/>
        </w:rPr>
        <w:t>La economía de plataformas</w:t>
      </w:r>
    </w:p>
    <w:p w:rsidR="00B715FA" w:rsidRPr="007A48B2" w:rsidRDefault="00B715FA" w:rsidP="00B715FA">
      <w:pPr>
        <w:spacing w:line="240" w:lineRule="auto"/>
        <w:jc w:val="both"/>
        <w:rPr>
          <w:rFonts w:ascii="Times New Roman" w:hAnsi="Times New Roman" w:cs="Times New Roman"/>
          <w:color w:val="FF0000"/>
          <w:sz w:val="24"/>
          <w:szCs w:val="24"/>
          <w:u w:val="single"/>
        </w:rPr>
      </w:pPr>
      <w:r w:rsidRPr="007A48B2">
        <w:rPr>
          <w:rFonts w:ascii="Times New Roman" w:hAnsi="Times New Roman" w:cs="Times New Roman"/>
          <w:color w:val="FF0000"/>
          <w:sz w:val="24"/>
          <w:szCs w:val="24"/>
          <w:u w:val="single"/>
        </w:rPr>
        <w:t>Más allá de estos tipos de empleo atípico están surgiendo nuevas formas de trabajo que quedan ocultas bajo el paraguas del empleo por cuenta propia (autónomo) tradicional pero que son un tanto diferentes. Parte de este tipo de empleo se genera a partir de la economía de plataformas, también conocida como gig economy o economía por encargos.</w:t>
      </w:r>
    </w:p>
    <w:p w:rsidR="00B715FA" w:rsidRPr="007A48B2" w:rsidRDefault="00B715FA" w:rsidP="00B715FA">
      <w:pPr>
        <w:spacing w:line="240" w:lineRule="auto"/>
        <w:jc w:val="both"/>
        <w:rPr>
          <w:rFonts w:ascii="Times New Roman" w:hAnsi="Times New Roman" w:cs="Times New Roman"/>
          <w:color w:val="FF0000"/>
          <w:sz w:val="24"/>
          <w:szCs w:val="24"/>
          <w:u w:val="single"/>
        </w:rPr>
      </w:pPr>
      <w:r w:rsidRPr="007A48B2">
        <w:rPr>
          <w:rFonts w:ascii="Times New Roman" w:hAnsi="Times New Roman" w:cs="Times New Roman"/>
          <w:color w:val="FF0000"/>
          <w:sz w:val="24"/>
          <w:szCs w:val="24"/>
          <w:u w:val="single"/>
        </w:rPr>
        <w:t>El trabajo de la OCDE destaca que el aumento del trabajo de plataformas ha puesto de relieve el impacto del progreso tecnológico en la calidad del trabajo. Este tipo de economía abarca una amplia gama de actividades, que tienen en común el uso de plataformas digitales para conectar la demanda y la oferta de servicios particulares. “A veces este tipo de trabajo impone severas limitaciones a los trabajadores que pueden tener un impacto negativo en el bienestar y la calidad del empleo”.</w:t>
      </w:r>
    </w:p>
    <w:p w:rsidR="00B715FA" w:rsidRPr="007A48B2" w:rsidRDefault="00B715FA" w:rsidP="00B715FA">
      <w:pPr>
        <w:spacing w:line="240" w:lineRule="auto"/>
        <w:jc w:val="both"/>
        <w:rPr>
          <w:rFonts w:ascii="Times New Roman" w:hAnsi="Times New Roman" w:cs="Times New Roman"/>
          <w:color w:val="FF0000"/>
          <w:sz w:val="24"/>
          <w:szCs w:val="24"/>
          <w:u w:val="single"/>
        </w:rPr>
      </w:pPr>
      <w:r w:rsidRPr="007A48B2">
        <w:rPr>
          <w:rFonts w:ascii="Times New Roman" w:hAnsi="Times New Roman" w:cs="Times New Roman"/>
          <w:color w:val="FF0000"/>
          <w:sz w:val="24"/>
          <w:szCs w:val="24"/>
          <w:u w:val="single"/>
        </w:rPr>
        <w:t>Además, muchos de los trabajadores de estas plataformas están clasificados como empleados autónomos, que muchas veces tienen poco de autónomo porque no pueden establecer sus propios precios o cuotas, ya que vienen predefinidas por la plataformas, a la vez que se enfrentan a muchos restricciones a la hora de organizar su trabajo, como puede ser el caso del uso de uniforme o de las horas que trabajan. Este puede ser el caso de algunas empresas de transporte o de envíos de comida a domicilio, etc.</w:t>
      </w:r>
    </w:p>
    <w:p w:rsidR="00B715FA" w:rsidRPr="007A48B2" w:rsidRDefault="00B715FA" w:rsidP="00B715F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Motellón comenta que </w:t>
      </w:r>
      <w:r w:rsidRPr="007A48B2">
        <w:rPr>
          <w:rFonts w:ascii="Times New Roman" w:hAnsi="Times New Roman" w:cs="Times New Roman"/>
          <w:sz w:val="24"/>
          <w:szCs w:val="24"/>
          <w:u w:val="single"/>
        </w:rPr>
        <w:t>“a pesar del interés que despierta la economía de plataformas de trabajo, no hay de datos y registros oficiales que nos permitan analizar este fenómeno... En lo que parece haber un consenso es sobre que nos encontramos al inicio de un acelerado proceso de implantación de las plataformas digitales de trabajo. Y que, en los próximos años, transformará múltiples facetas del mercado de trabajo”.</w:t>
      </w:r>
    </w:p>
    <w:p w:rsidR="00B715FA" w:rsidRPr="00257D67" w:rsidRDefault="00B715FA" w:rsidP="00B715FA">
      <w:pPr>
        <w:spacing w:line="240" w:lineRule="auto"/>
        <w:jc w:val="both"/>
        <w:rPr>
          <w:rFonts w:ascii="Times New Roman" w:hAnsi="Times New Roman" w:cs="Times New Roman"/>
          <w:color w:val="FF0000"/>
          <w:sz w:val="24"/>
          <w:szCs w:val="24"/>
          <w:u w:val="single"/>
        </w:rPr>
      </w:pPr>
      <w:r w:rsidRPr="00257D67">
        <w:rPr>
          <w:rFonts w:ascii="Times New Roman" w:hAnsi="Times New Roman" w:cs="Times New Roman"/>
          <w:color w:val="FF0000"/>
          <w:sz w:val="24"/>
          <w:szCs w:val="24"/>
          <w:u w:val="single"/>
        </w:rPr>
        <w:t>“Si analizamos los empleos que actualmente se están generando a través de las plataformas, observamos que comparten un patrón común: son empleos que no representan una relación formal entre empleador y empleado. Y, por tanto, generan empleos menos estructurados y tremendamente más flexibles. Tanto, que el gran debate está en determinar la naturaleza de la relación laboral que se crea (¿son trabajadores autónomos o asalariados?). Incluso hay quien lo percibe como una nueva clase de trabajadores, trabajadores a demanda o trabajadores a la carta”, explica la profesora de la UOC.</w:t>
      </w:r>
    </w:p>
    <w:p w:rsidR="00B715FA" w:rsidRPr="00E46556" w:rsidRDefault="00B715FA" w:rsidP="00B715FA">
      <w:pPr>
        <w:spacing w:line="240" w:lineRule="auto"/>
        <w:jc w:val="both"/>
        <w:rPr>
          <w:rFonts w:ascii="Times New Roman" w:hAnsi="Times New Roman" w:cs="Times New Roman"/>
          <w:sz w:val="24"/>
          <w:szCs w:val="24"/>
        </w:rPr>
      </w:pPr>
      <w:r w:rsidRPr="00E46556">
        <w:rPr>
          <w:rFonts w:ascii="Times New Roman" w:hAnsi="Times New Roman" w:cs="Times New Roman"/>
          <w:sz w:val="24"/>
          <w:szCs w:val="24"/>
        </w:rPr>
        <w:t>Monopsonio, oligopolio y los salarios</w:t>
      </w:r>
    </w:p>
    <w:p w:rsidR="00B715FA" w:rsidRPr="00257D67" w:rsidRDefault="00B715FA" w:rsidP="00B715FA">
      <w:pPr>
        <w:spacing w:line="240" w:lineRule="auto"/>
        <w:jc w:val="both"/>
        <w:rPr>
          <w:rFonts w:ascii="Times New Roman" w:hAnsi="Times New Roman" w:cs="Times New Roman"/>
          <w:color w:val="FF0000"/>
          <w:sz w:val="24"/>
          <w:szCs w:val="24"/>
          <w:u w:val="single"/>
        </w:rPr>
      </w:pPr>
      <w:r w:rsidRPr="00257D67">
        <w:rPr>
          <w:rFonts w:ascii="Times New Roman" w:hAnsi="Times New Roman" w:cs="Times New Roman"/>
          <w:color w:val="FF0000"/>
          <w:sz w:val="24"/>
          <w:szCs w:val="24"/>
          <w:u w:val="single"/>
        </w:rPr>
        <w:t>Otro de los términos que suena cada vez con más frecuencia es el de monopsonio, muy relacionado con el surgimiento de empresas e industrias muy concentradas en la tecnología y el mundo digital. Estas empresas crecen rápidamente y llegan a tener cierto control sobre el mercado y otras compañías que trabajan para ellas. "Este incremento de la concentración de mercado está generando cierta preocupación sobre una posible situación de monopsonio en el mercado laboral, un estado que se produce cuando una empresa domina el mercado y puede mantener unos salarios bajos al no contar apenas con competencia por los trabajadores que requiere”, según la OCDE.</w:t>
      </w:r>
    </w:p>
    <w:p w:rsidR="00B715FA" w:rsidRPr="00E46556" w:rsidRDefault="00B715FA" w:rsidP="00B715FA">
      <w:pPr>
        <w:spacing w:line="240" w:lineRule="auto"/>
        <w:jc w:val="both"/>
        <w:rPr>
          <w:rFonts w:ascii="Times New Roman" w:hAnsi="Times New Roman" w:cs="Times New Roman"/>
          <w:sz w:val="24"/>
          <w:szCs w:val="24"/>
        </w:rPr>
      </w:pPr>
      <w:r w:rsidRPr="00257D67">
        <w:rPr>
          <w:rFonts w:ascii="Times New Roman" w:hAnsi="Times New Roman" w:cs="Times New Roman"/>
          <w:sz w:val="24"/>
          <w:szCs w:val="24"/>
          <w:u w:val="single"/>
        </w:rPr>
        <w:t>Una de las consecuencias de este fenómeno es una menor movilidad laboral ante la falta de oportunidades fuera de la empresa, ya sea por falta de competencia (dentro del mismo sector) o por la firma de cláusulas de no competencia o “caza furtiva” de empleados.</w:t>
      </w:r>
      <w:r w:rsidRPr="00E46556">
        <w:rPr>
          <w:rFonts w:ascii="Times New Roman" w:hAnsi="Times New Roman" w:cs="Times New Roman"/>
          <w:sz w:val="24"/>
          <w:szCs w:val="24"/>
        </w:rPr>
        <w:t xml:space="preserve"> Estas prácticas ganan fuerza en sectores donde la movilidad laboral puede suponer el trasvase de unos conocimientos (propiedad intelectual) fundamentales</w:t>
      </w:r>
      <w:r>
        <w:rPr>
          <w:rFonts w:ascii="Times New Roman" w:hAnsi="Times New Roman" w:cs="Times New Roman"/>
          <w:sz w:val="24"/>
          <w:szCs w:val="24"/>
        </w:rPr>
        <w:t xml:space="preserve"> el funcionamiento de la firma.</w:t>
      </w:r>
    </w:p>
    <w:p w:rsidR="00B715FA" w:rsidRPr="00257D67" w:rsidRDefault="00B715FA" w:rsidP="00B715FA">
      <w:pPr>
        <w:spacing w:line="240" w:lineRule="auto"/>
        <w:jc w:val="both"/>
        <w:rPr>
          <w:rFonts w:ascii="Times New Roman" w:hAnsi="Times New Roman" w:cs="Times New Roman"/>
          <w:color w:val="FF0000"/>
          <w:sz w:val="24"/>
          <w:szCs w:val="24"/>
          <w:u w:val="single"/>
        </w:rPr>
      </w:pPr>
      <w:r w:rsidRPr="00257D67">
        <w:rPr>
          <w:rFonts w:ascii="Times New Roman" w:hAnsi="Times New Roman" w:cs="Times New Roman"/>
          <w:color w:val="FF0000"/>
          <w:sz w:val="24"/>
          <w:szCs w:val="24"/>
          <w:u w:val="single"/>
        </w:rPr>
        <w:t>El Fondo Monetario Internacional ha avisado en varias ocasiones de que los crecientes márgenes de grandes empresas va acompañado de una reducción del peso de los salarios en la producción. En uno de los últimos trabajos del FMI sobre esta cuestión se sentenciaba que hay “evidencia que estas cotizadas de los países desarrollados que cada vez tienen más poder de mercado están influyendo en el desarrollo económico... se apropian de una porción cada vez mayor de las rentas de la producción, dejando unas cantidades más pequeñas para el factor trabajo (asalariados). El incremento del poder de mercado en las últimas décadas podría, por tanto, haber contribuido a la reducción del peso de los salarios”.</w:t>
      </w:r>
    </w:p>
    <w:p w:rsidR="00B715FA" w:rsidRPr="00257D67" w:rsidRDefault="00B715FA" w:rsidP="00B715F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Motellón reconoce que </w:t>
      </w:r>
      <w:r w:rsidRPr="00257D67">
        <w:rPr>
          <w:rFonts w:ascii="Times New Roman" w:hAnsi="Times New Roman" w:cs="Times New Roman"/>
          <w:sz w:val="24"/>
          <w:szCs w:val="24"/>
          <w:u w:val="single"/>
        </w:rPr>
        <w:t>“todo ello, efectivamente, puede contribuir a una mayor polarización salarial. Segmentando gravemente el mercado de trabajo.</w:t>
      </w:r>
      <w:r w:rsidRPr="00E46556">
        <w:rPr>
          <w:rFonts w:ascii="Times New Roman" w:hAnsi="Times New Roman" w:cs="Times New Roman"/>
          <w:sz w:val="24"/>
          <w:szCs w:val="24"/>
        </w:rPr>
        <w:t xml:space="preserve"> Un proceso que ya se está observando... entre otros muchos aspectos, la automatización ha sido más intensa en los empleos de salarios intermedios. Este último elemento, </w:t>
      </w:r>
      <w:r w:rsidRPr="00257D67">
        <w:rPr>
          <w:rFonts w:ascii="Times New Roman" w:hAnsi="Times New Roman" w:cs="Times New Roman"/>
          <w:sz w:val="24"/>
          <w:szCs w:val="24"/>
          <w:u w:val="single"/>
        </w:rPr>
        <w:t>el impacto del progreso tecnológico, es señalado por algunos economistas como, posiblemente, el determinante más importante”.</w:t>
      </w:r>
    </w:p>
    <w:p w:rsidR="00382378" w:rsidRPr="001B5FD4" w:rsidRDefault="00382378" w:rsidP="00382378">
      <w:pPr>
        <w:pStyle w:val="NormalWeb"/>
        <w:spacing w:after="0"/>
        <w:jc w:val="both"/>
        <w:textAlignment w:val="baseline"/>
        <w:rPr>
          <w:color w:val="000000"/>
        </w:rPr>
      </w:pPr>
      <w:r>
        <w:rPr>
          <w:color w:val="000000"/>
        </w:rPr>
        <w:t xml:space="preserve">- </w:t>
      </w:r>
      <w:r w:rsidRPr="001B5FD4">
        <w:rPr>
          <w:color w:val="000000"/>
          <w:u w:val="single"/>
        </w:rPr>
        <w:t>Hay que frenar a Libra de Facebook</w:t>
      </w:r>
      <w:r>
        <w:rPr>
          <w:color w:val="000000"/>
        </w:rPr>
        <w:t xml:space="preserve"> (Project Syndicate - </w:t>
      </w:r>
      <w:r w:rsidRPr="001B5FD4">
        <w:rPr>
          <w:b/>
          <w:color w:val="000000"/>
        </w:rPr>
        <w:t>20/6/19</w:t>
      </w:r>
      <w:r>
        <w:rPr>
          <w:color w:val="000000"/>
        </w:rPr>
        <w:t xml:space="preserve">) </w:t>
      </w:r>
    </w:p>
    <w:p w:rsidR="00382378" w:rsidRPr="001B5FD4" w:rsidRDefault="00382378" w:rsidP="00382378">
      <w:pPr>
        <w:pStyle w:val="NormalWeb"/>
        <w:spacing w:after="0"/>
        <w:jc w:val="both"/>
        <w:textAlignment w:val="baseline"/>
        <w:rPr>
          <w:color w:val="000000"/>
        </w:rPr>
      </w:pPr>
      <w:r>
        <w:rPr>
          <w:color w:val="000000"/>
        </w:rPr>
        <w:t>Nueva York.-</w:t>
      </w:r>
      <w:r w:rsidRPr="001B5FD4">
        <w:rPr>
          <w:color w:val="000000"/>
        </w:rPr>
        <w:t xml:space="preserve"> Facebook acaba de dar a conocer su última apuesta por el dominio del mundo: Libra, una criptomoneda pensada para funcionar como dinero privado en cualquier lugar del planeta. Mientras preparaba la aventura, el CEO de Facebook, Mark Zuckerberg, ha estado en negociaciones con bancos centrales, reguladores y 27 compañías asociadas, cada una de las cuales aportará por lo menos 10 millones de dólares. Por miedo a generar temores en torno a la seguridad, Facebook ha evitado trabajar directamente con bancos comerciales.  </w:t>
      </w:r>
    </w:p>
    <w:p w:rsidR="00382378" w:rsidRPr="001B5FD4" w:rsidRDefault="00382378" w:rsidP="00382378">
      <w:pPr>
        <w:pStyle w:val="NormalWeb"/>
        <w:spacing w:after="0"/>
        <w:jc w:val="both"/>
        <w:textAlignment w:val="baseline"/>
        <w:rPr>
          <w:color w:val="000000"/>
        </w:rPr>
      </w:pPr>
      <w:r w:rsidRPr="001B5FD4">
        <w:rPr>
          <w:color w:val="000000"/>
        </w:rPr>
        <w:t>Zuckerberg parece entender que la innovación tecnológica por sí sola no garantizará el éxito de Libra. También necesita un compromiso de los gobiernos de imponer en la web</w:t>
      </w:r>
      <w:r w:rsidR="001E22E4">
        <w:rPr>
          <w:color w:val="000000"/>
        </w:rPr>
        <w:t>,</w:t>
      </w:r>
      <w:r w:rsidRPr="001B5FD4">
        <w:rPr>
          <w:color w:val="000000"/>
        </w:rPr>
        <w:t xml:space="preserve"> relaciones contractuales que respalden la moneda, y de autorizar el uso de sus propias monedas como garantía. Si Libra alguna vez sufre una corrida, los bancos centrales estarían obligados a ofrecer liquidez. </w:t>
      </w:r>
    </w:p>
    <w:p w:rsidR="00382378" w:rsidRPr="001B5FD4" w:rsidRDefault="00382378" w:rsidP="00382378">
      <w:pPr>
        <w:pStyle w:val="NormalWeb"/>
        <w:spacing w:after="0"/>
        <w:jc w:val="both"/>
        <w:textAlignment w:val="baseline"/>
        <w:rPr>
          <w:color w:val="000000"/>
        </w:rPr>
      </w:pPr>
      <w:r w:rsidRPr="001B5FD4">
        <w:rPr>
          <w:color w:val="000000"/>
        </w:rPr>
        <w:t xml:space="preserve">La cuestión es si los gobiernos entienden los riesgos que conllevaría para la estabilidad financiera un sistema de este tipo. La idea de un sistema de pago privado y expedito con 2.600 millones de usuarios activos puede sonar atractivo. Pero como todo banquero y regulador monetario sabe, los sistemas de pago requieren un nivel de respaldo de liquidez que ninguna </w:t>
      </w:r>
      <w:r>
        <w:rPr>
          <w:color w:val="000000"/>
        </w:rPr>
        <w:t xml:space="preserve">entidad privada puede brindar. </w:t>
      </w:r>
    </w:p>
    <w:p w:rsidR="00382378" w:rsidRPr="001B5FD4" w:rsidRDefault="00382378" w:rsidP="00382378">
      <w:pPr>
        <w:pStyle w:val="NormalWeb"/>
        <w:spacing w:after="0"/>
        <w:jc w:val="both"/>
        <w:textAlignment w:val="baseline"/>
        <w:rPr>
          <w:color w:val="000000"/>
        </w:rPr>
      </w:pPr>
      <w:r w:rsidRPr="001B5FD4">
        <w:rPr>
          <w:color w:val="000000"/>
        </w:rPr>
        <w:t>A diferencia de los estados, las partes privadas deben operar dentro de sus posibilidades y no pueden imponer unilateralmente obligaciones financieras a los demás según sea necesario. Eso significa que no pueden autorrescatarse; deben ser rescatadas por los estados o alguien debe autorizar su quiebra. Es más, incluso en el caso de los estados, las paridades fijas ofrecen sólo una ilusión de seguridad. Muchos países han tenido que abandonar esas paridades, siempre insistiendo, al mismo tiempo, que “esta vez es difer</w:t>
      </w:r>
      <w:r>
        <w:rPr>
          <w:color w:val="000000"/>
        </w:rPr>
        <w:t>ente”.</w:t>
      </w:r>
    </w:p>
    <w:p w:rsidR="00382378" w:rsidRPr="001B5FD4" w:rsidRDefault="00382378" w:rsidP="00382378">
      <w:pPr>
        <w:pStyle w:val="NormalWeb"/>
        <w:spacing w:after="0"/>
        <w:jc w:val="both"/>
        <w:textAlignment w:val="baseline"/>
        <w:rPr>
          <w:color w:val="000000"/>
        </w:rPr>
      </w:pPr>
      <w:r w:rsidRPr="001B5FD4">
        <w:rPr>
          <w:color w:val="000000"/>
        </w:rPr>
        <w:t>Lo que diferencia a Facebook de otros emisores de “dinero privado” es su tamaño, su alcance global y su voluntad de “moverse rápido y romper cosas”. Es fácil imaginar un escenario en el que rescatar a Libra pudiera exigir más liquidez de la que podría ofrecer un estado. Recordemos el caso de Irlanda después de la crisis financiera de 2008. Cuando el gobierno anunció que asumiría los pasivos del sector bancario privado, el país se hundió en una crisis de deuda soberana. Al lado de un gigante como Facebook, muchos estados-naciones podrían terminar</w:t>
      </w:r>
      <w:r>
        <w:rPr>
          <w:color w:val="000000"/>
        </w:rPr>
        <w:t xml:space="preserve"> pareciéndose mucho a Irlanda. </w:t>
      </w:r>
    </w:p>
    <w:p w:rsidR="00382378" w:rsidRPr="001B5FD4" w:rsidRDefault="00382378" w:rsidP="00382378">
      <w:pPr>
        <w:pStyle w:val="NormalWeb"/>
        <w:spacing w:after="0"/>
        <w:jc w:val="both"/>
        <w:textAlignment w:val="baseline"/>
        <w:rPr>
          <w:color w:val="000000"/>
        </w:rPr>
      </w:pPr>
      <w:r w:rsidRPr="001B5FD4">
        <w:rPr>
          <w:color w:val="000000"/>
        </w:rPr>
        <w:t>Facebook avanza a toda velocidad como si Libra fuera apenas otra empresa privada. Pero, al igual que muchos otros intermediarios financieros antes, la compañía promete algo que no puede de ninguna manera cumplir por sí sola: la protección del valor de la moneda. Libra, nos dicen, estará vinculada a una canasta de monedas (dinero fiduciario emitido por gobiernos) y será convertible a pedido y a ningún costo. Pero esta garantía descansa en una ilusión, porque ni Facebook ni ninguna otra parte privada involucrada tendrá acceso a reservas ilimitadas de las monedas vinculadas.</w:t>
      </w:r>
    </w:p>
    <w:p w:rsidR="00382378" w:rsidRPr="001B5FD4" w:rsidRDefault="00382378" w:rsidP="00382378">
      <w:pPr>
        <w:pStyle w:val="NormalWeb"/>
        <w:spacing w:after="0"/>
        <w:jc w:val="both"/>
        <w:textAlignment w:val="baseline"/>
        <w:rPr>
          <w:color w:val="000000"/>
        </w:rPr>
      </w:pPr>
      <w:r w:rsidRPr="001B5FD4">
        <w:rPr>
          <w:color w:val="000000"/>
        </w:rPr>
        <w:t xml:space="preserve">Para entender lo que sucede cuando los reguladores se quedan de brazos cruzados mientras los innovadores financieros crean opciones de venta, consideremos la debacle con los fondos del mercado monetario en septiembre de 2008. A los inversores en FMM les prometieron que podrían tratar sus tenencias como una cuenta bancaria; vale decir, que podrían retirar tanto dinero como el que habían colocado cuando quisieran hacerlo. Pero cuando Lehman Brothers colapsó, todos los inversores en FMM intentaron retirar dinero al mismo tiempo, tras lo cual se tornó evidente que muchos fondos no podían cumplir. Para evitar una corrida generalizada sobre todos los FMM y los bancos que los respaldaban, la Reserva Federal de Estados Unidos intervino para ofrecer respaldo de liquidez. Una corrida sobre Libra exigiría respaldo en una escala mucho mayor, así como una estrecha coordinación entre todos </w:t>
      </w:r>
      <w:r>
        <w:rPr>
          <w:color w:val="000000"/>
        </w:rPr>
        <w:t>los bancos centrales afectados.</w:t>
      </w:r>
    </w:p>
    <w:p w:rsidR="00382378" w:rsidRPr="001B5FD4" w:rsidRDefault="00382378" w:rsidP="00382378">
      <w:pPr>
        <w:pStyle w:val="NormalWeb"/>
        <w:spacing w:after="0"/>
        <w:jc w:val="both"/>
        <w:textAlignment w:val="baseline"/>
        <w:rPr>
          <w:color w:val="000000"/>
        </w:rPr>
      </w:pPr>
      <w:r w:rsidRPr="001B5FD4">
        <w:rPr>
          <w:color w:val="000000"/>
        </w:rPr>
        <w:t xml:space="preserve">Dados estos riesgos gigantescos, los gobiernos deben intervenir y frenar a Libra antes de que salga al mercado el año próximo. De lo contrario, como ha advertido Maxine Waters, presidenta del Comité de Servicios Financieros de la Cámara Baja de Estados Unidos, los gobiernos también pueden empezar a redactar sus propios testamentos vitales. En la jerga de las finanzas y de la banca, un “testamento vital” es un plan escrito que los bancos les presentan a los reguladores donde describen cómo harán frente a un episodio de insolvencia. En el caso de un gobierno, un testamento vital tendría que explicar cómo responderían las autoridades pertinentes si Libra abandonara su paridad cambiaria y desatara una corrida global. </w:t>
      </w:r>
    </w:p>
    <w:p w:rsidR="00382378" w:rsidRPr="001B5FD4" w:rsidRDefault="00382378" w:rsidP="00382378">
      <w:pPr>
        <w:pStyle w:val="NormalWeb"/>
        <w:spacing w:after="0"/>
        <w:jc w:val="both"/>
        <w:textAlignment w:val="baseline"/>
        <w:rPr>
          <w:color w:val="000000"/>
        </w:rPr>
      </w:pPr>
      <w:r w:rsidRPr="001B5FD4">
        <w:rPr>
          <w:color w:val="000000"/>
        </w:rPr>
        <w:t>Obviamente, esto plantea una cantidad de interrogantes relevantes. ¿Los gobiernos prometerían, como el ex presidente de la Fed Ben Bernanke en septiembre de 2008, seguido por el presidente del Banco Central Europeo, Mario Draghi, en julio de 2012, hacer “lo que hay que hacer” para garantizar la supervivencia de la moneda? ¿Tendrían la capacidad de hacerlo, y sobre todo de coordinar sus acciones –y compartir pérdidas- con todos los otros países involucrados? ¿Los gobiernos podrían tomar control del sistema si resultara inc</w:t>
      </w:r>
      <w:r>
        <w:rPr>
          <w:color w:val="000000"/>
        </w:rPr>
        <w:t>apaz de sustentarse a sí mismo?</w:t>
      </w:r>
    </w:p>
    <w:p w:rsidR="00382378" w:rsidRPr="001B5FD4" w:rsidRDefault="00382378" w:rsidP="00382378">
      <w:pPr>
        <w:pStyle w:val="NormalWeb"/>
        <w:spacing w:after="0"/>
        <w:jc w:val="both"/>
        <w:textAlignment w:val="baseline"/>
        <w:rPr>
          <w:color w:val="000000"/>
        </w:rPr>
      </w:pPr>
      <w:r w:rsidRPr="001B5FD4">
        <w:rPr>
          <w:color w:val="000000"/>
        </w:rPr>
        <w:t xml:space="preserve">El silencio en respuesta al anuncio de Facebook esta semana es sinónimo de respaldar su nueva y peligrosa aventura. Los gobiernos no deben permitir que partes privadas y con ánimo de lucro pongan en riesgo a todo el sistema financiero global. Si los bancos son “demasiado grandes para quebrar”, entonces los estados definitivamente lo son. Si los gobiernos no nos protegen del último acto de soberbia de Facebook, todos pagaremos el precio. </w:t>
      </w:r>
    </w:p>
    <w:p w:rsidR="00382378" w:rsidRDefault="00382378" w:rsidP="00382378">
      <w:pPr>
        <w:pStyle w:val="NormalWeb"/>
        <w:spacing w:after="0"/>
        <w:jc w:val="both"/>
        <w:textAlignment w:val="baseline"/>
        <w:rPr>
          <w:color w:val="000000"/>
          <w:lang w:val="en-GB"/>
        </w:rPr>
      </w:pPr>
      <w:r>
        <w:rPr>
          <w:color w:val="000000"/>
          <w:lang w:val="en-GB"/>
        </w:rPr>
        <w:t>(</w:t>
      </w:r>
      <w:r w:rsidRPr="001B5FD4">
        <w:rPr>
          <w:color w:val="000000"/>
          <w:lang w:val="en-GB"/>
        </w:rPr>
        <w:t>Katharina Pistor is Professor of Comparative Law at Columbia Law School. She is the author of The Code of Capital: How the La</w:t>
      </w:r>
      <w:r>
        <w:rPr>
          <w:color w:val="000000"/>
          <w:lang w:val="en-GB"/>
        </w:rPr>
        <w:t>w Creates Wealth and Inequality)</w:t>
      </w:r>
    </w:p>
    <w:p w:rsidR="00382378" w:rsidRPr="00B044BF" w:rsidRDefault="00382378" w:rsidP="00382378">
      <w:pPr>
        <w:pStyle w:val="NormalWeb"/>
        <w:spacing w:after="0"/>
        <w:jc w:val="both"/>
        <w:textAlignment w:val="baseline"/>
        <w:rPr>
          <w:color w:val="FF0000"/>
        </w:rPr>
      </w:pPr>
      <w:r>
        <w:rPr>
          <w:color w:val="000000"/>
        </w:rPr>
        <w:t xml:space="preserve">- </w:t>
      </w:r>
      <w:r w:rsidRPr="00400125">
        <w:rPr>
          <w:color w:val="000000"/>
          <w:u w:val="single"/>
        </w:rPr>
        <w:t>El poder en la sombra: la banda de los cuatro son ahora cinco</w:t>
      </w:r>
      <w:r>
        <w:rPr>
          <w:color w:val="000000"/>
        </w:rPr>
        <w:t xml:space="preserve"> (El Confidencial - </w:t>
      </w:r>
      <w:r w:rsidRPr="00400125">
        <w:rPr>
          <w:b/>
          <w:color w:val="000000"/>
        </w:rPr>
        <w:t>23/6/19</w:t>
      </w:r>
      <w:r>
        <w:rPr>
          <w:color w:val="000000"/>
        </w:rPr>
        <w:t xml:space="preserve">) </w:t>
      </w:r>
    </w:p>
    <w:p w:rsidR="00382378" w:rsidRDefault="00382378" w:rsidP="00382378">
      <w:pPr>
        <w:pStyle w:val="NormalWeb"/>
        <w:spacing w:after="0"/>
        <w:jc w:val="both"/>
        <w:textAlignment w:val="baseline"/>
        <w:rPr>
          <w:color w:val="000000"/>
        </w:rPr>
      </w:pPr>
      <w:r w:rsidRPr="00400125">
        <w:rPr>
          <w:color w:val="000000"/>
        </w:rPr>
        <w:t>El poder ha cambiado de manos. Hoy las grandes corporaciones, como ya reconoce hasta el FMI, que no suele tirar octavillas en las fábricas, son más fuertes que muchos gobiernos</w:t>
      </w:r>
    </w:p>
    <w:p w:rsidR="00382378" w:rsidRDefault="00382378" w:rsidP="00382378">
      <w:pPr>
        <w:pStyle w:val="NormalWeb"/>
        <w:spacing w:after="0"/>
        <w:jc w:val="both"/>
        <w:textAlignment w:val="baseline"/>
        <w:rPr>
          <w:color w:val="000000"/>
        </w:rPr>
      </w:pPr>
      <w:r>
        <w:rPr>
          <w:color w:val="000000"/>
        </w:rPr>
        <w:t>(Por Carlos Sánchez)</w:t>
      </w:r>
    </w:p>
    <w:p w:rsidR="00382378" w:rsidRDefault="00382378" w:rsidP="00382378">
      <w:pPr>
        <w:pStyle w:val="NormalWeb"/>
        <w:spacing w:after="0"/>
        <w:jc w:val="both"/>
        <w:textAlignment w:val="baseline"/>
        <w:rPr>
          <w:color w:val="000000"/>
        </w:rPr>
      </w:pPr>
      <w:r>
        <w:rPr>
          <w:color w:val="000000"/>
        </w:rPr>
        <w:t>(…)</w:t>
      </w:r>
    </w:p>
    <w:p w:rsidR="00382378" w:rsidRPr="00400125" w:rsidRDefault="00382378" w:rsidP="00382378">
      <w:pPr>
        <w:pStyle w:val="NormalWeb"/>
        <w:spacing w:after="0"/>
        <w:jc w:val="both"/>
        <w:textAlignment w:val="baseline"/>
        <w:rPr>
          <w:color w:val="000000"/>
        </w:rPr>
      </w:pPr>
      <w:r w:rsidRPr="00400125">
        <w:rPr>
          <w:color w:val="000000"/>
        </w:rPr>
        <w:t>A las grandes corporaciones occidentales -los Google, Amazon, Facebook, Apple o, más recientemente, Netflix-, les comienza a suceder algo parecido. Su poder comienza a ser tan descomunal que hasta el Fondo Monetario Internacional (FMI), poco sospechoso de tirar octavillas en las fábricas, destinó uno de los recuadros del último informe de perspectivas económicas al poder de mercado de las grandes corporaciones.</w:t>
      </w:r>
    </w:p>
    <w:p w:rsidR="00382378" w:rsidRPr="00400125" w:rsidRDefault="00382378" w:rsidP="00382378">
      <w:pPr>
        <w:pStyle w:val="NormalWeb"/>
        <w:spacing w:after="0"/>
        <w:jc w:val="both"/>
        <w:textAlignment w:val="baseline"/>
        <w:rPr>
          <w:color w:val="000000"/>
        </w:rPr>
      </w:pPr>
      <w:r w:rsidRPr="00400125">
        <w:rPr>
          <w:color w:val="000000"/>
        </w:rPr>
        <w:t>El FMI, para hacer su análisis, utilizó información procedente de alrededor de un millón de empresas de 27 economías avanzadas. Y el resultado no puede ser más llamativo. Las empresas con</w:t>
      </w:r>
      <w:r>
        <w:rPr>
          <w:color w:val="000000"/>
        </w:rPr>
        <w:t xml:space="preserve"> mayores márgenes de beneficio -</w:t>
      </w:r>
      <w:r w:rsidRPr="00400125">
        <w:rPr>
          <w:color w:val="000000"/>
        </w:rPr>
        <w:t>es decir, l</w:t>
      </w:r>
      <w:r>
        <w:rPr>
          <w:color w:val="000000"/>
        </w:rPr>
        <w:t>as que están en el 10% superior-</w:t>
      </w:r>
      <w:r w:rsidRPr="00400125">
        <w:rPr>
          <w:color w:val="000000"/>
        </w:rPr>
        <w:t xml:space="preserve"> incrementaron dichos márgenes más de un 30% desde el año 2000, mientras que en el 90% restante esos márgenes han permane</w:t>
      </w:r>
      <w:r>
        <w:rPr>
          <w:color w:val="000000"/>
        </w:rPr>
        <w:t>cido en su mayoría sin cambios.</w:t>
      </w:r>
    </w:p>
    <w:p w:rsidR="00382378" w:rsidRPr="00400125" w:rsidRDefault="00382378" w:rsidP="00382378">
      <w:pPr>
        <w:pStyle w:val="NormalWeb"/>
        <w:spacing w:after="0"/>
        <w:jc w:val="both"/>
        <w:textAlignment w:val="baseline"/>
        <w:rPr>
          <w:color w:val="000000"/>
        </w:rPr>
      </w:pPr>
      <w:r w:rsidRPr="00400125">
        <w:rPr>
          <w:color w:val="000000"/>
        </w:rPr>
        <w:t>Activos intangibles</w:t>
      </w:r>
    </w:p>
    <w:p w:rsidR="00382378" w:rsidRPr="00400125" w:rsidRDefault="00382378" w:rsidP="00382378">
      <w:pPr>
        <w:pStyle w:val="NormalWeb"/>
        <w:spacing w:after="0"/>
        <w:jc w:val="both"/>
        <w:textAlignment w:val="baseline"/>
        <w:rPr>
          <w:color w:val="000000"/>
        </w:rPr>
      </w:pPr>
      <w:r w:rsidRPr="00400125">
        <w:rPr>
          <w:color w:val="000000"/>
        </w:rPr>
        <w:t>Es decir, hay una evidente concentración de la riqueza en favor de las grandes corporaciones gracias, entre otras cosas, a que son más productivas e innovadoras, lo que se ha visto potenciado, como sostiene el propio FMI, por su mayor capacidad para explotar activos i</w:t>
      </w:r>
      <w:r>
        <w:rPr>
          <w:color w:val="000000"/>
        </w:rPr>
        <w:t>ntangibles basados en la marca.</w:t>
      </w:r>
    </w:p>
    <w:p w:rsidR="00382378" w:rsidRPr="00400125" w:rsidRDefault="00382378" w:rsidP="00382378">
      <w:pPr>
        <w:pStyle w:val="NormalWeb"/>
        <w:spacing w:after="0"/>
        <w:jc w:val="both"/>
        <w:textAlignment w:val="baseline"/>
        <w:rPr>
          <w:color w:val="000000"/>
        </w:rPr>
      </w:pPr>
      <w:r w:rsidRPr="00400125">
        <w:rPr>
          <w:color w:val="000000"/>
        </w:rPr>
        <w:t>También, por los llamados efectos de red, que se producen cuando el valor de un producto o servicio aumenta en la medida que más personas lo usan, y por las economías de escala (costes unitarios más bajos al ritmo que se incrementa la producción). Pero también gracias a que han sabido colarse entre las rendijas de un sistema fiscal obsoleto pensado para los tiempos del capitalismo industrial, no financiero, lo que explica que los gobiernos pusieran ya en marcha hace algunos años el proyecto BEPS, destinado a impedir la erosión fiscal que se produce por una planificación tributaria tan agresiva como inmoral, que hace que el esfuerzo fiscal recaiga, fundament</w:t>
      </w:r>
      <w:r>
        <w:rPr>
          <w:color w:val="000000"/>
        </w:rPr>
        <w:t>almente, sobre los asalariados.</w:t>
      </w:r>
    </w:p>
    <w:p w:rsidR="00382378" w:rsidRPr="00400125" w:rsidRDefault="00382378" w:rsidP="00382378">
      <w:pPr>
        <w:pStyle w:val="NormalWeb"/>
        <w:spacing w:after="0"/>
        <w:jc w:val="both"/>
        <w:textAlignment w:val="baseline"/>
        <w:rPr>
          <w:color w:val="000000"/>
        </w:rPr>
      </w:pPr>
      <w:r w:rsidRPr="00400125">
        <w:rPr>
          <w:color w:val="000000"/>
        </w:rPr>
        <w:t>Su poder de mercado -gracias a la ausencia de regulación- llega al extremo de que algunas compañías, como Facebook, han anunciado el lanzamiento de una criptomoneda alternativa, la Libra (para qué ser más originales), adelantándose con ello a Amazon, que ya tiene muy avanzado su proyecto de crear una divisa propia para utilizar en la red, lo que ha encendido ya las alarmas en los bancos centrales.</w:t>
      </w:r>
      <w:r>
        <w:rPr>
          <w:color w:val="000000"/>
        </w:rPr>
        <w:t xml:space="preserve"> No en vano, como ha recordado “</w:t>
      </w:r>
      <w:r w:rsidRPr="00400125">
        <w:rPr>
          <w:color w:val="000000"/>
        </w:rPr>
        <w:t>The Eco</w:t>
      </w:r>
      <w:r>
        <w:rPr>
          <w:color w:val="000000"/>
        </w:rPr>
        <w:t>nomist”</w:t>
      </w:r>
      <w:r w:rsidRPr="00400125">
        <w:rPr>
          <w:color w:val="000000"/>
        </w:rPr>
        <w:t>, si los 2.400 millones de usuarios de Facebook adoptan Libra para comprar y transferir dinero, la tecnológica podría convertirse en una de las entidades financieras más grandes del mundo.</w:t>
      </w:r>
    </w:p>
    <w:p w:rsidR="00382378" w:rsidRPr="00400125" w:rsidRDefault="00382378" w:rsidP="00382378">
      <w:pPr>
        <w:pStyle w:val="NormalWeb"/>
        <w:spacing w:after="0"/>
        <w:jc w:val="both"/>
        <w:textAlignment w:val="baseline"/>
        <w:rPr>
          <w:color w:val="000000"/>
        </w:rPr>
      </w:pPr>
      <w:r w:rsidRPr="00400125">
        <w:rPr>
          <w:color w:val="000000"/>
        </w:rPr>
        <w:t xml:space="preserve">Tanto el BIS como el G-20 van a crear sendos grupos de trabajo para analizar las consecuencias contractuales que puede tener la creación de sistemas de liquidez alternativos que requieren un nivel de respaldo financiero que ninguna entidad privada puede proporcionar. Y la última crisis (tras la bancarrota de Lehman) dejó bien claro </w:t>
      </w:r>
      <w:r w:rsidR="007D67F3" w:rsidRPr="00400125">
        <w:rPr>
          <w:color w:val="000000"/>
        </w:rPr>
        <w:t>quién</w:t>
      </w:r>
      <w:r w:rsidRPr="00400125">
        <w:rPr>
          <w:color w:val="000000"/>
        </w:rPr>
        <w:t xml:space="preserve"> puede g</w:t>
      </w:r>
      <w:r>
        <w:rPr>
          <w:color w:val="000000"/>
        </w:rPr>
        <w:t>arantizar los sistemas de pago.</w:t>
      </w:r>
    </w:p>
    <w:p w:rsidR="00382378" w:rsidRPr="00400125" w:rsidRDefault="00382378" w:rsidP="00382378">
      <w:pPr>
        <w:pStyle w:val="NormalWeb"/>
        <w:spacing w:after="0"/>
        <w:jc w:val="both"/>
        <w:textAlignment w:val="baseline"/>
        <w:rPr>
          <w:color w:val="000000"/>
        </w:rPr>
      </w:pPr>
      <w:r w:rsidRPr="00400125">
        <w:rPr>
          <w:color w:val="000000"/>
        </w:rPr>
        <w:t>Banca en la sombra</w:t>
      </w:r>
    </w:p>
    <w:p w:rsidR="00382378" w:rsidRPr="00400125" w:rsidRDefault="00382378" w:rsidP="00382378">
      <w:pPr>
        <w:pStyle w:val="NormalWeb"/>
        <w:spacing w:after="0"/>
        <w:jc w:val="both"/>
        <w:textAlignment w:val="baseline"/>
        <w:rPr>
          <w:color w:val="000000"/>
        </w:rPr>
      </w:pPr>
      <w:r w:rsidRPr="00400125">
        <w:rPr>
          <w:color w:val="000000"/>
        </w:rPr>
        <w:t>En definitiva, una verdadera banca en la sombra mucho más potente que la actual que mete presión a los bancos centrales, que desde la consolidación del Estado-nación han tenido el monopolio de la creación de dinero. Es decir, el sueño anarco-liberal -liquidar el poder de los bancos centrales- llevado a sus últimas consecuencias gracias a los algoritmos, como ha explicado e</w:t>
      </w:r>
      <w:r>
        <w:rPr>
          <w:color w:val="000000"/>
        </w:rPr>
        <w:t>n este periódico Javier Molina.</w:t>
      </w:r>
    </w:p>
    <w:p w:rsidR="00382378" w:rsidRPr="00400125" w:rsidRDefault="00382378" w:rsidP="00382378">
      <w:pPr>
        <w:pStyle w:val="NormalWeb"/>
        <w:spacing w:after="0"/>
        <w:jc w:val="both"/>
        <w:textAlignment w:val="baseline"/>
        <w:rPr>
          <w:color w:val="000000"/>
        </w:rPr>
      </w:pPr>
      <w:r w:rsidRPr="00400125">
        <w:rPr>
          <w:color w:val="000000"/>
        </w:rPr>
        <w:t>La situación es tan alarmante, que, incluso, en EEUU cada vez hay mayor presión -y no sólo procedente de líderes izquierdistas como Bernie Sanders- para que la Administración dé una nueva vuelta de tuerca a la regulación de las grandes corporaciones. Precisamente, para evitar poner a las democracias a los pies de las empresas tecnológicas -la nueva materia prima son los datos- gracias a su enorme poder de mercado.</w:t>
      </w:r>
    </w:p>
    <w:p w:rsidR="00382378" w:rsidRPr="00400125" w:rsidRDefault="00382378" w:rsidP="00382378">
      <w:pPr>
        <w:pStyle w:val="NormalWeb"/>
        <w:spacing w:after="0"/>
        <w:jc w:val="both"/>
        <w:textAlignment w:val="baseline"/>
        <w:rPr>
          <w:color w:val="000000"/>
        </w:rPr>
      </w:pPr>
      <w:r w:rsidRPr="00400125">
        <w:rPr>
          <w:color w:val="000000"/>
        </w:rPr>
        <w:t>Tanto la Comisión Federal de Comercio (FTC, por sus siglas en inglés) como el Departamento de Justicia van</w:t>
      </w:r>
      <w:r w:rsidR="001E22E4">
        <w:rPr>
          <w:color w:val="000000"/>
        </w:rPr>
        <w:t xml:space="preserve"> a investigar a las verdaderas “big four”</w:t>
      </w:r>
      <w:r w:rsidRPr="00400125">
        <w:rPr>
          <w:color w:val="000000"/>
        </w:rPr>
        <w:t xml:space="preserve"> -que no son las auditoras- para ver si su actuación es coherente con la legislación antimonopolio, en buena medida heredada del New Deal. Entre otras cosas, porque las multas impuestas hasta ahora por comportamientos repugnantes en el tratamiento de datos u otro tipo de fechorías han sido poco eficientes para de</w:t>
      </w:r>
      <w:r>
        <w:rPr>
          <w:color w:val="000000"/>
        </w:rPr>
        <w:t>bilitar su posición de dominio.</w:t>
      </w:r>
    </w:p>
    <w:p w:rsidR="00382378" w:rsidRPr="00400125" w:rsidRDefault="00382378" w:rsidP="00382378">
      <w:pPr>
        <w:pStyle w:val="NormalWeb"/>
        <w:spacing w:after="0"/>
        <w:jc w:val="both"/>
        <w:textAlignment w:val="baseline"/>
        <w:rPr>
          <w:color w:val="000000"/>
        </w:rPr>
      </w:pPr>
      <w:r w:rsidRPr="00400125">
        <w:rPr>
          <w:color w:val="000000"/>
        </w:rPr>
        <w:t>La FTC, de hecho, fue creada en 1934 para la supervisión de las telecomunicaciones y de la radiodifusión, y aunque durante décadas (hasta los primeros 80 no se produjo la segregación) permitió que la legendaria AT&amp;T fuera un monopolio regulado a nivel nacional, como los existentes en los países europeos, al final acabó troceándola en pequeñas uni</w:t>
      </w:r>
      <w:r>
        <w:rPr>
          <w:color w:val="000000"/>
        </w:rPr>
        <w:t>dades de negocio -las célebres “baby bells”</w:t>
      </w:r>
      <w:r w:rsidRPr="00400125">
        <w:rPr>
          <w:color w:val="000000"/>
        </w:rPr>
        <w:t>- para asegurar la competencia. Es decir, se tardaron al menos cuatro décadas en desmontar un monopolio privado.</w:t>
      </w:r>
    </w:p>
    <w:p w:rsidR="00382378" w:rsidRPr="00400125" w:rsidRDefault="00382378" w:rsidP="00382378">
      <w:pPr>
        <w:pStyle w:val="NormalWeb"/>
        <w:spacing w:after="0"/>
        <w:jc w:val="both"/>
        <w:textAlignment w:val="baseline"/>
        <w:rPr>
          <w:color w:val="000000"/>
        </w:rPr>
      </w:pPr>
      <w:r w:rsidRPr="00400125">
        <w:rPr>
          <w:color w:val="000000"/>
        </w:rPr>
        <w:t>El regulador tomó cartas en el asunto en aras del interés general, que es el bien a proteger, sin que ello haya afectado a la capacidad de innovación. Y, por supuesto, haciendo posible aquello que decía Keynes de la economía, que era, fundamentalmente, una “ciencia moral”.</w:t>
      </w:r>
    </w:p>
    <w:p w:rsidR="00382378" w:rsidRPr="00400125" w:rsidRDefault="00382378" w:rsidP="00382378">
      <w:pPr>
        <w:pStyle w:val="NormalWeb"/>
        <w:spacing w:after="0"/>
        <w:jc w:val="both"/>
        <w:textAlignment w:val="baseline"/>
        <w:rPr>
          <w:color w:val="000000"/>
        </w:rPr>
      </w:pPr>
      <w:r w:rsidRPr="00400125">
        <w:rPr>
          <w:color w:val="000000"/>
        </w:rPr>
        <w:t>Voladura controlada</w:t>
      </w:r>
    </w:p>
    <w:p w:rsidR="00382378" w:rsidRPr="00400125" w:rsidRDefault="00382378" w:rsidP="00382378">
      <w:pPr>
        <w:pStyle w:val="NormalWeb"/>
        <w:spacing w:after="0"/>
        <w:jc w:val="both"/>
        <w:textAlignment w:val="baseline"/>
        <w:rPr>
          <w:color w:val="000000"/>
        </w:rPr>
      </w:pPr>
      <w:r w:rsidRPr="00400125">
        <w:rPr>
          <w:color w:val="000000"/>
        </w:rPr>
        <w:t>De hecho, el origen de la revolución tecnológica actual coincide en el tiempo con la voladura controlada de AT&amp;T, lo que favoreció un nuevo ecosistema tecnoló</w:t>
      </w:r>
      <w:r>
        <w:rPr>
          <w:color w:val="000000"/>
        </w:rPr>
        <w:t>gico más abierto y competitivo.</w:t>
      </w:r>
    </w:p>
    <w:p w:rsidR="00382378" w:rsidRPr="00400125" w:rsidRDefault="00382378" w:rsidP="00382378">
      <w:pPr>
        <w:pStyle w:val="NormalWeb"/>
        <w:spacing w:after="0"/>
        <w:jc w:val="both"/>
        <w:textAlignment w:val="baseline"/>
        <w:rPr>
          <w:color w:val="000000"/>
        </w:rPr>
      </w:pPr>
      <w:r w:rsidRPr="00400125">
        <w:rPr>
          <w:color w:val="000000"/>
        </w:rPr>
        <w:t>Como ha puesto de manifiesto recientemente el economista Raghuram G. Rajan, a sus espaldas con uno de los mejores libros sobre la Gran Recesión, un reciente estudio de la Universidad de Maryland ha mostrado que la velocidad de incorporación al mercado de las empresas nuevas (una medida de la innovación) cayó de forma intensa en los últimos 12 años. Fundamentalmente, porque las grandes corporaciones -en particular las llamadas FAANG (Facebook, Amazon, Apple, Netflix y Google)- hacen ofertas multimillonarias a las compañías pequeñas antes de que crezcan y así se evitan un competidor sacándolo del mercado. No es, por lo tanto, una cuestión de eficiencia, sino que el proceso hay que relacionarlo con el pode</w:t>
      </w:r>
      <w:r>
        <w:rPr>
          <w:color w:val="000000"/>
        </w:rPr>
        <w:t>r de las grandes corporaciones.</w:t>
      </w:r>
    </w:p>
    <w:p w:rsidR="00382378" w:rsidRPr="00400125" w:rsidRDefault="00382378" w:rsidP="00382378">
      <w:pPr>
        <w:pStyle w:val="NormalWeb"/>
        <w:spacing w:after="0"/>
        <w:jc w:val="both"/>
        <w:textAlignment w:val="baseline"/>
        <w:rPr>
          <w:color w:val="000000"/>
        </w:rPr>
      </w:pPr>
      <w:r w:rsidRPr="00400125">
        <w:rPr>
          <w:color w:val="000000"/>
        </w:rPr>
        <w:t>Lo que se aprendió de la voladura de AT&amp;T, sin embargo, es que compañías más pequeñas, por lo tanto, no mermaron la célebre destrucción creativa de Schumpeter. Como tampoco la existencia de una fiscalidad justa impidió el desarrollo de determinadas actividades de la que hoy escapan muchas compañías tecnológicas gracias, paradójicamente, a los diferentes caballos de Troya -Irlanda, Luxemburgo, Países Bajos…- aceptados y hasta tutelados cínicamente por la UE como una válvula de escape para ahorrar costes a sus grandes corporaciones. Luxemburgo, por ejemplo, es el centro de operaciones de la banca alemana.</w:t>
      </w:r>
    </w:p>
    <w:p w:rsidR="00382378" w:rsidRPr="00400125" w:rsidRDefault="00382378" w:rsidP="00382378">
      <w:pPr>
        <w:pStyle w:val="NormalWeb"/>
        <w:spacing w:after="0"/>
        <w:jc w:val="both"/>
        <w:textAlignment w:val="baseline"/>
        <w:rPr>
          <w:color w:val="000000"/>
        </w:rPr>
      </w:pPr>
      <w:r w:rsidRPr="00400125">
        <w:rPr>
          <w:color w:val="000000"/>
        </w:rPr>
        <w:t>Caballos de Troya para la elusión fiscal (dentro de la legalidad) que hoy utilizan compañías como Netflix, que en su último informe corporativo reconoce a sus accionistas “riesgos regulatorios”, que es una forma amable de admitir que su tributación es residual y que en cualquier momento las autoridades de la Unión Europ</w:t>
      </w:r>
      <w:r>
        <w:rPr>
          <w:color w:val="000000"/>
        </w:rPr>
        <w:t>ea tomarán cartas en el asunto.</w:t>
      </w:r>
    </w:p>
    <w:p w:rsidR="00382378" w:rsidRPr="00400125" w:rsidRDefault="00382378" w:rsidP="00382378">
      <w:pPr>
        <w:pStyle w:val="NormalWeb"/>
        <w:spacing w:after="0"/>
        <w:jc w:val="both"/>
        <w:textAlignment w:val="baseline"/>
        <w:rPr>
          <w:color w:val="000000"/>
        </w:rPr>
      </w:pPr>
      <w:r w:rsidRPr="00400125">
        <w:rPr>
          <w:color w:val="000000"/>
        </w:rPr>
        <w:t>Europa todavía no lo ha hecho, aunque ha empezado a dar señales a través de la directiva correspondiente, que incluye los llamados servicios OTT (las plataformas de video a la car</w:t>
      </w:r>
      <w:r>
        <w:rPr>
          <w:color w:val="000000"/>
        </w:rPr>
        <w:t>ta) en su política audiovisual.</w:t>
      </w:r>
    </w:p>
    <w:p w:rsidR="00382378" w:rsidRDefault="00382378" w:rsidP="00382378">
      <w:pPr>
        <w:pStyle w:val="NormalWeb"/>
        <w:spacing w:after="0"/>
        <w:jc w:val="both"/>
        <w:textAlignment w:val="baseline"/>
        <w:rPr>
          <w:color w:val="000000"/>
        </w:rPr>
      </w:pPr>
      <w:r w:rsidRPr="00400125">
        <w:rPr>
          <w:color w:val="000000"/>
        </w:rPr>
        <w:t>Las nuevas reglas, de hecho, se aplicarán a las cadenas convencionales de televisión, pero también a plataformas como Netflix, y de distribución de videos, como YouTube y Facebook, así como a las retransmisiones en directo en estas plataformas. Por lo tanto, las equipara a las telecos tradicionales que pagan impuestos en España y cubren con el coste de la protección de las producciones europeas. Eso es mejor que estar a por uvas mientras EEUU (primero con Obama y después con Trump) protege a sus megacorporaciones, más grandes que muchos países. Y,</w:t>
      </w:r>
      <w:r>
        <w:rPr>
          <w:color w:val="000000"/>
        </w:rPr>
        <w:t xml:space="preserve"> desde, luego, más influyentes.</w:t>
      </w:r>
    </w:p>
    <w:p w:rsidR="00382378" w:rsidRPr="00B044BF" w:rsidRDefault="00382378" w:rsidP="00382378">
      <w:pPr>
        <w:pStyle w:val="NormalWeb"/>
        <w:shd w:val="clear" w:color="auto" w:fill="FFFFFF"/>
        <w:spacing w:before="270" w:after="0"/>
        <w:jc w:val="both"/>
        <w:textAlignment w:val="baseline"/>
        <w:rPr>
          <w:color w:val="FF0000"/>
        </w:rPr>
      </w:pPr>
      <w:r>
        <w:t xml:space="preserve">- </w:t>
      </w:r>
      <w:r w:rsidRPr="00CA05FC">
        <w:rPr>
          <w:u w:val="single"/>
        </w:rPr>
        <w:t>Adiós, mundo plano</w:t>
      </w:r>
      <w:r>
        <w:t xml:space="preserve"> (Project Syndicate - </w:t>
      </w:r>
      <w:r w:rsidRPr="00CA05FC">
        <w:rPr>
          <w:b/>
        </w:rPr>
        <w:t>1/7/19</w:t>
      </w:r>
      <w:r>
        <w:t xml:space="preserve">) </w:t>
      </w:r>
    </w:p>
    <w:p w:rsidR="00382378" w:rsidRPr="00D35461" w:rsidRDefault="00382378" w:rsidP="00382378">
      <w:pPr>
        <w:pStyle w:val="NormalWeb"/>
        <w:shd w:val="clear" w:color="auto" w:fill="FFFFFF"/>
        <w:spacing w:before="270" w:after="0"/>
        <w:jc w:val="both"/>
        <w:textAlignment w:val="baseline"/>
        <w:rPr>
          <w:u w:val="single"/>
        </w:rPr>
      </w:pPr>
      <w:r>
        <w:t xml:space="preserve">París.- </w:t>
      </w:r>
      <w:r w:rsidRPr="00D35461">
        <w:rPr>
          <w:u w:val="single"/>
        </w:rPr>
        <w:t xml:space="preserve">Hace cincuenta años, la creencia popular era que los países ricos dominaban a los países pobres, y se suponía en general que los ricos seguirían volviéndose más ricos y los pobres, más pobres, por lo menos en términos relativos. Economistas como Gunnar Myrdal en Suecia, Andre Gunder Frank en Estados Unidos y François Perroux en Francia advertían sobre la creciente desigualdad entre los países, el desarrollo del subdesarrollo y la dominación económica. Al comercio y a la inversión extranjera se los miraba con sospecha. </w:t>
      </w:r>
    </w:p>
    <w:p w:rsidR="00382378" w:rsidRPr="00D35461" w:rsidRDefault="00382378" w:rsidP="00382378">
      <w:pPr>
        <w:pStyle w:val="NormalWeb"/>
        <w:shd w:val="clear" w:color="auto" w:fill="FFFFFF"/>
        <w:spacing w:before="270" w:after="0"/>
        <w:jc w:val="both"/>
        <w:textAlignment w:val="baseline"/>
        <w:rPr>
          <w:color w:val="FF0000"/>
          <w:u w:val="single"/>
        </w:rPr>
      </w:pPr>
      <w:r w:rsidRPr="00D35461">
        <w:rPr>
          <w:u w:val="single"/>
        </w:rPr>
        <w:t>La historia demostró que la creencia popular era errónea. El único desarrollo económico más importante de los últimos 50 años ha sido la aproximación entre los distintos niveles de ingresos de un grupo significativo de países pobres</w:t>
      </w:r>
      <w:r>
        <w:t xml:space="preserve">. Como explica Richard Baldwin del Geneva Graduate Institute en su esclarecedor libro La gran convergencia, </w:t>
      </w:r>
      <w:r w:rsidRPr="00D35461">
        <w:rPr>
          <w:u w:val="single"/>
        </w:rPr>
        <w:t>los principales motores del crecimiento convergente han sido el comercio internacional y la drástica caída d</w:t>
      </w:r>
      <w:r>
        <w:rPr>
          <w:u w:val="single"/>
        </w:rPr>
        <w:t>el costo de impulsar las ideas -</w:t>
      </w:r>
      <w:r w:rsidRPr="00D35461">
        <w:rPr>
          <w:u w:val="single"/>
        </w:rPr>
        <w:t>lo que él llama la “segunda desagregación” (de la tecnología y la producción</w:t>
      </w:r>
      <w:r w:rsidRPr="00382378">
        <w:rPr>
          <w:u w:val="single"/>
        </w:rPr>
        <w:t>)-</w:t>
      </w:r>
      <w:r w:rsidRPr="00D35461">
        <w:rPr>
          <w:color w:val="FF0000"/>
          <w:u w:val="single"/>
        </w:rPr>
        <w:t xml:space="preserve">. Fue Thomas L. Friedman del New York Times quien mejor resumió la esencia de esta nueva fase. El terreno de juego, decía en 2005, se está nivelando: El mundo es plano. </w:t>
      </w:r>
    </w:p>
    <w:p w:rsidR="00382378" w:rsidRPr="00D35461" w:rsidRDefault="00382378" w:rsidP="00382378">
      <w:pPr>
        <w:pStyle w:val="NormalWeb"/>
        <w:shd w:val="clear" w:color="auto" w:fill="FFFFFF"/>
        <w:spacing w:before="270" w:after="0"/>
        <w:jc w:val="both"/>
        <w:textAlignment w:val="baseline"/>
        <w:rPr>
          <w:u w:val="single"/>
        </w:rPr>
      </w:pPr>
      <w:r>
        <w:t xml:space="preserve">Este panorama bastante igualitario de las relaciones económicas internacionales no se aplicaba solamente al conocimiento, al comercio y a los flujos de inversión. </w:t>
      </w:r>
      <w:r w:rsidRPr="00D35461">
        <w:rPr>
          <w:u w:val="single"/>
        </w:rPr>
        <w:t>Hace veinte años, la mayoría de los académicos consideraba que los tipos de cambio flotantes eran otro elemento nivelador: cada país, grande o pequeño, podía seguir su propia modalidad monetaria, siempre que sus instituciones de políticas domésticas fueran sólidas. La asimetría característica de los sistemas de tipo de cambio fijos había desaparecido. Hasta los flu</w:t>
      </w:r>
      <w:r>
        <w:rPr>
          <w:u w:val="single"/>
        </w:rPr>
        <w:t>jos de capital se consideraban -</w:t>
      </w:r>
      <w:r w:rsidRPr="00D35461">
        <w:rPr>
          <w:u w:val="single"/>
        </w:rPr>
        <w:t xml:space="preserve">aunque fuera brevemente- potenciales ecualizadores. La idea del Fondo Monetario Internacional en 1997 era lograr que su liberalización fuera un objetivo para todos.  </w:t>
      </w:r>
    </w:p>
    <w:p w:rsidR="00382378" w:rsidRDefault="00382378" w:rsidP="00382378">
      <w:pPr>
        <w:pStyle w:val="NormalWeb"/>
        <w:shd w:val="clear" w:color="auto" w:fill="FFFFFF"/>
        <w:spacing w:before="270" w:after="0"/>
        <w:jc w:val="both"/>
        <w:textAlignment w:val="baseline"/>
      </w:pPr>
      <w:r>
        <w:t xml:space="preserve">En este mundo, Estados Unidos podía ser visto simplemente como un país más avanzado y más grande. Era una exageración, sin duda. Pero los propios líderes norteamericanos muchas veces tendían a restarle importancia a la centralidad de su país y a las responsabilidades correspondientes a su tamaño. </w:t>
      </w:r>
    </w:p>
    <w:p w:rsidR="00382378" w:rsidRPr="00D35461" w:rsidRDefault="00382378" w:rsidP="00382378">
      <w:pPr>
        <w:pStyle w:val="NormalWeb"/>
        <w:shd w:val="clear" w:color="auto" w:fill="FFFFFF"/>
        <w:spacing w:before="270" w:after="0"/>
        <w:jc w:val="both"/>
        <w:textAlignment w:val="baseline"/>
        <w:rPr>
          <w:color w:val="FF0000"/>
          <w:u w:val="single"/>
        </w:rPr>
      </w:pPr>
      <w:r w:rsidRPr="00D35461">
        <w:rPr>
          <w:color w:val="FF0000"/>
          <w:u w:val="single"/>
        </w:rPr>
        <w:t>Sin embargo, las cosas han vuelto a cambiar: desde las inversiones intangibles y las redes digitales hasta las finanzas y los tipos de cambio, hay un creciente reconocimiento de que las transformaciones en la economía global han restablecido la centralidad. El mundo que sur</w:t>
      </w:r>
      <w:r>
        <w:rPr>
          <w:color w:val="FF0000"/>
          <w:u w:val="single"/>
        </w:rPr>
        <w:t xml:space="preserve">ge de ellas ya no parece plano - </w:t>
      </w:r>
      <w:r w:rsidRPr="00D35461">
        <w:rPr>
          <w:color w:val="FF0000"/>
          <w:u w:val="single"/>
        </w:rPr>
        <w:t xml:space="preserve">parece puntiagudo. </w:t>
      </w:r>
    </w:p>
    <w:p w:rsidR="00382378" w:rsidRDefault="00382378" w:rsidP="00382378">
      <w:pPr>
        <w:pStyle w:val="NormalWeb"/>
        <w:shd w:val="clear" w:color="auto" w:fill="FFFFFF"/>
        <w:spacing w:before="270" w:after="0"/>
        <w:jc w:val="both"/>
        <w:textAlignment w:val="baseline"/>
      </w:pPr>
      <w:r>
        <w:t>Una razón que lo explica es que en una economía cada vez más digitalizada, donde una creciente parte de los servicios son ofrecidos a un costo marginal cero, la creación de valor y la apropiación de valor se concentran en los centros de innovación y donde se hacen las inversiones intangibles. Esto deja cada vez menos espacio a las instalaciones de producción donde se fabrican los bienes tangibles.</w:t>
      </w:r>
    </w:p>
    <w:p w:rsidR="00382378" w:rsidRDefault="00382378" w:rsidP="00382378">
      <w:pPr>
        <w:pStyle w:val="NormalWeb"/>
        <w:shd w:val="clear" w:color="auto" w:fill="FFFFFF"/>
        <w:spacing w:before="270" w:after="0"/>
        <w:jc w:val="both"/>
        <w:textAlignment w:val="baseline"/>
      </w:pPr>
      <w:r>
        <w:t xml:space="preserve">Las redes digitales también contribuyen a la asimetría. Hace unos años, en general se suponía que Internet se convertiría en una red punto a punto global sin un centro. En verdad, ha evolucionado hasta convertirse en un sistema radial mucho más jerárquico, en gran medida por motivos técnicos: la estructura radial es, simplemente, más eficiente. Pero como señalaron los politólogos Henry Farrell y Abraham L. Newman en un documento reciente fascinante, una estructura de red ofrece una considerable ventaja para quien controle sus nodos. </w:t>
      </w:r>
    </w:p>
    <w:p w:rsidR="00382378" w:rsidRPr="00D35461" w:rsidRDefault="00382378" w:rsidP="00382378">
      <w:pPr>
        <w:pStyle w:val="NormalWeb"/>
        <w:shd w:val="clear" w:color="auto" w:fill="FFFFFF"/>
        <w:spacing w:before="270" w:after="0"/>
        <w:jc w:val="both"/>
        <w:textAlignment w:val="baseline"/>
        <w:rPr>
          <w:u w:val="single"/>
        </w:rPr>
      </w:pPr>
      <w:r w:rsidRPr="00D35461">
        <w:rPr>
          <w:u w:val="single"/>
        </w:rPr>
        <w:t xml:space="preserve">La misma estructura radial se puede encontrar en muchos campos. Las finanzas tal vez sean el caso más evidente. La crisis financiera global reveló la centralidad de Wall Street: los incumplimientos de pago en un rincón lejano del mercado crediticio de Estados Unidos podían contaminar a todo el sistema bancario europeo. También resaltó la adicción de los bancos internacionales al dólar, y hasta qué punto se habían vuelto dependientes del acceso a liquidez en dólares. Las líneas de canje otorgadas por la Reserva Federal a determinados bancos centrales asociados para ayudarlos a hacer frente a la correspondiente demanda de dólares fueron una clara ilustración de la naturaleza jerárquica del sistema monetario internacional. </w:t>
      </w:r>
    </w:p>
    <w:p w:rsidR="00382378" w:rsidRPr="00D35461" w:rsidRDefault="00382378" w:rsidP="00382378">
      <w:pPr>
        <w:pStyle w:val="NormalWeb"/>
        <w:shd w:val="clear" w:color="auto" w:fill="FFFFFF"/>
        <w:spacing w:before="270" w:after="0"/>
        <w:jc w:val="both"/>
        <w:textAlignment w:val="baseline"/>
        <w:rPr>
          <w:color w:val="FF0000"/>
          <w:u w:val="single"/>
        </w:rPr>
      </w:pPr>
      <w:r w:rsidRPr="00D35461">
        <w:rPr>
          <w:color w:val="FF0000"/>
          <w:u w:val="single"/>
        </w:rPr>
        <w:t xml:space="preserve">Esta nueva lectura de la interdependencia internacional tiene dos consecuencias importantes. La primera es que los académicos han comenzado a reevaluar la economía internacional a la luz de la creciente asimetría. Hélène Rey de la London Business School ha refutado la visión prevaleciente de que los tipos de cambio flotantes ofrecían un aislamiento de las consecuencias del ciclo monetario de Estados Unidos. Rey dice que los países pueden protegerse de los flujos desestabilizadores de ingreso y egreso de capital con sólo monitorear el crédito muy de cerca o recurriendo a controles de capital. </w:t>
      </w:r>
    </w:p>
    <w:p w:rsidR="00382378" w:rsidRDefault="00382378" w:rsidP="00382378">
      <w:pPr>
        <w:pStyle w:val="NormalWeb"/>
        <w:shd w:val="clear" w:color="auto" w:fill="FFFFFF"/>
        <w:spacing w:before="270" w:after="0"/>
        <w:jc w:val="both"/>
        <w:textAlignment w:val="baseline"/>
      </w:pPr>
      <w:r>
        <w:t xml:space="preserve">En una línea similar, Gita Gopinath, hoy economista jefe del FMI, ha destacado lo extremadamente dependientes que eran la mayoría de los países del tipo de cambio del dólar estadounidense. Mientras que el enfoque tradicional diría que, por ejemplo, el tipo de cambio won-real es un determinante importante del comercio entre Corea del Sur y Brasil, la realidad es que como este comercio se factura principalmente en dólares, el tipo de cambio del dólar de las monedas de ambos países importa más que su tipo de cambio bilateral. Una vez más, este resultado destaca la centralidad de la política monetaria de Estados Unidos para todos los países, grandes y pequeños. </w:t>
      </w:r>
    </w:p>
    <w:p w:rsidR="00382378" w:rsidRDefault="00382378" w:rsidP="00382378">
      <w:pPr>
        <w:pStyle w:val="NormalWeb"/>
        <w:shd w:val="clear" w:color="auto" w:fill="FFFFFF"/>
        <w:spacing w:before="270" w:after="0"/>
        <w:jc w:val="both"/>
        <w:textAlignment w:val="baseline"/>
      </w:pPr>
      <w:r>
        <w:t>En este contexto, la distribución de los beneficios de la apertura y la participación en la economía global es cada vez más desigual. Son cada vez más países los que se preguntan en qué se benefician de un juego que resulta en desenlaces distributivos desparejos y en una pérdida de autonomía macroeconómica y financiera. Es verdad, el proteccionismo sigue siendo una locura peligrosa. Pero una defensa de la apertura es cada vez más difícil de sostener.</w:t>
      </w:r>
    </w:p>
    <w:p w:rsidR="00382378" w:rsidRDefault="00382378" w:rsidP="00382378">
      <w:pPr>
        <w:pStyle w:val="NormalWeb"/>
        <w:shd w:val="clear" w:color="auto" w:fill="FFFFFF"/>
        <w:spacing w:before="270" w:after="0"/>
        <w:jc w:val="both"/>
        <w:textAlignment w:val="baseline"/>
      </w:pPr>
      <w:r>
        <w:t xml:space="preserve">La segunda consecuencia importante de un mundo que ha dejado de ser plano es geopolítica: un sistema económico global más asimétrico mina el multilateralismo y conduce a una batalla por el control de los nodos de las redes internacionales. Farrell y Newman elocuentemente hablan de una “interdependencia armificada”: la mutación de estructuras económicas eficientes en estructuras que aumentan el poder. </w:t>
      </w:r>
    </w:p>
    <w:p w:rsidR="00382378" w:rsidRDefault="00382378" w:rsidP="00382378">
      <w:pPr>
        <w:pStyle w:val="NormalWeb"/>
        <w:shd w:val="clear" w:color="auto" w:fill="FFFFFF"/>
        <w:spacing w:before="270" w:after="0"/>
        <w:jc w:val="both"/>
        <w:textAlignment w:val="baseline"/>
      </w:pPr>
      <w:r>
        <w:t xml:space="preserve">El uso despiadado por parte del presidente de Estados Unidos, Donald Trump, de la centralidad del sistema financiero de su país y del dólar para obligar a los socios comerciales a respetar sus sanciones unilaterales a Irán ha forzado al mundo a reconocer el precio político de la interdependencia económica asimétrica. En respuesta, China (y quizás Europa) pelearán por establecer sus propias redes y garantizar el control de sus nodos. Una vez más, el multilateralismo podría ser la víctima de esta batalla. </w:t>
      </w:r>
    </w:p>
    <w:p w:rsidR="00382378" w:rsidRPr="00CA05FC" w:rsidRDefault="00382378" w:rsidP="00382378">
      <w:pPr>
        <w:pStyle w:val="NormalWeb"/>
        <w:shd w:val="clear" w:color="auto" w:fill="FFFFFF"/>
        <w:spacing w:before="270" w:after="0"/>
        <w:jc w:val="both"/>
        <w:textAlignment w:val="baseline"/>
        <w:rPr>
          <w:lang w:val="en-US"/>
        </w:rPr>
      </w:pPr>
      <w:r>
        <w:t xml:space="preserve">Está surgiendo un nuevo mundo, en el cual será mucho más difícil separar la economía de la geopolítica. No es el mundo según Myrdal, Frank y Perroux, y tampoco es el mundo plano de Friedman. </w:t>
      </w:r>
      <w:r w:rsidRPr="00CA05FC">
        <w:rPr>
          <w:lang w:val="en-US"/>
        </w:rPr>
        <w:t xml:space="preserve">Es el mundo según Juego de tronos. </w:t>
      </w:r>
    </w:p>
    <w:p w:rsidR="00382378" w:rsidRDefault="00382378" w:rsidP="00382378">
      <w:pPr>
        <w:pStyle w:val="NormalWeb"/>
        <w:shd w:val="clear" w:color="auto" w:fill="FFFFFF"/>
        <w:spacing w:before="270" w:after="0"/>
        <w:jc w:val="both"/>
        <w:textAlignment w:val="baseline"/>
        <w:rPr>
          <w:lang w:val="en-US"/>
        </w:rPr>
      </w:pPr>
      <w:r>
        <w:rPr>
          <w:lang w:val="en-US"/>
        </w:rPr>
        <w:t>(</w:t>
      </w:r>
      <w:r w:rsidRPr="00CA05FC">
        <w:rPr>
          <w:lang w:val="en-US"/>
        </w:rPr>
        <w:t>Jean Pisani-Ferry, a professor at the Hertie School of Governance (Berlin) and Sciences Po (Paris), holds the Tommaso Padoa-Schioppa chair at the European University Institute and is a senior fellow at Brueg</w:t>
      </w:r>
      <w:r>
        <w:rPr>
          <w:lang w:val="en-US"/>
        </w:rPr>
        <w:t>el, a Brussels-based think tank)</w:t>
      </w:r>
    </w:p>
    <w:p w:rsidR="00382378" w:rsidRPr="00B044BF" w:rsidRDefault="00382378" w:rsidP="00382378">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A6473E">
        <w:rPr>
          <w:rFonts w:ascii="Times New Roman" w:hAnsi="Times New Roman" w:cs="Times New Roman"/>
          <w:sz w:val="24"/>
          <w:szCs w:val="24"/>
          <w:u w:val="single"/>
        </w:rPr>
        <w:t>5G, un llamado de atención para Europa</w:t>
      </w:r>
      <w:r>
        <w:rPr>
          <w:rFonts w:ascii="Times New Roman" w:hAnsi="Times New Roman" w:cs="Times New Roman"/>
          <w:sz w:val="24"/>
          <w:szCs w:val="24"/>
        </w:rPr>
        <w:t xml:space="preserve"> (Project Syndicate - </w:t>
      </w:r>
      <w:r w:rsidRPr="00A6473E">
        <w:rPr>
          <w:rFonts w:ascii="Times New Roman" w:hAnsi="Times New Roman" w:cs="Times New Roman"/>
          <w:b/>
          <w:sz w:val="24"/>
          <w:szCs w:val="24"/>
        </w:rPr>
        <w:t>8/7/19</w:t>
      </w:r>
      <w:r>
        <w:rPr>
          <w:rFonts w:ascii="Times New Roman" w:hAnsi="Times New Roman" w:cs="Times New Roman"/>
          <w:sz w:val="24"/>
          <w:szCs w:val="24"/>
        </w:rPr>
        <w:t xml:space="preserve">) </w:t>
      </w:r>
    </w:p>
    <w:p w:rsidR="00382378" w:rsidRPr="00A6473E" w:rsidRDefault="00382378" w:rsidP="00382378">
      <w:pPr>
        <w:spacing w:line="240" w:lineRule="auto"/>
        <w:jc w:val="both"/>
        <w:rPr>
          <w:rFonts w:ascii="Times New Roman" w:hAnsi="Times New Roman" w:cs="Times New Roman"/>
          <w:sz w:val="24"/>
          <w:szCs w:val="24"/>
        </w:rPr>
      </w:pPr>
      <w:r>
        <w:rPr>
          <w:rFonts w:ascii="Times New Roman" w:hAnsi="Times New Roman" w:cs="Times New Roman"/>
          <w:sz w:val="24"/>
          <w:szCs w:val="24"/>
        </w:rPr>
        <w:t>Bruselas.-</w:t>
      </w:r>
      <w:r w:rsidRPr="00C53286">
        <w:rPr>
          <w:rFonts w:ascii="Times New Roman" w:hAnsi="Times New Roman" w:cs="Times New Roman"/>
          <w:sz w:val="24"/>
          <w:szCs w:val="24"/>
          <w:u w:val="single"/>
        </w:rPr>
        <w:t>Cómo cambian los tiempos. Hace no mucho, la gran novedad en telecomunicaciones eran las redes móviles 4G, con su promesa de transferencias de datos masivas y abaratamiento de las llamadas. Ahora llega el estándar 5G, que puede hacer posible un sinfín de innovaciones digitales, gracias a su mayor velocidad (200 veces más que el 4G),transferencia acelerada de datos en redes inalámbricas de banda ancha y, sobre todo, la capacidad de conectar objetos ciberfísicos en el contexto de Internet de las Cosas</w:t>
      </w:r>
      <w:r w:rsidRPr="00A6473E">
        <w:rPr>
          <w:rFonts w:ascii="Times New Roman" w:hAnsi="Times New Roman" w:cs="Times New Roman"/>
          <w:sz w:val="24"/>
          <w:szCs w:val="24"/>
        </w:rPr>
        <w:t>. Además, se prevé que el 5G permita la enorme reducción de tiempos de respuesta que demandan los autos sin conductor, la automatización fabril avanzada, las ciudades inteligentes, la salud electrónica y muchas otras aplicaciones.</w:t>
      </w:r>
    </w:p>
    <w:p w:rsidR="00382378" w:rsidRPr="00145FE0" w:rsidRDefault="00382378" w:rsidP="00382378">
      <w:pPr>
        <w:spacing w:line="240" w:lineRule="auto"/>
        <w:jc w:val="both"/>
        <w:rPr>
          <w:rFonts w:ascii="Times New Roman" w:hAnsi="Times New Roman" w:cs="Times New Roman"/>
          <w:color w:val="FF0000"/>
          <w:sz w:val="24"/>
          <w:szCs w:val="24"/>
          <w:u w:val="single"/>
        </w:rPr>
      </w:pPr>
      <w:r w:rsidRPr="00145FE0">
        <w:rPr>
          <w:rFonts w:ascii="Times New Roman" w:hAnsi="Times New Roman" w:cs="Times New Roman"/>
          <w:color w:val="FF0000"/>
          <w:sz w:val="24"/>
          <w:szCs w:val="24"/>
          <w:u w:val="single"/>
        </w:rPr>
        <w:t>Pero hay otra diferencia fundamental. La batalla por el 4G fue básicamente comercial, centrada en la creación de empleo y en las ganancias, pero el debate actual por el 5G es una cuestión de geopolítica, liderazgo tecnológico y seguridad nacional. Por eso Europa debe elaborar una estrategia común mucho más sólida en relación con la nueva tecnología 5G, para reducir posibles riesgos contra su seguridad.</w:t>
      </w:r>
    </w:p>
    <w:p w:rsidR="00382378" w:rsidRPr="00145FE0" w:rsidRDefault="00382378" w:rsidP="00382378">
      <w:pPr>
        <w:spacing w:line="240" w:lineRule="auto"/>
        <w:jc w:val="both"/>
        <w:rPr>
          <w:rFonts w:ascii="Times New Roman" w:hAnsi="Times New Roman" w:cs="Times New Roman"/>
          <w:sz w:val="24"/>
          <w:szCs w:val="24"/>
          <w:u w:val="single"/>
        </w:rPr>
      </w:pPr>
      <w:r w:rsidRPr="00145FE0">
        <w:rPr>
          <w:rFonts w:ascii="Times New Roman" w:hAnsi="Times New Roman" w:cs="Times New Roman"/>
          <w:sz w:val="24"/>
          <w:szCs w:val="24"/>
          <w:u w:val="single"/>
        </w:rPr>
        <w:t>La controversia actual en torno del 5G se centra más que nada en la cuestión de si los operadores de redes móviles de Estados Unidos y Europa deben comprar equipos a la gigante china de las telecomunicaciones Huawei. El gobierno estadounidense había vedado el acceso de la empresa a su mercado de telecomunicaciones por temor a la posibilidad de espionaje (aunque todavía no mostró pruebas al respecto), y exhortó a sus aliados europeos a hacer lo mismo.</w:t>
      </w:r>
    </w:p>
    <w:p w:rsidR="00382378" w:rsidRPr="00A6473E" w:rsidRDefault="00382378" w:rsidP="00382378">
      <w:pPr>
        <w:spacing w:line="240" w:lineRule="auto"/>
        <w:jc w:val="both"/>
        <w:rPr>
          <w:rFonts w:ascii="Times New Roman" w:hAnsi="Times New Roman" w:cs="Times New Roman"/>
          <w:sz w:val="24"/>
          <w:szCs w:val="24"/>
        </w:rPr>
      </w:pPr>
      <w:r w:rsidRPr="00145FE0">
        <w:rPr>
          <w:rFonts w:ascii="Times New Roman" w:hAnsi="Times New Roman" w:cs="Times New Roman"/>
          <w:sz w:val="24"/>
          <w:szCs w:val="24"/>
          <w:u w:val="single"/>
        </w:rPr>
        <w:t>Las posturas de Estados Unidos y de Europa en relación con Huawei parecen contrarias a sus intereses comerciales</w:t>
      </w:r>
      <w:r w:rsidRPr="00A6473E">
        <w:rPr>
          <w:rFonts w:ascii="Times New Roman" w:hAnsi="Times New Roman" w:cs="Times New Roman"/>
          <w:sz w:val="24"/>
          <w:szCs w:val="24"/>
        </w:rPr>
        <w:t>. Al prohibir a la empresa china, el presidente estadounidense Donald Trump beneficia a los proveedores europeos (y surcoreanos), al mismo tiempo que se queja del déficit comercial de Estados Unidos con Europa. (Luego Trump dio señales de que estaría dispuesto a flexibilizar su p</w:t>
      </w:r>
      <w:r>
        <w:rPr>
          <w:rFonts w:ascii="Times New Roman" w:hAnsi="Times New Roman" w:cs="Times New Roman"/>
          <w:sz w:val="24"/>
          <w:szCs w:val="24"/>
        </w:rPr>
        <w:t>ostura en relación con Huawei.)</w:t>
      </w:r>
    </w:p>
    <w:p w:rsidR="00382378" w:rsidRPr="00145FE0" w:rsidRDefault="00382378" w:rsidP="00382378">
      <w:pPr>
        <w:spacing w:line="240" w:lineRule="auto"/>
        <w:jc w:val="both"/>
        <w:rPr>
          <w:rFonts w:ascii="Times New Roman" w:hAnsi="Times New Roman" w:cs="Times New Roman"/>
          <w:color w:val="FF0000"/>
          <w:sz w:val="24"/>
          <w:szCs w:val="24"/>
          <w:u w:val="single"/>
        </w:rPr>
      </w:pPr>
      <w:r w:rsidRPr="00145FE0">
        <w:rPr>
          <w:rFonts w:ascii="Times New Roman" w:hAnsi="Times New Roman" w:cs="Times New Roman"/>
          <w:color w:val="FF0000"/>
          <w:sz w:val="24"/>
          <w:szCs w:val="24"/>
          <w:u w:val="single"/>
        </w:rPr>
        <w:t>Los gobiernos europeos tienen opiniones diferentes, pero la mayoría no quiere excluir a Huawei. Cada uno de ellos considera que abaratar los equipos que necesitan los operadores nacionales de telecomunicaciones es más importante que apoyar a “campeones” europeos en tecnología 5G (por ejemplo Nokia y Ericsson).</w:t>
      </w:r>
    </w:p>
    <w:p w:rsidR="00382378" w:rsidRPr="00145FE0" w:rsidRDefault="00382378" w:rsidP="00382378">
      <w:pPr>
        <w:spacing w:line="240" w:lineRule="auto"/>
        <w:jc w:val="both"/>
        <w:rPr>
          <w:rFonts w:ascii="Times New Roman" w:hAnsi="Times New Roman" w:cs="Times New Roman"/>
          <w:color w:val="FF0000"/>
          <w:sz w:val="24"/>
          <w:szCs w:val="24"/>
          <w:u w:val="single"/>
        </w:rPr>
      </w:pPr>
      <w:r w:rsidRPr="00145FE0">
        <w:rPr>
          <w:rFonts w:ascii="Times New Roman" w:hAnsi="Times New Roman" w:cs="Times New Roman"/>
          <w:color w:val="FF0000"/>
          <w:sz w:val="24"/>
          <w:szCs w:val="24"/>
          <w:u w:val="single"/>
        </w:rPr>
        <w:t>En cualquier caso, las preocupaciones de Estados Unidos y Europa por la seguridad no deberían quedarse en Huawei y el gobierno chino. Las nuevas redes 5G plantean un desafío de seguridad exclusivo, porque sus funciones principales dependen del software, no del hardware. Esto aumenta enormemente la velocidad del 5G respecto de las redes inalámbricas anteriores, pero también lo hace vulnerable a ataques.</w:t>
      </w:r>
    </w:p>
    <w:p w:rsidR="00382378" w:rsidRPr="00A6473E" w:rsidRDefault="00382378" w:rsidP="00382378">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Los sistemas informáticos actuales son sumamente complejos: los chips de los teléfonos inteligentes modernos incluyen más de ocho mil millones de transistores, y los sistemas operativos tienen más de 50 millones de líneas de código. Además, muchos de estos sistemas contienen componentes provistos por fabricantes de hardware y software de todo el mundo. En la práctica, esto crea una multiplicidad de puntos de entrada para ataques y filtraciones de datos a través de “puertas traseras” que permitan obtener control de un dispositivo. Y la imposibilidad de detectar y controlar la presencia de puertas traseras dejaría a las</w:t>
      </w:r>
      <w:r>
        <w:rPr>
          <w:rFonts w:ascii="Times New Roman" w:hAnsi="Times New Roman" w:cs="Times New Roman"/>
          <w:sz w:val="24"/>
          <w:szCs w:val="24"/>
        </w:rPr>
        <w:t xml:space="preserve"> redes 5G totalmente expuestas.</w:t>
      </w:r>
    </w:p>
    <w:p w:rsidR="00382378" w:rsidRPr="00A6473E" w:rsidRDefault="00382378" w:rsidP="00382378">
      <w:pPr>
        <w:spacing w:line="240" w:lineRule="auto"/>
        <w:jc w:val="both"/>
        <w:rPr>
          <w:rFonts w:ascii="Times New Roman" w:hAnsi="Times New Roman" w:cs="Times New Roman"/>
          <w:sz w:val="24"/>
          <w:szCs w:val="24"/>
        </w:rPr>
      </w:pPr>
      <w:r w:rsidRPr="00145FE0">
        <w:rPr>
          <w:rFonts w:ascii="Times New Roman" w:hAnsi="Times New Roman" w:cs="Times New Roman"/>
          <w:color w:val="FF0000"/>
          <w:sz w:val="24"/>
          <w:szCs w:val="24"/>
          <w:u w:val="single"/>
        </w:rPr>
        <w:t>De modo que el principal riesgo para la seguridad nacional es que el proveedor de una red 5G o de algunos de sus componentes (o su gobierno nacional) puedan captar todo el tráfico de datos que fluya a través de la red, o incluso inutilizarla con un simple comando digital.</w:t>
      </w:r>
      <w:r w:rsidRPr="00A6473E">
        <w:rPr>
          <w:rFonts w:ascii="Times New Roman" w:hAnsi="Times New Roman" w:cs="Times New Roman"/>
          <w:sz w:val="24"/>
          <w:szCs w:val="24"/>
        </w:rPr>
        <w:t>Exhaustivos estudios de seguridad en los equipos de Huawei no han podido hallar puertas traseras. No es sorprendente: Huawei (o cualquier otra empresa) quedarían fuera del mercado si se las descubriera haciendo esto, aunque sólo fuera una vez. Pero aun así, desde un punto de vista lógico es imposible demostrar l</w:t>
      </w:r>
      <w:r>
        <w:rPr>
          <w:rFonts w:ascii="Times New Roman" w:hAnsi="Times New Roman" w:cs="Times New Roman"/>
          <w:sz w:val="24"/>
          <w:szCs w:val="24"/>
        </w:rPr>
        <w:t>a ausencia de código malicioso.</w:t>
      </w:r>
    </w:p>
    <w:p w:rsidR="00382378" w:rsidRPr="00A6473E" w:rsidRDefault="00382378" w:rsidP="00382378">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Si bien Europa tiene proveedores propios de equipamiento 5G y no le costaría nada dejar a fabricantes chinos como Huawei fuera de su mercado, es una decisión innecesaria. En muchos países europeos, Huawei sólo provee una parte de la red móvil. Además, la multiplicidad de proveedores ofrece cierto grado de protección contra el riesgo de desactivación del sistema mediante comandos digitales.</w:t>
      </w:r>
    </w:p>
    <w:p w:rsidR="00382378" w:rsidRPr="00145FE0" w:rsidRDefault="00382378" w:rsidP="00382378">
      <w:pPr>
        <w:spacing w:line="240" w:lineRule="auto"/>
        <w:jc w:val="both"/>
        <w:rPr>
          <w:rFonts w:ascii="Times New Roman" w:hAnsi="Times New Roman" w:cs="Times New Roman"/>
          <w:color w:val="FF0000"/>
          <w:sz w:val="24"/>
          <w:szCs w:val="24"/>
          <w:u w:val="single"/>
        </w:rPr>
      </w:pPr>
      <w:r w:rsidRPr="00A6473E">
        <w:rPr>
          <w:rFonts w:ascii="Times New Roman" w:hAnsi="Times New Roman" w:cs="Times New Roman"/>
          <w:sz w:val="24"/>
          <w:szCs w:val="24"/>
        </w:rPr>
        <w:t xml:space="preserve">Pero la diversidad también es una carga, porque cada estado miembro de la Unión Europea realiza controles de seguridad propios, y a menudo diferentes, sobre los equipos de Huawei, y muchos de ellos cuentan con recursos y experiencia limitados para hacerlo. </w:t>
      </w:r>
      <w:r w:rsidRPr="00145FE0">
        <w:rPr>
          <w:rFonts w:ascii="Times New Roman" w:hAnsi="Times New Roman" w:cs="Times New Roman"/>
          <w:color w:val="FF0000"/>
          <w:sz w:val="24"/>
          <w:szCs w:val="24"/>
          <w:u w:val="single"/>
        </w:rPr>
        <w:t>La seguridad de las futuras redes 5G estaría mucho más protegida si una agencia de la UE hiciera un control unificado de todos los proveedores de equipos.</w:t>
      </w:r>
    </w:p>
    <w:p w:rsidR="00382378" w:rsidRPr="004060B3" w:rsidRDefault="00382378" w:rsidP="00382378">
      <w:pPr>
        <w:spacing w:line="240" w:lineRule="auto"/>
        <w:jc w:val="both"/>
        <w:rPr>
          <w:rFonts w:ascii="Times New Roman" w:hAnsi="Times New Roman" w:cs="Times New Roman"/>
          <w:color w:val="FF0000"/>
          <w:sz w:val="24"/>
          <w:szCs w:val="24"/>
          <w:u w:val="single"/>
        </w:rPr>
      </w:pPr>
      <w:r w:rsidRPr="004060B3">
        <w:rPr>
          <w:rFonts w:ascii="Times New Roman" w:hAnsi="Times New Roman" w:cs="Times New Roman"/>
          <w:color w:val="FF0000"/>
          <w:sz w:val="24"/>
          <w:szCs w:val="24"/>
          <w:u w:val="single"/>
        </w:rPr>
        <w:t>Más en general, la vulnerabilidad potencial de Europa por el 5G se debe ante todo a que cada uno de los estados miembros quiere mantener el control nacional de sus respectivas redes móviles. Por ejemplo, la asignación de frecuencias para 5G se ha hecho totalmente en el nivel nacional, según normas y condiciones muy diferentes. Esto evidentemente dificulta el surgimiento de “campeones europeos” en la industria de las telecomunicaciones.</w:t>
      </w:r>
    </w:p>
    <w:p w:rsidR="00382378" w:rsidRPr="00A6473E" w:rsidRDefault="00382378" w:rsidP="00382378">
      <w:pPr>
        <w:spacing w:line="240" w:lineRule="auto"/>
        <w:jc w:val="both"/>
        <w:rPr>
          <w:rFonts w:ascii="Times New Roman" w:hAnsi="Times New Roman" w:cs="Times New Roman"/>
          <w:sz w:val="24"/>
          <w:szCs w:val="24"/>
        </w:rPr>
      </w:pPr>
      <w:r w:rsidRPr="004060B3">
        <w:rPr>
          <w:rFonts w:ascii="Times New Roman" w:hAnsi="Times New Roman" w:cs="Times New Roman"/>
          <w:color w:val="FF0000"/>
          <w:sz w:val="24"/>
          <w:szCs w:val="24"/>
          <w:u w:val="single"/>
        </w:rPr>
        <w:t>Además, la defensa de redes (nacionales) contra ciberataques también se maneja en el nivel nacional.</w:t>
      </w:r>
      <w:r w:rsidRPr="00A6473E">
        <w:rPr>
          <w:rFonts w:ascii="Times New Roman" w:hAnsi="Times New Roman" w:cs="Times New Roman"/>
          <w:sz w:val="24"/>
          <w:szCs w:val="24"/>
        </w:rPr>
        <w:t xml:space="preserve"> Aunque la Agencia Europea de Seguridad de las Redes y de la Información (ENISA) desempeña cierto papel coordinador, este es reducido (incluso después de un reciente aumento de presupuesto, la agencia todavía</w:t>
      </w:r>
      <w:r>
        <w:rPr>
          <w:rFonts w:ascii="Times New Roman" w:hAnsi="Times New Roman" w:cs="Times New Roman"/>
          <w:sz w:val="24"/>
          <w:szCs w:val="24"/>
        </w:rPr>
        <w:t xml:space="preserve"> tiene menos de 200 empleados).</w:t>
      </w:r>
    </w:p>
    <w:p w:rsidR="00382378" w:rsidRPr="004060B3" w:rsidRDefault="00382378" w:rsidP="00382378">
      <w:pPr>
        <w:spacing w:line="240" w:lineRule="auto"/>
        <w:jc w:val="both"/>
        <w:rPr>
          <w:rFonts w:ascii="Times New Roman" w:hAnsi="Times New Roman" w:cs="Times New Roman"/>
          <w:b/>
          <w:color w:val="FF0000"/>
          <w:sz w:val="24"/>
          <w:szCs w:val="24"/>
          <w:u w:val="single"/>
        </w:rPr>
      </w:pPr>
      <w:r w:rsidRPr="004060B3">
        <w:rPr>
          <w:rFonts w:ascii="Times New Roman" w:hAnsi="Times New Roman" w:cs="Times New Roman"/>
          <w:color w:val="FF0000"/>
          <w:sz w:val="24"/>
          <w:szCs w:val="24"/>
          <w:u w:val="single"/>
        </w:rPr>
        <w:t>Pero las redes de telecomunicaciones dentro de la UE están muy integradas a través de las fronteras nacionales. Futuros ciberataques podrían apuntar a más de un estado miembro, y un apagón en un país afectaría seriamente a otros</w:t>
      </w:r>
      <w:r w:rsidRPr="00A6473E">
        <w:rPr>
          <w:rFonts w:ascii="Times New Roman" w:hAnsi="Times New Roman" w:cs="Times New Roman"/>
          <w:sz w:val="24"/>
          <w:szCs w:val="24"/>
        </w:rPr>
        <w:t xml:space="preserve">. </w:t>
      </w:r>
      <w:r w:rsidRPr="004060B3">
        <w:rPr>
          <w:rFonts w:ascii="Times New Roman" w:hAnsi="Times New Roman" w:cs="Times New Roman"/>
          <w:b/>
          <w:color w:val="FF0000"/>
          <w:sz w:val="24"/>
          <w:szCs w:val="24"/>
          <w:u w:val="single"/>
        </w:rPr>
        <w:t>Europa necesita con urgencia una agencia de ciberseguridad integrada y eficaz. A más largo plazo, hay que centralizar en el nivel de la UE todo el marco regulatorio de las redes de telecomunicaciones, incluida la licitación de frecuencias. Así se crearía por fin el “mercado único digital” que hasta ahora Europa no consiguió.</w:t>
      </w:r>
    </w:p>
    <w:p w:rsidR="00382378" w:rsidRPr="00A6473E" w:rsidRDefault="00382378" w:rsidP="00382378">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 xml:space="preserve">Sería un error que la dirigencia europea considere que un proveedor chino de equipamiento para redes 5G es la mayor amenaza a la ciberseguridad del continente y a su capacidad de desarrollar campeones de las telecomunicaciones. </w:t>
      </w:r>
      <w:r w:rsidRPr="004060B3">
        <w:rPr>
          <w:rFonts w:ascii="Times New Roman" w:hAnsi="Times New Roman" w:cs="Times New Roman"/>
          <w:b/>
          <w:color w:val="FF0000"/>
          <w:sz w:val="24"/>
          <w:szCs w:val="24"/>
          <w:u w:val="single"/>
        </w:rPr>
        <w:t>Las verdaderas vulnerabilidades de Europa son la fragmentación de su mercado de telecomunicaciones y la falta de un sistema de ciberdefensa unificado</w:t>
      </w:r>
      <w:r w:rsidRPr="00A6473E">
        <w:rPr>
          <w:rFonts w:ascii="Times New Roman" w:hAnsi="Times New Roman" w:cs="Times New Roman"/>
          <w:sz w:val="24"/>
          <w:szCs w:val="24"/>
        </w:rPr>
        <w:t>. La inminente introducción del 5G debería ser un llamado de atención para las autoridades de todo el continente. Esperemos que lo escuchen.</w:t>
      </w:r>
    </w:p>
    <w:p w:rsidR="00382378" w:rsidRDefault="00382378" w:rsidP="00382378">
      <w:pPr>
        <w:spacing w:line="240" w:lineRule="auto"/>
        <w:jc w:val="both"/>
        <w:rPr>
          <w:rFonts w:ascii="Times New Roman" w:hAnsi="Times New Roman" w:cs="Times New Roman"/>
          <w:sz w:val="24"/>
          <w:szCs w:val="24"/>
        </w:rPr>
      </w:pPr>
      <w:r w:rsidRPr="00477D09">
        <w:rPr>
          <w:rFonts w:ascii="Times New Roman" w:hAnsi="Times New Roman" w:cs="Times New Roman"/>
          <w:sz w:val="24"/>
          <w:szCs w:val="24"/>
        </w:rPr>
        <w:t>(Daniel Gros is Director of the Centre for European Policy Studies)</w:t>
      </w:r>
    </w:p>
    <w:p w:rsidR="00382378" w:rsidRDefault="00382378" w:rsidP="00382378">
      <w:pPr>
        <w:spacing w:line="240" w:lineRule="auto"/>
        <w:jc w:val="both"/>
        <w:rPr>
          <w:rFonts w:ascii="Times New Roman" w:hAnsi="Times New Roman" w:cs="Times New Roman"/>
          <w:sz w:val="24"/>
          <w:szCs w:val="24"/>
        </w:rPr>
      </w:pPr>
    </w:p>
    <w:p w:rsidR="00382378" w:rsidRPr="00B044BF" w:rsidRDefault="00382378" w:rsidP="00382378">
      <w:pPr>
        <w:pStyle w:val="NormalWeb"/>
        <w:shd w:val="clear" w:color="auto" w:fill="FFFFFF"/>
        <w:spacing w:after="0"/>
        <w:jc w:val="both"/>
        <w:textAlignment w:val="baseline"/>
        <w:rPr>
          <w:color w:val="FF0000"/>
        </w:rPr>
      </w:pPr>
      <w:r>
        <w:t xml:space="preserve">- </w:t>
      </w:r>
      <w:r w:rsidRPr="002E0DA1">
        <w:rPr>
          <w:u w:val="single"/>
        </w:rPr>
        <w:t>Poner la tecnología al servicio de los trabajadores</w:t>
      </w:r>
      <w:r>
        <w:t xml:space="preserve"> (Project Syndicate - </w:t>
      </w:r>
      <w:r w:rsidRPr="002E0DA1">
        <w:rPr>
          <w:b/>
        </w:rPr>
        <w:t>6/8/19</w:t>
      </w:r>
      <w:r>
        <w:t xml:space="preserve">) </w:t>
      </w:r>
    </w:p>
    <w:p w:rsidR="00382378" w:rsidRPr="00931991" w:rsidRDefault="00382378" w:rsidP="00382378">
      <w:pPr>
        <w:pStyle w:val="NormalWeb"/>
        <w:shd w:val="clear" w:color="auto" w:fill="FFFFFF"/>
        <w:spacing w:after="0"/>
        <w:jc w:val="both"/>
        <w:textAlignment w:val="baseline"/>
        <w:rPr>
          <w:u w:val="single"/>
        </w:rPr>
      </w:pPr>
      <w:r>
        <w:t>Nueva York.-</w:t>
      </w:r>
      <w:r w:rsidRPr="00931991">
        <w:rPr>
          <w:u w:val="single"/>
        </w:rPr>
        <w:t>A la par de la transformación tecnológica de las economías, trabajadores de todo el mundo están haciendo lo que sea necesario (cruzar fronteras, cambiar de trabajo o empezar una empresa) para tener una chance de prosperar. Pero las redes de seguridad social no han cambiado al mismo ritmo, y esto a menudo deja sumamente vulnerables a los trabajadores en transición. ¿Qué hay que hacer para proteger a los trabajadores en el mercado laboral del futuro?</w:t>
      </w:r>
    </w:p>
    <w:p w:rsidR="00382378" w:rsidRPr="00931991" w:rsidRDefault="00382378" w:rsidP="00382378">
      <w:pPr>
        <w:pStyle w:val="NormalWeb"/>
        <w:shd w:val="clear" w:color="auto" w:fill="FFFFFF"/>
        <w:spacing w:after="0"/>
        <w:jc w:val="both"/>
        <w:textAlignment w:val="baseline"/>
        <w:rPr>
          <w:b/>
          <w:color w:val="FF0000"/>
          <w:u w:val="single"/>
        </w:rPr>
      </w:pPr>
      <w:r w:rsidRPr="00931991">
        <w:rPr>
          <w:b/>
          <w:color w:val="FF0000"/>
          <w:u w:val="single"/>
        </w:rPr>
        <w:t>En un pasado no tan distante, la mayoría de los trabajadores estaban empleados en una misma industria (a menudo en una misma empresa) durante la mayor parte de sus carreras. Pero hoy, casi el 40% de las personas empleadas en la Unión Europea se encuentran en una situación laboral atípica (no cubiertas por un contrato a tiempo completo de duración indeterminada) o están autoempleadas. El estadounidense promedio en edad de trabajar tendrá 11 empleos a lo largo de su vida, y muchos trabajarán en más de un puesto a la vez.</w:t>
      </w:r>
    </w:p>
    <w:p w:rsidR="00382378" w:rsidRPr="00931991" w:rsidRDefault="00382378" w:rsidP="00382378">
      <w:pPr>
        <w:pStyle w:val="NormalWeb"/>
        <w:shd w:val="clear" w:color="auto" w:fill="FFFFFF"/>
        <w:spacing w:after="0"/>
        <w:jc w:val="both"/>
        <w:textAlignment w:val="baseline"/>
        <w:rPr>
          <w:b/>
          <w:color w:val="FF0000"/>
          <w:u w:val="single"/>
        </w:rPr>
      </w:pPr>
      <w:r w:rsidRPr="00931991">
        <w:rPr>
          <w:b/>
          <w:color w:val="FF0000"/>
          <w:u w:val="single"/>
        </w:rPr>
        <w:t>En el nivel mundial, el McKinsey Global Institute calcula que en 2030, hasta 375 millones de trabajadores (el 14% de la fuerza laboral) tendrán que pasarse a otra categoría ocupacional para satisfacer las necesidades de un mercado laboral cambiante. Además, conforme las máquinas se vuelvan cada vez más capaces, todos los trabajadores tendrán que adaptarse a la evolución de sus trabajos (adquirir nuevos conocimientos y habilidades). Si la automatización definirá el futuro del trabajo, el aprendizaje continuo determinará el futuro de los trabajadores, especialmente con el aumento de la expectativa de vida.</w:t>
      </w:r>
    </w:p>
    <w:p w:rsidR="00382378" w:rsidRPr="00931991" w:rsidRDefault="00382378" w:rsidP="00382378">
      <w:pPr>
        <w:pStyle w:val="NormalWeb"/>
        <w:shd w:val="clear" w:color="auto" w:fill="FFFFFF"/>
        <w:spacing w:after="0"/>
        <w:jc w:val="both"/>
        <w:textAlignment w:val="baseline"/>
        <w:rPr>
          <w:color w:val="FF0000"/>
          <w:u w:val="single"/>
        </w:rPr>
      </w:pPr>
      <w:r w:rsidRPr="00931991">
        <w:rPr>
          <w:color w:val="FF0000"/>
          <w:u w:val="single"/>
        </w:rPr>
        <w:t>Para lidiar con estos cambios sin sacrificar dignidad, autonomía o ambición, los trabajadores necesitarán una combinación de movilidad económica y seguridad financiera, que puede proveerse mediante una nueva clase de red de seguridad social que ponga las prestaciones directamente en sus manos</w:t>
      </w:r>
      <w:r w:rsidRPr="002E0DA1">
        <w:t xml:space="preserve">. Los trabajadores no deberían tener que elegir entre exponerse a un período de alta vulnerabilidad durante la transición entre ocupaciones o aferrarse a un mismo trabajo hasta que se vuelva obsoleto sólo para no perder las prestaciones. </w:t>
      </w:r>
      <w:r w:rsidRPr="00931991">
        <w:rPr>
          <w:color w:val="FF0000"/>
          <w:u w:val="single"/>
        </w:rPr>
        <w:t>Así como la tecnología está alterando la experiencia laboral, también puede garantizar la protección de los trabajadores, al permitirles recibir las prestaciones acumuladas a lo largo de su carrera sin importar el tipo de trabajo que hagan o el lugar del mundo donde lo hagan.</w:t>
      </w:r>
    </w:p>
    <w:p w:rsidR="00382378" w:rsidRPr="002E0DA1" w:rsidRDefault="00382378" w:rsidP="00382378">
      <w:pPr>
        <w:pStyle w:val="NormalWeb"/>
        <w:shd w:val="clear" w:color="auto" w:fill="FFFFFF"/>
        <w:spacing w:after="0"/>
        <w:jc w:val="both"/>
        <w:textAlignment w:val="baseline"/>
      </w:pPr>
      <w:r w:rsidRPr="002E0DA1">
        <w:t>Algunos gobiernos ya están respondiendo a este imperativo. En 2015, Francia instituyó cuentas de capacitación individuales para todos los trabajadores del sector privado, disponibles desde el ingreso al mercado laboral hasta el retiro. Cada empleado recibe 24 horas de capacitación por cada año de trabajo a tiempo completo, hasta alcanzar las 120 horas, momento a partir del cual el programa entrega 12 ho</w:t>
      </w:r>
      <w:r>
        <w:t>ras anuales.</w:t>
      </w:r>
    </w:p>
    <w:p w:rsidR="00382378" w:rsidRPr="002E0DA1" w:rsidRDefault="00382378" w:rsidP="00382378">
      <w:pPr>
        <w:pStyle w:val="NormalWeb"/>
        <w:shd w:val="clear" w:color="auto" w:fill="FFFFFF"/>
        <w:spacing w:after="0"/>
        <w:jc w:val="both"/>
        <w:textAlignment w:val="baseline"/>
      </w:pPr>
      <w:r w:rsidRPr="002E0DA1">
        <w:t>Más cerca en el tiempo, Singapur creó “cuentas individuales de aprendizaje” para cada ciudadano a partir de los 24 años de edad. El saldo de la cuenta se puede usar para recibir capacitación de proveedores aprobados. Modelos similares se han propuesto en Canadá, China y Egipto. En Estados Unidos, las legislaturas de varios estados y ciudades analizan proyectos de ley para poner a prueba y financiar sistemas de prestaciones portables.</w:t>
      </w:r>
    </w:p>
    <w:p w:rsidR="00382378" w:rsidRPr="00931991" w:rsidRDefault="00382378" w:rsidP="00382378">
      <w:pPr>
        <w:pStyle w:val="NormalWeb"/>
        <w:shd w:val="clear" w:color="auto" w:fill="FFFFFF"/>
        <w:spacing w:after="0"/>
        <w:jc w:val="both"/>
        <w:textAlignment w:val="baseline"/>
        <w:rPr>
          <w:u w:val="single"/>
        </w:rPr>
      </w:pPr>
      <w:r w:rsidRPr="00931991">
        <w:rPr>
          <w:u w:val="single"/>
        </w:rPr>
        <w:t>Pero la responsabilidad de desarrollar prestaciones universales portables no puede ser sólo de los gobiernos. El sector privado también debe ayudar a garantizar que todos los trabajadores (inmigrantes, mineros o profesionales de marketing por igual) tengan acceso a las herramientas y servicios que necesitan para obtener seguridad financiera hoy y mantenerse ágiles y productivos toda la vida.</w:t>
      </w:r>
    </w:p>
    <w:p w:rsidR="00382378" w:rsidRPr="002E0DA1" w:rsidRDefault="00382378" w:rsidP="00382378">
      <w:pPr>
        <w:pStyle w:val="NormalWeb"/>
        <w:shd w:val="clear" w:color="auto" w:fill="FFFFFF"/>
        <w:spacing w:after="0"/>
        <w:jc w:val="both"/>
        <w:textAlignment w:val="baseline"/>
      </w:pPr>
      <w:r w:rsidRPr="002E0DA1">
        <w:t>Felizmente, también aquí se están haciendo avances; algunas empresas innovadoras ya están dando ejemplos del uso de tecnología centrado en la gente que será el sostén de las redes de seguridad social del futuro. Por ejemplo, Trezeo creó una cuenta bancaria que por medio de la inteligencia artificial ofrece préstamos sin interés y garantiza una remuneración uniforme a trabajadores independientes, incluso en períodos de poca actividad. En Francia, Bob Emploi usa IA y datos provistos por el gobierno para ofrecer a los buscadores de empleo una evaluación pers</w:t>
      </w:r>
      <w:r>
        <w:t>onalizada de sus posibilidades.</w:t>
      </w:r>
    </w:p>
    <w:p w:rsidR="00382378" w:rsidRPr="002E0DA1" w:rsidRDefault="00382378" w:rsidP="00382378">
      <w:pPr>
        <w:pStyle w:val="NormalWeb"/>
        <w:shd w:val="clear" w:color="auto" w:fill="FFFFFF"/>
        <w:spacing w:after="0"/>
        <w:jc w:val="both"/>
        <w:textAlignment w:val="baseline"/>
      </w:pPr>
      <w:r w:rsidRPr="002E0DA1">
        <w:t>Para alentar avances continuos, Mastercard se unió al Centro para el Trabajo del Futuro de la Royal Society of Arts en la creación de un programa acelerador de impacto para proyectos referidos a la seguridad económica. Esta alianza (cuyo objetivo es facilitar el desarrollo y la implementación de iniciativas innovadoras que promuevan directamente el trabajo de calidad y la inclusión cívica garantizando ingresos seguros y confiables a los hogares) es un ejemplo de colaboración entre actores del sector privado que reúnen sus tecnologías y conocimientos para la exploración de</w:t>
      </w:r>
      <w:r>
        <w:t xml:space="preserve"> nuevas modalidades de trabajo.</w:t>
      </w:r>
    </w:p>
    <w:p w:rsidR="00382378" w:rsidRPr="002E0DA1" w:rsidRDefault="00382378" w:rsidP="00382378">
      <w:pPr>
        <w:pStyle w:val="NormalWeb"/>
        <w:shd w:val="clear" w:color="auto" w:fill="FFFFFF"/>
        <w:spacing w:after="0"/>
        <w:jc w:val="both"/>
        <w:textAlignment w:val="baseline"/>
      </w:pPr>
      <w:r w:rsidRPr="002E0DA1">
        <w:t>Hemos sido testigos del impacto de estos proyectos conjuntos. Un ejemplo es Jaza Duka (una alianza entre Mastercard, Unilever y el Kenya Commercial Bank), una plataforma digital que desde su lanzamiento en 2017, ayudó a garantizar a pequeños comerciantes el acceso a capital de trabajo que</w:t>
      </w:r>
      <w:r>
        <w:t xml:space="preserve"> les permita competir y crecer.</w:t>
      </w:r>
    </w:p>
    <w:p w:rsidR="00382378" w:rsidRPr="002E0DA1" w:rsidRDefault="00382378" w:rsidP="00382378">
      <w:pPr>
        <w:pStyle w:val="NormalWeb"/>
        <w:shd w:val="clear" w:color="auto" w:fill="FFFFFF"/>
        <w:spacing w:after="0"/>
        <w:jc w:val="both"/>
        <w:textAlignment w:val="baseline"/>
      </w:pPr>
      <w:r w:rsidRPr="002E0DA1">
        <w:t>Pero el desarrollo de un programa de esas características en un único mercado es sólo el primer paso. También hay que crear un marco común que permita la extensión de esos programas y su implementación en otros contextos. Por ejemplo, la entrega de prestaciones en forma de “puntos”, en vez de importes denominados en una moneda determinada, serviría para que estos esquemas puedan cruzar fronteras, en un momento en que los trabajadores se ven cada vez más necesitados de hacer lo mismo. Y la estandarización de credenciales educativas permitiría a sus poseedores conservar s</w:t>
      </w:r>
      <w:r>
        <w:t xml:space="preserve">u valor dondequiera que vayan. </w:t>
      </w:r>
    </w:p>
    <w:p w:rsidR="00382378" w:rsidRPr="002E0DA1" w:rsidRDefault="00382378" w:rsidP="00382378">
      <w:pPr>
        <w:pStyle w:val="NormalWeb"/>
        <w:shd w:val="clear" w:color="auto" w:fill="FFFFFF"/>
        <w:spacing w:after="0"/>
        <w:jc w:val="both"/>
        <w:textAlignment w:val="baseline"/>
      </w:pPr>
      <w:r w:rsidRPr="002E0DA1">
        <w:t>Conforme cambia la naturaleza del trabajo, lo mismo deben hacer los sistemas de prestaciones. Para ofrecer oportunidades y seguridad a todos y en cualquier lugar, en un tiempo de amplia disrupción tecnológica, los gobiernos y los actores del sector privado deben trabajar juntos para promover soluciones innovadoras que satisfagan las necesidades urgentes y cambiantes de los trabajadores. ¿Qué mejor modo de hacerlo que sacar provecho de las mismas tecnologías que están causando la conmoción?</w:t>
      </w:r>
    </w:p>
    <w:p w:rsidR="00382378" w:rsidRDefault="00382378" w:rsidP="00382378">
      <w:pPr>
        <w:pStyle w:val="NormalWeb"/>
        <w:shd w:val="clear" w:color="auto" w:fill="FFFFFF"/>
        <w:spacing w:after="0"/>
        <w:jc w:val="both"/>
        <w:textAlignment w:val="baseline"/>
        <w:rPr>
          <w:lang w:val="en-GB"/>
        </w:rPr>
      </w:pPr>
      <w:r>
        <w:rPr>
          <w:lang w:val="en-GB"/>
        </w:rPr>
        <w:t>(</w:t>
      </w:r>
      <w:r w:rsidRPr="002E0DA1">
        <w:rPr>
          <w:lang w:val="en-GB"/>
        </w:rPr>
        <w:t xml:space="preserve">Shamina Singh is President of the Center for Inclusive Growth, Mastercard’s philanthropic hub, and Executive Vice President </w:t>
      </w:r>
      <w:r>
        <w:rPr>
          <w:lang w:val="en-GB"/>
        </w:rPr>
        <w:t>of Sustainability at Mastercard)</w:t>
      </w:r>
    </w:p>
    <w:p w:rsidR="00382378" w:rsidRPr="00953CB7" w:rsidRDefault="00382378" w:rsidP="00382378">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30787D">
        <w:rPr>
          <w:rFonts w:ascii="Times New Roman" w:hAnsi="Times New Roman" w:cs="Times New Roman"/>
          <w:sz w:val="24"/>
          <w:szCs w:val="24"/>
          <w:u w:val="single"/>
        </w:rPr>
        <w:t>¿“Cosecha de dolor” tecnológica</w:t>
      </w:r>
      <w:r w:rsidRPr="0030787D">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30787D">
        <w:rPr>
          <w:rFonts w:ascii="Times New Roman" w:hAnsi="Times New Roman" w:cs="Times New Roman"/>
          <w:b/>
          <w:sz w:val="24"/>
          <w:szCs w:val="24"/>
        </w:rPr>
        <w:t>7/8/19</w:t>
      </w:r>
      <w:r>
        <w:rPr>
          <w:rFonts w:ascii="Times New Roman" w:hAnsi="Times New Roman" w:cs="Times New Roman"/>
          <w:sz w:val="24"/>
          <w:szCs w:val="24"/>
        </w:rPr>
        <w:t xml:space="preserve">) </w:t>
      </w:r>
    </w:p>
    <w:p w:rsidR="00382378" w:rsidRPr="00302971" w:rsidRDefault="00382378" w:rsidP="0038237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Pr="00302971">
        <w:rPr>
          <w:rFonts w:ascii="Times New Roman" w:hAnsi="Times New Roman" w:cs="Times New Roman"/>
          <w:sz w:val="24"/>
          <w:szCs w:val="24"/>
          <w:u w:val="single"/>
        </w:rPr>
        <w:t>La tecnología digital transformó la forma en que nos comunicamos, trabajamos, hacemos compras, aprendemos y nos entretenemos. Es posible que en poco tiempo, tecnologías como la inteligencia artificial (IA), el big data e Internet de las Cosas (IdC) reformulen por completo la atención médica, la energía, el transporte, la agricultura, el sector público, el medioambiente e incluso nuestras mentes y cuerpos.</w:t>
      </w:r>
    </w:p>
    <w:p w:rsidR="00382378" w:rsidRPr="00302971" w:rsidRDefault="00382378" w:rsidP="00382378">
      <w:pPr>
        <w:spacing w:line="240" w:lineRule="auto"/>
        <w:jc w:val="both"/>
        <w:rPr>
          <w:rFonts w:ascii="Times New Roman" w:hAnsi="Times New Roman" w:cs="Times New Roman"/>
          <w:sz w:val="24"/>
          <w:szCs w:val="24"/>
          <w:u w:val="single"/>
        </w:rPr>
      </w:pPr>
      <w:r w:rsidRPr="00302971">
        <w:rPr>
          <w:rFonts w:ascii="Times New Roman" w:hAnsi="Times New Roman" w:cs="Times New Roman"/>
          <w:sz w:val="24"/>
          <w:szCs w:val="24"/>
          <w:u w:val="single"/>
        </w:rPr>
        <w:t>La aplicación de la ciencia a los problemas sociales generó grandes beneficios en el pasado. Mucho antes de la invención del microprocesador de silicio, innovaciones médicas y tecnológicas ya habían vuelto nuestras vidas mucho más cómodas (y largas). Pero la historia también está repleta de desastres causados por el poder de la ciencia y el afán de mejorar la condición humana.</w:t>
      </w:r>
    </w:p>
    <w:p w:rsidR="00382378" w:rsidRPr="00302971" w:rsidRDefault="00382378" w:rsidP="00382378">
      <w:pPr>
        <w:spacing w:line="240" w:lineRule="auto"/>
        <w:jc w:val="both"/>
        <w:rPr>
          <w:rFonts w:ascii="Times New Roman" w:hAnsi="Times New Roman" w:cs="Times New Roman"/>
          <w:sz w:val="24"/>
          <w:szCs w:val="24"/>
          <w:u w:val="single"/>
        </w:rPr>
      </w:pPr>
      <w:r w:rsidRPr="00302971">
        <w:rPr>
          <w:rFonts w:ascii="Times New Roman" w:hAnsi="Times New Roman" w:cs="Times New Roman"/>
          <w:sz w:val="24"/>
          <w:szCs w:val="24"/>
          <w:u w:val="single"/>
        </w:rPr>
        <w:t>Por ejemplo, los intentos de aumentar la productividad agrícola con el auxilio de la ciencia y la tecnología en el contexto de la colectivización en la Unión Soviética y en Tanzania fueron totalmente contraproducentes</w:t>
      </w:r>
      <w:r w:rsidRPr="0030787D">
        <w:rPr>
          <w:rFonts w:ascii="Times New Roman" w:hAnsi="Times New Roman" w:cs="Times New Roman"/>
          <w:sz w:val="24"/>
          <w:szCs w:val="24"/>
        </w:rPr>
        <w:t xml:space="preserve">. Y a veces, los planes de remodelar ciudades apelando a la planificación urbana moderna las dejaron casi destruidas. </w:t>
      </w:r>
      <w:r w:rsidRPr="00302971">
        <w:rPr>
          <w:rFonts w:ascii="Times New Roman" w:hAnsi="Times New Roman" w:cs="Times New Roman"/>
          <w:sz w:val="24"/>
          <w:szCs w:val="24"/>
          <w:u w:val="single"/>
        </w:rPr>
        <w:t>El politólogo James Scott denominó “alto modernismo” a esos intentos de transformar la vida ajena mediante la ciencia.</w:t>
      </w:r>
    </w:p>
    <w:p w:rsidR="00382378" w:rsidRPr="00302971" w:rsidRDefault="00382378" w:rsidP="00382378">
      <w:pPr>
        <w:spacing w:line="240" w:lineRule="auto"/>
        <w:jc w:val="both"/>
        <w:rPr>
          <w:rFonts w:ascii="Times New Roman" w:hAnsi="Times New Roman" w:cs="Times New Roman"/>
          <w:color w:val="FF0000"/>
          <w:sz w:val="24"/>
          <w:szCs w:val="24"/>
          <w:u w:val="single"/>
        </w:rPr>
      </w:pPr>
      <w:r w:rsidRPr="00302971">
        <w:rPr>
          <w:rFonts w:ascii="Times New Roman" w:hAnsi="Times New Roman" w:cs="Times New Roman"/>
          <w:color w:val="FF0000"/>
          <w:sz w:val="24"/>
          <w:szCs w:val="24"/>
          <w:u w:val="single"/>
        </w:rPr>
        <w:t>Una ideología tan peligrosa cuanto dogmáticamente hiperconfiada, el alto modernismo se niega a reconocer que muchas prácticas y conductas humanas tienen una lógica inherente que está adaptada al complejo entorno en el que evolucionaron. Cuando los altomodernistas descartan esas prácticas para instituir una forma más científica y racional de hacer las cosas, casi siempre fracasan.</w:t>
      </w:r>
    </w:p>
    <w:p w:rsidR="00382378" w:rsidRPr="00302971" w:rsidRDefault="00382378" w:rsidP="00382378">
      <w:pPr>
        <w:spacing w:line="240" w:lineRule="auto"/>
        <w:jc w:val="both"/>
        <w:rPr>
          <w:rFonts w:ascii="Times New Roman" w:hAnsi="Times New Roman" w:cs="Times New Roman"/>
          <w:sz w:val="24"/>
          <w:szCs w:val="24"/>
          <w:u w:val="single"/>
        </w:rPr>
      </w:pPr>
      <w:r w:rsidRPr="00302971">
        <w:rPr>
          <w:rFonts w:ascii="Times New Roman" w:hAnsi="Times New Roman" w:cs="Times New Roman"/>
          <w:sz w:val="24"/>
          <w:szCs w:val="24"/>
          <w:u w:val="single"/>
        </w:rPr>
        <w:t>Históricamente, los ejemplos de alto modernismo más nocivos se han dado bajo estados autoritarios que quisieron transformar sociedades postradas y débiles. En el caso de la colectivización soviética, el autoritarismo estatal, producto del autoproclamado “papel rector” del Partido Comunista, llevó adelante sus planes en ausencia de organizaciones capaces de oponerles una resistencia efectiva o proteger a los campesinos a los que aplastó.</w:t>
      </w:r>
    </w:p>
    <w:p w:rsidR="00382378" w:rsidRPr="00302971" w:rsidRDefault="00382378" w:rsidP="00382378">
      <w:pPr>
        <w:spacing w:line="240" w:lineRule="auto"/>
        <w:jc w:val="both"/>
        <w:rPr>
          <w:rFonts w:ascii="Times New Roman" w:hAnsi="Times New Roman" w:cs="Times New Roman"/>
          <w:color w:val="FF0000"/>
          <w:sz w:val="24"/>
          <w:szCs w:val="24"/>
          <w:u w:val="single"/>
        </w:rPr>
      </w:pPr>
      <w:r w:rsidRPr="00302971">
        <w:rPr>
          <w:rFonts w:ascii="Times New Roman" w:hAnsi="Times New Roman" w:cs="Times New Roman"/>
          <w:color w:val="FF0000"/>
          <w:sz w:val="24"/>
          <w:szCs w:val="24"/>
          <w:u w:val="single"/>
        </w:rPr>
        <w:t>Pero el autoritarismo no es exclusividad de los estados. También puede originarse en cualquier pretensión de conocimiento o capacidad superiores sin restricciones. Basta pensar en los intentos contemporáneos de corporaciones, emprendedores y otros que quieren mejorar el mundo a través de las tecnologías digitales. Innovaciones recientes aumentaron enormemente la productividad industrial, mejoraron las comunicaciones y enriquecieron las vidas de miles de millones de personas. Pero también podrían degenerar fácilmente hacia un fiasco altomodernista.</w:t>
      </w:r>
    </w:p>
    <w:p w:rsidR="00382378" w:rsidRPr="00302971" w:rsidRDefault="00382378" w:rsidP="00382378">
      <w:pPr>
        <w:spacing w:line="240" w:lineRule="auto"/>
        <w:jc w:val="both"/>
        <w:rPr>
          <w:rFonts w:ascii="Times New Roman" w:hAnsi="Times New Roman" w:cs="Times New Roman"/>
          <w:b/>
          <w:color w:val="FF0000"/>
          <w:sz w:val="24"/>
          <w:szCs w:val="24"/>
          <w:u w:val="single"/>
        </w:rPr>
      </w:pPr>
      <w:r w:rsidRPr="00302971">
        <w:rPr>
          <w:rFonts w:ascii="Times New Roman" w:hAnsi="Times New Roman" w:cs="Times New Roman"/>
          <w:b/>
          <w:color w:val="FF0000"/>
          <w:sz w:val="24"/>
          <w:szCs w:val="24"/>
          <w:u w:val="single"/>
        </w:rPr>
        <w:t>Tecnologías de frontera como la IA, el big data e IdC suelen presentarse como panaceas para la optimización del trabajo, la recreación, la comunicación y la atención médica. La idea sería que tenemos poco que aprender de las personas ordinarias y de las adaptaciones que desarrollaron dentro de diferentes contextos sociales.</w:t>
      </w:r>
    </w:p>
    <w:p w:rsidR="00382378" w:rsidRPr="00302971" w:rsidRDefault="00382378" w:rsidP="00382378">
      <w:pPr>
        <w:spacing w:line="240" w:lineRule="auto"/>
        <w:jc w:val="both"/>
        <w:rPr>
          <w:rFonts w:ascii="Times New Roman" w:hAnsi="Times New Roman" w:cs="Times New Roman"/>
          <w:b/>
          <w:color w:val="FF0000"/>
          <w:sz w:val="24"/>
          <w:szCs w:val="24"/>
          <w:u w:val="single"/>
        </w:rPr>
      </w:pPr>
      <w:r w:rsidRPr="00302971">
        <w:rPr>
          <w:rFonts w:ascii="Times New Roman" w:hAnsi="Times New Roman" w:cs="Times New Roman"/>
          <w:b/>
          <w:color w:val="FF0000"/>
          <w:sz w:val="24"/>
          <w:szCs w:val="24"/>
          <w:u w:val="single"/>
        </w:rPr>
        <w:t>El problema es que una creencia incondicional en que “la IA es mejor en todo”, por dar un ejemplo, crea un desequilibrio de poder entre quienes desarrollan esas tecnologías y quienes verán sus vidas transformadas por ellas (y que básicamente no tienen ninguna influencia en el modo en que esas aplicaciones se diseñarán y usarán).</w:t>
      </w:r>
    </w:p>
    <w:p w:rsidR="00382378" w:rsidRPr="00302971" w:rsidRDefault="00382378" w:rsidP="00382378">
      <w:pPr>
        <w:spacing w:line="240" w:lineRule="auto"/>
        <w:jc w:val="both"/>
        <w:rPr>
          <w:rFonts w:ascii="Times New Roman" w:hAnsi="Times New Roman" w:cs="Times New Roman"/>
          <w:color w:val="FF0000"/>
          <w:sz w:val="24"/>
          <w:szCs w:val="24"/>
          <w:u w:val="single"/>
        </w:rPr>
      </w:pPr>
      <w:r w:rsidRPr="00302971">
        <w:rPr>
          <w:rFonts w:ascii="Times New Roman" w:hAnsi="Times New Roman" w:cs="Times New Roman"/>
          <w:color w:val="FF0000"/>
          <w:sz w:val="24"/>
          <w:szCs w:val="24"/>
          <w:u w:val="single"/>
        </w:rPr>
        <w:t>Los problemas actuales de las redes sociales son un ejemplo perfecto de lo que puede suceder cuando se imponen reglas uniformes sin ninguna consideración por el contexto social y por las conductas resultantes de la evolución</w:t>
      </w:r>
      <w:r w:rsidRPr="00302971">
        <w:rPr>
          <w:rFonts w:ascii="Times New Roman" w:hAnsi="Times New Roman" w:cs="Times New Roman"/>
          <w:sz w:val="24"/>
          <w:szCs w:val="24"/>
          <w:u w:val="single"/>
        </w:rPr>
        <w:t xml:space="preserve">. Las ricas y variadas pautas de comunicación del mundo no digital han sido reemplazadas, en plataformas como Facebook y Twitter, por modos de comunicación guionados, estandarizados y limitados. El resultado es la aniquilación de los matices presentes en la comunicación cara a cara y en la presentación de noticias mediada por proveedores confiables. </w:t>
      </w:r>
      <w:r w:rsidRPr="00302971">
        <w:rPr>
          <w:rFonts w:ascii="Times New Roman" w:hAnsi="Times New Roman" w:cs="Times New Roman"/>
          <w:color w:val="FF0000"/>
          <w:sz w:val="24"/>
          <w:szCs w:val="24"/>
          <w:u w:val="single"/>
        </w:rPr>
        <w:t>Los intentos de “conectar el mundo” mediante la tecnología han creado una maraña de propaganda, desinformación, discurso de odio y hostigamiento.</w:t>
      </w:r>
    </w:p>
    <w:p w:rsidR="00382378" w:rsidRPr="0030787D" w:rsidRDefault="00382378" w:rsidP="00382378">
      <w:pPr>
        <w:spacing w:line="240" w:lineRule="auto"/>
        <w:jc w:val="both"/>
        <w:rPr>
          <w:rFonts w:ascii="Times New Roman" w:hAnsi="Times New Roman" w:cs="Times New Roman"/>
          <w:sz w:val="24"/>
          <w:szCs w:val="24"/>
        </w:rPr>
      </w:pPr>
      <w:r w:rsidRPr="0030787D">
        <w:rPr>
          <w:rFonts w:ascii="Times New Roman" w:hAnsi="Times New Roman" w:cs="Times New Roman"/>
          <w:sz w:val="24"/>
          <w:szCs w:val="24"/>
        </w:rPr>
        <w:t xml:space="preserve">Pero este sendero típicamente altomodernista no está predestinado. En vez de ignorar el contexto social, los desarrolladores de nuevas tecnologías podrían aprender algo de las experiencias e inquietudes de la gente real; crear una tecnología adaptativa en vez de arrogante, diseñada para empoderar a la </w:t>
      </w:r>
      <w:r>
        <w:rPr>
          <w:rFonts w:ascii="Times New Roman" w:hAnsi="Times New Roman" w:cs="Times New Roman"/>
          <w:sz w:val="24"/>
          <w:szCs w:val="24"/>
        </w:rPr>
        <w:t>sociedad en vez de silenciarla.</w:t>
      </w:r>
    </w:p>
    <w:p w:rsidR="00382378" w:rsidRPr="0030787D" w:rsidRDefault="00382378" w:rsidP="00382378">
      <w:pPr>
        <w:spacing w:line="240" w:lineRule="auto"/>
        <w:jc w:val="both"/>
        <w:rPr>
          <w:rFonts w:ascii="Times New Roman" w:hAnsi="Times New Roman" w:cs="Times New Roman"/>
          <w:sz w:val="24"/>
          <w:szCs w:val="24"/>
        </w:rPr>
      </w:pPr>
      <w:r w:rsidRPr="00302971">
        <w:rPr>
          <w:rFonts w:ascii="Times New Roman" w:hAnsi="Times New Roman" w:cs="Times New Roman"/>
          <w:sz w:val="24"/>
          <w:szCs w:val="24"/>
          <w:u w:val="single"/>
        </w:rPr>
        <w:t>Hay dos fuerzas que pueden llevar las nuevas tecnologías en esa dirección. La primera es el mercado, que puede actuar como una barrera contra la imposición autoritaria de proyectos errados</w:t>
      </w:r>
      <w:r w:rsidRPr="0030787D">
        <w:rPr>
          <w:rFonts w:ascii="Times New Roman" w:hAnsi="Times New Roman" w:cs="Times New Roman"/>
          <w:sz w:val="24"/>
          <w:szCs w:val="24"/>
        </w:rPr>
        <w:t>. Cuando los planificadores soviéticos decidieron colectivizar la agricultura, los aldeanos ucranianos poco pudieron hacer para detenerlos, y a eso siguió la hambruna. No es igual con las tecnologías digitales de la actualidad, cuyo éxito dependerá de decisiones tomadas por miles de millones de consumidores y por millones de empresas en todo el mundo (con la posible excepción de China).</w:t>
      </w:r>
    </w:p>
    <w:p w:rsidR="00382378" w:rsidRPr="00302971" w:rsidRDefault="00382378" w:rsidP="00382378">
      <w:pPr>
        <w:spacing w:line="240" w:lineRule="auto"/>
        <w:jc w:val="both"/>
        <w:rPr>
          <w:rFonts w:ascii="Times New Roman" w:hAnsi="Times New Roman" w:cs="Times New Roman"/>
          <w:color w:val="FF0000"/>
          <w:sz w:val="24"/>
          <w:szCs w:val="24"/>
          <w:u w:val="single"/>
        </w:rPr>
      </w:pPr>
      <w:r w:rsidRPr="00302971">
        <w:rPr>
          <w:rFonts w:ascii="Times New Roman" w:hAnsi="Times New Roman" w:cs="Times New Roman"/>
          <w:sz w:val="24"/>
          <w:szCs w:val="24"/>
          <w:u w:val="single"/>
        </w:rPr>
        <w:t>Pero no hay que exagerar el poder controlador del mercado. No hay garantías de que promueva la adopción generalizada de las tecnologías correctas, ni de que internalice los efectos negativos de algunas aplicaciones nuevas</w:t>
      </w:r>
      <w:r w:rsidRPr="0030787D">
        <w:rPr>
          <w:rFonts w:ascii="Times New Roman" w:hAnsi="Times New Roman" w:cs="Times New Roman"/>
          <w:sz w:val="24"/>
          <w:szCs w:val="24"/>
        </w:rPr>
        <w:t xml:space="preserve">. </w:t>
      </w:r>
      <w:r w:rsidRPr="00302971">
        <w:rPr>
          <w:rFonts w:ascii="Times New Roman" w:hAnsi="Times New Roman" w:cs="Times New Roman"/>
          <w:color w:val="FF0000"/>
          <w:sz w:val="24"/>
          <w:szCs w:val="24"/>
          <w:u w:val="single"/>
        </w:rPr>
        <w:t>Que el ámbito donde Facebook existe y reúne información sobre sus 2500 millones de usuarios activos sea un entorno de mercado no implica que podamos confiar en el uso que dará a esos datos. El mercado no puede garantizar que el modelo de negocios de Facebook y las tecnologías que lo sostienen no traigan consecuencias imprevistas.</w:t>
      </w:r>
    </w:p>
    <w:p w:rsidR="00382378" w:rsidRPr="00302971" w:rsidRDefault="00382378" w:rsidP="00382378">
      <w:pPr>
        <w:spacing w:line="240" w:lineRule="auto"/>
        <w:jc w:val="both"/>
        <w:rPr>
          <w:rFonts w:ascii="Times New Roman" w:hAnsi="Times New Roman" w:cs="Times New Roman"/>
          <w:color w:val="FF0000"/>
          <w:sz w:val="24"/>
          <w:szCs w:val="24"/>
          <w:u w:val="single"/>
        </w:rPr>
      </w:pPr>
      <w:r w:rsidRPr="00302971">
        <w:rPr>
          <w:rFonts w:ascii="Times New Roman" w:hAnsi="Times New Roman" w:cs="Times New Roman"/>
          <w:color w:val="FF0000"/>
          <w:sz w:val="24"/>
          <w:szCs w:val="24"/>
          <w:u w:val="single"/>
        </w:rPr>
        <w:t>Para que el poder controlador del mercado funcione, hay que reforzarlo con un segundo freno más poderoso: la política democrática. Todos los estados tienen un papel que cumplir en regular la actividad económica y el uso y la difusión de nuevas tecnologías. La política democrática suele impulsar la demanda de esa regulación, y también es la mejor defensa contra la captura de las políticas estatales por empresas rentistas en busca de aumentar su cuota de mercado o sus ganancias.</w:t>
      </w:r>
    </w:p>
    <w:p w:rsidR="00382378" w:rsidRPr="0030787D" w:rsidRDefault="00382378" w:rsidP="00382378">
      <w:pPr>
        <w:spacing w:line="240" w:lineRule="auto"/>
        <w:jc w:val="both"/>
        <w:rPr>
          <w:rFonts w:ascii="Times New Roman" w:hAnsi="Times New Roman" w:cs="Times New Roman"/>
          <w:sz w:val="24"/>
          <w:szCs w:val="24"/>
        </w:rPr>
      </w:pPr>
      <w:r w:rsidRPr="00302971">
        <w:rPr>
          <w:rFonts w:ascii="Times New Roman" w:hAnsi="Times New Roman" w:cs="Times New Roman"/>
          <w:color w:val="FF0000"/>
          <w:sz w:val="24"/>
          <w:szCs w:val="24"/>
          <w:u w:val="single"/>
        </w:rPr>
        <w:t>La democracia también ofrece el mejor mecanismo para la expresión de una variedad de puntos de vista y para organizar la resistencia a planes altomodernistas costosos o peligrosos. La exteriorización de la opinión pública permite frenar o incluso prevenir las aplicaciones de vigilancia, seguimiento y manipulación digital más perniciosas</w:t>
      </w:r>
      <w:r w:rsidRPr="0030787D">
        <w:rPr>
          <w:rFonts w:ascii="Times New Roman" w:hAnsi="Times New Roman" w:cs="Times New Roman"/>
          <w:sz w:val="24"/>
          <w:szCs w:val="24"/>
        </w:rPr>
        <w:t>. La expresión democrática fue precisamente lo que se les negó a los aldeanos ucranianos y tanzanos confrontados c</w:t>
      </w:r>
      <w:r>
        <w:rPr>
          <w:rFonts w:ascii="Times New Roman" w:hAnsi="Times New Roman" w:cs="Times New Roman"/>
          <w:sz w:val="24"/>
          <w:szCs w:val="24"/>
        </w:rPr>
        <w:t>on esquemas de colectivización.</w:t>
      </w:r>
    </w:p>
    <w:p w:rsidR="00382378" w:rsidRPr="00302971" w:rsidRDefault="00382378" w:rsidP="00382378">
      <w:pPr>
        <w:spacing w:line="240" w:lineRule="auto"/>
        <w:jc w:val="both"/>
        <w:rPr>
          <w:rFonts w:ascii="Times New Roman" w:hAnsi="Times New Roman" w:cs="Times New Roman"/>
          <w:b/>
          <w:color w:val="FF0000"/>
          <w:sz w:val="24"/>
          <w:szCs w:val="24"/>
          <w:u w:val="single"/>
        </w:rPr>
      </w:pPr>
      <w:r w:rsidRPr="00302971">
        <w:rPr>
          <w:rFonts w:ascii="Times New Roman" w:hAnsi="Times New Roman" w:cs="Times New Roman"/>
          <w:color w:val="FF0000"/>
          <w:sz w:val="24"/>
          <w:szCs w:val="24"/>
          <w:u w:val="single"/>
        </w:rPr>
        <w:t>Pero la celebración periódica de elecciones no bastará para impedir a las grandes tecnológicas crear una pesadilla altomodernista. En la medida en que las nuevas tecnologías puedan obstaculizar la libertad de expresión y el compromiso político y profundizar la concentración de poder en los sectores público o privado, pueden frustrar el funcionamiento de la política democrática misma, creando al hacerlo un círculo vicioso</w:t>
      </w:r>
      <w:r w:rsidRPr="0030787D">
        <w:rPr>
          <w:rFonts w:ascii="Times New Roman" w:hAnsi="Times New Roman" w:cs="Times New Roman"/>
          <w:sz w:val="24"/>
          <w:szCs w:val="24"/>
        </w:rPr>
        <w:t xml:space="preserve">. </w:t>
      </w:r>
      <w:r w:rsidRPr="00302971">
        <w:rPr>
          <w:rFonts w:ascii="Times New Roman" w:hAnsi="Times New Roman" w:cs="Times New Roman"/>
          <w:b/>
          <w:color w:val="FF0000"/>
          <w:sz w:val="24"/>
          <w:szCs w:val="24"/>
          <w:u w:val="single"/>
        </w:rPr>
        <w:t>Si el mundo de la tecnología opta por el camino altomodernista, puede terminar dañando nuestra única defensa confiable contra su arrogancia: la supervisión democrática del desarrollo y uso de nuevas tecnologías. Nosotros, consumidores, trabajadores y ciudadanos, debemos ser más conscientes de la amenaza, porque somos los únicos que podemos detenerla.</w:t>
      </w:r>
    </w:p>
    <w:p w:rsidR="00382378" w:rsidRDefault="00382378" w:rsidP="00382378">
      <w:pPr>
        <w:spacing w:line="240" w:lineRule="auto"/>
        <w:jc w:val="both"/>
        <w:rPr>
          <w:rFonts w:ascii="Times New Roman" w:hAnsi="Times New Roman" w:cs="Times New Roman"/>
          <w:sz w:val="24"/>
          <w:szCs w:val="24"/>
          <w:lang w:val="en-US"/>
        </w:rPr>
      </w:pPr>
      <w:r w:rsidRPr="0030787D">
        <w:rPr>
          <w:rFonts w:ascii="Times New Roman" w:hAnsi="Times New Roman" w:cs="Times New Roman"/>
          <w:sz w:val="24"/>
          <w:szCs w:val="24"/>
          <w:lang w:val="en-US"/>
        </w:rPr>
        <w:t xml:space="preserve">(Daron Acemoglu, </w:t>
      </w:r>
      <w:r>
        <w:rPr>
          <w:rFonts w:ascii="Times New Roman" w:hAnsi="Times New Roman" w:cs="Times New Roman"/>
          <w:sz w:val="24"/>
          <w:szCs w:val="24"/>
          <w:lang w:val="en-US"/>
        </w:rPr>
        <w:t xml:space="preserve">Professor of Economics at MIT, </w:t>
      </w:r>
      <w:r w:rsidRPr="0030787D">
        <w:rPr>
          <w:rFonts w:ascii="Times New Roman" w:hAnsi="Times New Roman" w:cs="Times New Roman"/>
          <w:sz w:val="24"/>
          <w:szCs w:val="24"/>
          <w:lang w:val="en-US"/>
        </w:rPr>
        <w:t>is co-author (with James A. Robinson) of Why Nations Fail: The Origins of Power, Prosperity and Poverty and The Narrow Corridor: States, Societies, and the Fate of Liberty (forthcoming from P</w:t>
      </w:r>
      <w:r>
        <w:rPr>
          <w:rFonts w:ascii="Times New Roman" w:hAnsi="Times New Roman" w:cs="Times New Roman"/>
          <w:sz w:val="24"/>
          <w:szCs w:val="24"/>
          <w:lang w:val="en-US"/>
        </w:rPr>
        <w:t>enguin Press in September 2019))</w:t>
      </w:r>
    </w:p>
    <w:p w:rsidR="002E1D4D" w:rsidRDefault="002E1D4D" w:rsidP="00382378">
      <w:pPr>
        <w:spacing w:line="240" w:lineRule="auto"/>
        <w:jc w:val="both"/>
        <w:rPr>
          <w:rFonts w:ascii="Times New Roman" w:hAnsi="Times New Roman" w:cs="Times New Roman"/>
          <w:sz w:val="24"/>
          <w:szCs w:val="24"/>
          <w:lang w:val="en-US"/>
        </w:rPr>
      </w:pPr>
    </w:p>
    <w:p w:rsidR="002E1D4D" w:rsidRDefault="002E1D4D" w:rsidP="002E1D4D">
      <w:pPr>
        <w:rPr>
          <w:rFonts w:ascii="Times New Roman" w:hAnsi="Times New Roman" w:cs="Times New Roman"/>
          <w:b/>
          <w:sz w:val="24"/>
          <w:szCs w:val="24"/>
        </w:rPr>
      </w:pPr>
      <w:r>
        <w:rPr>
          <w:rFonts w:ascii="Times New Roman" w:hAnsi="Times New Roman" w:cs="Times New Roman"/>
          <w:b/>
          <w:sz w:val="24"/>
          <w:szCs w:val="24"/>
        </w:rPr>
        <w:t>Anexo Euro punto de vista MERCADO FINANCIERO</w:t>
      </w:r>
    </w:p>
    <w:p w:rsidR="002E1D4D" w:rsidRDefault="002E1D4D" w:rsidP="002E1D4D">
      <w:pPr>
        <w:rPr>
          <w:rFonts w:ascii="Times New Roman" w:hAnsi="Times New Roman" w:cs="Times New Roman"/>
          <w:b/>
          <w:sz w:val="24"/>
          <w:szCs w:val="24"/>
        </w:rPr>
      </w:pPr>
      <w:r>
        <w:rPr>
          <w:noProof/>
          <w:lang w:val="en-GB" w:eastAsia="en-GB"/>
        </w:rPr>
        <w:drawing>
          <wp:inline distT="0" distB="0" distL="0" distR="0">
            <wp:extent cx="5731510" cy="3221990"/>
            <wp:effectExtent l="0" t="0" r="2540" b="0"/>
            <wp:docPr id="72" name="Imagen 72" descr="basu48_ JOHANNES EISELEAFPGetty Images_stock mar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su48_ JOHANNES EISELEAFPGetty Images_stock market"/>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1990"/>
                    </a:xfrm>
                    <a:prstGeom prst="rect">
                      <a:avLst/>
                    </a:prstGeom>
                    <a:noFill/>
                    <a:ln>
                      <a:noFill/>
                    </a:ln>
                  </pic:spPr>
                </pic:pic>
              </a:graphicData>
            </a:graphic>
          </wp:inline>
        </w:drawing>
      </w:r>
    </w:p>
    <w:p w:rsidR="002E1D4D" w:rsidRPr="000865A8" w:rsidRDefault="002E1D4D" w:rsidP="002E1D4D">
      <w:pPr>
        <w:spacing w:line="240" w:lineRule="auto"/>
        <w:jc w:val="both"/>
        <w:rPr>
          <w:rFonts w:ascii="Times New Roman" w:hAnsi="Times New Roman" w:cs="Times New Roman"/>
          <w:color w:val="FF0000"/>
          <w:sz w:val="24"/>
          <w:szCs w:val="24"/>
        </w:rPr>
      </w:pPr>
      <w:r w:rsidRPr="005576E2">
        <w:rPr>
          <w:rFonts w:ascii="Times New Roman" w:hAnsi="Times New Roman" w:cs="Times New Roman"/>
          <w:sz w:val="24"/>
          <w:szCs w:val="24"/>
        </w:rPr>
        <w:t xml:space="preserve">- </w:t>
      </w:r>
      <w:r w:rsidRPr="005576E2">
        <w:rPr>
          <w:rFonts w:ascii="Times New Roman" w:hAnsi="Times New Roman" w:cs="Times New Roman"/>
          <w:sz w:val="24"/>
          <w:szCs w:val="24"/>
          <w:u w:val="single"/>
        </w:rPr>
        <w:t>La deuda es la carga que amenaza con descarrilar la economía global</w:t>
      </w:r>
      <w:r>
        <w:rPr>
          <w:rFonts w:ascii="Times New Roman" w:hAnsi="Times New Roman" w:cs="Times New Roman"/>
          <w:sz w:val="24"/>
          <w:szCs w:val="24"/>
        </w:rPr>
        <w:t xml:space="preserve"> (El Economista - </w:t>
      </w:r>
      <w:r w:rsidRPr="005576E2">
        <w:rPr>
          <w:rFonts w:ascii="Times New Roman" w:hAnsi="Times New Roman" w:cs="Times New Roman"/>
          <w:b/>
          <w:sz w:val="24"/>
          <w:szCs w:val="24"/>
        </w:rPr>
        <w:t>20/1/19</w:t>
      </w:r>
      <w:r>
        <w:rPr>
          <w:rFonts w:ascii="Times New Roman" w:hAnsi="Times New Roman" w:cs="Times New Roman"/>
          <w:sz w:val="24"/>
          <w:szCs w:val="24"/>
        </w:rPr>
        <w:t xml:space="preserve">) </w:t>
      </w:r>
    </w:p>
    <w:p w:rsidR="002E1D4D" w:rsidRPr="00533280" w:rsidRDefault="002E1D4D" w:rsidP="002E1D4D">
      <w:pPr>
        <w:spacing w:line="240" w:lineRule="auto"/>
        <w:jc w:val="both"/>
        <w:rPr>
          <w:rFonts w:ascii="Times New Roman" w:hAnsi="Times New Roman" w:cs="Times New Roman"/>
          <w:color w:val="FF0000"/>
          <w:sz w:val="24"/>
          <w:szCs w:val="24"/>
        </w:rPr>
      </w:pPr>
      <w:r w:rsidRPr="00533280">
        <w:rPr>
          <w:rFonts w:ascii="Times New Roman" w:hAnsi="Times New Roman" w:cs="Times New Roman"/>
          <w:color w:val="FF0000"/>
          <w:sz w:val="24"/>
          <w:szCs w:val="24"/>
        </w:rPr>
        <w:t>Las políticas monetarias aplica</w:t>
      </w:r>
      <w:r w:rsidR="00106298">
        <w:rPr>
          <w:rFonts w:ascii="Times New Roman" w:hAnsi="Times New Roman" w:cs="Times New Roman"/>
          <w:color w:val="FF0000"/>
          <w:sz w:val="24"/>
          <w:szCs w:val="24"/>
        </w:rPr>
        <w:t>das han zombificado la economía</w:t>
      </w:r>
    </w:p>
    <w:p w:rsidR="002E1D4D" w:rsidRPr="005576E2" w:rsidRDefault="002E1D4D" w:rsidP="002E1D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Víctor Blanco Moro / </w:t>
      </w:r>
      <w:r w:rsidRPr="005576E2">
        <w:rPr>
          <w:rFonts w:ascii="Times New Roman" w:hAnsi="Times New Roman" w:cs="Times New Roman"/>
          <w:sz w:val="24"/>
          <w:szCs w:val="24"/>
        </w:rPr>
        <w:t>Daniel Yebra</w:t>
      </w:r>
      <w:r>
        <w:rPr>
          <w:rFonts w:ascii="Times New Roman" w:hAnsi="Times New Roman" w:cs="Times New Roman"/>
          <w:sz w:val="24"/>
          <w:szCs w:val="24"/>
        </w:rPr>
        <w:t>)</w:t>
      </w:r>
    </w:p>
    <w:p w:rsidR="002E1D4D" w:rsidRPr="00533280" w:rsidRDefault="002E1D4D" w:rsidP="002E1D4D">
      <w:pPr>
        <w:spacing w:line="240" w:lineRule="auto"/>
        <w:jc w:val="both"/>
        <w:rPr>
          <w:rFonts w:ascii="Times New Roman" w:hAnsi="Times New Roman" w:cs="Times New Roman"/>
          <w:sz w:val="24"/>
          <w:szCs w:val="24"/>
          <w:u w:val="single"/>
        </w:rPr>
      </w:pPr>
      <w:r w:rsidRPr="005576E2">
        <w:rPr>
          <w:rFonts w:ascii="Times New Roman" w:hAnsi="Times New Roman" w:cs="Times New Roman"/>
          <w:sz w:val="24"/>
          <w:szCs w:val="24"/>
        </w:rPr>
        <w:t xml:space="preserve">La deuda ha sido un elemento clave, si no la base, en el desarrollo económico del ser humano. La posibilidad de disponer de unos recursos que no se tienen a cambio de la promesa de un pago futuro ha permitido que se produzca una mejora rápida en la calidad de vida, sin que las personas tengan que depender sólo de su capacidad de ahorro. Sin embargo, si bien la deuda es una herramienta que ha demostrado ser de gran utilidad, también entraña riesgo y puede usarse de forma que termine convirtiéndose en un problema. </w:t>
      </w:r>
      <w:r w:rsidRPr="00533280">
        <w:rPr>
          <w:rFonts w:ascii="Times New Roman" w:hAnsi="Times New Roman" w:cs="Times New Roman"/>
          <w:sz w:val="24"/>
          <w:szCs w:val="24"/>
          <w:u w:val="single"/>
        </w:rPr>
        <w:t>La excesiva acumulación de deuda, que se aceleró desde la última crisis, es un riesgo que señalan muchos expertos e inversores como uno de los grandes peligros a los que se enfrenta el mundo, y que podría terminar haciendo que descarrile la economía mundial, como lo hizo con la burbuja tecnológica o tras Lehman Brothers.</w:t>
      </w:r>
    </w:p>
    <w:p w:rsidR="002E1D4D" w:rsidRPr="00533280" w:rsidRDefault="002E1D4D" w:rsidP="002E1D4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Según explican desde Citi, “</w:t>
      </w:r>
      <w:r w:rsidRPr="00533280">
        <w:rPr>
          <w:rFonts w:ascii="Times New Roman" w:hAnsi="Times New Roman" w:cs="Times New Roman"/>
          <w:color w:val="FF0000"/>
          <w:sz w:val="24"/>
          <w:szCs w:val="24"/>
          <w:u w:val="single"/>
        </w:rPr>
        <w:t>la deuda global es ahora más de tres veces superior al nivel que había hace 20 años. En 1999, era de 79 billones de dólares, y desde entonces se ha disparado hasta los 247 billones de dólares contabilizados</w:t>
      </w:r>
      <w:r>
        <w:rPr>
          <w:rFonts w:ascii="Times New Roman" w:hAnsi="Times New Roman" w:cs="Times New Roman"/>
          <w:color w:val="FF0000"/>
          <w:sz w:val="24"/>
          <w:szCs w:val="24"/>
          <w:u w:val="single"/>
        </w:rPr>
        <w:t xml:space="preserve"> en el primer trimestre de 2018”</w:t>
      </w:r>
      <w:r w:rsidRPr="00533280">
        <w:rPr>
          <w:rFonts w:ascii="Times New Roman" w:hAnsi="Times New Roman" w:cs="Times New Roman"/>
          <w:color w:val="FF0000"/>
          <w:sz w:val="24"/>
          <w:szCs w:val="24"/>
          <w:u w:val="single"/>
        </w:rPr>
        <w:t>.</w:t>
      </w:r>
    </w:p>
    <w:p w:rsidR="002E1D4D" w:rsidRPr="00533280" w:rsidRDefault="002E1D4D" w:rsidP="002E1D4D">
      <w:pPr>
        <w:spacing w:line="240" w:lineRule="auto"/>
        <w:jc w:val="both"/>
        <w:rPr>
          <w:rFonts w:ascii="Times New Roman" w:hAnsi="Times New Roman" w:cs="Times New Roman"/>
          <w:color w:val="FF0000"/>
          <w:sz w:val="24"/>
          <w:szCs w:val="24"/>
          <w:u w:val="single"/>
        </w:rPr>
      </w:pPr>
      <w:r w:rsidRPr="00533280">
        <w:rPr>
          <w:rFonts w:ascii="Times New Roman" w:hAnsi="Times New Roman" w:cs="Times New Roman"/>
          <w:color w:val="FF0000"/>
          <w:sz w:val="24"/>
          <w:szCs w:val="24"/>
          <w:u w:val="single"/>
        </w:rPr>
        <w:t>El banco destaca también c</w:t>
      </w:r>
      <w:r>
        <w:rPr>
          <w:rFonts w:ascii="Times New Roman" w:hAnsi="Times New Roman" w:cs="Times New Roman"/>
          <w:color w:val="FF0000"/>
          <w:sz w:val="24"/>
          <w:szCs w:val="24"/>
          <w:u w:val="single"/>
        </w:rPr>
        <w:t>ómo el crecimiento de la deuda “</w:t>
      </w:r>
      <w:r w:rsidRPr="00533280">
        <w:rPr>
          <w:rFonts w:ascii="Times New Roman" w:hAnsi="Times New Roman" w:cs="Times New Roman"/>
          <w:color w:val="FF0000"/>
          <w:sz w:val="24"/>
          <w:szCs w:val="24"/>
          <w:u w:val="single"/>
        </w:rPr>
        <w:t>pare</w:t>
      </w:r>
      <w:r>
        <w:rPr>
          <w:rFonts w:ascii="Times New Roman" w:hAnsi="Times New Roman" w:cs="Times New Roman"/>
          <w:color w:val="FF0000"/>
          <w:sz w:val="24"/>
          <w:szCs w:val="24"/>
          <w:u w:val="single"/>
        </w:rPr>
        <w:t>ce haberse acelerado desde 2015”</w:t>
      </w:r>
      <w:r w:rsidRPr="00533280">
        <w:rPr>
          <w:rFonts w:ascii="Times New Roman" w:hAnsi="Times New Roman" w:cs="Times New Roman"/>
          <w:color w:val="FF0000"/>
          <w:sz w:val="24"/>
          <w:szCs w:val="24"/>
          <w:u w:val="single"/>
        </w:rPr>
        <w:t xml:space="preserve">. Los casi 250 billones de dólares de deuda mundial son más de tres veces el tamaño de la economía mundial, según los datos del Banco Mundial a cierre de 2017, que la sitúan en casi 81 billones de dólares en aquel momento. A mediados de 2018, el Fondo Monetario Internacional (FMI) ya alertaba de que la deuda global había alcanzado el equivalente del 225% del PIB mundial, un nivel que, según avisa el organismo, nunca antes había sido tan elevado, y que demuestra que el aviso que venía haciendo Christine Lagarde, presidenta del </w:t>
      </w:r>
      <w:r>
        <w:rPr>
          <w:rFonts w:ascii="Times New Roman" w:hAnsi="Times New Roman" w:cs="Times New Roman"/>
          <w:color w:val="FF0000"/>
          <w:sz w:val="24"/>
          <w:szCs w:val="24"/>
          <w:u w:val="single"/>
        </w:rPr>
        <w:t>organismo, de que había que “</w:t>
      </w:r>
      <w:r w:rsidRPr="00533280">
        <w:rPr>
          <w:rFonts w:ascii="Times New Roman" w:hAnsi="Times New Roman" w:cs="Times New Roman"/>
          <w:color w:val="FF0000"/>
          <w:sz w:val="24"/>
          <w:szCs w:val="24"/>
          <w:u w:val="single"/>
        </w:rPr>
        <w:t>arreglar las goteras del tejado</w:t>
      </w:r>
      <w:r>
        <w:rPr>
          <w:rFonts w:ascii="Times New Roman" w:hAnsi="Times New Roman" w:cs="Times New Roman"/>
          <w:color w:val="FF0000"/>
          <w:sz w:val="24"/>
          <w:szCs w:val="24"/>
          <w:u w:val="single"/>
        </w:rPr>
        <w:t xml:space="preserve"> mientras durase el buen tiempo”</w:t>
      </w:r>
      <w:r w:rsidRPr="00533280">
        <w:rPr>
          <w:rFonts w:ascii="Times New Roman" w:hAnsi="Times New Roman" w:cs="Times New Roman"/>
          <w:color w:val="FF0000"/>
          <w:sz w:val="24"/>
          <w:szCs w:val="24"/>
          <w:u w:val="single"/>
        </w:rPr>
        <w:t>, era correcto.</w:t>
      </w:r>
    </w:p>
    <w:p w:rsidR="002E1D4D" w:rsidRPr="00533280" w:rsidRDefault="002E1D4D" w:rsidP="002E1D4D">
      <w:pPr>
        <w:spacing w:line="240" w:lineRule="auto"/>
        <w:jc w:val="both"/>
        <w:rPr>
          <w:rFonts w:ascii="Times New Roman" w:hAnsi="Times New Roman" w:cs="Times New Roman"/>
          <w:sz w:val="24"/>
          <w:szCs w:val="24"/>
          <w:u w:val="single"/>
        </w:rPr>
      </w:pPr>
      <w:r w:rsidRPr="00533280">
        <w:rPr>
          <w:rFonts w:ascii="Times New Roman" w:hAnsi="Times New Roman" w:cs="Times New Roman"/>
          <w:sz w:val="24"/>
          <w:szCs w:val="24"/>
          <w:u w:val="single"/>
        </w:rPr>
        <w:t xml:space="preserve">Ahora la última encuesta a gestores de Bank of America Merril Lynch (BofAML) muestra cómo, por </w:t>
      </w:r>
      <w:r>
        <w:rPr>
          <w:rFonts w:ascii="Times New Roman" w:hAnsi="Times New Roman" w:cs="Times New Roman"/>
          <w:sz w:val="24"/>
          <w:szCs w:val="24"/>
          <w:u w:val="single"/>
        </w:rPr>
        <w:t>primera vez desde el año 2009, “</w:t>
      </w:r>
      <w:r w:rsidRPr="00533280">
        <w:rPr>
          <w:rFonts w:ascii="Times New Roman" w:hAnsi="Times New Roman" w:cs="Times New Roman"/>
          <w:sz w:val="24"/>
          <w:szCs w:val="24"/>
          <w:u w:val="single"/>
        </w:rPr>
        <w:t>el apalancamiento financiero es la principal preocupación entre los inversores, prefiriendo la mitad de los encuestados que las empresas utilicen su dinero para fortalecer sus balances, antes que aumentar la inversión o</w:t>
      </w:r>
      <w:r>
        <w:rPr>
          <w:rFonts w:ascii="Times New Roman" w:hAnsi="Times New Roman" w:cs="Times New Roman"/>
          <w:sz w:val="24"/>
          <w:szCs w:val="24"/>
          <w:u w:val="single"/>
        </w:rPr>
        <w:t xml:space="preserve"> devolvérselo a los accionistas”</w:t>
      </w:r>
      <w:r w:rsidRPr="00533280">
        <w:rPr>
          <w:rFonts w:ascii="Times New Roman" w:hAnsi="Times New Roman" w:cs="Times New Roman"/>
          <w:sz w:val="24"/>
          <w:szCs w:val="24"/>
          <w:u w:val="single"/>
        </w:rPr>
        <w:t>.</w:t>
      </w:r>
    </w:p>
    <w:p w:rsidR="002E1D4D" w:rsidRPr="00533280" w:rsidRDefault="002E1D4D" w:rsidP="002E1D4D">
      <w:pPr>
        <w:spacing w:line="240" w:lineRule="auto"/>
        <w:jc w:val="both"/>
        <w:rPr>
          <w:rFonts w:ascii="Times New Roman" w:hAnsi="Times New Roman" w:cs="Times New Roman"/>
          <w:color w:val="FF0000"/>
          <w:sz w:val="24"/>
          <w:szCs w:val="24"/>
          <w:u w:val="single"/>
        </w:rPr>
      </w:pPr>
      <w:r w:rsidRPr="00533280">
        <w:rPr>
          <w:rFonts w:ascii="Times New Roman" w:hAnsi="Times New Roman" w:cs="Times New Roman"/>
          <w:color w:val="FF0000"/>
          <w:sz w:val="24"/>
          <w:szCs w:val="24"/>
          <w:u w:val="single"/>
        </w:rPr>
        <w:t>Los principales responsables de esta acumulación de deuda son las g</w:t>
      </w:r>
      <w:r>
        <w:rPr>
          <w:rFonts w:ascii="Times New Roman" w:hAnsi="Times New Roman" w:cs="Times New Roman"/>
          <w:color w:val="FF0000"/>
          <w:sz w:val="24"/>
          <w:szCs w:val="24"/>
          <w:u w:val="single"/>
        </w:rPr>
        <w:t>randes economías del mundo. “</w:t>
      </w:r>
      <w:r w:rsidRPr="00533280">
        <w:rPr>
          <w:rFonts w:ascii="Times New Roman" w:hAnsi="Times New Roman" w:cs="Times New Roman"/>
          <w:color w:val="FF0000"/>
          <w:sz w:val="24"/>
          <w:szCs w:val="24"/>
          <w:u w:val="single"/>
        </w:rPr>
        <w:t xml:space="preserve">Estados Unidos, China y la eurozona son responsables de casi dos </w:t>
      </w:r>
      <w:r>
        <w:rPr>
          <w:rFonts w:ascii="Times New Roman" w:hAnsi="Times New Roman" w:cs="Times New Roman"/>
          <w:color w:val="FF0000"/>
          <w:sz w:val="24"/>
          <w:szCs w:val="24"/>
          <w:u w:val="single"/>
        </w:rPr>
        <w:t>tercios de toda la deuda global”</w:t>
      </w:r>
      <w:r w:rsidRPr="00533280">
        <w:rPr>
          <w:rFonts w:ascii="Times New Roman" w:hAnsi="Times New Roman" w:cs="Times New Roman"/>
          <w:color w:val="FF0000"/>
          <w:sz w:val="24"/>
          <w:szCs w:val="24"/>
          <w:u w:val="single"/>
        </w:rPr>
        <w:t>, explica Citi</w:t>
      </w:r>
      <w:r>
        <w:rPr>
          <w:rFonts w:ascii="Times New Roman" w:hAnsi="Times New Roman" w:cs="Times New Roman"/>
          <w:color w:val="FF0000"/>
          <w:sz w:val="24"/>
          <w:szCs w:val="24"/>
          <w:u w:val="single"/>
        </w:rPr>
        <w:t>, quien avisa, eso sí, de que, “</w:t>
      </w:r>
      <w:r w:rsidRPr="00533280">
        <w:rPr>
          <w:rFonts w:ascii="Times New Roman" w:hAnsi="Times New Roman" w:cs="Times New Roman"/>
          <w:color w:val="FF0000"/>
          <w:sz w:val="24"/>
          <w:szCs w:val="24"/>
          <w:u w:val="single"/>
        </w:rPr>
        <w:t>si se compara con su propio PIB, Estados Unidos y China están en una situación menos grave. Japón, los países nórdicos, Canadá y la periferia europea tienen las cifras más preocupantes en este sentido, y entre los mercados emergentes, Singapur, H</w:t>
      </w:r>
      <w:r>
        <w:rPr>
          <w:rFonts w:ascii="Times New Roman" w:hAnsi="Times New Roman" w:cs="Times New Roman"/>
          <w:color w:val="FF0000"/>
          <w:sz w:val="24"/>
          <w:szCs w:val="24"/>
          <w:u w:val="single"/>
        </w:rPr>
        <w:t>ong-Kong, Corea de Sur y Líbano”</w:t>
      </w:r>
      <w:r w:rsidRPr="00533280">
        <w:rPr>
          <w:rFonts w:ascii="Times New Roman" w:hAnsi="Times New Roman" w:cs="Times New Roman"/>
          <w:color w:val="FF0000"/>
          <w:sz w:val="24"/>
          <w:szCs w:val="24"/>
          <w:u w:val="single"/>
        </w:rPr>
        <w:t>. La lista es clara: Japón tiene un pasivo que es el 527% de su economía; Reino Unido un 471%; la eurozona casi un 400%; Canadá un 359%, EEUU un 321%, Corea un 314%, China un 302%, Brasil un 195% y la India un 127%.</w:t>
      </w:r>
    </w:p>
    <w:p w:rsidR="002E1D4D" w:rsidRPr="005576E2" w:rsidRDefault="002E1D4D" w:rsidP="002E1D4D">
      <w:pPr>
        <w:spacing w:line="240" w:lineRule="auto"/>
        <w:jc w:val="both"/>
        <w:rPr>
          <w:rFonts w:ascii="Times New Roman" w:hAnsi="Times New Roman" w:cs="Times New Roman"/>
          <w:sz w:val="24"/>
          <w:szCs w:val="24"/>
        </w:rPr>
      </w:pPr>
      <w:r w:rsidRPr="00533280">
        <w:rPr>
          <w:rFonts w:ascii="Times New Roman" w:hAnsi="Times New Roman" w:cs="Times New Roman"/>
          <w:sz w:val="24"/>
          <w:szCs w:val="24"/>
          <w:u w:val="single"/>
        </w:rPr>
        <w:t>Los estímulos con los que los bancos centrales apoyaron a sus economías han sido uno de los factores que explican el aumento de la deuda global que se ha producido durante los últimos años</w:t>
      </w:r>
      <w:r w:rsidRPr="005576E2">
        <w:rPr>
          <w:rFonts w:ascii="Times New Roman" w:hAnsi="Times New Roman" w:cs="Times New Roman"/>
          <w:sz w:val="24"/>
          <w:szCs w:val="24"/>
        </w:rPr>
        <w:t>. Daniel Lacalle, economista jefe de Tressis, destaca cómo los a</w:t>
      </w:r>
      <w:r>
        <w:rPr>
          <w:rFonts w:ascii="Times New Roman" w:hAnsi="Times New Roman" w:cs="Times New Roman"/>
          <w:sz w:val="24"/>
          <w:szCs w:val="24"/>
        </w:rPr>
        <w:t>ltos niveles de apalancamiento “</w:t>
      </w:r>
      <w:r w:rsidRPr="005576E2">
        <w:rPr>
          <w:rFonts w:ascii="Times New Roman" w:hAnsi="Times New Roman" w:cs="Times New Roman"/>
          <w:sz w:val="24"/>
          <w:szCs w:val="24"/>
        </w:rPr>
        <w:t xml:space="preserve">son la consecuencia del gran problema. Se han producido por llevar a cabo innecesarios estímulos e inversiones cuestionables debido a </w:t>
      </w:r>
      <w:r>
        <w:rPr>
          <w:rFonts w:ascii="Times New Roman" w:hAnsi="Times New Roman" w:cs="Times New Roman"/>
          <w:sz w:val="24"/>
          <w:szCs w:val="24"/>
        </w:rPr>
        <w:t>los bajos tipos de interés”.</w:t>
      </w:r>
    </w:p>
    <w:p w:rsidR="002E1D4D" w:rsidRPr="005576E2" w:rsidRDefault="002E1D4D" w:rsidP="002E1D4D">
      <w:pPr>
        <w:spacing w:line="240" w:lineRule="auto"/>
        <w:jc w:val="both"/>
        <w:rPr>
          <w:rFonts w:ascii="Times New Roman" w:hAnsi="Times New Roman" w:cs="Times New Roman"/>
          <w:sz w:val="24"/>
          <w:szCs w:val="24"/>
        </w:rPr>
      </w:pPr>
      <w:r w:rsidRPr="005576E2">
        <w:rPr>
          <w:rFonts w:ascii="Times New Roman" w:hAnsi="Times New Roman" w:cs="Times New Roman"/>
          <w:sz w:val="24"/>
          <w:szCs w:val="24"/>
        </w:rPr>
        <w:t>Los principales bancos centrales del mundo, el Banco de Japón (BoJ), la Reserva Federal estadounidense (Fed), el Banco Central Europeo (BCE) y el Banco de Inglaterra (BoE), entre otros, han implementado durante los últimos años políticas monetarias por las cuales, además de bajar los tipos de interés hasta mínimos históricos, han comprado durante largo tiempo miles de millones de euros en bonos, soberanos y corporativos, para inyectar liquidez en el sistema, y así intentar incrementar la inflación y la actividad económica. El efecto secundario de comprar cantidades ingentes de bonos en el mercado es que los precios de estos se dispararon, y sus rentabilidades cayeron a mínimos nunca vistos, haciendo que los bajos costes de financiación hiciese atractivo para los países y las empresas el refinanciar la deuda y seguir manteni</w:t>
      </w:r>
      <w:r>
        <w:rPr>
          <w:rFonts w:ascii="Times New Roman" w:hAnsi="Times New Roman" w:cs="Times New Roman"/>
          <w:sz w:val="24"/>
          <w:szCs w:val="24"/>
        </w:rPr>
        <w:t>endo un elevado apalancamiento.</w:t>
      </w:r>
    </w:p>
    <w:p w:rsidR="002E1D4D" w:rsidRPr="005576E2" w:rsidRDefault="002E1D4D" w:rsidP="002E1D4D">
      <w:pPr>
        <w:spacing w:line="240" w:lineRule="auto"/>
        <w:jc w:val="both"/>
        <w:rPr>
          <w:rFonts w:ascii="Times New Roman" w:hAnsi="Times New Roman" w:cs="Times New Roman"/>
          <w:sz w:val="24"/>
          <w:szCs w:val="24"/>
        </w:rPr>
      </w:pPr>
      <w:r w:rsidRPr="005576E2">
        <w:rPr>
          <w:rFonts w:ascii="Times New Roman" w:hAnsi="Times New Roman" w:cs="Times New Roman"/>
          <w:sz w:val="24"/>
          <w:szCs w:val="24"/>
        </w:rPr>
        <w:t>Ahora, a medida que los estímulos se van retirando, con una Fed que lleva subiendo tipos desde 2015, y un BCE que acaba de cerrar el programa de compras de bonos, el incremento de los costes de financiación hace menos atractivo endeudarse, y puede penalizar</w:t>
      </w:r>
      <w:r>
        <w:rPr>
          <w:rFonts w:ascii="Times New Roman" w:hAnsi="Times New Roman" w:cs="Times New Roman"/>
          <w:sz w:val="24"/>
          <w:szCs w:val="24"/>
        </w:rPr>
        <w:t xml:space="preserve"> a quienes más lo hayan hecho. “</w:t>
      </w:r>
      <w:r w:rsidRPr="005576E2">
        <w:rPr>
          <w:rFonts w:ascii="Times New Roman" w:hAnsi="Times New Roman" w:cs="Times New Roman"/>
          <w:sz w:val="24"/>
          <w:szCs w:val="24"/>
        </w:rPr>
        <w:t>En Europa llevamos desde hace tiempo viendo el miedo de la bolsa. Ya se descuenta la evidencia de que los diferenciales de c</w:t>
      </w:r>
      <w:r>
        <w:rPr>
          <w:rFonts w:ascii="Times New Roman" w:hAnsi="Times New Roman" w:cs="Times New Roman"/>
          <w:sz w:val="24"/>
          <w:szCs w:val="24"/>
        </w:rPr>
        <w:t>rédito suben”, explica Lacalle.</w:t>
      </w:r>
    </w:p>
    <w:p w:rsidR="002E1D4D" w:rsidRPr="005576E2" w:rsidRDefault="002E1D4D" w:rsidP="002E1D4D">
      <w:pPr>
        <w:spacing w:line="240" w:lineRule="auto"/>
        <w:jc w:val="both"/>
        <w:rPr>
          <w:rFonts w:ascii="Times New Roman" w:hAnsi="Times New Roman" w:cs="Times New Roman"/>
          <w:sz w:val="24"/>
          <w:szCs w:val="24"/>
        </w:rPr>
      </w:pPr>
      <w:r w:rsidRPr="005576E2">
        <w:rPr>
          <w:rFonts w:ascii="Times New Roman" w:hAnsi="Times New Roman" w:cs="Times New Roman"/>
          <w:sz w:val="24"/>
          <w:szCs w:val="24"/>
        </w:rPr>
        <w:t>La distribución de la deuda</w:t>
      </w:r>
    </w:p>
    <w:p w:rsidR="002E1D4D" w:rsidRPr="00533280" w:rsidRDefault="002E1D4D" w:rsidP="002E1D4D">
      <w:pPr>
        <w:spacing w:line="240" w:lineRule="auto"/>
        <w:jc w:val="both"/>
        <w:rPr>
          <w:rFonts w:ascii="Times New Roman" w:hAnsi="Times New Roman" w:cs="Times New Roman"/>
          <w:color w:val="FF0000"/>
          <w:sz w:val="24"/>
          <w:szCs w:val="24"/>
          <w:u w:val="single"/>
        </w:rPr>
      </w:pPr>
      <w:r w:rsidRPr="00533280">
        <w:rPr>
          <w:rFonts w:ascii="Times New Roman" w:hAnsi="Times New Roman" w:cs="Times New Roman"/>
          <w:color w:val="FF0000"/>
          <w:sz w:val="24"/>
          <w:szCs w:val="24"/>
          <w:u w:val="single"/>
        </w:rPr>
        <w:t>No sólo los gobiernos han incrementado su deuda durante los últimos años; las empresas también lo han hecho, en muchos casos, de la misma forma que ha ocurrido en el sector financiero y también en los hogares. Sin embargo, teniendo en cuenta la lista de mayores economías del mundo, en Estados Unidos, Japón, India y Brasil, la deuda soberana es la que más pesa en este momento, según los datos de Citi Research. China, Corea y Canadá sí ven cómo la mayor parte de deuda acumulada es del sector corporativo no financiero. Por último, en la eurozona y el Reino Unido es en el sector corporativo financiero en el que se engloba la mayor parte de deuda.</w:t>
      </w:r>
    </w:p>
    <w:p w:rsidR="002E1D4D" w:rsidRPr="00533280" w:rsidRDefault="002E1D4D" w:rsidP="002E1D4D">
      <w:pPr>
        <w:spacing w:line="240" w:lineRule="auto"/>
        <w:jc w:val="both"/>
        <w:rPr>
          <w:rFonts w:ascii="Times New Roman" w:hAnsi="Times New Roman" w:cs="Times New Roman"/>
          <w:color w:val="FF0000"/>
          <w:sz w:val="24"/>
          <w:szCs w:val="24"/>
          <w:u w:val="single"/>
        </w:rPr>
      </w:pPr>
      <w:r w:rsidRPr="005576E2">
        <w:rPr>
          <w:rFonts w:ascii="Times New Roman" w:hAnsi="Times New Roman" w:cs="Times New Roman"/>
          <w:sz w:val="24"/>
          <w:szCs w:val="24"/>
        </w:rPr>
        <w:t>El incremento del endeudamiento que se está produciendo en los países emergentes ha vuelto a preocupar a los analistas</w:t>
      </w:r>
      <w:r>
        <w:rPr>
          <w:rFonts w:ascii="Times New Roman" w:hAnsi="Times New Roman" w:cs="Times New Roman"/>
          <w:sz w:val="24"/>
          <w:szCs w:val="24"/>
        </w:rPr>
        <w:t>. Desde JP Morgan explican que “</w:t>
      </w:r>
      <w:r w:rsidRPr="005576E2">
        <w:rPr>
          <w:rFonts w:ascii="Times New Roman" w:hAnsi="Times New Roman" w:cs="Times New Roman"/>
          <w:sz w:val="24"/>
          <w:szCs w:val="24"/>
        </w:rPr>
        <w:t>en el pasado año, la deuda gubernamental de países emergentes, sumada a la deuda de sector privado, ha vuelto a incrementarse respecto al PIB. Teniendo en cuenta lo avanzado del ciclo, y el contexto de subida de tipos, la carga de deuda de los emergentes parece que va a seguir siendo uno de los grandes facto</w:t>
      </w:r>
      <w:r w:rsidR="00106298">
        <w:rPr>
          <w:rFonts w:ascii="Times New Roman" w:hAnsi="Times New Roman" w:cs="Times New Roman"/>
          <w:sz w:val="24"/>
          <w:szCs w:val="24"/>
        </w:rPr>
        <w:t>res de riesgo para los mercados”</w:t>
      </w:r>
      <w:r w:rsidRPr="005576E2">
        <w:rPr>
          <w:rFonts w:ascii="Times New Roman" w:hAnsi="Times New Roman" w:cs="Times New Roman"/>
          <w:sz w:val="24"/>
          <w:szCs w:val="24"/>
        </w:rPr>
        <w:t xml:space="preserve">, destacan. Centrándose en la deuda corporativa, el banco señala a China </w:t>
      </w:r>
      <w:r>
        <w:rPr>
          <w:rFonts w:ascii="Times New Roman" w:hAnsi="Times New Roman" w:cs="Times New Roman"/>
          <w:sz w:val="24"/>
          <w:szCs w:val="24"/>
        </w:rPr>
        <w:t xml:space="preserve">como especialmente apalancada: </w:t>
      </w:r>
      <w:r>
        <w:rPr>
          <w:rFonts w:ascii="Times New Roman" w:hAnsi="Times New Roman" w:cs="Times New Roman"/>
          <w:color w:val="FF0000"/>
          <w:sz w:val="24"/>
          <w:szCs w:val="24"/>
        </w:rPr>
        <w:t>“</w:t>
      </w:r>
      <w:r w:rsidRPr="00533280">
        <w:rPr>
          <w:rFonts w:ascii="Times New Roman" w:hAnsi="Times New Roman" w:cs="Times New Roman"/>
          <w:color w:val="FF0000"/>
          <w:sz w:val="24"/>
          <w:szCs w:val="24"/>
          <w:u w:val="single"/>
        </w:rPr>
        <w:t>El crédito del sector privado en los emergentes sin contar al gigante asiático continúa cay</w:t>
      </w:r>
      <w:r w:rsidR="00106298">
        <w:rPr>
          <w:rFonts w:ascii="Times New Roman" w:hAnsi="Times New Roman" w:cs="Times New Roman"/>
          <w:color w:val="FF0000"/>
          <w:sz w:val="24"/>
          <w:szCs w:val="24"/>
          <w:u w:val="single"/>
        </w:rPr>
        <w:t>endo desde 2016, hasta el 76,4%” del PIB. Mientras tanto, “</w:t>
      </w:r>
      <w:r w:rsidRPr="00533280">
        <w:rPr>
          <w:rFonts w:ascii="Times New Roman" w:hAnsi="Times New Roman" w:cs="Times New Roman"/>
          <w:color w:val="FF0000"/>
          <w:sz w:val="24"/>
          <w:szCs w:val="24"/>
          <w:u w:val="single"/>
        </w:rPr>
        <w:t>China, ha incrementado el crédito al sector privado hasta el 112,7% del PIB, a sólo 2,5 puntos básicos de</w:t>
      </w:r>
      <w:r>
        <w:rPr>
          <w:rFonts w:ascii="Times New Roman" w:hAnsi="Times New Roman" w:cs="Times New Roman"/>
          <w:color w:val="FF0000"/>
          <w:sz w:val="24"/>
          <w:szCs w:val="24"/>
          <w:u w:val="single"/>
        </w:rPr>
        <w:t xml:space="preserve"> los máximos históricos de 2016”</w:t>
      </w:r>
      <w:r w:rsidRPr="00533280">
        <w:rPr>
          <w:rFonts w:ascii="Times New Roman" w:hAnsi="Times New Roman" w:cs="Times New Roman"/>
          <w:color w:val="FF0000"/>
          <w:sz w:val="24"/>
          <w:szCs w:val="24"/>
          <w:u w:val="single"/>
        </w:rPr>
        <w:t>, señala JP Morgan.</w:t>
      </w:r>
    </w:p>
    <w:p w:rsidR="002E1D4D" w:rsidRPr="005576E2" w:rsidRDefault="002E1D4D" w:rsidP="002E1D4D">
      <w:pPr>
        <w:spacing w:line="240" w:lineRule="auto"/>
        <w:jc w:val="both"/>
        <w:rPr>
          <w:rFonts w:ascii="Times New Roman" w:hAnsi="Times New Roman" w:cs="Times New Roman"/>
          <w:sz w:val="24"/>
          <w:szCs w:val="24"/>
        </w:rPr>
      </w:pPr>
      <w:r w:rsidRPr="005576E2">
        <w:rPr>
          <w:rFonts w:ascii="Times New Roman" w:hAnsi="Times New Roman" w:cs="Times New Roman"/>
          <w:sz w:val="24"/>
          <w:szCs w:val="24"/>
        </w:rPr>
        <w:t xml:space="preserve">Uno de los problemas a los que se han tenido que enfrentar los emergentes en 2018 ha sido la revalorización del dólar, que durante ese año fue del 4,7% frente al euro, impulsado por las subidas de tipos de la Fed. Este proceso se ha frenado durante los últimos meses, y desde Robeco explican </w:t>
      </w:r>
      <w:r>
        <w:rPr>
          <w:rFonts w:ascii="Times New Roman" w:hAnsi="Times New Roman" w:cs="Times New Roman"/>
          <w:sz w:val="24"/>
          <w:szCs w:val="24"/>
        </w:rPr>
        <w:t>cómo para los emergentes ahora “</w:t>
      </w:r>
      <w:r w:rsidRPr="005576E2">
        <w:rPr>
          <w:rFonts w:ascii="Times New Roman" w:hAnsi="Times New Roman" w:cs="Times New Roman"/>
          <w:sz w:val="24"/>
          <w:szCs w:val="24"/>
        </w:rPr>
        <w:t xml:space="preserve">el primer elemento a su favor es la trayectoria de endurecimiento monetario de la Fed. A diferencia de lo que daban a entender los mensajes de hace sólo unos meses, el final del endurecimiento monetario en EEUU, o al menos una suspensión temporal del mismo, se encuentra ahora </w:t>
      </w:r>
      <w:r>
        <w:rPr>
          <w:rFonts w:ascii="Times New Roman" w:hAnsi="Times New Roman" w:cs="Times New Roman"/>
          <w:sz w:val="24"/>
          <w:szCs w:val="24"/>
        </w:rPr>
        <w:t>sobre la mesa”</w:t>
      </w:r>
      <w:r w:rsidRPr="005576E2">
        <w:rPr>
          <w:rFonts w:ascii="Times New Roman" w:hAnsi="Times New Roman" w:cs="Times New Roman"/>
          <w:sz w:val="24"/>
          <w:szCs w:val="24"/>
        </w:rPr>
        <w:t>, explican. Esto tendría un impacto en el dólar del que se beneficiarán los emergentes, ya que muchos de ellos asumieron deuda denominada en dólares, por lo que la sub</w:t>
      </w:r>
      <w:r>
        <w:rPr>
          <w:rFonts w:ascii="Times New Roman" w:hAnsi="Times New Roman" w:cs="Times New Roman"/>
          <w:sz w:val="24"/>
          <w:szCs w:val="24"/>
        </w:rPr>
        <w:t>ida de la divisa les penaliza: “</w:t>
      </w:r>
      <w:r w:rsidRPr="005576E2">
        <w:rPr>
          <w:rFonts w:ascii="Times New Roman" w:hAnsi="Times New Roman" w:cs="Times New Roman"/>
          <w:sz w:val="24"/>
          <w:szCs w:val="24"/>
        </w:rPr>
        <w:t>El dólar no tendría necesariamente que continuar fortaleciéndose, puesto que el atractivo de una moneda depende mucho de la diferencia entre los tipos de ambas zonas. Es un hecho clave para los mercados emergentes, cuya rentabilidad suele verse mermada cuando el dól</w:t>
      </w:r>
      <w:r>
        <w:rPr>
          <w:rFonts w:ascii="Times New Roman" w:hAnsi="Times New Roman" w:cs="Times New Roman"/>
          <w:sz w:val="24"/>
          <w:szCs w:val="24"/>
        </w:rPr>
        <w:t>ar se fortalece” señala Robeco.</w:t>
      </w:r>
    </w:p>
    <w:p w:rsidR="002E1D4D" w:rsidRPr="005576E2" w:rsidRDefault="002E1D4D" w:rsidP="002E1D4D">
      <w:pPr>
        <w:spacing w:line="240" w:lineRule="auto"/>
        <w:jc w:val="both"/>
        <w:rPr>
          <w:rFonts w:ascii="Times New Roman" w:hAnsi="Times New Roman" w:cs="Times New Roman"/>
          <w:sz w:val="24"/>
          <w:szCs w:val="24"/>
        </w:rPr>
      </w:pPr>
      <w:r w:rsidRPr="005576E2">
        <w:rPr>
          <w:rFonts w:ascii="Times New Roman" w:hAnsi="Times New Roman" w:cs="Times New Roman"/>
          <w:sz w:val="24"/>
          <w:szCs w:val="24"/>
        </w:rPr>
        <w:t>El problema en la eurozona...</w:t>
      </w:r>
    </w:p>
    <w:p w:rsidR="002E1D4D" w:rsidRPr="00533280" w:rsidRDefault="002E1D4D" w:rsidP="002E1D4D">
      <w:pPr>
        <w:spacing w:line="240" w:lineRule="auto"/>
        <w:jc w:val="both"/>
        <w:rPr>
          <w:rFonts w:ascii="Times New Roman" w:hAnsi="Times New Roman" w:cs="Times New Roman"/>
          <w:color w:val="FF0000"/>
          <w:sz w:val="24"/>
          <w:szCs w:val="24"/>
          <w:u w:val="single"/>
        </w:rPr>
      </w:pPr>
      <w:r w:rsidRPr="00533280">
        <w:rPr>
          <w:rFonts w:ascii="Times New Roman" w:hAnsi="Times New Roman" w:cs="Times New Roman"/>
          <w:color w:val="FF0000"/>
          <w:sz w:val="24"/>
          <w:szCs w:val="24"/>
          <w:u w:val="single"/>
        </w:rPr>
        <w:t>La posibilidad de que las economías desarrolladas tengan problemas para enfrentarse a sus elevados endeudamientos, en una tendencia de desaceleración del crecimiento económico y en pleno proceso de retirada de estímulos, es un riesgo que los expertos destacan</w:t>
      </w:r>
      <w:r>
        <w:rPr>
          <w:rFonts w:ascii="Times New Roman" w:hAnsi="Times New Roman" w:cs="Times New Roman"/>
          <w:color w:val="FF0000"/>
          <w:sz w:val="24"/>
          <w:szCs w:val="24"/>
          <w:u w:val="single"/>
        </w:rPr>
        <w:t xml:space="preserve"> especialmente en la eurozona. “</w:t>
      </w:r>
      <w:r w:rsidRPr="00533280">
        <w:rPr>
          <w:rFonts w:ascii="Times New Roman" w:hAnsi="Times New Roman" w:cs="Times New Roman"/>
          <w:color w:val="FF0000"/>
          <w:sz w:val="24"/>
          <w:szCs w:val="24"/>
          <w:u w:val="single"/>
        </w:rPr>
        <w:t>Las políticas monetarias aplicadas han zombificado la economía al tapar los problemas de deud</w:t>
      </w:r>
      <w:r>
        <w:rPr>
          <w:rFonts w:ascii="Times New Roman" w:hAnsi="Times New Roman" w:cs="Times New Roman"/>
          <w:color w:val="FF0000"/>
          <w:sz w:val="24"/>
          <w:szCs w:val="24"/>
          <w:u w:val="single"/>
        </w:rPr>
        <w:t>a, los balances ineficientes...”, se lamenta Lacalle. “</w:t>
      </w:r>
      <w:r w:rsidRPr="00533280">
        <w:rPr>
          <w:rFonts w:ascii="Times New Roman" w:hAnsi="Times New Roman" w:cs="Times New Roman"/>
          <w:color w:val="FF0000"/>
          <w:sz w:val="24"/>
          <w:szCs w:val="24"/>
          <w:u w:val="single"/>
        </w:rPr>
        <w:t>El endeudamiento del sector público ha llegado a niveles alarma</w:t>
      </w:r>
      <w:r>
        <w:rPr>
          <w:rFonts w:ascii="Times New Roman" w:hAnsi="Times New Roman" w:cs="Times New Roman"/>
          <w:color w:val="FF0000"/>
          <w:sz w:val="24"/>
          <w:szCs w:val="24"/>
          <w:u w:val="single"/>
        </w:rPr>
        <w:t>ntemente altos en muchos países”</w:t>
      </w:r>
      <w:r w:rsidRPr="00533280">
        <w:rPr>
          <w:rFonts w:ascii="Times New Roman" w:hAnsi="Times New Roman" w:cs="Times New Roman"/>
          <w:color w:val="FF0000"/>
          <w:sz w:val="24"/>
          <w:szCs w:val="24"/>
          <w:u w:val="single"/>
        </w:rPr>
        <w:t>, incide Javier Ruiz, director de inversiones de Horos AM.</w:t>
      </w:r>
    </w:p>
    <w:p w:rsidR="002E1D4D" w:rsidRPr="00533280" w:rsidRDefault="002E1D4D" w:rsidP="002E1D4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533280">
        <w:rPr>
          <w:rFonts w:ascii="Times New Roman" w:hAnsi="Times New Roman" w:cs="Times New Roman"/>
          <w:sz w:val="24"/>
          <w:szCs w:val="24"/>
          <w:u w:val="single"/>
        </w:rPr>
        <w:t>Las mayores vulnera</w:t>
      </w:r>
      <w:r>
        <w:rPr>
          <w:rFonts w:ascii="Times New Roman" w:hAnsi="Times New Roman" w:cs="Times New Roman"/>
          <w:sz w:val="24"/>
          <w:szCs w:val="24"/>
          <w:u w:val="single"/>
        </w:rPr>
        <w:t>bilidades están ahora en Europa”</w:t>
      </w:r>
      <w:r w:rsidRPr="00533280">
        <w:rPr>
          <w:rFonts w:ascii="Times New Roman" w:hAnsi="Times New Roman" w:cs="Times New Roman"/>
          <w:sz w:val="24"/>
          <w:szCs w:val="24"/>
          <w:u w:val="single"/>
        </w:rPr>
        <w:t>, concreta BofAML en un</w:t>
      </w:r>
      <w:r>
        <w:rPr>
          <w:rFonts w:ascii="Times New Roman" w:hAnsi="Times New Roman" w:cs="Times New Roman"/>
          <w:sz w:val="24"/>
          <w:szCs w:val="24"/>
          <w:u w:val="single"/>
        </w:rPr>
        <w:t xml:space="preserve"> informe en el que observa que “</w:t>
      </w:r>
      <w:r w:rsidRPr="00533280">
        <w:rPr>
          <w:rFonts w:ascii="Times New Roman" w:hAnsi="Times New Roman" w:cs="Times New Roman"/>
          <w:sz w:val="24"/>
          <w:szCs w:val="24"/>
          <w:u w:val="single"/>
        </w:rPr>
        <w:t>algunas empresas deberán ofrecer elevados intereses para asegurar su financiación en el nuevo mundo</w:t>
      </w:r>
      <w:r>
        <w:rPr>
          <w:rFonts w:ascii="Times New Roman" w:hAnsi="Times New Roman" w:cs="Times New Roman"/>
          <w:sz w:val="24"/>
          <w:szCs w:val="24"/>
          <w:u w:val="single"/>
        </w:rPr>
        <w:t xml:space="preserve"> sin QE, es decir, sin liquidez”</w:t>
      </w:r>
      <w:r w:rsidRPr="00533280">
        <w:rPr>
          <w:rFonts w:ascii="Times New Roman" w:hAnsi="Times New Roman" w:cs="Times New Roman"/>
          <w:sz w:val="24"/>
          <w:szCs w:val="24"/>
          <w:u w:val="single"/>
        </w:rPr>
        <w:t>. Pero lo preocupan</w:t>
      </w:r>
      <w:r>
        <w:rPr>
          <w:rFonts w:ascii="Times New Roman" w:hAnsi="Times New Roman" w:cs="Times New Roman"/>
          <w:sz w:val="24"/>
          <w:szCs w:val="24"/>
          <w:u w:val="single"/>
        </w:rPr>
        <w:t>te es la consecuencia directa: “</w:t>
      </w:r>
      <w:r w:rsidRPr="00533280">
        <w:rPr>
          <w:rFonts w:ascii="Times New Roman" w:hAnsi="Times New Roman" w:cs="Times New Roman"/>
          <w:sz w:val="24"/>
          <w:szCs w:val="24"/>
          <w:u w:val="single"/>
        </w:rPr>
        <w:t>El incremento de los costes de la de</w:t>
      </w:r>
      <w:r>
        <w:rPr>
          <w:rFonts w:ascii="Times New Roman" w:hAnsi="Times New Roman" w:cs="Times New Roman"/>
          <w:sz w:val="24"/>
          <w:szCs w:val="24"/>
          <w:u w:val="single"/>
        </w:rPr>
        <w:t>uda impactará en los beneficios”</w:t>
      </w:r>
      <w:r w:rsidRPr="00533280">
        <w:rPr>
          <w:rFonts w:ascii="Times New Roman" w:hAnsi="Times New Roman" w:cs="Times New Roman"/>
          <w:sz w:val="24"/>
          <w:szCs w:val="24"/>
          <w:u w:val="single"/>
        </w:rPr>
        <w:t>. Para el banco de inversión, los sectores que se enfrentan a una mayor incertidumbre son precisamente los más apalancados: utilities, telecos y energéticas.</w:t>
      </w:r>
    </w:p>
    <w:p w:rsidR="002E1D4D" w:rsidRPr="00533280" w:rsidRDefault="002E1D4D" w:rsidP="002E1D4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533280">
        <w:rPr>
          <w:rFonts w:ascii="Times New Roman" w:hAnsi="Times New Roman" w:cs="Times New Roman"/>
          <w:sz w:val="24"/>
          <w:szCs w:val="24"/>
          <w:u w:val="single"/>
        </w:rPr>
        <w:t>Si se produce un repunte masivo de las ventas de bonos corporativos por parte de inversores minorist</w:t>
      </w:r>
      <w:r>
        <w:rPr>
          <w:rFonts w:ascii="Times New Roman" w:hAnsi="Times New Roman" w:cs="Times New Roman"/>
          <w:sz w:val="24"/>
          <w:szCs w:val="24"/>
          <w:u w:val="single"/>
        </w:rPr>
        <w:t>as no tendrán una contrapartida”</w:t>
      </w:r>
      <w:r w:rsidRPr="00533280">
        <w:rPr>
          <w:rFonts w:ascii="Times New Roman" w:hAnsi="Times New Roman" w:cs="Times New Roman"/>
          <w:sz w:val="24"/>
          <w:szCs w:val="24"/>
          <w:u w:val="single"/>
        </w:rPr>
        <w:t>, incide Álex Fusté, economista je</w:t>
      </w:r>
      <w:r>
        <w:rPr>
          <w:rFonts w:ascii="Times New Roman" w:hAnsi="Times New Roman" w:cs="Times New Roman"/>
          <w:sz w:val="24"/>
          <w:szCs w:val="24"/>
          <w:u w:val="single"/>
        </w:rPr>
        <w:t>fe de Andbank, quien relaciona “</w:t>
      </w:r>
      <w:r w:rsidRPr="00533280">
        <w:rPr>
          <w:rFonts w:ascii="Times New Roman" w:hAnsi="Times New Roman" w:cs="Times New Roman"/>
          <w:sz w:val="24"/>
          <w:szCs w:val="24"/>
          <w:u w:val="single"/>
        </w:rPr>
        <w:t xml:space="preserve">las caídas de las bolsas en el último trimestre de 2018 con un deterioro en </w:t>
      </w:r>
      <w:r>
        <w:rPr>
          <w:rFonts w:ascii="Times New Roman" w:hAnsi="Times New Roman" w:cs="Times New Roman"/>
          <w:sz w:val="24"/>
          <w:szCs w:val="24"/>
          <w:u w:val="single"/>
        </w:rPr>
        <w:t>el mercado de deuda corporativa”</w:t>
      </w:r>
      <w:r w:rsidRPr="00533280">
        <w:rPr>
          <w:rFonts w:ascii="Times New Roman" w:hAnsi="Times New Roman" w:cs="Times New Roman"/>
          <w:sz w:val="24"/>
          <w:szCs w:val="24"/>
          <w:u w:val="single"/>
        </w:rPr>
        <w:t>.</w:t>
      </w:r>
    </w:p>
    <w:p w:rsidR="002E1D4D" w:rsidRPr="005576E2" w:rsidRDefault="002E1D4D" w:rsidP="002E1D4D">
      <w:pPr>
        <w:spacing w:line="240" w:lineRule="auto"/>
        <w:jc w:val="both"/>
        <w:rPr>
          <w:rFonts w:ascii="Times New Roman" w:hAnsi="Times New Roman" w:cs="Times New Roman"/>
          <w:sz w:val="24"/>
          <w:szCs w:val="24"/>
        </w:rPr>
      </w:pPr>
      <w:r>
        <w:rPr>
          <w:rFonts w:ascii="Times New Roman" w:hAnsi="Times New Roman" w:cs="Times New Roman"/>
          <w:sz w:val="24"/>
          <w:szCs w:val="24"/>
        </w:rPr>
        <w:t>Por supuesto, “</w:t>
      </w:r>
      <w:r w:rsidRPr="005576E2">
        <w:rPr>
          <w:rFonts w:ascii="Times New Roman" w:hAnsi="Times New Roman" w:cs="Times New Roman"/>
          <w:sz w:val="24"/>
          <w:szCs w:val="24"/>
        </w:rPr>
        <w:t>no</w:t>
      </w:r>
      <w:r>
        <w:rPr>
          <w:rFonts w:ascii="Times New Roman" w:hAnsi="Times New Roman" w:cs="Times New Roman"/>
          <w:sz w:val="24"/>
          <w:szCs w:val="24"/>
        </w:rPr>
        <w:t xml:space="preserve"> es solo el mercado corporativo”</w:t>
      </w:r>
      <w:r w:rsidRPr="005576E2">
        <w:rPr>
          <w:rFonts w:ascii="Times New Roman" w:hAnsi="Times New Roman" w:cs="Times New Roman"/>
          <w:sz w:val="24"/>
          <w:szCs w:val="24"/>
        </w:rPr>
        <w:t>, continúa BofAML, que considera que los estados también tendrán que ofrecer mayor rentabilidad para encontrar compradores en un contexto en el que países como Italia, España o Francia están aplicando o se les está exigiendo políticas expa</w:t>
      </w:r>
      <w:r>
        <w:rPr>
          <w:rFonts w:ascii="Times New Roman" w:hAnsi="Times New Roman" w:cs="Times New Roman"/>
          <w:sz w:val="24"/>
          <w:szCs w:val="24"/>
        </w:rPr>
        <w:t>nsivas que implican más gasto. “</w:t>
      </w:r>
      <w:r w:rsidRPr="005576E2">
        <w:rPr>
          <w:rFonts w:ascii="Times New Roman" w:hAnsi="Times New Roman" w:cs="Times New Roman"/>
          <w:sz w:val="24"/>
          <w:szCs w:val="24"/>
        </w:rPr>
        <w:t>Están en cuestión algunos sistemas, que pudieran no satisfacer las nece</w:t>
      </w:r>
      <w:r>
        <w:rPr>
          <w:rFonts w:ascii="Times New Roman" w:hAnsi="Times New Roman" w:cs="Times New Roman"/>
          <w:sz w:val="24"/>
          <w:szCs w:val="24"/>
        </w:rPr>
        <w:t>sidades del Estado de Bienestar”</w:t>
      </w:r>
      <w:r w:rsidRPr="005576E2">
        <w:rPr>
          <w:rFonts w:ascii="Times New Roman" w:hAnsi="Times New Roman" w:cs="Times New Roman"/>
          <w:sz w:val="24"/>
          <w:szCs w:val="24"/>
        </w:rPr>
        <w:t>, cree Alberto Espelosín, gest</w:t>
      </w:r>
      <w:r>
        <w:rPr>
          <w:rFonts w:ascii="Times New Roman" w:hAnsi="Times New Roman" w:cs="Times New Roman"/>
          <w:sz w:val="24"/>
          <w:szCs w:val="24"/>
        </w:rPr>
        <w:t>or de Abante Pangea.</w:t>
      </w:r>
    </w:p>
    <w:p w:rsidR="002E1D4D" w:rsidRPr="005576E2" w:rsidRDefault="002E1D4D" w:rsidP="002E1D4D">
      <w:pPr>
        <w:spacing w:line="240" w:lineRule="auto"/>
        <w:jc w:val="both"/>
        <w:rPr>
          <w:rFonts w:ascii="Times New Roman" w:hAnsi="Times New Roman" w:cs="Times New Roman"/>
          <w:sz w:val="24"/>
          <w:szCs w:val="24"/>
        </w:rPr>
      </w:pPr>
      <w:r w:rsidRPr="005576E2">
        <w:rPr>
          <w:rFonts w:ascii="Times New Roman" w:hAnsi="Times New Roman" w:cs="Times New Roman"/>
          <w:sz w:val="24"/>
          <w:szCs w:val="24"/>
        </w:rPr>
        <w:t>En el caso particular de España, el Gobierno, en contra de los expertos, se muestra confiado en que sus circunstancias son diferentes a las de otro</w:t>
      </w:r>
      <w:r>
        <w:rPr>
          <w:rFonts w:ascii="Times New Roman" w:hAnsi="Times New Roman" w:cs="Times New Roman"/>
          <w:sz w:val="24"/>
          <w:szCs w:val="24"/>
        </w:rPr>
        <w:t>s países del club comunitario. “</w:t>
      </w:r>
      <w:r w:rsidRPr="005576E2">
        <w:rPr>
          <w:rFonts w:ascii="Times New Roman" w:hAnsi="Times New Roman" w:cs="Times New Roman"/>
          <w:sz w:val="24"/>
          <w:szCs w:val="24"/>
        </w:rPr>
        <w:t>El coste medio de la deuda se mantendrá en mínimos en 2019 independie</w:t>
      </w:r>
      <w:r>
        <w:rPr>
          <w:rFonts w:ascii="Times New Roman" w:hAnsi="Times New Roman" w:cs="Times New Roman"/>
          <w:sz w:val="24"/>
          <w:szCs w:val="24"/>
        </w:rPr>
        <w:t>ntemente de la política del BCE”</w:t>
      </w:r>
      <w:r w:rsidRPr="005576E2">
        <w:rPr>
          <w:rFonts w:ascii="Times New Roman" w:hAnsi="Times New Roman" w:cs="Times New Roman"/>
          <w:sz w:val="24"/>
          <w:szCs w:val="24"/>
        </w:rPr>
        <w:t>, según aseguró Carlos San Basilio, secretario general del Tesoro, en la presentación de la estrategia para el presente año de la institución de crédito. San Basilio explicó que en las últimas salidas al mercado, desde que el BCE concluyó su programa de compra</w:t>
      </w:r>
      <w:r>
        <w:rPr>
          <w:rFonts w:ascii="Times New Roman" w:hAnsi="Times New Roman" w:cs="Times New Roman"/>
          <w:sz w:val="24"/>
          <w:szCs w:val="24"/>
        </w:rPr>
        <w:t>s netas de deuda en diciembre, “</w:t>
      </w:r>
      <w:r w:rsidRPr="005576E2">
        <w:rPr>
          <w:rFonts w:ascii="Times New Roman" w:hAnsi="Times New Roman" w:cs="Times New Roman"/>
          <w:sz w:val="24"/>
          <w:szCs w:val="24"/>
        </w:rPr>
        <w:t>no se ha notado ningún efecto por las reinversiones de los vencimientos, que hacen que la participación de la instit</w:t>
      </w:r>
      <w:r>
        <w:rPr>
          <w:rFonts w:ascii="Times New Roman" w:hAnsi="Times New Roman" w:cs="Times New Roman"/>
          <w:sz w:val="24"/>
          <w:szCs w:val="24"/>
        </w:rPr>
        <w:t>ución siga siendo significativa”</w:t>
      </w:r>
      <w:r w:rsidRPr="005576E2">
        <w:rPr>
          <w:rFonts w:ascii="Times New Roman" w:hAnsi="Times New Roman" w:cs="Times New Roman"/>
          <w:sz w:val="24"/>
          <w:szCs w:val="24"/>
        </w:rPr>
        <w:t>.</w:t>
      </w:r>
    </w:p>
    <w:p w:rsidR="002E1D4D" w:rsidRDefault="002E1D4D" w:rsidP="002E1D4D">
      <w:pPr>
        <w:spacing w:line="240" w:lineRule="auto"/>
        <w:jc w:val="both"/>
        <w:rPr>
          <w:rFonts w:ascii="Times New Roman" w:hAnsi="Times New Roman" w:cs="Times New Roman"/>
          <w:sz w:val="24"/>
          <w:szCs w:val="24"/>
        </w:rPr>
      </w:pPr>
      <w:r w:rsidRPr="005576E2">
        <w:rPr>
          <w:rFonts w:ascii="Times New Roman" w:hAnsi="Times New Roman" w:cs="Times New Roman"/>
          <w:sz w:val="24"/>
          <w:szCs w:val="24"/>
        </w:rPr>
        <w:t>Por esta razón y</w:t>
      </w:r>
      <w:r>
        <w:rPr>
          <w:rFonts w:ascii="Times New Roman" w:hAnsi="Times New Roman" w:cs="Times New Roman"/>
          <w:sz w:val="24"/>
          <w:szCs w:val="24"/>
        </w:rPr>
        <w:t xml:space="preserve"> porque la demanda se mantiene “fuerte”</w:t>
      </w:r>
      <w:r w:rsidRPr="005576E2">
        <w:rPr>
          <w:rFonts w:ascii="Times New Roman" w:hAnsi="Times New Roman" w:cs="Times New Roman"/>
          <w:sz w:val="24"/>
          <w:szCs w:val="24"/>
        </w:rPr>
        <w:t>, según continuó el secretario general del Tesoro, la previsión es que el coste medio no se eleve. En su opinión, los factores que soportan este apetito por la deuda españ</w:t>
      </w:r>
      <w:r>
        <w:rPr>
          <w:rFonts w:ascii="Times New Roman" w:hAnsi="Times New Roman" w:cs="Times New Roman"/>
          <w:sz w:val="24"/>
          <w:szCs w:val="24"/>
        </w:rPr>
        <w:t>ola son diversos. Por un lado, “</w:t>
      </w:r>
      <w:r w:rsidRPr="005576E2">
        <w:rPr>
          <w:rFonts w:ascii="Times New Roman" w:hAnsi="Times New Roman" w:cs="Times New Roman"/>
          <w:sz w:val="24"/>
          <w:szCs w:val="24"/>
        </w:rPr>
        <w:t>el entorno de desaceleración del crecimiento económico a nivel global limita las expectativas de subidas de los tipos de inte</w:t>
      </w:r>
      <w:r>
        <w:rPr>
          <w:rFonts w:ascii="Times New Roman" w:hAnsi="Times New Roman" w:cs="Times New Roman"/>
          <w:sz w:val="24"/>
          <w:szCs w:val="24"/>
        </w:rPr>
        <w:t>rés oficiales por parte del BCE”</w:t>
      </w:r>
      <w:r w:rsidRPr="005576E2">
        <w:rPr>
          <w:rFonts w:ascii="Times New Roman" w:hAnsi="Times New Roman" w:cs="Times New Roman"/>
          <w:sz w:val="24"/>
          <w:szCs w:val="24"/>
        </w:rPr>
        <w:t>. Por otro, pre</w:t>
      </w:r>
      <w:r>
        <w:rPr>
          <w:rFonts w:ascii="Times New Roman" w:hAnsi="Times New Roman" w:cs="Times New Roman"/>
          <w:sz w:val="24"/>
          <w:szCs w:val="24"/>
        </w:rPr>
        <w:t>cisamente “</w:t>
      </w:r>
      <w:r w:rsidRPr="005576E2">
        <w:rPr>
          <w:rFonts w:ascii="Times New Roman" w:hAnsi="Times New Roman" w:cs="Times New Roman"/>
          <w:sz w:val="24"/>
          <w:szCs w:val="24"/>
        </w:rPr>
        <w:t>esta desaceleraci</w:t>
      </w:r>
      <w:r>
        <w:rPr>
          <w:rFonts w:ascii="Times New Roman" w:hAnsi="Times New Roman" w:cs="Times New Roman"/>
          <w:sz w:val="24"/>
          <w:szCs w:val="24"/>
        </w:rPr>
        <w:t>ón será menos acusada en España”</w:t>
      </w:r>
      <w:r w:rsidRPr="005576E2">
        <w:rPr>
          <w:rFonts w:ascii="Times New Roman" w:hAnsi="Times New Roman" w:cs="Times New Roman"/>
          <w:sz w:val="24"/>
          <w:szCs w:val="24"/>
        </w:rPr>
        <w:t xml:space="preserve"> frente a las principales economías de la eurozona.</w:t>
      </w:r>
    </w:p>
    <w:p w:rsidR="002E1D4D" w:rsidRPr="000865A8" w:rsidRDefault="002E1D4D" w:rsidP="002E1D4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4F47F2">
        <w:rPr>
          <w:rFonts w:ascii="Times New Roman" w:hAnsi="Times New Roman" w:cs="Times New Roman"/>
          <w:sz w:val="24"/>
          <w:szCs w:val="24"/>
          <w:u w:val="single"/>
        </w:rPr>
        <w:t>La estabilidad financiera en tiempos anormales</w:t>
      </w:r>
      <w:r>
        <w:rPr>
          <w:rFonts w:ascii="Times New Roman" w:hAnsi="Times New Roman" w:cs="Times New Roman"/>
          <w:sz w:val="24"/>
          <w:szCs w:val="24"/>
        </w:rPr>
        <w:t xml:space="preserve"> (Project Syndicate - </w:t>
      </w:r>
      <w:r w:rsidRPr="004F47F2">
        <w:rPr>
          <w:rFonts w:ascii="Times New Roman" w:hAnsi="Times New Roman" w:cs="Times New Roman"/>
          <w:b/>
          <w:sz w:val="24"/>
          <w:szCs w:val="24"/>
        </w:rPr>
        <w:t>5/2/19</w:t>
      </w:r>
      <w:r>
        <w:rPr>
          <w:rFonts w:ascii="Times New Roman" w:hAnsi="Times New Roman" w:cs="Times New Roman"/>
          <w:sz w:val="24"/>
          <w:szCs w:val="24"/>
        </w:rPr>
        <w:t xml:space="preserve">) </w:t>
      </w:r>
    </w:p>
    <w:p w:rsidR="002E1D4D" w:rsidRPr="00353CA4" w:rsidRDefault="002E1D4D" w:rsidP="002E1D4D">
      <w:pPr>
        <w:spacing w:line="240" w:lineRule="auto"/>
        <w:jc w:val="both"/>
        <w:rPr>
          <w:rFonts w:ascii="Times New Roman" w:hAnsi="Times New Roman" w:cs="Times New Roman"/>
          <w:sz w:val="24"/>
          <w:szCs w:val="24"/>
        </w:rPr>
      </w:pPr>
      <w:r>
        <w:rPr>
          <w:rFonts w:ascii="Times New Roman" w:hAnsi="Times New Roman" w:cs="Times New Roman"/>
          <w:sz w:val="24"/>
          <w:szCs w:val="24"/>
        </w:rPr>
        <w:t>Cambridge.-</w:t>
      </w:r>
      <w:r w:rsidRPr="004F47F2">
        <w:rPr>
          <w:rFonts w:ascii="Times New Roman" w:hAnsi="Times New Roman" w:cs="Times New Roman"/>
          <w:sz w:val="24"/>
          <w:szCs w:val="24"/>
        </w:rPr>
        <w:t xml:space="preserve"> Un decenio después de la crisis financiera global de 2008, las autoridades encargadas no dejan de asegurarnos que hoy el sistema es mucho más seguro. Los megabancos que estuvieron en el centro de la debacle han reducido su nivel de exposición al riesgo, y todos (inversores, consumidores y directivos de bancos centrales) siguen en alerta máxima. Los reguladores se han esforzado en asegurar más transparencia y rendición de cuentas en la industria bancaria. </w:t>
      </w:r>
      <w:r w:rsidRPr="00353CA4">
        <w:rPr>
          <w:rFonts w:ascii="Times New Roman" w:hAnsi="Times New Roman" w:cs="Times New Roman"/>
          <w:sz w:val="24"/>
          <w:szCs w:val="24"/>
        </w:rPr>
        <w:t>Pero ¿estamos realmente tan a salvo?</w:t>
      </w:r>
    </w:p>
    <w:p w:rsidR="002E1D4D" w:rsidRPr="004F47F2" w:rsidRDefault="002E1D4D" w:rsidP="002E1D4D">
      <w:pPr>
        <w:spacing w:line="240" w:lineRule="auto"/>
        <w:jc w:val="both"/>
        <w:rPr>
          <w:rFonts w:ascii="Times New Roman" w:hAnsi="Times New Roman" w:cs="Times New Roman"/>
          <w:sz w:val="24"/>
          <w:szCs w:val="24"/>
        </w:rPr>
      </w:pPr>
      <w:r w:rsidRPr="001A205D">
        <w:rPr>
          <w:rFonts w:ascii="Times New Roman" w:hAnsi="Times New Roman" w:cs="Times New Roman"/>
          <w:sz w:val="24"/>
          <w:szCs w:val="24"/>
          <w:u w:val="single"/>
        </w:rPr>
        <w:t xml:space="preserve">Normalmente uno diría que sí.Una megacrisis financiera global sistémica como la que estalló hace un decenio no es como la típica recesión de cada </w:t>
      </w:r>
      <w:r w:rsidRPr="001E22E4">
        <w:rPr>
          <w:rFonts w:ascii="Times New Roman" w:hAnsi="Times New Roman" w:cs="Times New Roman"/>
          <w:sz w:val="24"/>
          <w:szCs w:val="24"/>
          <w:u w:val="single"/>
        </w:rPr>
        <w:t>siete años</w:t>
      </w:r>
      <w:r w:rsidRPr="004F47F2">
        <w:rPr>
          <w:rFonts w:ascii="Times New Roman" w:hAnsi="Times New Roman" w:cs="Times New Roman"/>
          <w:sz w:val="24"/>
          <w:szCs w:val="24"/>
        </w:rPr>
        <w:t>. El hecho de que su frecuencia sea mucho menor tiene que ver con dos realidades: las autoridades responden con reformas para evitar que se repitan, y normalmente pasa mucho tiempo antes de que inversores, consumidores y políticos se olviden de la última.</w:t>
      </w:r>
    </w:p>
    <w:p w:rsidR="002E1D4D" w:rsidRPr="001A205D" w:rsidRDefault="002E1D4D" w:rsidP="002E1D4D">
      <w:pPr>
        <w:spacing w:line="240" w:lineRule="auto"/>
        <w:jc w:val="both"/>
        <w:rPr>
          <w:rFonts w:ascii="Times New Roman" w:hAnsi="Times New Roman" w:cs="Times New Roman"/>
          <w:sz w:val="24"/>
          <w:szCs w:val="24"/>
          <w:u w:val="single"/>
        </w:rPr>
      </w:pPr>
      <w:r w:rsidRPr="001A205D">
        <w:rPr>
          <w:rFonts w:ascii="Times New Roman" w:hAnsi="Times New Roman" w:cs="Times New Roman"/>
          <w:sz w:val="24"/>
          <w:szCs w:val="24"/>
          <w:u w:val="single"/>
        </w:rPr>
        <w:t>Por desgracia, no vivimos tiempos normales. El manejo de crisis no se puede llevar en piloto automático, y la seguridad del sistema financiero depende crucialmente de la capacidad de quienes lo dirigen.</w:t>
      </w:r>
      <w:r w:rsidRPr="004F47F2">
        <w:rPr>
          <w:rFonts w:ascii="Times New Roman" w:hAnsi="Times New Roman" w:cs="Times New Roman"/>
          <w:sz w:val="24"/>
          <w:szCs w:val="24"/>
        </w:rPr>
        <w:t xml:space="preserve"> Lo bueno es que en general, los principales bancos centrales todavía cuentan con personal y directivos de excelencia. </w:t>
      </w:r>
      <w:r w:rsidRPr="001A205D">
        <w:rPr>
          <w:rFonts w:ascii="Times New Roman" w:hAnsi="Times New Roman" w:cs="Times New Roman"/>
          <w:sz w:val="24"/>
          <w:szCs w:val="24"/>
          <w:u w:val="single"/>
        </w:rPr>
        <w:t>Lo malo es que el manejo de crisis involucra a todo el gobierno, no sólo la autoridad monetaria. Y aquí hay amplio margen para la duda.</w:t>
      </w:r>
    </w:p>
    <w:p w:rsidR="002E1D4D" w:rsidRPr="00824816" w:rsidRDefault="002E1D4D" w:rsidP="002E1D4D">
      <w:pPr>
        <w:spacing w:line="240" w:lineRule="auto"/>
        <w:jc w:val="both"/>
        <w:rPr>
          <w:rFonts w:ascii="Times New Roman" w:hAnsi="Times New Roman" w:cs="Times New Roman"/>
          <w:color w:val="FF0000"/>
          <w:sz w:val="24"/>
          <w:szCs w:val="24"/>
          <w:u w:val="single"/>
        </w:rPr>
      </w:pPr>
      <w:r w:rsidRPr="00824816">
        <w:rPr>
          <w:rFonts w:ascii="Times New Roman" w:hAnsi="Times New Roman" w:cs="Times New Roman"/>
          <w:color w:val="FF0000"/>
          <w:sz w:val="24"/>
          <w:szCs w:val="24"/>
          <w:u w:val="single"/>
        </w:rPr>
        <w:t>Claro que si la próxima crisis fuera exactamente como la anterior, las autoridades podrían limitarse a aplicar el manual que se elaboró en 2008, y es probable que la respuesta sea al menos igual de eficaz. Pero ¿y si fuera totalmente diferente, si se originara, por ejemplo, en un ciberataque a gran escala, o en un aumento global inesperadamente rápido del tipo de interés real, que sacudiera a unos mercados debilitados por deudas de alto riesgo? ¿Puede alguien decir honestamente que la administración del presidente estadounidense Donald Trump tiene la destreza y la experiencia para hacer frente a un colapso a gran escala? No hay modo de saberlo, porque la única crisis real que ha experimentado Estados Unidos hasta ahora durante la presidencia de Trump ha sido, pues, la presidencia de Trump.</w:t>
      </w:r>
    </w:p>
    <w:p w:rsidR="002E1D4D" w:rsidRPr="004F47F2" w:rsidRDefault="002E1D4D" w:rsidP="002E1D4D">
      <w:pPr>
        <w:spacing w:line="240" w:lineRule="auto"/>
        <w:jc w:val="both"/>
        <w:rPr>
          <w:rFonts w:ascii="Times New Roman" w:hAnsi="Times New Roman" w:cs="Times New Roman"/>
          <w:sz w:val="24"/>
          <w:szCs w:val="24"/>
        </w:rPr>
      </w:pPr>
      <w:r w:rsidRPr="00824816">
        <w:rPr>
          <w:rFonts w:ascii="Times New Roman" w:hAnsi="Times New Roman" w:cs="Times New Roman"/>
          <w:sz w:val="24"/>
          <w:szCs w:val="24"/>
          <w:u w:val="single"/>
        </w:rPr>
        <w:t>El presidente de la Reserva Federal de los Estados Unidos, Jerome Powell, y su equipo son de primera, pero ¿qué otros adultos habrá en la habitación si hubiera amenazas de una crisis financiera de procedencia externa?</w:t>
      </w:r>
      <w:r w:rsidRPr="004F47F2">
        <w:rPr>
          <w:rFonts w:ascii="Times New Roman" w:hAnsi="Times New Roman" w:cs="Times New Roman"/>
          <w:sz w:val="24"/>
          <w:szCs w:val="24"/>
        </w:rPr>
        <w:t xml:space="preserve"> La Fed no puede lanzarse a la acción sola; necesita apoyo político y financiero del resto del gobierno. </w:t>
      </w:r>
      <w:r w:rsidRPr="00824816">
        <w:rPr>
          <w:rFonts w:ascii="Times New Roman" w:hAnsi="Times New Roman" w:cs="Times New Roman"/>
          <w:sz w:val="24"/>
          <w:szCs w:val="24"/>
          <w:u w:val="single"/>
        </w:rPr>
        <w:t>De hecho, hoy tiene menos margen de maniobra que en 2008, porque las reformas financieras aprobadas por la ley Dodd</w:t>
      </w:r>
      <w:r w:rsidRPr="00824816">
        <w:rPr>
          <w:rFonts w:ascii="Times New Roman" w:eastAsia="MS Gothic" w:hAnsi="Times New Roman" w:cs="Times New Roman" w:hint="eastAsia"/>
          <w:sz w:val="24"/>
          <w:szCs w:val="24"/>
          <w:u w:val="single"/>
        </w:rPr>
        <w:t>‑</w:t>
      </w:r>
      <w:r w:rsidRPr="00824816">
        <w:rPr>
          <w:rFonts w:ascii="Times New Roman" w:hAnsi="Times New Roman" w:cs="Times New Roman"/>
          <w:sz w:val="24"/>
          <w:szCs w:val="24"/>
          <w:u w:val="single"/>
        </w:rPr>
        <w:t>Frank de 2010 restringieron marcadamente su capacidad de rescatar instituciones privadas, aun cuando de no hacerlo todo el sistema corriera riesgo de colapsar</w:t>
      </w:r>
      <w:r w:rsidRPr="004F47F2">
        <w:rPr>
          <w:rFonts w:ascii="Times New Roman" w:hAnsi="Times New Roman" w:cs="Times New Roman"/>
          <w:sz w:val="24"/>
          <w:szCs w:val="24"/>
        </w:rPr>
        <w:t>. ¿Podrá responder un Congreso paralizado? ¿O acaso Steven Mnuchin, que antes de convertirse en secretario del Tesoro de los Estados Unidos fue productor en Hollywood, podrá inspirarse en el papel que tuvo en la película de 2016 “Rules Don’t Apply”?</w:t>
      </w:r>
    </w:p>
    <w:p w:rsidR="002E1D4D" w:rsidRPr="004F47F2" w:rsidRDefault="002E1D4D" w:rsidP="002E1D4D">
      <w:pPr>
        <w:spacing w:line="240" w:lineRule="auto"/>
        <w:jc w:val="both"/>
        <w:rPr>
          <w:rFonts w:ascii="Times New Roman" w:hAnsi="Times New Roman" w:cs="Times New Roman"/>
          <w:sz w:val="24"/>
          <w:szCs w:val="24"/>
        </w:rPr>
      </w:pPr>
      <w:r w:rsidRPr="00824816">
        <w:rPr>
          <w:rFonts w:ascii="Times New Roman" w:hAnsi="Times New Roman" w:cs="Times New Roman"/>
          <w:sz w:val="24"/>
          <w:szCs w:val="24"/>
          <w:u w:val="single"/>
        </w:rPr>
        <w:t>Europa tiene problemas similares, o peores. Dada la profundización de la desconfianza y de las divisiones alentada por el populismo, es casi seguro que la resiliencia financiera es mucho menor que hace un decenio</w:t>
      </w:r>
      <w:r w:rsidRPr="004F47F2">
        <w:rPr>
          <w:rFonts w:ascii="Times New Roman" w:hAnsi="Times New Roman" w:cs="Times New Roman"/>
          <w:sz w:val="24"/>
          <w:szCs w:val="24"/>
        </w:rPr>
        <w:t>. Basta pensar en el Reino Unido, el otro gran centro financiero internacional, cuya élite política dejó al país al borde del abismo del Brexit. ¿Es posible esperar realmente que maneje con competencia una crisis financiera que demandaría decisiones políticas difíciles y agilidad de pensamiento? El RU tiene la suerte de contar con muy buen personal en su departamento de hacienda y en su banco central, pero ni los técnicos más brillantes tienen mucho margen de acción si los políticos no les dan respaldo.</w:t>
      </w:r>
    </w:p>
    <w:p w:rsidR="002E1D4D" w:rsidRPr="00824816" w:rsidRDefault="002E1D4D" w:rsidP="002E1D4D">
      <w:pPr>
        <w:spacing w:line="240" w:lineRule="auto"/>
        <w:jc w:val="both"/>
        <w:rPr>
          <w:rFonts w:ascii="Times New Roman" w:hAnsi="Times New Roman" w:cs="Times New Roman"/>
          <w:sz w:val="24"/>
          <w:szCs w:val="24"/>
          <w:u w:val="single"/>
        </w:rPr>
      </w:pPr>
      <w:r w:rsidRPr="004F47F2">
        <w:rPr>
          <w:rFonts w:ascii="Times New Roman" w:hAnsi="Times New Roman" w:cs="Times New Roman"/>
          <w:sz w:val="24"/>
          <w:szCs w:val="24"/>
        </w:rPr>
        <w:t xml:space="preserve">En tanto, </w:t>
      </w:r>
      <w:r w:rsidRPr="00824816">
        <w:rPr>
          <w:rFonts w:ascii="Times New Roman" w:hAnsi="Times New Roman" w:cs="Times New Roman"/>
          <w:sz w:val="24"/>
          <w:szCs w:val="24"/>
          <w:u w:val="single"/>
        </w:rPr>
        <w:t>del otro lado del Canal de la Mancha, la profunda división por la coparticipación en los costos de la eurozona puede dificultar la implementación de una política convincente para hacer frente a un período de alta tensión. Por ejemplo, un aumento significativo del tipo de interés real global podría hacer estragos en los balcanizados mercados de deuda de la eurozona.</w:t>
      </w:r>
    </w:p>
    <w:p w:rsidR="002E1D4D" w:rsidRPr="00824816" w:rsidRDefault="002E1D4D" w:rsidP="002E1D4D">
      <w:pPr>
        <w:spacing w:line="240" w:lineRule="auto"/>
        <w:jc w:val="both"/>
        <w:rPr>
          <w:rFonts w:ascii="Times New Roman" w:hAnsi="Times New Roman" w:cs="Times New Roman"/>
          <w:color w:val="FF0000"/>
          <w:sz w:val="24"/>
          <w:szCs w:val="24"/>
          <w:u w:val="single"/>
        </w:rPr>
      </w:pPr>
      <w:r w:rsidRPr="00824816">
        <w:rPr>
          <w:rFonts w:ascii="Times New Roman" w:hAnsi="Times New Roman" w:cs="Times New Roman"/>
          <w:color w:val="FF0000"/>
          <w:sz w:val="24"/>
          <w:szCs w:val="24"/>
          <w:u w:val="single"/>
        </w:rPr>
        <w:t>Pero ¿no es que faltan entre veinte y cuarenta años para la próxima gran crisis financiera importante y tenemos tiempo más que suficiente para prepararnos? Ojalá sea así, pero nada lo garantiza. Incluso si la regulación ha podido contener los riesgos bancarios, es probable que ahora las grandes fuentes de riesgo estén en el sistema financiero informal, menos regulado. Lo único que sabemos con certeza es que el sistema financiero global no para de crecer, y el endeudamiento global ya se acerca a los 200 billones de dólares. Aunque una mejor regulación financiera haya ayudado a evitar que ese crecimiento se traslade a un aumento del riesgo, nada indica tampoco que esté disminuyendo.</w:t>
      </w:r>
    </w:p>
    <w:p w:rsidR="002E1D4D" w:rsidRPr="00824816" w:rsidRDefault="002E1D4D" w:rsidP="002E1D4D">
      <w:pPr>
        <w:spacing w:line="240" w:lineRule="auto"/>
        <w:jc w:val="both"/>
        <w:rPr>
          <w:rFonts w:ascii="Times New Roman" w:hAnsi="Times New Roman" w:cs="Times New Roman"/>
          <w:sz w:val="24"/>
          <w:szCs w:val="24"/>
          <w:u w:val="single"/>
        </w:rPr>
      </w:pPr>
      <w:r w:rsidRPr="004F47F2">
        <w:rPr>
          <w:rFonts w:ascii="Times New Roman" w:hAnsi="Times New Roman" w:cs="Times New Roman"/>
          <w:sz w:val="24"/>
          <w:szCs w:val="24"/>
        </w:rPr>
        <w:t xml:space="preserve">Por ejemplo, si bien el riesgo contabilizado de los grandes bancos hoy parece ser menor, los reguladores tienen que hacer grandes esfuerzos para vigilar el endeudamiento arriesgado que migró al sistema financiero informal y que puede inflarse con bastante rapidez (como aprendimos del peor modo en 2008). </w:t>
      </w:r>
      <w:r w:rsidRPr="00824816">
        <w:rPr>
          <w:rFonts w:ascii="Times New Roman" w:hAnsi="Times New Roman" w:cs="Times New Roman"/>
          <w:sz w:val="24"/>
          <w:szCs w:val="24"/>
          <w:u w:val="single"/>
        </w:rPr>
        <w:t>Los reguladores nos aseguran que los bancos cuentan con más protecciones en la forma de activos “líquidos” para hacer frente a corridas sobre los depósitos y problemas de refinanciación de deudas. Por desgracia, activos que son “líquidos” en tiempos normales suelen volverse muy ilíquidos en caso de crisis.</w:t>
      </w:r>
    </w:p>
    <w:p w:rsidR="002E1D4D" w:rsidRPr="00824816" w:rsidRDefault="002E1D4D" w:rsidP="002E1D4D">
      <w:pPr>
        <w:spacing w:line="240" w:lineRule="auto"/>
        <w:jc w:val="both"/>
        <w:rPr>
          <w:rFonts w:ascii="Times New Roman" w:hAnsi="Times New Roman" w:cs="Times New Roman"/>
          <w:color w:val="FF0000"/>
          <w:sz w:val="24"/>
          <w:szCs w:val="24"/>
          <w:u w:val="single"/>
        </w:rPr>
      </w:pPr>
      <w:r w:rsidRPr="00824816">
        <w:rPr>
          <w:rFonts w:ascii="Times New Roman" w:hAnsi="Times New Roman" w:cs="Times New Roman"/>
          <w:color w:val="FF0000"/>
          <w:sz w:val="24"/>
          <w:szCs w:val="24"/>
          <w:u w:val="single"/>
        </w:rPr>
        <w:t>Las autoridades no se equivocan al decir que el sistema ha tenido mejoras desde 2008. Pero las reformas fragmentarias que se han implementado no incluyen lo más necesario: obligar a los bancos a obtener una cuota mayor de su financiación mediante emisión de acciones (o reinversión de dividendos), como sostienen los economistas Anat Admati de Stanford y Martin Hellwig del Instituto Max Planck. Por desgracia, la combinación de un sistema financiero que no para de crecer y un entorno político cada vez más tóxico implica que la siguiente gran crisis financiera puede producirse antes de lo esperado.</w:t>
      </w:r>
    </w:p>
    <w:p w:rsidR="002E1D4D" w:rsidRDefault="002E1D4D" w:rsidP="002E1D4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F47F2">
        <w:rPr>
          <w:rFonts w:ascii="Times New Roman" w:hAnsi="Times New Roman" w:cs="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w:t>
      </w:r>
      <w:r>
        <w:rPr>
          <w:rFonts w:ascii="Times New Roman" w:hAnsi="Times New Roman" w:cs="Times New Roman"/>
          <w:sz w:val="24"/>
          <w:szCs w:val="24"/>
          <w:lang w:val="en-US"/>
        </w:rPr>
        <w:t>sh, was released in August 2016)</w:t>
      </w:r>
    </w:p>
    <w:p w:rsidR="002E1D4D" w:rsidRPr="00B97CD8" w:rsidRDefault="002E1D4D" w:rsidP="002E1D4D">
      <w:pPr>
        <w:spacing w:line="240" w:lineRule="auto"/>
        <w:jc w:val="both"/>
        <w:rPr>
          <w:rFonts w:ascii="Times New Roman" w:hAnsi="Times New Roman" w:cs="Times New Roman"/>
          <w:color w:val="FF0000"/>
          <w:sz w:val="24"/>
          <w:szCs w:val="24"/>
        </w:rPr>
      </w:pPr>
      <w:r w:rsidRPr="00C34708">
        <w:rPr>
          <w:rFonts w:ascii="Times New Roman" w:hAnsi="Times New Roman" w:cs="Times New Roman"/>
          <w:sz w:val="24"/>
          <w:szCs w:val="24"/>
        </w:rPr>
        <w:t xml:space="preserve">- </w:t>
      </w:r>
      <w:r w:rsidRPr="00C34708">
        <w:rPr>
          <w:rFonts w:ascii="Times New Roman" w:hAnsi="Times New Roman" w:cs="Times New Roman"/>
          <w:sz w:val="24"/>
          <w:szCs w:val="24"/>
          <w:u w:val="single"/>
        </w:rPr>
        <w:t>El BCE retrasa a final de año el alza de tipos y activa otra línea de liquidez a la banca</w:t>
      </w:r>
      <w:r>
        <w:rPr>
          <w:rFonts w:ascii="Times New Roman" w:hAnsi="Times New Roman" w:cs="Times New Roman"/>
          <w:sz w:val="24"/>
          <w:szCs w:val="24"/>
        </w:rPr>
        <w:t xml:space="preserve"> (Cinco Días - </w:t>
      </w:r>
      <w:r w:rsidRPr="00C34708">
        <w:rPr>
          <w:rFonts w:ascii="Times New Roman" w:hAnsi="Times New Roman" w:cs="Times New Roman"/>
          <w:b/>
          <w:sz w:val="24"/>
          <w:szCs w:val="24"/>
        </w:rPr>
        <w:t>7/3/19</w:t>
      </w:r>
      <w:r>
        <w:rPr>
          <w:rFonts w:ascii="Times New Roman" w:hAnsi="Times New Roman" w:cs="Times New Roman"/>
          <w:sz w:val="24"/>
          <w:szCs w:val="24"/>
        </w:rPr>
        <w:t xml:space="preserve">) </w:t>
      </w:r>
    </w:p>
    <w:p w:rsidR="002E1D4D"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Recorta con fuerza la previsión de crecimiento para este año en la zona euro, al 1,1% desde el 1,7% de diciembre, y la de inflación del 1,6% al 1,2%</w:t>
      </w:r>
    </w:p>
    <w:p w:rsidR="002E1D4D" w:rsidRDefault="002E1D4D" w:rsidP="002E1D4D">
      <w:pPr>
        <w:spacing w:line="240" w:lineRule="auto"/>
        <w:jc w:val="both"/>
        <w:rPr>
          <w:rFonts w:ascii="Times New Roman" w:hAnsi="Times New Roman" w:cs="Times New Roman"/>
          <w:sz w:val="24"/>
          <w:szCs w:val="24"/>
        </w:rPr>
      </w:pPr>
      <w:r>
        <w:rPr>
          <w:noProof/>
          <w:lang w:val="en-GB" w:eastAsia="en-GB"/>
        </w:rPr>
        <w:drawing>
          <wp:inline distT="0" distB="0" distL="0" distR="0">
            <wp:extent cx="5731510" cy="3368854"/>
            <wp:effectExtent l="0" t="0" r="2540" b="3175"/>
            <wp:docPr id="37" name="Imagen 37" descr="https://d500.epimg.net/descargables/2019/03/07/c1c221c2bd8729bd002bd24105b36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19/03/07/c1c221c2bd8729bd002bd24105b36038.png"/>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368854"/>
                    </a:xfrm>
                    <a:prstGeom prst="rect">
                      <a:avLst/>
                    </a:prstGeom>
                    <a:noFill/>
                    <a:ln>
                      <a:noFill/>
                    </a:ln>
                  </pic:spPr>
                </pic:pic>
              </a:graphicData>
            </a:graphic>
          </wp:inline>
        </w:drawing>
      </w:r>
    </w:p>
    <w:p w:rsidR="002E1D4D" w:rsidRPr="00C34708" w:rsidRDefault="002E1D4D" w:rsidP="002E1D4D">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C34708">
        <w:rPr>
          <w:rFonts w:ascii="Times New Roman" w:hAnsi="Times New Roman" w:cs="Times New Roman"/>
          <w:sz w:val="24"/>
          <w:szCs w:val="24"/>
        </w:rPr>
        <w:t>l declive de la economía de la zona euro es ya tan preocupante que el BCE ha decidido pasar a la acción sin esperar más. En la reunión celebrada hoy, la institución decidió lanzar una nueva inyección de liquidez condicionada a la concesión de crédito (TLTRO), que comenzará en septiembre de este año y finalizará en marzo de 2021, a un plazo de dos años. El objetivo es preservar las favorables condiciones de financiación a la economía y la transmisión de la política monetaria, según recoge en el comunicado. En definitiva, blindar al sistema de liquidez por dos años y con el fin de que el deterioro económico no termine por amenazar el tímido avance de la fin</w:t>
      </w:r>
      <w:r>
        <w:rPr>
          <w:rFonts w:ascii="Times New Roman" w:hAnsi="Times New Roman" w:cs="Times New Roman"/>
          <w:sz w:val="24"/>
          <w:szCs w:val="24"/>
        </w:rPr>
        <w:t>anciación a empresas y hogares.</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BCE decidió además retrasar en el tiempo el momento en que podría subir los tipos, al señalar que se mantendrán en el nivel actual del cero hasta al menos finales de este año, frente a la referencia anterior del verano. Y en todo caso, durante el tiempo necesario para garantizar que la inflación de la zona euro se mantiene en un nivel cercano al 2% en el medio plazo de forma sostenida. Con este nuevo calendario, Draghi, que abandona la presidencia en noviembre de este año, dejaría la decisión del alza de tipos para su suce</w:t>
      </w:r>
      <w:r>
        <w:rPr>
          <w:rFonts w:ascii="Times New Roman" w:hAnsi="Times New Roman" w:cs="Times New Roman"/>
          <w:sz w:val="24"/>
          <w:szCs w:val="24"/>
        </w:rPr>
        <w:t xml:space="preserve">sor en la presidencia del BCE. </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Con su decisión de aplazar el momento para una subida de tipos y de dar más liquidez a la banca el BCE con la que garantizar</w:t>
      </w:r>
      <w:r w:rsidR="00106298">
        <w:rPr>
          <w:rFonts w:ascii="Times New Roman" w:hAnsi="Times New Roman" w:cs="Times New Roman"/>
          <w:sz w:val="24"/>
          <w:szCs w:val="24"/>
        </w:rPr>
        <w:t xml:space="preserve"> el crédito a la economía real -</w:t>
      </w:r>
      <w:r w:rsidRPr="00C34708">
        <w:rPr>
          <w:rFonts w:ascii="Times New Roman" w:hAnsi="Times New Roman" w:cs="Times New Roman"/>
          <w:sz w:val="24"/>
          <w:szCs w:val="24"/>
        </w:rPr>
        <w:t xml:space="preserve">o de evitar al menos que esa liquidez vaya a la compra de activos, como </w:t>
      </w:r>
      <w:r w:rsidR="00106298">
        <w:rPr>
          <w:rFonts w:ascii="Times New Roman" w:hAnsi="Times New Roman" w:cs="Times New Roman"/>
          <w:sz w:val="24"/>
          <w:szCs w:val="24"/>
        </w:rPr>
        <w:t>sucedió en anteriores ocasiones-</w:t>
      </w:r>
      <w:r w:rsidRPr="00C34708">
        <w:rPr>
          <w:rFonts w:ascii="Times New Roman" w:hAnsi="Times New Roman" w:cs="Times New Roman"/>
          <w:sz w:val="24"/>
          <w:szCs w:val="24"/>
        </w:rPr>
        <w:t xml:space="preserve"> confirma la necesidad de reforzar los estímulos monetarios ante la debilidad de la economía europea. Ambas medidas han sorprendido a los inversores, que no las habían previsto para la reunión de ayer. “Hay que ser proactivo en lugar de reactivo”, defendió Draghi, que ha decidido responder con</w:t>
      </w:r>
      <w:r>
        <w:rPr>
          <w:rFonts w:ascii="Times New Roman" w:hAnsi="Times New Roman" w:cs="Times New Roman"/>
          <w:sz w:val="24"/>
          <w:szCs w:val="24"/>
        </w:rPr>
        <w:t xml:space="preserve"> más rapidez de la esperada.</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presidente del BCE ha señaló hoy en rueda de prensa que el debilitamiento de la economía de la zona euro puede prolongarse durante todo el año. “La persistencia de las incertidumbres relacionadas con factores geopolíticos, la amenaza del proteccionismo y las incertidumbres en los mercados emergentes parecen estar haciendo mella en el sentimiento económico. Además, la inflación subyacente continúa débil”, declaró Draghi. Esos, según ha reconocido Draghi, serían los factores externos que pesan sobre la zona euro, a los que también se suman factores internos y específicos de países y sectores, como el a</w:t>
      </w:r>
      <w:r>
        <w:rPr>
          <w:rFonts w:ascii="Times New Roman" w:hAnsi="Times New Roman" w:cs="Times New Roman"/>
          <w:sz w:val="24"/>
          <w:szCs w:val="24"/>
        </w:rPr>
        <w:t>utomovilístico alemán o Italia.</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Así, el BCE ha rebajado al 1,1% su previsión de crecimiento para 2019, desde el 1,7% de diciembre, y al 1,6% para 2020, una décima menos, y al 1,5% para 2021. El crecimiento estimado para este año va a ser el más bajo desde 2013, solo un año después del peor momento de la crisis de deuda. El BCE también ha recortado la previsión de inflación al 1,2% este año, desde el 1,6% estimado en diciembre, al 1,5% en 2020, dos décimas menos, y al 1,6% en 2021, frente al 1,8% previsto anteriormente. Estas previsiones no incluyen un p</w:t>
      </w:r>
      <w:r w:rsidR="00106298">
        <w:rPr>
          <w:rFonts w:ascii="Times New Roman" w:hAnsi="Times New Roman" w:cs="Times New Roman"/>
          <w:sz w:val="24"/>
          <w:szCs w:val="24"/>
        </w:rPr>
        <w:t>osible pacto comercial entre EE</w:t>
      </w:r>
      <w:r w:rsidRPr="00C34708">
        <w:rPr>
          <w:rFonts w:ascii="Times New Roman" w:hAnsi="Times New Roman" w:cs="Times New Roman"/>
          <w:sz w:val="24"/>
          <w:szCs w:val="24"/>
        </w:rPr>
        <w:t>UU y China y toman en cuenta las medidas protecci</w:t>
      </w:r>
      <w:r>
        <w:rPr>
          <w:rFonts w:ascii="Times New Roman" w:hAnsi="Times New Roman" w:cs="Times New Roman"/>
          <w:sz w:val="24"/>
          <w:szCs w:val="24"/>
        </w:rPr>
        <w:t>onistas tomadas hasta la fecha.</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panorama dibujado por el BCE cayó como un jarro de agua fría en el mercado y, en especial, en la cotización de los bancos, a los que la nueva liquidez –que no urge salvo para la banca italiana– no compensa por el alarman</w:t>
      </w:r>
      <w:r>
        <w:rPr>
          <w:rFonts w:ascii="Times New Roman" w:hAnsi="Times New Roman" w:cs="Times New Roman"/>
          <w:sz w:val="24"/>
          <w:szCs w:val="24"/>
        </w:rPr>
        <w:t>te retraso en el alza de tipos.</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BCE celebrará nuevas subastas de liquidez para la banca ligadas a la concesión de crédito cada trimestre, la primera el próximo mes de septiembre y la última, en marzo de 2021. Su plazo de amortización, de dos años, será inferior a los cuatro años de la ronda anterior. La anterior ronda de liquidez a la banca de estas características se inició en junio de 2016 y concluyó en marzo de 2017, en cuatro subastas en las que la banca de la zona euro solicitó un total de 740.000</w:t>
      </w:r>
      <w:r>
        <w:rPr>
          <w:rFonts w:ascii="Times New Roman" w:hAnsi="Times New Roman" w:cs="Times New Roman"/>
          <w:sz w:val="24"/>
          <w:szCs w:val="24"/>
        </w:rPr>
        <w:t xml:space="preserve"> millones de euros.</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 xml:space="preserve">La banca italiana fue entonces la que más dinero solicitó, por 244.000 millones, y afronta ahora más dificultades llegado el vencimiento de ese crédito para financiarse en el mercado ante el alza de la prima de riesgo. La banca española solicitó 170.000 millones y es Santander quien tiene un mayor volumen de crédito TLTRO </w:t>
      </w:r>
      <w:r>
        <w:rPr>
          <w:rFonts w:ascii="Times New Roman" w:hAnsi="Times New Roman" w:cs="Times New Roman"/>
          <w:sz w:val="24"/>
          <w:szCs w:val="24"/>
        </w:rPr>
        <w:t>pendiente, por 55.382 millones.</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Draghi reconoció que en los próximos años los bancos afrontan “una congestión” ante el vencimiento de esa deuda. Pero más allá del desafío de afrontar tales vencimientos, la nueva línea de liquidez busca favorecer que la banca continúe prestando y que su oferta de crédito contrib</w:t>
      </w:r>
      <w:r>
        <w:rPr>
          <w:rFonts w:ascii="Times New Roman" w:hAnsi="Times New Roman" w:cs="Times New Roman"/>
          <w:sz w:val="24"/>
          <w:szCs w:val="24"/>
        </w:rPr>
        <w:t>uya a frenar la desaceleración.</w:t>
      </w:r>
    </w:p>
    <w:p w:rsidR="002E1D4D"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Draghi explicó que las decisiones se han tomado por unanimidad lo que, dada “la complejidad del paquete de medidas adoptadas es una señal muy positiva”, si bien algunos miembros llegaron a señalar marzo de 2020 para el alza de tipos. También señaló la unanimidad de la institución en que la probabilidad de una recesión es muy baja, aunque hizo una puntualización importante. Los riesgos que el BCE observa en la zona euro siguen a la baja, mientras que en otras ocasiones, tras tomar decisiones de política monetaria, quedaban equilibrados. El BCE no pierde aun así la confianza en alcanzar el objetivo de inflación, que “llevará más tiempo”. “El crecimiento es débil pero continúa en expansión”, afirmó Draghi, en un intento por ser optimista.</w:t>
      </w:r>
    </w:p>
    <w:p w:rsidR="002E1D4D" w:rsidRDefault="002E1D4D" w:rsidP="002E1D4D">
      <w:pPr>
        <w:spacing w:line="240" w:lineRule="auto"/>
        <w:jc w:val="both"/>
        <w:rPr>
          <w:rFonts w:ascii="Times New Roman" w:hAnsi="Times New Roman" w:cs="Times New Roman"/>
          <w:sz w:val="24"/>
          <w:szCs w:val="24"/>
        </w:rPr>
      </w:pPr>
    </w:p>
    <w:p w:rsidR="002E1D4D" w:rsidRPr="00B97CD8" w:rsidRDefault="002E1D4D" w:rsidP="002E1D4D">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C34708">
        <w:rPr>
          <w:rFonts w:ascii="Times New Roman" w:hAnsi="Times New Roman" w:cs="Times New Roman"/>
          <w:sz w:val="24"/>
          <w:szCs w:val="24"/>
        </w:rPr>
        <w:t>¿</w:t>
      </w:r>
      <w:r w:rsidRPr="00C34708">
        <w:rPr>
          <w:rFonts w:ascii="Times New Roman" w:hAnsi="Times New Roman" w:cs="Times New Roman"/>
          <w:sz w:val="24"/>
          <w:szCs w:val="24"/>
          <w:u w:val="single"/>
        </w:rPr>
        <w:t>Podrá el BCE algún día retirar los estímulos</w:t>
      </w:r>
      <w:r w:rsidRPr="00C34708">
        <w:rPr>
          <w:rFonts w:ascii="Times New Roman" w:hAnsi="Times New Roman" w:cs="Times New Roman"/>
          <w:sz w:val="24"/>
          <w:szCs w:val="24"/>
        </w:rPr>
        <w:t>?</w:t>
      </w:r>
      <w:r>
        <w:rPr>
          <w:rFonts w:ascii="Times New Roman" w:hAnsi="Times New Roman" w:cs="Times New Roman"/>
          <w:sz w:val="24"/>
          <w:szCs w:val="24"/>
        </w:rPr>
        <w:t xml:space="preserve"> (Expansión - FT - </w:t>
      </w:r>
      <w:r w:rsidRPr="00C34708">
        <w:rPr>
          <w:rFonts w:ascii="Times New Roman" w:hAnsi="Times New Roman" w:cs="Times New Roman"/>
          <w:b/>
          <w:sz w:val="24"/>
          <w:szCs w:val="24"/>
        </w:rPr>
        <w:t>8/3/19</w:t>
      </w:r>
      <w:r>
        <w:rPr>
          <w:rFonts w:ascii="Times New Roman" w:hAnsi="Times New Roman" w:cs="Times New Roman"/>
          <w:sz w:val="24"/>
          <w:szCs w:val="24"/>
        </w:rPr>
        <w:t xml:space="preserve">) </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(Por M</w:t>
      </w:r>
      <w:r>
        <w:rPr>
          <w:rFonts w:ascii="Times New Roman" w:hAnsi="Times New Roman" w:cs="Times New Roman"/>
          <w:sz w:val="24"/>
          <w:szCs w:val="24"/>
        </w:rPr>
        <w:t>arin Sandbu - Financial Times)</w:t>
      </w:r>
    </w:p>
    <w:p w:rsidR="002E1D4D"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Este es un indicador del extraordinario periodo de política monetaria en el que nos encontramos: el anuncio del jueves del Banco Central Europeo significa que Mario Draghi ya sabe que completará sus ocho años como presidente del Banco sin haber subido ni una sola vez los tipos de interés. El italiano comenzó su mandato invirtiendo los aumentos de su antecesor, Jean-Claude Trichet. Draghi dejará la entidad en noviembre con los tipos en mínimos históricos, que el BCE acaba de prometer que mantendrá hasta finales de 2019 como pronto.</w:t>
      </w:r>
    </w:p>
    <w:p w:rsidR="002E1D4D" w:rsidRPr="00C34708"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Este no es el único cambio que han decidido en Fráncfort. El BCE también confirmó que mantendría los activos financieros que había comprado como parte de su programa de relajación cuantitativa (QE) hasta que los tipos de interés empiecen a aumentar, lo que equivale a</w:t>
      </w:r>
      <w:r>
        <w:rPr>
          <w:rFonts w:ascii="Times New Roman" w:hAnsi="Times New Roman" w:cs="Times New Roman"/>
          <w:sz w:val="24"/>
          <w:szCs w:val="24"/>
        </w:rPr>
        <w:t xml:space="preserve"> esperar al momento de ajustes.</w:t>
      </w:r>
    </w:p>
    <w:p w:rsidR="002E1D4D"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El BCE también ha prometido una nueva ronda de créditos baratos a largo plazo a los bancos que quieran ampliar sus préstamos, los conocidos como TLTRO, por sus siglas en inglés. Esto se intuía, en parte porque la anterior ronda de préstamos está a punto de vencer y porque el Banco Central quiere evitar una contracción abrupta de liquidez. Esto es razonable. En los últimos seis meses la economía de la eurozona ha sufrido una fuerte ralentización y en este momento es muy vulnerable. Resulta curioso que Draghi dijera que los riesgos han disminuido y que las decisiones políticas se tomaron por unanimidad. Pero visto desde una perspectiva a más largo plazo, llama la atención lo difícil que les resulta a los banqueros centrales conseguir la normalización que tanto llevan buscando.</w:t>
      </w:r>
    </w:p>
    <w:p w:rsidR="002E1D4D"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En los últimos ocho años ha habido tres o cuatro intentos de ajustes por parte de los dos mayores bancos centrales del mundo. En 2011, el aumento de tipos de Trichet llevó a la eurozona a una segunda recesión. En 2015, la Fed subió los tipos un cuarto de punto, aunque después tuvo que aplazar sus planes de más aumentos. Desde finales de 2018, la Fed ha vuelto a moderar su plan de ajustes, optando por la flexibilidad. Todas estas decisiones, como la de ayer del BCE, parecen razonables. En el argot podría decirs</w:t>
      </w:r>
      <w:r w:rsidR="001E22E4">
        <w:rPr>
          <w:rFonts w:ascii="Times New Roman" w:hAnsi="Times New Roman" w:cs="Times New Roman"/>
          <w:sz w:val="24"/>
          <w:szCs w:val="24"/>
        </w:rPr>
        <w:t>e que estas entidades han sido “datadependientes”</w:t>
      </w:r>
      <w:r w:rsidRPr="00C34708">
        <w:rPr>
          <w:rFonts w:ascii="Times New Roman" w:hAnsi="Times New Roman" w:cs="Times New Roman"/>
          <w:sz w:val="24"/>
          <w:szCs w:val="24"/>
        </w:rPr>
        <w:t>: los bancos centrales han respondido al deterioro de los mercados, de la economía real o de ambos. Lo cierto es que, juntos, indican algo mayor y más preocupante.</w:t>
      </w:r>
    </w:p>
    <w:p w:rsidR="002E1D4D" w:rsidRDefault="002E1D4D" w:rsidP="002E1D4D">
      <w:pPr>
        <w:spacing w:line="240" w:lineRule="auto"/>
        <w:jc w:val="both"/>
        <w:rPr>
          <w:rFonts w:ascii="Times New Roman" w:hAnsi="Times New Roman" w:cs="Times New Roman"/>
          <w:sz w:val="24"/>
          <w:szCs w:val="24"/>
        </w:rPr>
      </w:pPr>
      <w:r w:rsidRPr="00C34708">
        <w:rPr>
          <w:rFonts w:ascii="Times New Roman" w:hAnsi="Times New Roman" w:cs="Times New Roman"/>
          <w:sz w:val="24"/>
          <w:szCs w:val="24"/>
        </w:rPr>
        <w:t>¿Por qué a los bancos centrales les resulta tan difícil retirar los estímulos monetarios? Porque la economía ha resultado ser, una y otra vez, más vulnerable de lo que se pensaba. En todas las ocasiones, los banqueros centrales han tenido que corregir sus errores. Aunque enmendar una situación siempre es bienvenido, no justifica los errores cometidos, sobre todo cuando no es ni mucho menos la primera vez que ocurre. Uno espera que el replanteamiento de la política monetaria a ambos lados del Atlántico ayude a acortar la ralentización en Europa y a evitar una en EEUU. Pero, si el crecimiento se estabiliza a un ritmo adecuado, también cabe esperar que, tras los errores cometidos, los banqueros centrales sepan que necesitan contenerse de cara a futuros ajustes.</w:t>
      </w:r>
    </w:p>
    <w:p w:rsidR="002E1D4D" w:rsidRPr="007214C0" w:rsidRDefault="00EF576C" w:rsidP="00382378">
      <w:pPr>
        <w:spacing w:line="240" w:lineRule="auto"/>
        <w:jc w:val="both"/>
        <w:rPr>
          <w:rFonts w:ascii="Times New Roman" w:hAnsi="Times New Roman" w:cs="Times New Roman"/>
          <w:sz w:val="24"/>
          <w:szCs w:val="24"/>
        </w:rPr>
      </w:pPr>
      <w:r w:rsidRPr="007214C0">
        <w:rPr>
          <w:rFonts w:ascii="Times New Roman" w:hAnsi="Times New Roman" w:cs="Times New Roman"/>
          <w:b/>
          <w:sz w:val="24"/>
          <w:szCs w:val="24"/>
        </w:rPr>
        <w:t>Nota</w:t>
      </w:r>
      <w:r w:rsidRPr="007214C0">
        <w:rPr>
          <w:rFonts w:ascii="Times New Roman" w:hAnsi="Times New Roman" w:cs="Times New Roman"/>
          <w:sz w:val="24"/>
          <w:szCs w:val="24"/>
        </w:rPr>
        <w:t>: hasta aquí se</w:t>
      </w:r>
      <w:r w:rsidR="007214C0" w:rsidRPr="007214C0">
        <w:rPr>
          <w:rFonts w:ascii="Times New Roman" w:hAnsi="Times New Roman" w:cs="Times New Roman"/>
          <w:sz w:val="24"/>
          <w:szCs w:val="24"/>
        </w:rPr>
        <w:t xml:space="preserve"> presentó una ampliación informativa (“maldita hemeroteca”) sobre “Las cinco fuerzas disruptivas que pueden hacer desaparecer a la Eurozona”, según la perspectiva de PIMCO.</w:t>
      </w:r>
    </w:p>
    <w:p w:rsidR="007214C0" w:rsidRDefault="00EF576C" w:rsidP="007214C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siguiente </w:t>
      </w:r>
      <w:r w:rsidR="007214C0" w:rsidRPr="007214C0">
        <w:rPr>
          <w:rFonts w:ascii="Times New Roman" w:hAnsi="Times New Roman" w:cs="Times New Roman"/>
          <w:b/>
          <w:sz w:val="24"/>
          <w:szCs w:val="24"/>
        </w:rPr>
        <w:t>Anexo</w:t>
      </w:r>
      <w:r w:rsidR="007214C0">
        <w:rPr>
          <w:rFonts w:ascii="Times New Roman" w:hAnsi="Times New Roman" w:cs="Times New Roman"/>
          <w:sz w:val="24"/>
          <w:szCs w:val="24"/>
        </w:rPr>
        <w:t>, se agregan, otro</w:t>
      </w:r>
      <w:r>
        <w:rPr>
          <w:rFonts w:ascii="Times New Roman" w:hAnsi="Times New Roman" w:cs="Times New Roman"/>
          <w:sz w:val="24"/>
          <w:szCs w:val="24"/>
        </w:rPr>
        <w:t>s</w:t>
      </w:r>
      <w:r w:rsidR="007214C0" w:rsidRPr="00106298">
        <w:rPr>
          <w:rFonts w:ascii="Times New Roman" w:hAnsi="Times New Roman" w:cs="Times New Roman"/>
          <w:b/>
          <w:sz w:val="24"/>
          <w:szCs w:val="24"/>
        </w:rPr>
        <w:t>“duelos y quebrantos”</w:t>
      </w:r>
      <w:r w:rsidR="004B402F">
        <w:rPr>
          <w:rFonts w:ascii="Times New Roman" w:hAnsi="Times New Roman" w:cs="Times New Roman"/>
          <w:sz w:val="24"/>
          <w:szCs w:val="24"/>
        </w:rPr>
        <w:t xml:space="preserve"> de la Unión Europea</w:t>
      </w:r>
      <w:r>
        <w:rPr>
          <w:rFonts w:ascii="Times New Roman" w:hAnsi="Times New Roman" w:cs="Times New Roman"/>
          <w:sz w:val="24"/>
          <w:szCs w:val="24"/>
        </w:rPr>
        <w:t xml:space="preserve"> que, en mi opinión, d</w:t>
      </w:r>
      <w:r w:rsidR="007214C0">
        <w:rPr>
          <w:rFonts w:ascii="Times New Roman" w:hAnsi="Times New Roman" w:cs="Times New Roman"/>
          <w:sz w:val="24"/>
          <w:szCs w:val="24"/>
        </w:rPr>
        <w:t>eberían</w:t>
      </w:r>
      <w:r>
        <w:rPr>
          <w:rFonts w:ascii="Times New Roman" w:hAnsi="Times New Roman" w:cs="Times New Roman"/>
          <w:sz w:val="24"/>
          <w:szCs w:val="24"/>
        </w:rPr>
        <w:t xml:space="preserve"> se</w:t>
      </w:r>
      <w:r w:rsidR="007214C0">
        <w:rPr>
          <w:rFonts w:ascii="Times New Roman" w:hAnsi="Times New Roman" w:cs="Times New Roman"/>
          <w:sz w:val="24"/>
          <w:szCs w:val="24"/>
        </w:rPr>
        <w:t>r tenido</w:t>
      </w:r>
      <w:r>
        <w:rPr>
          <w:rFonts w:ascii="Times New Roman" w:hAnsi="Times New Roman" w:cs="Times New Roman"/>
          <w:sz w:val="24"/>
          <w:szCs w:val="24"/>
        </w:rPr>
        <w:t>s en consideración.</w:t>
      </w:r>
      <w:r w:rsidR="007214C0">
        <w:rPr>
          <w:rFonts w:ascii="Times New Roman" w:hAnsi="Times New Roman" w:cs="Times New Roman"/>
          <w:sz w:val="24"/>
          <w:szCs w:val="24"/>
        </w:rPr>
        <w:t xml:space="preserve"> Ustedes juzg</w:t>
      </w:r>
      <w:r w:rsidR="004B402F">
        <w:rPr>
          <w:rFonts w:ascii="Times New Roman" w:hAnsi="Times New Roman" w:cs="Times New Roman"/>
          <w:sz w:val="24"/>
          <w:szCs w:val="24"/>
        </w:rPr>
        <w:t>arán el nivel de riesgo…</w:t>
      </w:r>
    </w:p>
    <w:p w:rsidR="00EF576C" w:rsidRPr="007214C0" w:rsidRDefault="00EF576C" w:rsidP="007214C0">
      <w:pPr>
        <w:spacing w:line="240" w:lineRule="auto"/>
        <w:jc w:val="both"/>
        <w:rPr>
          <w:rFonts w:ascii="Times New Roman" w:hAnsi="Times New Roman" w:cs="Times New Roman"/>
          <w:sz w:val="24"/>
          <w:szCs w:val="24"/>
        </w:rPr>
      </w:pPr>
      <w:r>
        <w:rPr>
          <w:rFonts w:ascii="Times New Roman" w:hAnsi="Times New Roman" w:cs="Times New Roman"/>
          <w:b/>
          <w:sz w:val="24"/>
          <w:szCs w:val="24"/>
        </w:rPr>
        <w:t>- Anexo Euro punto de vista: LOS TRAUMAS Y COMPLEJOS QUE PARALIZAN A LA UNIÓN EUROPEA</w:t>
      </w:r>
      <w:r w:rsidR="001E22E4">
        <w:rPr>
          <w:rFonts w:ascii="Times New Roman" w:hAnsi="Times New Roman" w:cs="Times New Roman"/>
          <w:b/>
          <w:sz w:val="24"/>
          <w:szCs w:val="24"/>
        </w:rPr>
        <w:t xml:space="preserve"> (I) - FUEGO AMIGO</w:t>
      </w:r>
    </w:p>
    <w:p w:rsidR="00EF576C" w:rsidRDefault="00EF576C" w:rsidP="00EF576C">
      <w:pPr>
        <w:jc w:val="both"/>
        <w:rPr>
          <w:rFonts w:ascii="Times New Roman" w:hAnsi="Times New Roman" w:cs="Times New Roman"/>
          <w:b/>
          <w:sz w:val="24"/>
          <w:szCs w:val="24"/>
        </w:rPr>
      </w:pPr>
      <w:r>
        <w:rPr>
          <w:noProof/>
          <w:lang w:val="en-GB" w:eastAsia="en-GB"/>
        </w:rPr>
        <w:drawing>
          <wp:inline distT="0" distB="0" distL="0" distR="0">
            <wp:extent cx="5731510" cy="2952596"/>
            <wp:effectExtent l="0" t="0" r="2540" b="635"/>
            <wp:docPr id="43" name="Imagen 43" descr="Image result for fotos del parlamento europ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tos del parlamento europeo"/>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52596"/>
                    </a:xfrm>
                    <a:prstGeom prst="rect">
                      <a:avLst/>
                    </a:prstGeom>
                    <a:noFill/>
                    <a:ln>
                      <a:noFill/>
                    </a:ln>
                  </pic:spPr>
                </pic:pic>
              </a:graphicData>
            </a:graphic>
          </wp:inline>
        </w:drawing>
      </w:r>
    </w:p>
    <w:p w:rsidR="00EF576C" w:rsidRPr="00F01646" w:rsidRDefault="00EF576C" w:rsidP="00EF576C">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653C9C">
        <w:rPr>
          <w:rFonts w:ascii="Times New Roman" w:hAnsi="Times New Roman" w:cs="Times New Roman"/>
          <w:sz w:val="24"/>
          <w:szCs w:val="24"/>
          <w:u w:val="single"/>
        </w:rPr>
        <w:t>El euro cumple 20 años</w:t>
      </w:r>
      <w:r>
        <w:rPr>
          <w:rFonts w:ascii="Times New Roman" w:hAnsi="Times New Roman" w:cs="Times New Roman"/>
          <w:sz w:val="24"/>
          <w:szCs w:val="24"/>
        </w:rPr>
        <w:t xml:space="preserve"> (Project Syndicate - </w:t>
      </w:r>
      <w:r w:rsidRPr="00653C9C">
        <w:rPr>
          <w:rFonts w:ascii="Times New Roman" w:hAnsi="Times New Roman" w:cs="Times New Roman"/>
          <w:b/>
          <w:sz w:val="24"/>
          <w:szCs w:val="24"/>
        </w:rPr>
        <w:t>7/1/19</w:t>
      </w:r>
      <w:r>
        <w:rPr>
          <w:rFonts w:ascii="Times New Roman" w:hAnsi="Times New Roman" w:cs="Times New Roman"/>
          <w:sz w:val="24"/>
          <w:szCs w:val="24"/>
        </w:rPr>
        <w:t xml:space="preserve">) </w:t>
      </w:r>
    </w:p>
    <w:p w:rsidR="00EF576C" w:rsidRPr="00D5380D" w:rsidRDefault="00EF576C" w:rsidP="00EF576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653C9C">
        <w:rPr>
          <w:rFonts w:ascii="Times New Roman" w:hAnsi="Times New Roman" w:cs="Times New Roman"/>
          <w:sz w:val="24"/>
          <w:szCs w:val="24"/>
        </w:rPr>
        <w:t xml:space="preserve"> Este mismo mes, hace veinte años, nacía el euro. Para los ciudadanos comunes, poco cambió hasta que se introdujeron los billetes de euros en 2002. Pero en enero de 1999, comenzó oficialmente la “tercera etapa” de la Unión Económica y Monetaria, cuando se fijaron “irrevocablemente” los tipos de cambio entre los 11 estados miembro originales de la eurozona y la autoridad en materia de política monetaria fue transferida al nuevo Banco Central Europeo. </w:t>
      </w:r>
      <w:r w:rsidRPr="00D5380D">
        <w:rPr>
          <w:rFonts w:ascii="Times New Roman" w:hAnsi="Times New Roman" w:cs="Times New Roman"/>
          <w:sz w:val="24"/>
          <w:szCs w:val="24"/>
          <w:u w:val="single"/>
        </w:rPr>
        <w:t>Lo que sucedió desde entonces guarda importantes lecciones para el futuro.</w:t>
      </w:r>
    </w:p>
    <w:p w:rsidR="00EF576C" w:rsidRPr="00653C9C" w:rsidRDefault="00EF576C" w:rsidP="00EF576C">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En 1999, el sentido común dictaminaba que Alemania incurriría en las mayores pérdidas como consecuencia de la introducción del euro. Más allá del riesgo de que el BCE no fuera lo suficientemente firme con la inflación como había sido el Bundesbank, el marco alemán estaba sobrevaluado y Alemania tenía un déficit de cuenta corriente. Se creía que fijar el tipo de cambio en ese nivel plantearía un serio desafío para la competit</w:t>
      </w:r>
      <w:r>
        <w:rPr>
          <w:rFonts w:ascii="Times New Roman" w:hAnsi="Times New Roman" w:cs="Times New Roman"/>
          <w:sz w:val="24"/>
          <w:szCs w:val="24"/>
        </w:rPr>
        <w:t>ividad de la industria alemana.</w:t>
      </w:r>
    </w:p>
    <w:p w:rsidR="00EF576C" w:rsidRPr="00D5380D" w:rsidRDefault="00EF576C" w:rsidP="00EF576C">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Sin embargo, 20 años después, la inflación es aún más baja de lo que era cuando el Bundesbank estaba a cargo, y Alemania mantiene superávits de cuenta corriente persistentemente grandes, lo que es considerado una prueba de que la industria alemana es demasiado competitiva. </w:t>
      </w:r>
      <w:r w:rsidRPr="00D5380D">
        <w:rPr>
          <w:rFonts w:ascii="Times New Roman" w:hAnsi="Times New Roman" w:cs="Times New Roman"/>
          <w:sz w:val="24"/>
          <w:szCs w:val="24"/>
          <w:u w:val="single"/>
        </w:rPr>
        <w:t>Eso nos lleva a la primera lección de los últimos 20 años: el desempeño individual de los países de la eurozona no está predestinado.</w:t>
      </w:r>
    </w:p>
    <w:p w:rsidR="00EF576C" w:rsidRPr="00653C9C" w:rsidRDefault="00EF576C" w:rsidP="00EF576C">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Las experiencias de otros países, como España e Irlanda, refuerzan esta lección, y demuestran que la capacidad de adaptación a las circunstancias cambiantes y la voluntad de tomar decisiones difíciles importan más que la situación inicial de la economía. Esto también se aplica al futuro: no está para nada garantizado que la predominancia actual de Alemania, por ejemplo, vaya a con</w:t>
      </w:r>
      <w:r>
        <w:rPr>
          <w:rFonts w:ascii="Times New Roman" w:hAnsi="Times New Roman" w:cs="Times New Roman"/>
          <w:sz w:val="24"/>
          <w:szCs w:val="24"/>
        </w:rPr>
        <w:t>tinuar en los próximos 20 años.</w:t>
      </w:r>
    </w:p>
    <w:p w:rsidR="00EF576C" w:rsidRPr="00653C9C" w:rsidRDefault="00EF576C" w:rsidP="00EF576C">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Sin embargo, la creación de la eurozona fue retrospectiva.</w:t>
      </w:r>
      <w:r w:rsidRPr="00653C9C">
        <w:rPr>
          <w:rFonts w:ascii="Times New Roman" w:hAnsi="Times New Roman" w:cs="Times New Roman"/>
          <w:sz w:val="24"/>
          <w:szCs w:val="24"/>
        </w:rPr>
        <w:t xml:space="preserve"> La principal preocupación durante los años 1970 y 1980 había sido una inflación alta y variable, muchas veces impulsada por un crecimiento salarial de dos dígitos. Las crisis financieras estaban casi siempre asociadas a brotes de inflación, pero antes habían sido limitadas en alcance, porque los mercados financieros eran más pequeños y no estaban</w:t>
      </w:r>
      <w:r>
        <w:rPr>
          <w:rFonts w:ascii="Times New Roman" w:hAnsi="Times New Roman" w:cs="Times New Roman"/>
          <w:sz w:val="24"/>
          <w:szCs w:val="24"/>
        </w:rPr>
        <w:t xml:space="preserve"> profundamente interconectados.</w:t>
      </w:r>
    </w:p>
    <w:p w:rsidR="00EF576C" w:rsidRPr="00D5380D" w:rsidRDefault="00EF576C" w:rsidP="00EF576C">
      <w:pPr>
        <w:spacing w:line="240" w:lineRule="auto"/>
        <w:jc w:val="both"/>
        <w:rPr>
          <w:rFonts w:ascii="Times New Roman" w:hAnsi="Times New Roman" w:cs="Times New Roman"/>
          <w:sz w:val="24"/>
          <w:szCs w:val="24"/>
          <w:u w:val="single"/>
        </w:rPr>
      </w:pPr>
      <w:r w:rsidRPr="00D5380D">
        <w:rPr>
          <w:rFonts w:ascii="Times New Roman" w:hAnsi="Times New Roman" w:cs="Times New Roman"/>
          <w:sz w:val="24"/>
          <w:szCs w:val="24"/>
          <w:u w:val="single"/>
        </w:rPr>
        <w:t>Con la creación de la eurozona, todo cambió. Las presiones salariales disminuyeron en todo el mundo desarrollado. Pero la actividad de los mercados financieros, especialmente entre fronteras dentro de la zona del euro, creció exponencialmente, después de haber estado reprimida durante décadas. Por ejemplo, los activos intrafronterizos de los países miembro de la eurozona, principalmente el crédito bancario y de otro tipo, crecieron de aproximadamente el 100% del PIB a fines de los años 1990 al 400% en 2008.</w:t>
      </w:r>
    </w:p>
    <w:p w:rsidR="00EF576C" w:rsidRPr="00653C9C" w:rsidRDefault="00EF576C" w:rsidP="00EF576C">
      <w:pPr>
        <w:spacing w:line="240" w:lineRule="auto"/>
        <w:jc w:val="both"/>
        <w:rPr>
          <w:rFonts w:ascii="Times New Roman" w:hAnsi="Times New Roman" w:cs="Times New Roman"/>
          <w:sz w:val="24"/>
          <w:szCs w:val="24"/>
        </w:rPr>
      </w:pPr>
      <w:r w:rsidRPr="00D5380D">
        <w:rPr>
          <w:rFonts w:ascii="Times New Roman" w:hAnsi="Times New Roman" w:cs="Times New Roman"/>
          <w:sz w:val="24"/>
          <w:szCs w:val="24"/>
          <w:u w:val="single"/>
        </w:rPr>
        <w:t>Luego estalló la crisis financiera global hace diez años, que tomó a Europa por sorpresa</w:t>
      </w:r>
      <w:r w:rsidRPr="00653C9C">
        <w:rPr>
          <w:rFonts w:ascii="Times New Roman" w:hAnsi="Times New Roman" w:cs="Times New Roman"/>
          <w:sz w:val="24"/>
          <w:szCs w:val="24"/>
        </w:rPr>
        <w:t>. La primera crisis deflacionaria desde los años 1930 fue especialmente virulenta en Europa debido a la montaña de deuda que se había acumulado en los diez años anteriores, cuando los países tenían los ojos p</w:t>
      </w:r>
      <w:r>
        <w:rPr>
          <w:rFonts w:ascii="Times New Roman" w:hAnsi="Times New Roman" w:cs="Times New Roman"/>
          <w:sz w:val="24"/>
          <w:szCs w:val="24"/>
        </w:rPr>
        <w:t>uestos en el espejo retrovisor.</w:t>
      </w:r>
    </w:p>
    <w:p w:rsidR="00EF576C" w:rsidRPr="007C0359" w:rsidRDefault="00EF576C" w:rsidP="00EF576C">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Por supuesto, la eurozona no fue la única que fue tomada por sorpresa por la crisis financiera, que había empezado en Estados Unidos con títulos supuestamente seguros basados en hipotecas de alto riesgo. Pero </w:t>
      </w:r>
      <w:r w:rsidRPr="007C0359">
        <w:rPr>
          <w:rFonts w:ascii="Times New Roman" w:hAnsi="Times New Roman" w:cs="Times New Roman"/>
          <w:sz w:val="24"/>
          <w:szCs w:val="24"/>
          <w:u w:val="single"/>
        </w:rPr>
        <w:t>Estados Unidos, con su sistema financiero (y político) unificado, pudo superar la crisis con relativa rapidez, mientras que, en la eurozona, una cascada de crisis en cámara lenta recayó sobre muchos estados miembro.</w:t>
      </w:r>
    </w:p>
    <w:p w:rsidR="00EF576C" w:rsidRPr="007C0359" w:rsidRDefault="00EF576C" w:rsidP="00EF576C">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t>Afortunadamente, el BCE dio pruebas de ser robusto</w:t>
      </w:r>
      <w:r w:rsidRPr="00653C9C">
        <w:rPr>
          <w:rFonts w:ascii="Times New Roman" w:hAnsi="Times New Roman" w:cs="Times New Roman"/>
          <w:sz w:val="24"/>
          <w:szCs w:val="24"/>
        </w:rPr>
        <w:t>. Sus autoridades reconocieron la necesidad de virar el foco d</w:t>
      </w:r>
      <w:r w:rsidR="00106298">
        <w:rPr>
          <w:rFonts w:ascii="Times New Roman" w:hAnsi="Times New Roman" w:cs="Times New Roman"/>
          <w:sz w:val="24"/>
          <w:szCs w:val="24"/>
        </w:rPr>
        <w:t>e la lucha contra la inflación -</w:t>
      </w:r>
      <w:r w:rsidRPr="00653C9C">
        <w:rPr>
          <w:rFonts w:ascii="Times New Roman" w:hAnsi="Times New Roman" w:cs="Times New Roman"/>
          <w:sz w:val="24"/>
          <w:szCs w:val="24"/>
        </w:rPr>
        <w:t xml:space="preserve">el objetivo que se había planteado el BCE- a frenar la deflación. </w:t>
      </w:r>
      <w:r w:rsidRPr="007C0359">
        <w:rPr>
          <w:rFonts w:ascii="Times New Roman" w:hAnsi="Times New Roman" w:cs="Times New Roman"/>
          <w:sz w:val="24"/>
          <w:szCs w:val="24"/>
          <w:u w:val="single"/>
        </w:rPr>
        <w:t>En definitiva, el euro sobrevivió porque, cuando la situación se puso delicada, los líderes de los estados miembro de la eurozona invirtieron capital político para imple</w:t>
      </w:r>
      <w:r w:rsidR="007214C0">
        <w:rPr>
          <w:rFonts w:ascii="Times New Roman" w:hAnsi="Times New Roman" w:cs="Times New Roman"/>
          <w:sz w:val="24"/>
          <w:szCs w:val="24"/>
          <w:u w:val="single"/>
        </w:rPr>
        <w:t>mentar las reformas necesarias -</w:t>
      </w:r>
      <w:r w:rsidRPr="007C0359">
        <w:rPr>
          <w:rFonts w:ascii="Times New Roman" w:hAnsi="Times New Roman" w:cs="Times New Roman"/>
          <w:sz w:val="24"/>
          <w:szCs w:val="24"/>
          <w:u w:val="single"/>
        </w:rPr>
        <w:t>inclusive después de culpar al euro de los problemas de sus países.</w:t>
      </w:r>
    </w:p>
    <w:p w:rsidR="00EF576C" w:rsidRPr="00653C9C" w:rsidRDefault="00EF576C" w:rsidP="00EF576C">
      <w:pPr>
        <w:spacing w:line="240" w:lineRule="auto"/>
        <w:jc w:val="both"/>
        <w:rPr>
          <w:rFonts w:ascii="Times New Roman" w:hAnsi="Times New Roman" w:cs="Times New Roman"/>
          <w:sz w:val="24"/>
          <w:szCs w:val="24"/>
        </w:rPr>
      </w:pPr>
      <w:r w:rsidRPr="007C0359">
        <w:rPr>
          <w:rFonts w:ascii="Times New Roman" w:hAnsi="Times New Roman" w:cs="Times New Roman"/>
          <w:sz w:val="24"/>
          <w:szCs w:val="24"/>
          <w:u w:val="single"/>
        </w:rPr>
        <w:t>Esta tendencia a demonizar al euro antes de reconocer la necesidad de protegerlo sigue vigente hoy en día –y debería servir como una segunda lección de los últimos 20 años-.</w:t>
      </w:r>
      <w:r w:rsidRPr="00653C9C">
        <w:rPr>
          <w:rFonts w:ascii="Times New Roman" w:hAnsi="Times New Roman" w:cs="Times New Roman"/>
          <w:sz w:val="24"/>
          <w:szCs w:val="24"/>
        </w:rPr>
        <w:t xml:space="preserve"> El gobierno de coalición populista de Italia solía hablar en tono desafiante sobre violar las reglas del euro, y algunos directamente defendían una salida de la eurozona. Pero cuando las primas de riesgo de los mercados financieros aumentaron, y los ahorristas italianos no compraron los bonos de su propio gobierno, la coalición rápidame</w:t>
      </w:r>
      <w:r>
        <w:rPr>
          <w:rFonts w:ascii="Times New Roman" w:hAnsi="Times New Roman" w:cs="Times New Roman"/>
          <w:sz w:val="24"/>
          <w:szCs w:val="24"/>
        </w:rPr>
        <w:t>nte cambió el tono.</w:t>
      </w:r>
    </w:p>
    <w:p w:rsidR="00EF576C" w:rsidRPr="00653C9C" w:rsidRDefault="00EF576C" w:rsidP="00EF576C">
      <w:pPr>
        <w:spacing w:line="240" w:lineRule="auto"/>
        <w:jc w:val="both"/>
        <w:rPr>
          <w:rFonts w:ascii="Times New Roman" w:hAnsi="Times New Roman" w:cs="Times New Roman"/>
          <w:sz w:val="24"/>
          <w:szCs w:val="24"/>
        </w:rPr>
      </w:pPr>
      <w:r w:rsidRPr="00653C9C">
        <w:rPr>
          <w:rFonts w:ascii="Times New Roman" w:hAnsi="Times New Roman" w:cs="Times New Roman"/>
          <w:sz w:val="24"/>
          <w:szCs w:val="24"/>
        </w:rPr>
        <w:t xml:space="preserve">En verdad, el desempeño económico de la eurozona no ha sido tan malo como da a entender el flujo aparentemente interminable de titulares lúgubres. El crecimiento del PIB per </w:t>
      </w:r>
      <w:r w:rsidR="007D67F3" w:rsidRPr="00653C9C">
        <w:rPr>
          <w:rFonts w:ascii="Times New Roman" w:hAnsi="Times New Roman" w:cs="Times New Roman"/>
          <w:sz w:val="24"/>
          <w:szCs w:val="24"/>
        </w:rPr>
        <w:t>cápita</w:t>
      </w:r>
      <w:r w:rsidRPr="00653C9C">
        <w:rPr>
          <w:rFonts w:ascii="Times New Roman" w:hAnsi="Times New Roman" w:cs="Times New Roman"/>
          <w:sz w:val="24"/>
          <w:szCs w:val="24"/>
        </w:rPr>
        <w:t xml:space="preserve"> se ha desacelerado en los últimos 20 años, pero no más que en Estados Unidos u</w:t>
      </w:r>
      <w:r>
        <w:rPr>
          <w:rFonts w:ascii="Times New Roman" w:hAnsi="Times New Roman" w:cs="Times New Roman"/>
          <w:sz w:val="24"/>
          <w:szCs w:val="24"/>
        </w:rPr>
        <w:t xml:space="preserve"> otras economías desarrolladas.</w:t>
      </w:r>
    </w:p>
    <w:p w:rsidR="00EF576C" w:rsidRPr="007C0359" w:rsidRDefault="00EF576C" w:rsidP="00EF576C">
      <w:pPr>
        <w:spacing w:line="240" w:lineRule="auto"/>
        <w:jc w:val="both"/>
        <w:rPr>
          <w:rFonts w:ascii="Times New Roman" w:hAnsi="Times New Roman" w:cs="Times New Roman"/>
          <w:sz w:val="24"/>
          <w:szCs w:val="24"/>
          <w:u w:val="single"/>
        </w:rPr>
      </w:pPr>
      <w:r w:rsidRPr="00653C9C">
        <w:rPr>
          <w:rFonts w:ascii="Times New Roman" w:hAnsi="Times New Roman" w:cs="Times New Roman"/>
          <w:sz w:val="24"/>
          <w:szCs w:val="24"/>
        </w:rPr>
        <w:t xml:space="preserve">Es más, los mercados laborales de Europa continental han atravesado una mejora estructural mucho mejor de lo reportado; la tasa de participación de la fuerza laboral aumentó cada año, inclusive durante la crisis. </w:t>
      </w:r>
      <w:r w:rsidRPr="007C0359">
        <w:rPr>
          <w:rFonts w:ascii="Times New Roman" w:hAnsi="Times New Roman" w:cs="Times New Roman"/>
          <w:sz w:val="24"/>
          <w:szCs w:val="24"/>
          <w:u w:val="single"/>
        </w:rPr>
        <w:t>Hoy, la proporción de la población adulta que está económicamente activa es más alta en la eurozona que en Estados Unidos. El empleo ha alcanzado nuevos picos y el desempleo, aunque todavía está alto en algunos países del sur, sigue declinando.</w:t>
      </w:r>
    </w:p>
    <w:p w:rsidR="00EF576C" w:rsidRPr="007C0359" w:rsidRDefault="00EF576C" w:rsidP="00EF576C">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t>Estas realidades económicas implican que, inclusive si el euro no es particularmente muy querido, es reconocido ampliamente como un elemento fundamental de la integración europea. Según la última encuesta de Eurobarometer, el apoyo al euro está en un pico sin precedentes del 74%, mientras que menos del 20% de la población de la eurozona está en contra. Inclusive Italia hace alarde de una fuerte mayoría pro-euro (68% vs 18%).</w:t>
      </w:r>
      <w:r w:rsidRPr="00653C9C">
        <w:rPr>
          <w:rFonts w:ascii="Times New Roman" w:hAnsi="Times New Roman" w:cs="Times New Roman"/>
          <w:sz w:val="24"/>
          <w:szCs w:val="24"/>
        </w:rPr>
        <w:t xml:space="preserve"> Allí reside </w:t>
      </w:r>
      <w:r w:rsidRPr="007C0359">
        <w:rPr>
          <w:rFonts w:ascii="Times New Roman" w:hAnsi="Times New Roman" w:cs="Times New Roman"/>
          <w:sz w:val="24"/>
          <w:szCs w:val="24"/>
          <w:u w:val="single"/>
        </w:rPr>
        <w:t>una tercera lección clave de las dos primeras décadas del euro: a pesar de sus muchas imperfecciones, la moneda común ha ofrecido empleos y el apoyo para abandonarlo es limitado.</w:t>
      </w:r>
    </w:p>
    <w:p w:rsidR="00EF576C" w:rsidRPr="007C0359" w:rsidRDefault="00EF576C" w:rsidP="00EF576C">
      <w:pPr>
        <w:spacing w:line="240" w:lineRule="auto"/>
        <w:jc w:val="both"/>
        <w:rPr>
          <w:rFonts w:ascii="Times New Roman" w:hAnsi="Times New Roman" w:cs="Times New Roman"/>
          <w:sz w:val="24"/>
          <w:szCs w:val="24"/>
          <w:u w:val="single"/>
        </w:rPr>
      </w:pPr>
      <w:r w:rsidRPr="007C0359">
        <w:rPr>
          <w:rFonts w:ascii="Times New Roman" w:hAnsi="Times New Roman" w:cs="Times New Roman"/>
          <w:sz w:val="24"/>
          <w:szCs w:val="24"/>
          <w:u w:val="single"/>
        </w:rPr>
        <w:t>Sin embargo, probablemente la lección más importante resida en otra parte. Los primeros 20 años del euro fueron muy diferentes de lo que muchos esperaban, lo que resalta la importancia de reconocer que el futuro quizá sea diferente del pasado. Por consiguiente, sólo un compromiso con la flexibilidad y la voluntad de hacer frente a los nuevos desafíos garantizará el éxito continuo de la moneda común.</w:t>
      </w:r>
    </w:p>
    <w:p w:rsidR="00EF576C" w:rsidRDefault="00EF576C" w:rsidP="00EF576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53C9C">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EF576C" w:rsidRPr="000865A8" w:rsidRDefault="00EF576C" w:rsidP="00EF576C">
      <w:pPr>
        <w:pStyle w:val="yiv6099203543msonormal"/>
        <w:shd w:val="clear" w:color="auto" w:fill="FFFFFF"/>
        <w:jc w:val="both"/>
        <w:rPr>
          <w:b/>
          <w:color w:val="FF0000"/>
        </w:rPr>
      </w:pPr>
      <w:r>
        <w:rPr>
          <w:color w:val="26282A"/>
        </w:rPr>
        <w:t xml:space="preserve">- </w:t>
      </w:r>
      <w:r w:rsidRPr="001A642E">
        <w:rPr>
          <w:color w:val="26282A"/>
          <w:u w:val="single"/>
        </w:rPr>
        <w:t>Europa en llamas: el manifiesto de los patriotas europeos</w:t>
      </w:r>
      <w:r>
        <w:rPr>
          <w:color w:val="26282A"/>
        </w:rPr>
        <w:t xml:space="preserve"> (El Español - </w:t>
      </w:r>
      <w:r w:rsidRPr="001A642E">
        <w:rPr>
          <w:b/>
          <w:color w:val="26282A"/>
        </w:rPr>
        <w:t>26/1/19</w:t>
      </w:r>
      <w:r>
        <w:rPr>
          <w:color w:val="26282A"/>
        </w:rPr>
        <w:t xml:space="preserve">) </w:t>
      </w:r>
    </w:p>
    <w:p w:rsidR="00EF576C" w:rsidRPr="004C359F" w:rsidRDefault="00EF576C" w:rsidP="00EF576C">
      <w:pPr>
        <w:pStyle w:val="yiv6099203543msonormal"/>
        <w:shd w:val="clear" w:color="auto" w:fill="FFFFFF"/>
        <w:jc w:val="both"/>
        <w:rPr>
          <w:color w:val="FF0000"/>
        </w:rPr>
      </w:pPr>
      <w:r w:rsidRPr="004C359F">
        <w:rPr>
          <w:color w:val="FF0000"/>
        </w:rPr>
        <w:t>Los populismos pueden hacer que la</w:t>
      </w:r>
      <w:r>
        <w:rPr>
          <w:color w:val="FF0000"/>
        </w:rPr>
        <w:t>s próximas elecciones europeas “</w:t>
      </w:r>
      <w:r w:rsidRPr="004C359F">
        <w:rPr>
          <w:color w:val="FF0000"/>
        </w:rPr>
        <w:t xml:space="preserve">sean las </w:t>
      </w:r>
      <w:r>
        <w:rPr>
          <w:color w:val="FF0000"/>
        </w:rPr>
        <w:t>más calamitosas que hemos visto”</w:t>
      </w:r>
      <w:r w:rsidRPr="004C359F">
        <w:rPr>
          <w:color w:val="FF0000"/>
        </w:rPr>
        <w:t>, advierten Bernard Henri-Levy y otros 29 intelectuales europeos.</w:t>
      </w:r>
    </w:p>
    <w:p w:rsidR="00EF576C" w:rsidRPr="001A642E" w:rsidRDefault="00EF576C" w:rsidP="00EF576C">
      <w:pPr>
        <w:pStyle w:val="yiv6099203543msonormal"/>
        <w:shd w:val="clear" w:color="auto" w:fill="FFFFFF"/>
        <w:jc w:val="both"/>
        <w:rPr>
          <w:color w:val="26282A"/>
        </w:rPr>
      </w:pPr>
      <w:r>
        <w:rPr>
          <w:color w:val="26282A"/>
        </w:rPr>
        <w:t>(Por</w:t>
      </w:r>
      <w:r w:rsidRPr="001A642E">
        <w:rPr>
          <w:color w:val="26282A"/>
        </w:rPr>
        <w:t xml:space="preserve"> Bernard-Henri Lé</w:t>
      </w:r>
      <w:r>
        <w:rPr>
          <w:color w:val="26282A"/>
        </w:rPr>
        <w:t>vy)</w:t>
      </w:r>
    </w:p>
    <w:p w:rsidR="00EF576C" w:rsidRPr="004C359F" w:rsidRDefault="00EF576C" w:rsidP="00EF576C">
      <w:pPr>
        <w:pStyle w:val="yiv6099203543msonormal"/>
        <w:shd w:val="clear" w:color="auto" w:fill="FFFFFF"/>
        <w:jc w:val="both"/>
        <w:rPr>
          <w:color w:val="26282A"/>
          <w:u w:val="single"/>
        </w:rPr>
      </w:pPr>
      <w:r w:rsidRPr="004C359F">
        <w:rPr>
          <w:color w:val="26282A"/>
          <w:u w:val="single"/>
        </w:rPr>
        <w:t>Europa está en peligro.</w:t>
      </w:r>
    </w:p>
    <w:p w:rsidR="00EF576C" w:rsidRPr="001A642E" w:rsidRDefault="00EF576C" w:rsidP="00EF576C">
      <w:pPr>
        <w:pStyle w:val="yiv6099203543msonormal"/>
        <w:shd w:val="clear" w:color="auto" w:fill="FFFFFF"/>
        <w:jc w:val="both"/>
        <w:rPr>
          <w:color w:val="26282A"/>
        </w:rPr>
      </w:pPr>
      <w:r w:rsidRPr="001A642E">
        <w:rPr>
          <w:color w:val="26282A"/>
        </w:rPr>
        <w:t>Desde todas partes se levantan y suceden cr</w:t>
      </w:r>
      <w:r>
        <w:rPr>
          <w:color w:val="26282A"/>
        </w:rPr>
        <w:t>íticas, ultrajes y deserciones.</w:t>
      </w:r>
    </w:p>
    <w:p w:rsidR="00EF576C" w:rsidRPr="004C359F" w:rsidRDefault="00EF576C" w:rsidP="00EF576C">
      <w:pPr>
        <w:pStyle w:val="yiv6099203543msonormal"/>
        <w:shd w:val="clear" w:color="auto" w:fill="FFFFFF"/>
        <w:jc w:val="both"/>
        <w:rPr>
          <w:color w:val="26282A"/>
          <w:u w:val="single"/>
        </w:rPr>
      </w:pPr>
      <w:r w:rsidRPr="004C359F">
        <w:rPr>
          <w:color w:val="26282A"/>
          <w:u w:val="single"/>
        </w:rPr>
        <w:t>Terminar con la cons</w:t>
      </w:r>
      <w:r>
        <w:rPr>
          <w:color w:val="26282A"/>
          <w:u w:val="single"/>
        </w:rPr>
        <w:t>trucción europea, encontrar el “alma de las naciones” y renovar una “identidad perdida”</w:t>
      </w:r>
      <w:r w:rsidRPr="004C359F">
        <w:rPr>
          <w:color w:val="26282A"/>
          <w:u w:val="single"/>
        </w:rPr>
        <w:t xml:space="preserve"> que a menudo solo existe en la imaginación de los demagogos: ese es el programa común de las fuerzas populistas que se extienden por el Viejo Continente.</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Europa está siendo atacada desde dentro por profetas malvados y borrachos de resentimiento que creen que llegó su hora. Está siendo abandonada en el exterior desde el otro lado del Canal de la Mancha y del Atlántico, por los dos grandes aliados que, en el siglo XX, la salvaron dos veces del suicidio. Está siendo presa de las maniobras cada vez menos disimuladas del  amo del Kremlin. Europa como idea, voluntad y representación se está desmoronando ante nuestros ojos.</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Y es en medio de este clima deletéreo  en el que tendrán lugar, en mayo de 2019, las elecciones europeas que, si nada cambia; si nada llega a detener la ola que se hincha, fortalece y eleva; si no se manifiesta un nuevo espíritu de resistencia rápido en todo el continente, corremos el riesgo de que sean las más calamitosas que hemos visto: una victoria de los piratas; una desgracia para aquellos que todavía creen en la herencia de Erasmus, Dante, Goethe y Comenius; un desprecio a la inteligencia y  a la cultura; y explosiones de xenofobia y antisemitismo. Un desastre.</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Los firmantes de este manifiesto son de los que no se conforman con este desastre anunciado.</w:t>
      </w:r>
    </w:p>
    <w:p w:rsidR="00EF576C" w:rsidRPr="004C359F" w:rsidRDefault="00EF576C" w:rsidP="00EF576C">
      <w:pPr>
        <w:pStyle w:val="yiv6099203543msonormal"/>
        <w:shd w:val="clear" w:color="auto" w:fill="FFFFFF"/>
        <w:jc w:val="both"/>
        <w:rPr>
          <w:color w:val="FF0000"/>
          <w:u w:val="single"/>
        </w:rPr>
      </w:pPr>
      <w:r w:rsidRPr="001A642E">
        <w:rPr>
          <w:color w:val="26282A"/>
        </w:rPr>
        <w:t xml:space="preserve">Son de esos patriotas europeos, más numerosos de lo que pensamos, a menudo resignados y silenciados, que saben lo que nos jugamos. </w:t>
      </w:r>
      <w:r w:rsidRPr="004C359F">
        <w:rPr>
          <w:color w:val="FF0000"/>
          <w:u w:val="single"/>
        </w:rPr>
        <w:t>Saben que estamos ante una nueva batalla por la civilización tres cuartos de siglo después de la derrota del fascismo y 30 años después de la caída del muro de Berlín.</w:t>
      </w:r>
    </w:p>
    <w:p w:rsidR="00EF576C" w:rsidRPr="001A642E" w:rsidRDefault="00EF576C" w:rsidP="00EF576C">
      <w:pPr>
        <w:pStyle w:val="yiv6099203543msonormal"/>
        <w:shd w:val="clear" w:color="auto" w:fill="FFFFFF"/>
        <w:jc w:val="both"/>
        <w:rPr>
          <w:color w:val="26282A"/>
        </w:rPr>
      </w:pPr>
      <w:r w:rsidRPr="001A642E">
        <w:rPr>
          <w:color w:val="26282A"/>
        </w:rPr>
        <w:t>Cuando el populismo ruge es necesario querer a Europa</w:t>
      </w:r>
    </w:p>
    <w:p w:rsidR="00EF576C" w:rsidRPr="001A642E" w:rsidRDefault="00EF576C" w:rsidP="00EF576C">
      <w:pPr>
        <w:pStyle w:val="yiv6099203543msonormal"/>
        <w:shd w:val="clear" w:color="auto" w:fill="FFFFFF"/>
        <w:jc w:val="both"/>
        <w:rPr>
          <w:color w:val="26282A"/>
        </w:rPr>
      </w:pPr>
      <w:r w:rsidRPr="004C359F">
        <w:rPr>
          <w:color w:val="26282A"/>
          <w:u w:val="single"/>
        </w:rPr>
        <w:t>Su memoria europea, la fe en esta gran Idea que han heredado; la convicción de que solo esta Idea tuvo la fuerza para elevar a nuestros pueblos por encima de sí mismos y su pasado guerrero; y que solo esta Idea tendrá la virtud mañana de conjurar la llegada del nuevo totalitarismo y el regreso sobre la marcha de la miseria propia de las edades oscuras</w:t>
      </w:r>
      <w:r w:rsidRPr="001A642E">
        <w:rPr>
          <w:color w:val="26282A"/>
        </w:rPr>
        <w:t>.</w:t>
      </w:r>
      <w:r>
        <w:rPr>
          <w:color w:val="26282A"/>
        </w:rPr>
        <w:t xml:space="preserve"> Todo esto les impide rendirse.</w:t>
      </w:r>
    </w:p>
    <w:p w:rsidR="00EF576C" w:rsidRPr="001A642E" w:rsidRDefault="00EF576C" w:rsidP="00EF576C">
      <w:pPr>
        <w:pStyle w:val="yiv6099203543msonormal"/>
        <w:shd w:val="clear" w:color="auto" w:fill="FFFFFF"/>
        <w:jc w:val="both"/>
        <w:rPr>
          <w:color w:val="26282A"/>
        </w:rPr>
      </w:pPr>
      <w:r w:rsidRPr="001A642E">
        <w:rPr>
          <w:color w:val="26282A"/>
        </w:rPr>
        <w:t>De todo esto nace</w:t>
      </w:r>
      <w:r>
        <w:rPr>
          <w:color w:val="26282A"/>
        </w:rPr>
        <w:t xml:space="preserve"> la invitación a un movimiento.</w:t>
      </w:r>
    </w:p>
    <w:p w:rsidR="00EF576C" w:rsidRPr="001A642E" w:rsidRDefault="00EF576C" w:rsidP="00EF576C">
      <w:pPr>
        <w:pStyle w:val="yiv6099203543msonormal"/>
        <w:shd w:val="clear" w:color="auto" w:fill="FFFFFF"/>
        <w:jc w:val="both"/>
        <w:rPr>
          <w:color w:val="26282A"/>
        </w:rPr>
      </w:pPr>
      <w:r w:rsidRPr="004C359F">
        <w:rPr>
          <w:color w:val="26282A"/>
          <w:u w:val="single"/>
        </w:rPr>
        <w:t>De ahí sale este llamamiento a la movilización</w:t>
      </w:r>
      <w:r w:rsidRPr="001A642E">
        <w:rPr>
          <w:color w:val="26282A"/>
        </w:rPr>
        <w:t xml:space="preserve"> en la víspera de unas elecciones que se niegan</w:t>
      </w:r>
      <w:r>
        <w:rPr>
          <w:color w:val="26282A"/>
        </w:rPr>
        <w:t xml:space="preserve"> a rechazar a los sepultureros.</w:t>
      </w:r>
    </w:p>
    <w:p w:rsidR="00EF576C" w:rsidRPr="001A642E" w:rsidRDefault="00EF576C" w:rsidP="00EF576C">
      <w:pPr>
        <w:pStyle w:val="yiv6099203543msonormal"/>
        <w:shd w:val="clear" w:color="auto" w:fill="FFFFFF"/>
        <w:jc w:val="both"/>
        <w:rPr>
          <w:color w:val="26282A"/>
        </w:rPr>
      </w:pPr>
      <w:r w:rsidRPr="004C359F">
        <w:rPr>
          <w:color w:val="26282A"/>
          <w:u w:val="single"/>
        </w:rPr>
        <w:t>Y de ahí esta exhortación para volver a encender las llamas de la antorcha de una Europa</w:t>
      </w:r>
      <w:r w:rsidRPr="001A642E">
        <w:rPr>
          <w:color w:val="26282A"/>
        </w:rPr>
        <w:t xml:space="preserve"> que, a pesar de sus fracasos, errores y, en ocasiones, cobardías, sigue siendo una segunda patria para todo</w:t>
      </w:r>
      <w:r>
        <w:rPr>
          <w:color w:val="26282A"/>
        </w:rPr>
        <w:t>s los hombres libres del mundo.</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Nuestra generación ha cometido un error.</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 xml:space="preserve">Como aquellos garibaldinos del siglo XIX </w:t>
      </w:r>
      <w:r w:rsidR="007214C0">
        <w:rPr>
          <w:color w:val="FF0000"/>
          <w:u w:val="single"/>
        </w:rPr>
        <w:t>que repetían como un mantra su “Italia se fará da sè”</w:t>
      </w:r>
      <w:r w:rsidRPr="004C359F">
        <w:rPr>
          <w:color w:val="FF0000"/>
          <w:u w:val="single"/>
        </w:rPr>
        <w:t>, hemos creído que la unidad del continente se dará por sí misma, sin voluntad ni esfuerzo.</w:t>
      </w:r>
    </w:p>
    <w:p w:rsidR="00EF576C" w:rsidRPr="004C359F" w:rsidRDefault="00EF576C" w:rsidP="00EF576C">
      <w:pPr>
        <w:pStyle w:val="yiv6099203543msonormal"/>
        <w:shd w:val="clear" w:color="auto" w:fill="FFFFFF"/>
        <w:jc w:val="both"/>
        <w:rPr>
          <w:color w:val="26282A"/>
          <w:u w:val="single"/>
        </w:rPr>
      </w:pPr>
      <w:r w:rsidRPr="004C359F">
        <w:rPr>
          <w:color w:val="26282A"/>
          <w:u w:val="single"/>
        </w:rPr>
        <w:t>Hemos vivido en la ilusión de una Europa necesaria, inscrita en la naturaleza de las cosas, que se consolidaría</w:t>
      </w:r>
      <w:r w:rsidR="007214C0">
        <w:rPr>
          <w:color w:val="26282A"/>
          <w:u w:val="single"/>
        </w:rPr>
        <w:t xml:space="preserve"> sin nosotros, por estar en el “sentido de la Historia”</w:t>
      </w:r>
      <w:r w:rsidRPr="004C359F">
        <w:rPr>
          <w:color w:val="26282A"/>
          <w:u w:val="single"/>
        </w:rPr>
        <w:t>.</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Debemos romper con este providencialismo.</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Es a esta Europa perezosa, privada de recursos y pensamientos a la que tenemos que decir adiós.</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No tenemos otra opción.</w:t>
      </w:r>
    </w:p>
    <w:p w:rsidR="00EF576C" w:rsidRPr="004C359F" w:rsidRDefault="00EF576C" w:rsidP="00EF576C">
      <w:pPr>
        <w:pStyle w:val="yiv6099203543msonormal"/>
        <w:shd w:val="clear" w:color="auto" w:fill="FFFFFF"/>
        <w:jc w:val="both"/>
        <w:rPr>
          <w:color w:val="FF0000"/>
          <w:u w:val="single"/>
        </w:rPr>
      </w:pPr>
      <w:r w:rsidRPr="004C359F">
        <w:rPr>
          <w:color w:val="FF0000"/>
          <w:u w:val="single"/>
        </w:rPr>
        <w:t>Cuando rugen los populismos es necesario querer a Europa o fracasar.</w:t>
      </w:r>
    </w:p>
    <w:p w:rsidR="00EF576C" w:rsidRPr="001A642E" w:rsidRDefault="00EF576C" w:rsidP="00EF576C">
      <w:pPr>
        <w:pStyle w:val="yiv6099203543msonormal"/>
        <w:shd w:val="clear" w:color="auto" w:fill="FFFFFF"/>
        <w:jc w:val="both"/>
        <w:rPr>
          <w:color w:val="26282A"/>
        </w:rPr>
      </w:pPr>
      <w:r w:rsidRPr="00ED3F82">
        <w:rPr>
          <w:color w:val="26282A"/>
          <w:u w:val="single"/>
        </w:rPr>
        <w:t>Es preciso</w:t>
      </w:r>
      <w:r w:rsidRPr="001A642E">
        <w:rPr>
          <w:color w:val="26282A"/>
        </w:rPr>
        <w:t xml:space="preserve">, mientras que amenace por doquier el repliegue soberanista,  </w:t>
      </w:r>
      <w:r w:rsidRPr="00ED3F82">
        <w:rPr>
          <w:color w:val="26282A"/>
          <w:u w:val="single"/>
        </w:rPr>
        <w:t>retomar la voluntad política o rendirse ante quienes imponen por doquier el resentimiento, el odio y su cortejo  de pasiones tristes.</w:t>
      </w:r>
    </w:p>
    <w:p w:rsidR="00EF576C" w:rsidRPr="00ED3F82" w:rsidRDefault="00EF576C" w:rsidP="00EF576C">
      <w:pPr>
        <w:pStyle w:val="yiv6099203543msonormal"/>
        <w:shd w:val="clear" w:color="auto" w:fill="FFFFFF"/>
        <w:jc w:val="both"/>
        <w:rPr>
          <w:color w:val="26282A"/>
          <w:u w:val="single"/>
        </w:rPr>
      </w:pPr>
      <w:r w:rsidRPr="00ED3F82">
        <w:rPr>
          <w:color w:val="26282A"/>
          <w:u w:val="single"/>
        </w:rPr>
        <w:t>Es preciso desde hoy con urgencia que suene la alarma contra los incendiarios de almas</w:t>
      </w:r>
      <w:r w:rsidRPr="001A642E">
        <w:rPr>
          <w:color w:val="26282A"/>
        </w:rPr>
        <w:t xml:space="preserve"> que, desde París a Roma, pasando por Dresde, Barcelona, Budapest, Viena y Varsovia, </w:t>
      </w:r>
      <w:r w:rsidRPr="00ED3F82">
        <w:rPr>
          <w:color w:val="26282A"/>
          <w:u w:val="single"/>
        </w:rPr>
        <w:t xml:space="preserve">juegan con el fuego de nuestras libertades.  </w:t>
      </w:r>
    </w:p>
    <w:p w:rsidR="00EF576C" w:rsidRPr="00ED3F82" w:rsidRDefault="00EF576C" w:rsidP="00EF576C">
      <w:pPr>
        <w:pStyle w:val="yiv6099203543msonormal"/>
        <w:shd w:val="clear" w:color="auto" w:fill="FFFFFF"/>
        <w:jc w:val="both"/>
        <w:rPr>
          <w:color w:val="26282A"/>
          <w:u w:val="single"/>
        </w:rPr>
      </w:pPr>
      <w:r w:rsidRPr="00ED3F82">
        <w:rPr>
          <w:color w:val="26282A"/>
          <w:u w:val="single"/>
        </w:rPr>
        <w:t xml:space="preserve">Porque este es el desafío: detrás de esta extraña derrota de Europa que se perfila, detrás de esta nueva crisis de la conciencia europea, empecinada en todo lo que hizo grandes y honorables a nuestras sociedades, está el cuestionamiento de la democracia liberal y de sus valores. </w:t>
      </w:r>
    </w:p>
    <w:p w:rsidR="00EF576C" w:rsidRDefault="00EF576C" w:rsidP="00EF576C">
      <w:pPr>
        <w:pStyle w:val="yiv6099203543msonormal"/>
        <w:shd w:val="clear" w:color="auto" w:fill="FFFFFF"/>
        <w:jc w:val="both"/>
        <w:rPr>
          <w:color w:val="26282A"/>
        </w:rPr>
      </w:pPr>
      <w:r w:rsidRPr="001A642E">
        <w:rPr>
          <w:color w:val="26282A"/>
        </w:rPr>
        <w:t>*Estos son l</w:t>
      </w:r>
      <w:r>
        <w:rPr>
          <w:color w:val="26282A"/>
        </w:rPr>
        <w:t>os 30 firmantes del manifiesto:</w:t>
      </w:r>
      <w:r w:rsidRPr="007214C0">
        <w:rPr>
          <w:color w:val="26282A"/>
        </w:rPr>
        <w:t>Vassilis Alexakis (Atenas)Svetlana Alexievitch (Minsk)Anne Applebaum (Varsovia)Jens Christian Grøndahl (Copenhague)David Grossman (Jerusalén)Ágnes Heller (Budapest)Elfriede Jelinek (Vienna)</w:t>
      </w:r>
      <w:r>
        <w:rPr>
          <w:color w:val="26282A"/>
        </w:rPr>
        <w:t>Ismaïl Kadaré (Tirana)György Konrád (Debrecen)</w:t>
      </w:r>
      <w:r w:rsidRPr="001A642E">
        <w:rPr>
          <w:color w:val="26282A"/>
        </w:rPr>
        <w:t>Milan Kundera (Praga)</w:t>
      </w:r>
      <w:r>
        <w:rPr>
          <w:color w:val="26282A"/>
        </w:rPr>
        <w:t>Bernard-Henri Lévy (París)António Lobo Antunes (Lisboa)</w:t>
      </w:r>
      <w:r w:rsidRPr="007214C0">
        <w:rPr>
          <w:color w:val="26282A"/>
        </w:rPr>
        <w:t>Claudio Magris (Trieste)Adam Michnik (Varsovia)Ian McEwan (Londres)Herta Müller (Berlín)Ludmila Oulitskaïa (Moscú)Orhan Pamuk (Estambul)Rob Riemen (Amsterdam)Salman Rushdie (Londres)Fernando Savater (San Sebastián)</w:t>
      </w:r>
      <w:r>
        <w:rPr>
          <w:color w:val="26282A"/>
        </w:rPr>
        <w:t>Roberto Saviano (Nápoles)Eugenio Scalfari (Roma)Simon Schama (Londres)Peter Schneider (Berlín)Abdulah Sidran (Sarajevo)Leïla Slimani (Rabat)Colm Tóibín (Dublín)Mario Vargas Llosa (Madrid)</w:t>
      </w:r>
      <w:r w:rsidRPr="001A642E">
        <w:rPr>
          <w:color w:val="26282A"/>
        </w:rPr>
        <w:t>Adam Zagajewski (Cracovia)</w:t>
      </w:r>
      <w:r w:rsidR="007214C0">
        <w:rPr>
          <w:color w:val="26282A"/>
        </w:rPr>
        <w:t>.</w:t>
      </w:r>
    </w:p>
    <w:p w:rsidR="00EF576C" w:rsidRPr="000865A8" w:rsidRDefault="00EF576C" w:rsidP="00EF576C">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3F7768">
        <w:rPr>
          <w:rFonts w:ascii="Times New Roman" w:hAnsi="Times New Roman" w:cs="Times New Roman"/>
          <w:sz w:val="24"/>
          <w:szCs w:val="24"/>
          <w:u w:val="single"/>
        </w:rPr>
        <w:t>El espejismo de un euro global</w:t>
      </w:r>
      <w:r>
        <w:rPr>
          <w:rFonts w:ascii="Times New Roman" w:hAnsi="Times New Roman" w:cs="Times New Roman"/>
          <w:sz w:val="24"/>
          <w:szCs w:val="24"/>
        </w:rPr>
        <w:t xml:space="preserve"> (Project Syndicate - </w:t>
      </w:r>
      <w:r w:rsidRPr="003F7768">
        <w:rPr>
          <w:rFonts w:ascii="Times New Roman" w:hAnsi="Times New Roman" w:cs="Times New Roman"/>
          <w:b/>
          <w:sz w:val="24"/>
          <w:szCs w:val="24"/>
        </w:rPr>
        <w:t>6/2/19</w:t>
      </w:r>
      <w:r>
        <w:rPr>
          <w:rFonts w:ascii="Times New Roman" w:hAnsi="Times New Roman" w:cs="Times New Roman"/>
          <w:sz w:val="24"/>
          <w:szCs w:val="24"/>
        </w:rPr>
        <w:t xml:space="preserve">) </w:t>
      </w:r>
    </w:p>
    <w:p w:rsidR="00EF576C" w:rsidRPr="00FA4614" w:rsidRDefault="007214C0" w:rsidP="00EF576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00EF576C" w:rsidRPr="00FA4614">
        <w:rPr>
          <w:rFonts w:ascii="Times New Roman" w:hAnsi="Times New Roman" w:cs="Times New Roman"/>
          <w:sz w:val="24"/>
          <w:szCs w:val="24"/>
          <w:u w:val="single"/>
        </w:rPr>
        <w:t>Uno de los grandes argumentos que se hicieron a favor del euro fue que competiría con el dólar estadounidense como segunda moneda de reserva global. Esas esperanzas no llegaron a materializarse. La importancia del euro en las reservas globales y en los mercados financieros hoy es más o menos la misma que hace veinte años, cuando el euro reemplazó al marco alemán y a otras diez monedas nacionales.</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Pero la esperanza es lo último que se pierde y, en este espíritu, la Comisión Europea recientemente publicó un comunicado titulado “Hacia un papel internacional más fuerte del euro” (sic). La Comisión Europea, al igual que la mayoría de los responsables de políticas públicas europeos, da por sentado que la eurozona se beneficiaría si el euro desempeñara un papel más global. Pero no necesariamente es así.</w:t>
      </w:r>
    </w:p>
    <w:p w:rsidR="00EF576C" w:rsidRPr="00FA4614" w:rsidRDefault="00EF576C" w:rsidP="00EF576C">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 xml:space="preserve">Una de esas ventajas supuestamente surge del uso generalizado de billetes de euro fuera de la zona de la moneda única. En este sentido al menos, el euro ha sido un gran éxito. La moneda en circulación cuando menos se ha duplicado en los últimos 20 años, en términos absolutos y como porcentaje del PIB de la eurozona, y el valor total de los billetes de euro en circulación hoy asciende a 1,2 billones de euros (1,3 billones de dólares). Es más, normalmente se calcula que una fracción importante de los billetes de euro se utiliza fuera de la eurozona.  </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Sin embargo, la economía de la emisión de billetes ha cambiado. La emisión anteriormente era un negocio rentable para los bancos centrales, porque podían invertir las ganancias en bonos del gobierno con un rendimiento decente. Con las tasas de interés en el 5%, y 1,2 billones de euros en billetes en circulación, el Banco Central Europeo podría haber generado un ingreso de unos 60.000 millones de euros al año. Aunque pequeña comparada con el PIB general de la eurozona de 10 billones de euros, esta suma equivale a casi la mitad del presupuesto de la UE.</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Ahora bien, con las tasas de interés negativas de hoy, la emisión de moneda ya no es rentable. Ésta podría ser otra razón por la cual el BCE decidió dejar de emitir el billete de 500 euros, que también es mucho más conveniente que el billete de 100 dólares para manejar grandes cantidades de dinero en negro. Ofrecer un vehículo manejable para transacciones clandestinas en el exterior no debería considerarse una ventaja del euro.</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Otro argumento para tener una moneda de reserva global es que el endeudamiento externo se vuelve más barato. Este es el “privilegio exorbitante” del cual gozaba Estados Unidos, según dijo Valéry Giscard d’Estaing cuando era ministro de Finanzas de Francia, debido a la condición del dólar como la principal moneda de reserva del mundo. Pero si bien emitir deuda denominada en dólares es una ventaja importante para Estados Unidos (el principal deudor del mundo), la eurozona es un acreedor neto. Y con tasas de interés reales que tienden a ser más altas en términos de dólar, sería mejor que los activos externos de la eurozona estuvieran denominados en dólares y no en euros.</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Es más, las consecuencias de ser una moneda de referencia importante serían particularmente problemáticas para el euro. Afortunadamente, los países que han optado por una paridad de su moneda con el euro tienen poco peso económico. Imaginemos, por ejemplo, que China decidiera que su moneda tuviera una paridad con el euro y no con el dólar. Las autoridades chinas luego determinarían el tipo de cambio del euro frente al dólar –la moneda del principal socio comercial y competidor de la UE-. Ser una moneda de referencia, en verdad, puede implicar una pérdida de control.</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Con certeza, existen otros motivos por los que podría resultar beneficioso para Europa que el euro desempeñara un papel global mayor. Por ejemplo, la aplicación de sanciones extraterritoriales por parte de Estados Unidos hace que a las compañías europeas les resulte extremadamente difícil mantener vínculos comerciales con Irán, porque la mayor parte del comercio internacional de Irán se factura y se acuerda en dólares. Pero la capacidad tan amplia de Estados Unidos de aplicar sanciones se debe, esencialmente, a su poder diplomático y militar. Inclusive si el euro jugara un rol mucho más importante en las finanzas globales, Estados Unidos seguiría teniendo una posición dominante en términos de poder duro.</w:t>
      </w:r>
    </w:p>
    <w:p w:rsidR="00EF576C" w:rsidRPr="00FA4614" w:rsidRDefault="00EF576C" w:rsidP="00EF576C">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Tener una moneda de reserva global tiene sentido para una economía grande que no está demasiado expuesta al resto del mundo. Estados Unidos reúne los requisitos. Tiene menos sentido para la economía relativamente más pequeña de la eurozona, donde el comercio de bienes y servicios representa más de una cuarta parte del PIB total. Es más, el porcentaje de la eurozona en la economía global ha declinado de alrededor del 25% cuando nació el euro hasta el 15% hoy, y pronto caerá por debajo del 10%.</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El peso relativo de la economía norteamericana por supuesto también decaería en tanto China y la India sigan creciendo a pasos más acelerados. Pero el dólar retendrá su poder convencional como la principal moneda para las transacciones comerciales internacionales siempre que China limite los movimientos de capital para mantener el control de su economía doméstica. El euro, por otro lado, podría incrementar su papel global sólo si desacelerara la caída relativa de la economía de la eurozona mediante un crecimiento rápido.</w:t>
      </w:r>
    </w:p>
    <w:p w:rsidR="00EF576C" w:rsidRPr="003F7768" w:rsidRDefault="00EF576C" w:rsidP="00EF576C">
      <w:pPr>
        <w:spacing w:line="240" w:lineRule="auto"/>
        <w:jc w:val="both"/>
        <w:rPr>
          <w:rFonts w:ascii="Times New Roman" w:hAnsi="Times New Roman" w:cs="Times New Roman"/>
          <w:sz w:val="24"/>
          <w:szCs w:val="24"/>
        </w:rPr>
      </w:pPr>
      <w:r w:rsidRPr="003F7768">
        <w:rPr>
          <w:rFonts w:ascii="Times New Roman" w:hAnsi="Times New Roman" w:cs="Times New Roman"/>
          <w:sz w:val="24"/>
          <w:szCs w:val="24"/>
        </w:rPr>
        <w:t>Pero, aun suponiendo que la caída relativa de la eurozona continúe, esto no necesariamente significaría una caída de los niveles de vida. El porcentaje de la economía de Japón en el PIB global se ha reducido a la mitad en los últimos 20 años, mientras que los niveles de vida allí siguieron mejorando, aunque con cierta lentitud.</w:t>
      </w:r>
    </w:p>
    <w:p w:rsidR="00EF576C" w:rsidRPr="00FA4614" w:rsidRDefault="00EF576C" w:rsidP="00EF576C">
      <w:pPr>
        <w:spacing w:line="240" w:lineRule="auto"/>
        <w:jc w:val="both"/>
        <w:rPr>
          <w:rFonts w:ascii="Times New Roman" w:hAnsi="Times New Roman" w:cs="Times New Roman"/>
          <w:color w:val="FF0000"/>
          <w:sz w:val="24"/>
          <w:szCs w:val="24"/>
          <w:u w:val="single"/>
        </w:rPr>
      </w:pPr>
      <w:r w:rsidRPr="00FA4614">
        <w:rPr>
          <w:rFonts w:ascii="Times New Roman" w:hAnsi="Times New Roman" w:cs="Times New Roman"/>
          <w:color w:val="FF0000"/>
          <w:sz w:val="24"/>
          <w:szCs w:val="24"/>
          <w:u w:val="single"/>
        </w:rPr>
        <w:t>Como sea, es bueno que las esperanzas tempranas de que el euro se convierta en una verdadera moneda global no se hayan concretado. La eurozona actualmente enfrenta suficientes desafíos económicos sin la carga adicional de tener que emitir una moneda de reserva global.</w:t>
      </w:r>
    </w:p>
    <w:p w:rsidR="00EF576C" w:rsidRDefault="00EF576C" w:rsidP="00EF576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3F7768">
        <w:rPr>
          <w:rFonts w:ascii="Times New Roman" w:hAnsi="Times New Roman" w:cs="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minister. He is the editor of Economie Internati</w:t>
      </w:r>
      <w:r>
        <w:rPr>
          <w:rFonts w:ascii="Times New Roman" w:hAnsi="Times New Roman" w:cs="Times New Roman"/>
          <w:sz w:val="24"/>
          <w:szCs w:val="24"/>
          <w:lang w:val="en-US"/>
        </w:rPr>
        <w:t>onale and International Finance)</w:t>
      </w:r>
    </w:p>
    <w:p w:rsidR="004B402F" w:rsidRPr="00554672" w:rsidRDefault="004B402F" w:rsidP="004B402F">
      <w:pPr>
        <w:spacing w:line="240" w:lineRule="auto"/>
        <w:jc w:val="both"/>
        <w:rPr>
          <w:rFonts w:ascii="Times New Roman" w:hAnsi="Times New Roman" w:cs="Times New Roman"/>
          <w:sz w:val="24"/>
          <w:szCs w:val="24"/>
          <w:lang w:val="en-US"/>
        </w:rPr>
      </w:pPr>
    </w:p>
    <w:p w:rsidR="004B402F" w:rsidRPr="00554672" w:rsidRDefault="004B402F" w:rsidP="004B402F">
      <w:pPr>
        <w:spacing w:line="240" w:lineRule="auto"/>
        <w:jc w:val="both"/>
        <w:rPr>
          <w:rFonts w:ascii="Times New Roman" w:hAnsi="Times New Roman" w:cs="Times New Roman"/>
          <w:sz w:val="24"/>
          <w:szCs w:val="24"/>
          <w:lang w:val="en-US"/>
        </w:rPr>
      </w:pPr>
    </w:p>
    <w:p w:rsidR="004B402F" w:rsidRPr="00B97CD8" w:rsidRDefault="004B402F" w:rsidP="004B402F">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112430">
        <w:rPr>
          <w:rFonts w:ascii="Times New Roman" w:hAnsi="Times New Roman" w:cs="Times New Roman"/>
          <w:sz w:val="24"/>
          <w:szCs w:val="24"/>
          <w:u w:val="single"/>
        </w:rPr>
        <w:t>Por un Renacimiento Europeo</w:t>
      </w:r>
      <w:r>
        <w:rPr>
          <w:rFonts w:ascii="Times New Roman" w:hAnsi="Times New Roman" w:cs="Times New Roman"/>
          <w:sz w:val="24"/>
          <w:szCs w:val="24"/>
        </w:rPr>
        <w:t xml:space="preserve"> (Project Syndicate - </w:t>
      </w:r>
      <w:r w:rsidRPr="00112430">
        <w:rPr>
          <w:rFonts w:ascii="Times New Roman" w:hAnsi="Times New Roman" w:cs="Times New Roman"/>
          <w:b/>
          <w:sz w:val="24"/>
          <w:szCs w:val="24"/>
        </w:rPr>
        <w:t>4/3/19</w:t>
      </w:r>
      <w:r>
        <w:rPr>
          <w:rFonts w:ascii="Times New Roman" w:hAnsi="Times New Roman" w:cs="Times New Roman"/>
          <w:sz w:val="24"/>
          <w:szCs w:val="24"/>
        </w:rPr>
        <w:t xml:space="preserve">) </w:t>
      </w:r>
    </w:p>
    <w:p w:rsidR="004B402F" w:rsidRPr="00112430" w:rsidRDefault="004B402F" w:rsidP="004B402F">
      <w:pPr>
        <w:spacing w:line="240" w:lineRule="auto"/>
        <w:jc w:val="both"/>
        <w:rPr>
          <w:rFonts w:ascii="Times New Roman" w:hAnsi="Times New Roman" w:cs="Times New Roman"/>
          <w:sz w:val="24"/>
          <w:szCs w:val="24"/>
        </w:rPr>
      </w:pPr>
      <w:r>
        <w:rPr>
          <w:rFonts w:ascii="Times New Roman" w:hAnsi="Times New Roman" w:cs="Times New Roman"/>
          <w:sz w:val="24"/>
          <w:szCs w:val="24"/>
        </w:rPr>
        <w:t>París.-</w:t>
      </w:r>
      <w:r w:rsidRPr="00112430">
        <w:rPr>
          <w:rFonts w:ascii="Times New Roman" w:hAnsi="Times New Roman" w:cs="Times New Roman"/>
          <w:sz w:val="24"/>
          <w:szCs w:val="24"/>
        </w:rPr>
        <w:t xml:space="preserve"> Ciudadanos de Europa: Si me he tomado la libertad de dirigirme a ustedes directamente, no es solo en nombre de la historia y de los valores que nos unen, sino también porque hay urgencia. Dentro de unas semanas, las elecciones europeas serán decisivas para el futuro de nuestro continente.  </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 xml:space="preserve">Nunca antes, desde la Segunda Guerra Mundial, Europa ha sido tan necesaria. Y, sin embargo, </w:t>
      </w:r>
      <w:r>
        <w:rPr>
          <w:rFonts w:ascii="Times New Roman" w:hAnsi="Times New Roman" w:cs="Times New Roman"/>
          <w:sz w:val="24"/>
          <w:szCs w:val="24"/>
        </w:rPr>
        <w:t>nunca ha estado tan en peligro.</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El Brexit es ejemplo de todo ello. Ejemplo de la crisis de una Europa que no ha sabido satisfacer las necesidades de protección de los pueblos frente a los grandes cambios del mundo contemporáneo. Ejemplo, también, de la trampa europea. La trampa no es pertenecer a la Unión Europea, sino la mentira y la irresponsabilidad que pueden destruirla. ¿Quién les ha contado a los británicos la verdad sobre su futuro tras el Brexit? ¿Quién les ha hablado de perder el acceso al mercado europeo? ¿Quién ha advertido de los peligros para la paz en Irlanda si se vuelve a la frontera del pasado? El repliegue nacionalista no tiene propuestas; es un «no» sin proyecto. Y esta trampa amenaza a toda Europa: los que explotan la rabia, ayudados por noticias falsas, pr</w:t>
      </w:r>
      <w:r>
        <w:rPr>
          <w:rFonts w:ascii="Times New Roman" w:hAnsi="Times New Roman" w:cs="Times New Roman"/>
          <w:sz w:val="24"/>
          <w:szCs w:val="24"/>
        </w:rPr>
        <w:t>ometen una cosa y la contraria.</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Frente a estas manipulaciones, debemos mantenernos firmes. Orgullosos y lúcidos. Recordemos primero qué es Europa. Es un éxito histórico: la reconciliación de un continente devastado, plasmada en un proyecto inédito de paz, prosperidad y libertad. No lo olvidemos nunca. Hoy día, este proyecto nos sigue protegiendo. ¿Qué país puede actuar solo frente a las estrategias agresivas de las grandes potencias? ¿Quién puede pretender ser soberano, solo, frente a los gigantes digitales? ¿Cómo resistiríamos a las crisis del capitalismo financiero sin el euro, que es una baza para toda la Unión? Europa es también esos miles de proyectos cotidianos que han cambiado la faz de nuestros territorios: una escuela renovada aquí, una carretera asfaltada allá, un acceso rápido a Internet que está llegando al fin… Esta lucha es un compromiso diario, porque Europa, como la paz, no viene dada. En nombre de Francia, abandero esta lucha sin descanso para hacer avanzar a Europa y defender su modelo. Hemos demostrado que lo que no</w:t>
      </w:r>
      <w:r w:rsidR="0011116D">
        <w:rPr>
          <w:rFonts w:ascii="Times New Roman" w:hAnsi="Times New Roman" w:cs="Times New Roman"/>
          <w:sz w:val="24"/>
          <w:szCs w:val="24"/>
        </w:rPr>
        <w:t>s dijeron que era inalcanzable -</w:t>
      </w:r>
      <w:r w:rsidRPr="00112430">
        <w:rPr>
          <w:rFonts w:ascii="Times New Roman" w:hAnsi="Times New Roman" w:cs="Times New Roman"/>
          <w:sz w:val="24"/>
          <w:szCs w:val="24"/>
        </w:rPr>
        <w:t>como la creación de una defensa europea o la protección de los derechos so</w:t>
      </w:r>
      <w:r w:rsidR="0011116D">
        <w:rPr>
          <w:rFonts w:ascii="Times New Roman" w:hAnsi="Times New Roman" w:cs="Times New Roman"/>
          <w:sz w:val="24"/>
          <w:szCs w:val="24"/>
        </w:rPr>
        <w:t>ciales-</w:t>
      </w:r>
      <w:r>
        <w:rPr>
          <w:rFonts w:ascii="Times New Roman" w:hAnsi="Times New Roman" w:cs="Times New Roman"/>
          <w:sz w:val="24"/>
          <w:szCs w:val="24"/>
        </w:rPr>
        <w:t xml:space="preserve"> finalmente era posible.</w:t>
      </w:r>
    </w:p>
    <w:p w:rsidR="004B402F"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 xml:space="preserve">Con todo, hay que hacer más y más rápido. Porque hay otra trampa: la del statu quo y la resignación. Frente a las grandes crisis mundiales, los </w:t>
      </w:r>
      <w:r>
        <w:rPr>
          <w:rFonts w:ascii="Times New Roman" w:hAnsi="Times New Roman" w:cs="Times New Roman"/>
          <w:sz w:val="24"/>
          <w:szCs w:val="24"/>
        </w:rPr>
        <w:t>ciudadanos nos dicen a menudo: “</w:t>
      </w:r>
      <w:r w:rsidRPr="00112430">
        <w:rPr>
          <w:rFonts w:ascii="Times New Roman" w:hAnsi="Times New Roman" w:cs="Times New Roman"/>
          <w:sz w:val="24"/>
          <w:szCs w:val="24"/>
        </w:rPr>
        <w:t>¿Dónde está Eur</w:t>
      </w:r>
      <w:r>
        <w:rPr>
          <w:rFonts w:ascii="Times New Roman" w:hAnsi="Times New Roman" w:cs="Times New Roman"/>
          <w:sz w:val="24"/>
          <w:szCs w:val="24"/>
        </w:rPr>
        <w:t>opa? ¿Qué está haciendo Europa?”</w:t>
      </w:r>
      <w:r w:rsidRPr="00112430">
        <w:rPr>
          <w:rFonts w:ascii="Times New Roman" w:hAnsi="Times New Roman" w:cs="Times New Roman"/>
          <w:sz w:val="24"/>
          <w:szCs w:val="24"/>
        </w:rPr>
        <w:t>. Para ellos, se ha convertido en un mercado sin alma. Pero sabemos que no es solo un mercado, que es también un proyecto. El mercado es útil, pero no debe hacernos olvidar lo necesario de las fronteras que nos protegen y de los valores que nos unen. Los nacionalistas se equivocan cuando pretenden defender nuestra identidad apelando a la salida de Europa, porque es la civilización europea la que nos une, nos libera y nos protege. Pero los que no querrían cambiar nada también se equivocan, porque niegan los temores que atraviesan nuestros pueblos, las dudas que socavan nuestras democracias. Estamos en un momento decisivo para nuestro continente. Un momento en el que, colectivamente, debemos reinventar, política y culturalmente, las formas de nuestra civilización en un mundo cambiante. Es el momento para el Renacimiento Europeo. Así pues, resistiendo a las tentaciones del repliegue y la división, quiero proponer que, juntos, construyamos ese Renacimiento en torno a tres aspiraciones: la libertad, la protección y el progreso.</w:t>
      </w:r>
    </w:p>
    <w:p w:rsidR="004B402F" w:rsidRPr="00112430" w:rsidRDefault="004B402F" w:rsidP="004B402F">
      <w:pPr>
        <w:spacing w:line="240" w:lineRule="auto"/>
        <w:jc w:val="both"/>
        <w:rPr>
          <w:rFonts w:ascii="Times New Roman" w:hAnsi="Times New Roman" w:cs="Times New Roman"/>
          <w:sz w:val="24"/>
          <w:szCs w:val="24"/>
        </w:rPr>
      </w:pPr>
    </w:p>
    <w:p w:rsidR="004B402F" w:rsidRPr="00750FA3" w:rsidRDefault="004B402F" w:rsidP="004B402F">
      <w:pPr>
        <w:spacing w:line="240" w:lineRule="auto"/>
        <w:jc w:val="both"/>
        <w:rPr>
          <w:rFonts w:ascii="Times New Roman" w:hAnsi="Times New Roman" w:cs="Times New Roman"/>
          <w:sz w:val="24"/>
          <w:szCs w:val="24"/>
        </w:rPr>
      </w:pPr>
      <w:r w:rsidRPr="00750FA3">
        <w:rPr>
          <w:rFonts w:ascii="Times New Roman" w:hAnsi="Times New Roman" w:cs="Times New Roman"/>
          <w:sz w:val="24"/>
          <w:szCs w:val="24"/>
        </w:rPr>
        <w:t>Defender nuestra libertad</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 xml:space="preserve">El modelo europeo se basa en la libertad individual y la diversidad de opiniones y de </w:t>
      </w:r>
      <w:r w:rsidR="00290C0D" w:rsidRPr="00112430">
        <w:rPr>
          <w:rFonts w:ascii="Times New Roman" w:hAnsi="Times New Roman" w:cs="Times New Roman"/>
          <w:sz w:val="24"/>
          <w:szCs w:val="24"/>
        </w:rPr>
        <w:t>creación. Nuestra</w:t>
      </w:r>
      <w:r w:rsidRPr="00112430">
        <w:rPr>
          <w:rFonts w:ascii="Times New Roman" w:hAnsi="Times New Roman" w:cs="Times New Roman"/>
          <w:sz w:val="24"/>
          <w:szCs w:val="24"/>
        </w:rPr>
        <w:t xml:space="preserve"> libertad primera es la libertad democrática, la de elegir a nuestros gobernantes allí donde, en cada cita electoral, hay potencias extranjeras que intentan influir en nuestros votos. Propongo que se cree una Agencia Europea de Protección de las </w:t>
      </w:r>
      <w:r w:rsidR="00290C0D" w:rsidRPr="00112430">
        <w:rPr>
          <w:rFonts w:ascii="Times New Roman" w:hAnsi="Times New Roman" w:cs="Times New Roman"/>
          <w:sz w:val="24"/>
          <w:szCs w:val="24"/>
        </w:rPr>
        <w:t>Democracias que</w:t>
      </w:r>
      <w:r w:rsidRPr="00112430">
        <w:rPr>
          <w:rFonts w:ascii="Times New Roman" w:hAnsi="Times New Roman" w:cs="Times New Roman"/>
          <w:sz w:val="24"/>
          <w:szCs w:val="24"/>
        </w:rPr>
        <w:t xml:space="preserve"> aporte expertos europeos a cada Estado miembro para proteger sus procesos electorales de ciberataques y manipulaciones. En este espíritu de independencia, también debemos prohibir la financiación de partidos políticos europeos por parte de potencias extranjeras. Asimismo, a través de reglas europeas, debemos desterrar de Internet el discurso del odio y la violencia, porque el respeto al individuo es la base de nuestra civi</w:t>
      </w:r>
      <w:r>
        <w:rPr>
          <w:rFonts w:ascii="Times New Roman" w:hAnsi="Times New Roman" w:cs="Times New Roman"/>
          <w:sz w:val="24"/>
          <w:szCs w:val="24"/>
        </w:rPr>
        <w:t>lización de la dignidad humana.</w:t>
      </w:r>
    </w:p>
    <w:p w:rsidR="004B402F" w:rsidRPr="00112430" w:rsidRDefault="004B402F" w:rsidP="004B402F">
      <w:pPr>
        <w:spacing w:line="240" w:lineRule="auto"/>
        <w:jc w:val="both"/>
        <w:rPr>
          <w:rFonts w:ascii="Times New Roman" w:hAnsi="Times New Roman" w:cs="Times New Roman"/>
          <w:sz w:val="24"/>
          <w:szCs w:val="24"/>
        </w:rPr>
      </w:pPr>
      <w:r>
        <w:rPr>
          <w:rFonts w:ascii="Times New Roman" w:hAnsi="Times New Roman" w:cs="Times New Roman"/>
          <w:sz w:val="24"/>
          <w:szCs w:val="24"/>
        </w:rPr>
        <w:t>Proteger nuestro continente</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Fundada en la reconciliación interna, la Unión Europea se ha olvidado de mirar a otras realidades en el mundo. Ahora bien, ninguna comunidad genera un sentimiento de pertenencia si no tiene límites que proteger. La frontera es la libertad en seguridad. En este sentido, debemos revisar el espacio Schengen: todos los que quieran participar en él deberán cumplir una serie de obligaciones de responsabilidad (control riguroso de fronteras) y solidaridad (una misma política de asilo con las mismas reglas de acogida y denegación). Una policía de fronteras común y una Oficina Europea de Asilo, estrictas obligaciones de control y una solidaridad europea a la que contribuyan todos los países bajo la autoridad de un Consejo Europeo de Seguridad Interior. Frente a las migraciones, creo en una Europa que protege a la v</w:t>
      </w:r>
      <w:r>
        <w:rPr>
          <w:rFonts w:ascii="Times New Roman" w:hAnsi="Times New Roman" w:cs="Times New Roman"/>
          <w:sz w:val="24"/>
          <w:szCs w:val="24"/>
        </w:rPr>
        <w:t>ez sus valores y sus fronteras.</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 xml:space="preserve">Estas mismas exigencias deben aplicarse a la defensa. Pese a que en los dos últimos años se han registrado avances significativos, debemos establecer un rumbo claro. Así, un tratado de defensa y seguridad deberá definir nuestras obligaciones ineludibles, en colaboración con la OTAN y nuestros aliados europeos: aumento del gasto militar, activación de la cláusula de defensa mutua y creación de un Consejo de Seguridad Europeo que incluya al Reino Unido para preparar </w:t>
      </w:r>
      <w:r>
        <w:rPr>
          <w:rFonts w:ascii="Times New Roman" w:hAnsi="Times New Roman" w:cs="Times New Roman"/>
          <w:sz w:val="24"/>
          <w:szCs w:val="24"/>
        </w:rPr>
        <w:t>nuestras decisiones colectivas.</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Nuestras fronteras también deben garantizar una competencia leal. ¿Qué potencia acepta mantener sus intercambios con aquellos que no respetan ninguna de sus reglas? No podemos someternos sin decir nada. Tenemos que reformar nuestra política de competencia, refundar nuestra política comercial: sancionar o prohibir en Europa aquellas empresas que vulneren nuestros intereses estrat</w:t>
      </w:r>
      <w:r>
        <w:rPr>
          <w:rFonts w:ascii="Times New Roman" w:hAnsi="Times New Roman" w:cs="Times New Roman"/>
          <w:sz w:val="24"/>
          <w:szCs w:val="24"/>
        </w:rPr>
        <w:t>égicos y valores fundamentales -</w:t>
      </w:r>
      <w:r w:rsidRPr="00112430">
        <w:rPr>
          <w:rFonts w:ascii="Times New Roman" w:hAnsi="Times New Roman" w:cs="Times New Roman"/>
          <w:sz w:val="24"/>
          <w:szCs w:val="24"/>
        </w:rPr>
        <w:t>como las normas medioambientales, la protección de dat</w:t>
      </w:r>
      <w:r>
        <w:rPr>
          <w:rFonts w:ascii="Times New Roman" w:hAnsi="Times New Roman" w:cs="Times New Roman"/>
          <w:sz w:val="24"/>
          <w:szCs w:val="24"/>
        </w:rPr>
        <w:t>os o el pago justo de impuestos-</w:t>
      </w:r>
      <w:r w:rsidRPr="00112430">
        <w:rPr>
          <w:rFonts w:ascii="Times New Roman" w:hAnsi="Times New Roman" w:cs="Times New Roman"/>
          <w:sz w:val="24"/>
          <w:szCs w:val="24"/>
        </w:rPr>
        <w:t xml:space="preserve"> y adoptar una preferencia europea en las industrias estratégicas y en nuestros mercados de contratación pública, al igual que nuestros competi</w:t>
      </w:r>
      <w:r>
        <w:rPr>
          <w:rFonts w:ascii="Times New Roman" w:hAnsi="Times New Roman" w:cs="Times New Roman"/>
          <w:sz w:val="24"/>
          <w:szCs w:val="24"/>
        </w:rPr>
        <w:t>dores estadounidenses o chinos.</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Re</w:t>
      </w:r>
      <w:r>
        <w:rPr>
          <w:rFonts w:ascii="Times New Roman" w:hAnsi="Times New Roman" w:cs="Times New Roman"/>
          <w:sz w:val="24"/>
          <w:szCs w:val="24"/>
        </w:rPr>
        <w:t>cuperar el espíritu de progreso</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Europa no es una potencia de segunda clase. Toda Europa está a la vanguardia: siempre ha sabido definir las normas del progreso y en esta línea debe ofrecer un proyecto de convergencia, más que de competencia. Europa, que creó la seguridad social, debe establecer para cada trabajador, de este a oeste y de norte a sur, un escudo social que le garantice la misma remuneración en el mismo lugar de trabajo, y un salario mínimo europeo adaptado a cada país y revisado</w:t>
      </w:r>
      <w:r>
        <w:rPr>
          <w:rFonts w:ascii="Times New Roman" w:hAnsi="Times New Roman" w:cs="Times New Roman"/>
          <w:sz w:val="24"/>
          <w:szCs w:val="24"/>
        </w:rPr>
        <w:t xml:space="preserve"> anualmente de forma colectiva.</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Retomar el hilo del progreso es también liderar la lucha contra el cambio climático. ¿Podremos mirar a nuestros hijos a los ojos si no logramos reducir nuestra deuda con el clima? La Unión Eur</w:t>
      </w:r>
      <w:r>
        <w:rPr>
          <w:rFonts w:ascii="Times New Roman" w:hAnsi="Times New Roman" w:cs="Times New Roman"/>
          <w:sz w:val="24"/>
          <w:szCs w:val="24"/>
        </w:rPr>
        <w:t>opea debe fijar sus ambiciones -</w:t>
      </w:r>
      <w:r w:rsidRPr="00112430">
        <w:rPr>
          <w:rFonts w:ascii="Times New Roman" w:hAnsi="Times New Roman" w:cs="Times New Roman"/>
          <w:sz w:val="24"/>
          <w:szCs w:val="24"/>
        </w:rPr>
        <w:t xml:space="preserve">cero carbono en 2050, reducción a la </w:t>
      </w:r>
      <w:r>
        <w:rPr>
          <w:rFonts w:ascii="Times New Roman" w:hAnsi="Times New Roman" w:cs="Times New Roman"/>
          <w:sz w:val="24"/>
          <w:szCs w:val="24"/>
        </w:rPr>
        <w:t>mitad de los pesticidas en 2025-</w:t>
      </w:r>
      <w:r w:rsidRPr="00112430">
        <w:rPr>
          <w:rFonts w:ascii="Times New Roman" w:hAnsi="Times New Roman" w:cs="Times New Roman"/>
          <w:sz w:val="24"/>
          <w:szCs w:val="24"/>
        </w:rPr>
        <w:t xml:space="preserve"> y adaptar sus políticas a esta exigencia: Banco Europeo del </w:t>
      </w:r>
      <w:r w:rsidR="00290C0D" w:rsidRPr="00112430">
        <w:rPr>
          <w:rFonts w:ascii="Times New Roman" w:hAnsi="Times New Roman" w:cs="Times New Roman"/>
          <w:sz w:val="24"/>
          <w:szCs w:val="24"/>
        </w:rPr>
        <w:t>Clima para</w:t>
      </w:r>
      <w:r w:rsidRPr="00112430">
        <w:rPr>
          <w:rFonts w:ascii="Times New Roman" w:hAnsi="Times New Roman" w:cs="Times New Roman"/>
          <w:sz w:val="24"/>
          <w:szCs w:val="24"/>
        </w:rPr>
        <w:t xml:space="preserve"> financiar la transición ecológica, dispositivo sanitario europeo para reforzar el control de nuestros alimentos, y, frente a la amenaza de los lobbies, evaluación científica independiente de sustancias peligrosas para el medio ambiente y la salud, etc. Este imperativo debe guiar todas nuestras acciones. Del Banco Central Europeo a la Comisión Europea, pasando por el presupuesto europeo o el Plan de Inversiones para Europa, todas nuestras instituciones deben</w:t>
      </w:r>
      <w:r>
        <w:rPr>
          <w:rFonts w:ascii="Times New Roman" w:hAnsi="Times New Roman" w:cs="Times New Roman"/>
          <w:sz w:val="24"/>
          <w:szCs w:val="24"/>
        </w:rPr>
        <w:t xml:space="preserve"> tener al clima como prioridad.</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Progreso y libertad es poder vivir del trabajo y, para crear empleo, Europa debe ser previsora. Para ello, no solo debe regular a los gigantes del sector digital, creando una supervisión europea de grandes plataformas (sanciones aceleradas para las infracciones de las normas de la competencia, transparencia de algoritmos, etc.), sino también financiar la innovación asignando al nuevo Consejo Europeo de Innovación un presupuesto comparable al de Estados Unidos para liderar las nuevas rupturas tecnológicas c</w:t>
      </w:r>
      <w:r>
        <w:rPr>
          <w:rFonts w:ascii="Times New Roman" w:hAnsi="Times New Roman" w:cs="Times New Roman"/>
          <w:sz w:val="24"/>
          <w:szCs w:val="24"/>
        </w:rPr>
        <w:t>omo la inteligencia artificial.</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Una Europa que se proyecta hacia el resto del mundo debe mirar a África, con quien debemos sellar un pacto de futuro, asumiendo un destino común y apoyando su desarrollo de forma ambiciosa y no defensiva con inversión, colaboración universitaria, educación</w:t>
      </w:r>
      <w:r>
        <w:rPr>
          <w:rFonts w:ascii="Times New Roman" w:hAnsi="Times New Roman" w:cs="Times New Roman"/>
          <w:sz w:val="24"/>
          <w:szCs w:val="24"/>
        </w:rPr>
        <w:t xml:space="preserve"> y formación de las niñas, etc.</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Libertad, protección, progreso. Sobre estos pilares debemos construir el Renacimiento Europeo. No podemos dejar que los nacionalistas sin propuestas exploten la rabia de los pueblos. No podemos ser los sonámbulos de una Europa lánguida. No podemos estancarnos en la rutina y el encantamiento. El humanismo europeo exige acción y por todas partes los ciudadanos están pidiendo participar en el cambio. Así pues, antes de finales de año, organicemos una Conferencia para Europa,junto a los representantes de las instituciones europeas y los Estados, con el fin de proponer todos los cambios necesarios para nuestro proyecto político, sin tabúes, ni siquiera revisar los tratados. Dicha conferencia deberá incluir a paneles de ciudadanos y dar voz a universitarios, interlocutores sociales y representantes religiosos y espirituales. En ella se definirá una hoja de ruta para la Unión Europea que traduzca estas grandes prioridades en acciones concretas. Tendremos discrepancias, pero ¿qué es mejor, una Europa estancada o una Europa que avanza a veces a ritmos diferentes, man</w:t>
      </w:r>
      <w:r>
        <w:rPr>
          <w:rFonts w:ascii="Times New Roman" w:hAnsi="Times New Roman" w:cs="Times New Roman"/>
          <w:sz w:val="24"/>
          <w:szCs w:val="24"/>
        </w:rPr>
        <w:t>teniéndose abierta al exterior?</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En esta Europa, los pueblos habrán recuperado realmente el control de su destino. En esta Europa, estoy seguro de que el R</w:t>
      </w:r>
      <w:r>
        <w:rPr>
          <w:rFonts w:ascii="Times New Roman" w:hAnsi="Times New Roman" w:cs="Times New Roman"/>
          <w:sz w:val="24"/>
          <w:szCs w:val="24"/>
        </w:rPr>
        <w:t>eino Unido encontrará su lugar.</w:t>
      </w:r>
    </w:p>
    <w:p w:rsidR="004B402F" w:rsidRPr="00112430" w:rsidRDefault="004B402F" w:rsidP="004B402F">
      <w:pPr>
        <w:spacing w:line="240" w:lineRule="auto"/>
        <w:jc w:val="both"/>
        <w:rPr>
          <w:rFonts w:ascii="Times New Roman" w:hAnsi="Times New Roman" w:cs="Times New Roman"/>
          <w:sz w:val="24"/>
          <w:szCs w:val="24"/>
        </w:rPr>
      </w:pPr>
      <w:r w:rsidRPr="00112430">
        <w:rPr>
          <w:rFonts w:ascii="Times New Roman" w:hAnsi="Times New Roman" w:cs="Times New Roman"/>
          <w:sz w:val="24"/>
          <w:szCs w:val="24"/>
        </w:rPr>
        <w:t>Ciudadanos de Europa: el impasse del Brexit nos sirve de lección a todos. Salgamos de esta trampa y démosle un sentido a las próximas elecciones y a nuestro proyecto. Ustedes deciden si Europa y los valores de progreso que representa deben ser algo más que un paréntesis en la historia. Esta es la propuesta que les hago para trazar juntos el camino del Ren</w:t>
      </w:r>
      <w:r>
        <w:rPr>
          <w:rFonts w:ascii="Times New Roman" w:hAnsi="Times New Roman" w:cs="Times New Roman"/>
          <w:sz w:val="24"/>
          <w:szCs w:val="24"/>
        </w:rPr>
        <w:t>acimiento Europeo.</w:t>
      </w:r>
    </w:p>
    <w:p w:rsidR="004B402F" w:rsidRDefault="004B402F" w:rsidP="004B402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112430">
        <w:rPr>
          <w:rFonts w:ascii="Times New Roman" w:hAnsi="Times New Roman" w:cs="Times New Roman"/>
          <w:sz w:val="24"/>
          <w:szCs w:val="24"/>
          <w:lang w:val="en-US"/>
        </w:rPr>
        <w:t>Emmanue</w:t>
      </w:r>
      <w:r>
        <w:rPr>
          <w:rFonts w:ascii="Times New Roman" w:hAnsi="Times New Roman" w:cs="Times New Roman"/>
          <w:sz w:val="24"/>
          <w:szCs w:val="24"/>
          <w:lang w:val="en-US"/>
        </w:rPr>
        <w:t>l Macron is President of France)</w:t>
      </w:r>
    </w:p>
    <w:p w:rsidR="004B402F" w:rsidRPr="00554672" w:rsidRDefault="004B402F" w:rsidP="004B402F">
      <w:pPr>
        <w:spacing w:line="240" w:lineRule="auto"/>
        <w:jc w:val="both"/>
        <w:rPr>
          <w:rFonts w:ascii="Times New Roman" w:hAnsi="Times New Roman" w:cs="Times New Roman"/>
          <w:sz w:val="24"/>
          <w:szCs w:val="24"/>
          <w:lang w:val="en-US"/>
        </w:rPr>
      </w:pPr>
    </w:p>
    <w:p w:rsidR="004B402F" w:rsidRPr="00554672" w:rsidRDefault="004B402F" w:rsidP="004B402F">
      <w:pPr>
        <w:spacing w:line="240" w:lineRule="auto"/>
        <w:jc w:val="both"/>
        <w:rPr>
          <w:rFonts w:ascii="Times New Roman" w:hAnsi="Times New Roman" w:cs="Times New Roman"/>
          <w:sz w:val="24"/>
          <w:szCs w:val="24"/>
          <w:lang w:val="en-US"/>
        </w:rPr>
      </w:pPr>
    </w:p>
    <w:p w:rsidR="004B402F" w:rsidRPr="004B402F" w:rsidRDefault="004B402F" w:rsidP="004B402F">
      <w:pPr>
        <w:spacing w:line="240" w:lineRule="auto"/>
        <w:jc w:val="both"/>
        <w:rPr>
          <w:rFonts w:ascii="Times New Roman" w:hAnsi="Times New Roman" w:cs="Times New Roman"/>
          <w:color w:val="FF0000"/>
          <w:sz w:val="24"/>
          <w:szCs w:val="24"/>
        </w:rPr>
      </w:pPr>
      <w:r w:rsidRPr="004B402F">
        <w:rPr>
          <w:rFonts w:ascii="Times New Roman" w:hAnsi="Times New Roman" w:cs="Times New Roman"/>
          <w:sz w:val="24"/>
          <w:szCs w:val="24"/>
        </w:rPr>
        <w:t xml:space="preserve">- </w:t>
      </w:r>
      <w:r w:rsidRPr="004B402F">
        <w:rPr>
          <w:rFonts w:ascii="Times New Roman" w:hAnsi="Times New Roman" w:cs="Times New Roman"/>
          <w:sz w:val="24"/>
          <w:szCs w:val="24"/>
          <w:u w:val="single"/>
        </w:rPr>
        <w:t>Por qué las próximas elecciones europeas podrían determinar el futuro del euro</w:t>
      </w:r>
      <w:r w:rsidRPr="004B402F">
        <w:rPr>
          <w:rFonts w:ascii="Times New Roman" w:hAnsi="Times New Roman" w:cs="Times New Roman"/>
          <w:sz w:val="24"/>
          <w:szCs w:val="24"/>
        </w:rPr>
        <w:t xml:space="preserve"> (Libertad Digital - </w:t>
      </w:r>
      <w:r w:rsidRPr="004B402F">
        <w:rPr>
          <w:rFonts w:ascii="Times New Roman" w:hAnsi="Times New Roman" w:cs="Times New Roman"/>
          <w:b/>
          <w:sz w:val="24"/>
          <w:szCs w:val="24"/>
        </w:rPr>
        <w:t>10/3/19</w:t>
      </w:r>
      <w:r w:rsidRPr="004B402F">
        <w:rPr>
          <w:rFonts w:ascii="Times New Roman" w:hAnsi="Times New Roman" w:cs="Times New Roman"/>
          <w:sz w:val="24"/>
          <w:szCs w:val="24"/>
        </w:rPr>
        <w:t xml:space="preserve">) </w:t>
      </w:r>
    </w:p>
    <w:p w:rsidR="004B402F" w:rsidRPr="001E22E4" w:rsidRDefault="004B402F" w:rsidP="004B402F">
      <w:pPr>
        <w:spacing w:line="240" w:lineRule="auto"/>
        <w:jc w:val="both"/>
        <w:rPr>
          <w:rFonts w:ascii="Times New Roman" w:hAnsi="Times New Roman" w:cs="Times New Roman"/>
          <w:sz w:val="24"/>
          <w:szCs w:val="24"/>
        </w:rPr>
      </w:pPr>
      <w:r w:rsidRPr="001E22E4">
        <w:rPr>
          <w:rFonts w:ascii="Times New Roman" w:hAnsi="Times New Roman" w:cs="Times New Roman"/>
          <w:sz w:val="24"/>
          <w:szCs w:val="24"/>
        </w:rPr>
        <w:t>La japonización de Europa está en marcha y la reforma del estado del bienestar será la clave para salir del atolladero.</w:t>
      </w:r>
    </w:p>
    <w:p w:rsidR="004B402F" w:rsidRPr="001E22E4" w:rsidRDefault="004B402F" w:rsidP="004B402F">
      <w:pPr>
        <w:spacing w:line="240" w:lineRule="auto"/>
        <w:jc w:val="both"/>
        <w:rPr>
          <w:rFonts w:ascii="Times New Roman" w:hAnsi="Times New Roman" w:cs="Times New Roman"/>
          <w:sz w:val="24"/>
          <w:szCs w:val="24"/>
        </w:rPr>
      </w:pPr>
      <w:r w:rsidRPr="001E22E4">
        <w:rPr>
          <w:rFonts w:ascii="Times New Roman" w:hAnsi="Times New Roman" w:cs="Times New Roman"/>
          <w:sz w:val="24"/>
          <w:szCs w:val="24"/>
        </w:rPr>
        <w:t xml:space="preserve">(Por Daniel Rodríguez Asensio Seguir) </w:t>
      </w:r>
    </w:p>
    <w:p w:rsidR="004B402F" w:rsidRPr="001E22E4" w:rsidRDefault="004B402F" w:rsidP="004B402F">
      <w:pPr>
        <w:pStyle w:val="NormalWeb"/>
        <w:shd w:val="clear" w:color="auto" w:fill="FFFFFF"/>
        <w:spacing w:before="0" w:beforeAutospacing="0" w:after="0" w:afterAutospacing="0"/>
        <w:jc w:val="both"/>
        <w:textAlignment w:val="baseline"/>
        <w:rPr>
          <w:u w:val="single"/>
          <w:bdr w:val="none" w:sz="0" w:space="0" w:color="auto" w:frame="1"/>
        </w:rPr>
      </w:pPr>
      <w:r w:rsidRPr="001E22E4">
        <w:rPr>
          <w:u w:val="single"/>
          <w:bdr w:val="none" w:sz="0" w:space="0" w:color="auto" w:frame="1"/>
        </w:rPr>
        <w:t>La OCDE -y ahora también el BCE- ya ha hecho público lo que todo el mundo pensaba:</w:t>
      </w:r>
      <w:r w:rsidRPr="001E22E4">
        <w:rPr>
          <w:rStyle w:val="Textoennegrita"/>
          <w:u w:val="single"/>
          <w:bdr w:val="none" w:sz="0" w:space="0" w:color="auto" w:frame="1"/>
        </w:rPr>
        <w:t xml:space="preserve"> la desaceleración en Europa se agrava </w:t>
      </w:r>
      <w:r w:rsidRPr="001E22E4">
        <w:rPr>
          <w:u w:val="single"/>
          <w:bdr w:val="none" w:sz="0" w:space="0" w:color="auto" w:frame="1"/>
        </w:rPr>
        <w:t>y el viejo continente será uno de los frenos más importantes para el crecimiento mundial en 2019</w:t>
      </w:r>
      <w:r w:rsidRPr="001E22E4">
        <w:rPr>
          <w:bdr w:val="none" w:sz="0" w:space="0" w:color="auto" w:frame="1"/>
        </w:rPr>
        <w:t xml:space="preserve">. La rebaja en las estimaciones de crecimiento es contundente. </w:t>
      </w:r>
      <w:r w:rsidRPr="001E22E4">
        <w:rPr>
          <w:u w:val="single"/>
          <w:bdr w:val="none" w:sz="0" w:space="0" w:color="auto" w:frame="1"/>
        </w:rPr>
        <w:t>En sólo cuatro meses la capacidad de crecimiento de la economía europea se ha deteriorado en ocho décimas. La peor evolución desde 2009.</w:t>
      </w:r>
    </w:p>
    <w:p w:rsidR="004B402F" w:rsidRPr="001E22E4" w:rsidRDefault="004B402F" w:rsidP="004B402F">
      <w:pPr>
        <w:pStyle w:val="NormalWeb"/>
        <w:shd w:val="clear" w:color="auto" w:fill="FFFFFF"/>
        <w:spacing w:before="0" w:beforeAutospacing="0" w:after="0" w:afterAutospacing="0"/>
        <w:jc w:val="both"/>
        <w:textAlignment w:val="baseline"/>
        <w:rPr>
          <w:u w:val="single"/>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u w:val="single"/>
          <w:bdr w:val="none" w:sz="0" w:space="0" w:color="auto" w:frame="1"/>
        </w:rPr>
      </w:pPr>
      <w:r w:rsidRPr="001E22E4">
        <w:rPr>
          <w:bdr w:val="none" w:sz="0" w:space="0" w:color="auto" w:frame="1"/>
        </w:rPr>
        <w:t>La economía europea crecerá, en el mejor de los escenarios, al </w:t>
      </w:r>
      <w:r w:rsidRPr="001E22E4">
        <w:rPr>
          <w:rStyle w:val="Textoennegrita"/>
          <w:bdr w:val="none" w:sz="0" w:space="0" w:color="auto" w:frame="1"/>
        </w:rPr>
        <w:t>1% en 2019. </w:t>
      </w:r>
      <w:r w:rsidRPr="001E22E4">
        <w:rPr>
          <w:bdr w:val="none" w:sz="0" w:space="0" w:color="auto" w:frame="1"/>
        </w:rPr>
        <w:t xml:space="preserve">Y esto, siempre que se produzca un brexit blando -recuerden que a menos de un mes para que Reino Unido salga, seguimos sin acuerdo- y no haya sorpresas a la baja. O, lo que es lo mismo, </w:t>
      </w:r>
      <w:r w:rsidRPr="001E22E4">
        <w:rPr>
          <w:u w:val="single"/>
          <w:bdr w:val="none" w:sz="0" w:space="0" w:color="auto" w:frame="1"/>
        </w:rPr>
        <w:t>estamos </w:t>
      </w:r>
      <w:r w:rsidRPr="001E22E4">
        <w:rPr>
          <w:rStyle w:val="Textoennegrita"/>
          <w:u w:val="single"/>
          <w:bdr w:val="none" w:sz="0" w:space="0" w:color="auto" w:frame="1"/>
        </w:rPr>
        <w:t>condenados al estancamiento económico</w:t>
      </w:r>
      <w:r w:rsidRPr="001E22E4">
        <w:rPr>
          <w:bdr w:val="none" w:sz="0" w:space="0" w:color="auto" w:frame="1"/>
        </w:rPr>
        <w:t xml:space="preserve">. </w:t>
      </w:r>
      <w:r w:rsidRPr="001E22E4">
        <w:rPr>
          <w:u w:val="single"/>
          <w:bdr w:val="none" w:sz="0" w:space="0" w:color="auto" w:frame="1"/>
        </w:rPr>
        <w:t>La japonización de Europa está en marcha y la defensa del estado de bienestar, el mayor estandarte del viejo continente, será la clave para construir una zona económica próspera o, por el contrario, condenarnos a un socialismo estéril en el que las libertades brillen por su ausencia.</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1E22E4">
        <w:rPr>
          <w:rFonts w:ascii="Times New Roman" w:hAnsi="Times New Roman" w:cs="Times New Roman"/>
          <w:noProof/>
          <w:sz w:val="24"/>
          <w:szCs w:val="24"/>
          <w:bdr w:val="none" w:sz="0" w:space="0" w:color="auto" w:frame="1"/>
          <w:lang w:val="en-GB" w:eastAsia="en-GB"/>
        </w:rPr>
        <w:drawing>
          <wp:inline distT="0" distB="0" distL="0" distR="0">
            <wp:extent cx="5734050" cy="3073400"/>
            <wp:effectExtent l="0" t="0" r="0" b="0"/>
            <wp:docPr id="44" name="Imagen 44" descr="pareu1.jpg">
              <a:hlinkClick xmlns:a="http://schemas.openxmlformats.org/drawingml/2006/main" r:id="rId12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reu1.jpg">
                      <a:hlinkClick r:id="rId124" tooltip="&quot;&quot;"/>
                    </pic:cNvPr>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073400"/>
                    </a:xfrm>
                    <a:prstGeom prst="rect">
                      <a:avLst/>
                    </a:prstGeom>
                    <a:noFill/>
                    <a:ln>
                      <a:noFill/>
                    </a:ln>
                  </pic:spPr>
                </pic:pic>
              </a:graphicData>
            </a:graphic>
          </wp:inline>
        </w:drawing>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r w:rsidRPr="001E22E4">
        <w:rPr>
          <w:bdr w:val="none" w:sz="0" w:space="0" w:color="auto" w:frame="1"/>
        </w:rPr>
        <w:t xml:space="preserve">En medio de una desaceleración sin visos de solucionarse, se producirán </w:t>
      </w:r>
      <w:r w:rsidRPr="001E22E4">
        <w:rPr>
          <w:u w:val="single"/>
          <w:bdr w:val="none" w:sz="0" w:space="0" w:color="auto" w:frame="1"/>
        </w:rPr>
        <w:t>las</w:t>
      </w:r>
      <w:r w:rsidRPr="001E22E4">
        <w:rPr>
          <w:rStyle w:val="Textoennegrita"/>
          <w:u w:val="single"/>
          <w:bdr w:val="none" w:sz="0" w:space="0" w:color="auto" w:frame="1"/>
        </w:rPr>
        <w:t> elecciones al Parlamento europeo</w:t>
      </w:r>
      <w:r w:rsidRPr="001E22E4">
        <w:rPr>
          <w:u w:val="single"/>
          <w:bdr w:val="none" w:sz="0" w:space="0" w:color="auto" w:frame="1"/>
        </w:rPr>
        <w:t>,</w:t>
      </w:r>
      <w:r w:rsidRPr="001E22E4">
        <w:rPr>
          <w:bdr w:val="none" w:sz="0" w:space="0" w:color="auto" w:frame="1"/>
        </w:rPr>
        <w:t xml:space="preserve"> coincidiendo con las municipales y autonómicas. Y lo cierto es que son unos comicios muy relevantes para el porvenir del país. Durante los próximos años no sólo habrá que lidiar con una desaceleración que podría convertirse en recesión -si sigue mal gestionada-, y algo muy relevante que debemos tener en cuenta a la hora de votar: el </w:t>
      </w:r>
      <w:r w:rsidRPr="001E22E4">
        <w:rPr>
          <w:rStyle w:val="Textoennegrita"/>
          <w:u w:val="single"/>
          <w:bdr w:val="none" w:sz="0" w:space="0" w:color="auto" w:frame="1"/>
        </w:rPr>
        <w:t>marco presupuestario</w:t>
      </w:r>
      <w:r w:rsidRPr="001E22E4">
        <w:rPr>
          <w:rStyle w:val="Textoennegrita"/>
          <w:bdr w:val="none" w:sz="0" w:space="0" w:color="auto" w:frame="1"/>
        </w:rPr>
        <w:t> </w:t>
      </w:r>
      <w:r w:rsidRPr="001E22E4">
        <w:rPr>
          <w:bdr w:val="none" w:sz="0" w:space="0" w:color="auto" w:frame="1"/>
        </w:rPr>
        <w:t>de la Unión Europea.</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r w:rsidRPr="001E22E4">
        <w:rPr>
          <w:bdr w:val="none" w:sz="0" w:space="0" w:color="auto" w:frame="1"/>
        </w:rPr>
        <w:t>La negociación del marco presupuestario se produce por períodos de seis años. El último fue aprobado para el </w:t>
      </w:r>
      <w:r w:rsidRPr="001E22E4">
        <w:rPr>
          <w:rStyle w:val="Textoennegrita"/>
          <w:u w:val="single"/>
          <w:bdr w:val="none" w:sz="0" w:space="0" w:color="auto" w:frame="1"/>
        </w:rPr>
        <w:t>período 2014-2020</w:t>
      </w:r>
      <w:r w:rsidRPr="001E22E4">
        <w:rPr>
          <w:bdr w:val="none" w:sz="0" w:space="0" w:color="auto" w:frame="1"/>
        </w:rPr>
        <w:t>. O, lo que es lo mismo, los responsables políticos elegidos en democracia tendrán la responsabilidad de dar a conocer el presupuesto para una Unión Europea capaz de prosperar hasta 2027. El reto no es menor. Estamos hablando de convertir una </w:t>
      </w:r>
      <w:r w:rsidRPr="001E22E4">
        <w:rPr>
          <w:rStyle w:val="Textoennegrita"/>
          <w:u w:val="single"/>
          <w:bdr w:val="none" w:sz="0" w:space="0" w:color="auto" w:frame="1"/>
        </w:rPr>
        <w:t>Europa momificada y burocratizada</w:t>
      </w:r>
      <w:r w:rsidRPr="001E22E4">
        <w:rPr>
          <w:bdr w:val="none" w:sz="0" w:space="0" w:color="auto" w:frame="1"/>
        </w:rPr>
        <w:t> hasta los límites del estancamiento económico en la región próspera que tradicionalmente ha sido. Para lograrlo, el marco presupuestario aprobado tendrá un papel principal.</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Default="004B402F" w:rsidP="004B402F">
      <w:pPr>
        <w:pStyle w:val="NormalWeb"/>
        <w:shd w:val="clear" w:color="auto" w:fill="FFFFFF"/>
        <w:spacing w:before="0" w:beforeAutospacing="0" w:after="0" w:afterAutospacing="0"/>
        <w:jc w:val="both"/>
        <w:textAlignment w:val="baseline"/>
        <w:rPr>
          <w:rStyle w:val="Textoennegrita"/>
          <w:bdr w:val="none" w:sz="0" w:space="0" w:color="auto" w:frame="1"/>
        </w:rPr>
      </w:pPr>
      <w:r w:rsidRPr="001E22E4">
        <w:rPr>
          <w:bdr w:val="none" w:sz="0" w:space="0" w:color="auto" w:frame="1"/>
        </w:rPr>
        <w:t>Durante los últimos años, el 74% del presupuesto público -1 billón de euros acumulados para los seis años- se ha ido en </w:t>
      </w:r>
      <w:r w:rsidRPr="001E22E4">
        <w:rPr>
          <w:rStyle w:val="Textoennegrita"/>
          <w:b w:val="0"/>
          <w:bdr w:val="none" w:sz="0" w:space="0" w:color="auto" w:frame="1"/>
        </w:rPr>
        <w:t>políticas de</w:t>
      </w:r>
      <w:r w:rsidRPr="001E22E4">
        <w:rPr>
          <w:rStyle w:val="Textoennegrita"/>
          <w:bdr w:val="none" w:sz="0" w:space="0" w:color="auto" w:frame="1"/>
        </w:rPr>
        <w:t> </w:t>
      </w:r>
      <w:r w:rsidRPr="001E22E4">
        <w:rPr>
          <w:rStyle w:val="nfasis"/>
          <w:rFonts w:eastAsiaTheme="majorEastAsia"/>
          <w:bdr w:val="none" w:sz="0" w:space="0" w:color="auto" w:frame="1"/>
        </w:rPr>
        <w:t>notable éxito</w:t>
      </w:r>
      <w:r w:rsidRPr="001E22E4">
        <w:rPr>
          <w:bdr w:val="none" w:sz="0" w:space="0" w:color="auto" w:frame="1"/>
        </w:rPr>
        <w:t> -modo irónico ON- como la PAC o las políticas de cohesión territorial en Europa. En total, casi 800.000 millones de euros destinados a generar</w:t>
      </w:r>
      <w:r w:rsidRPr="001E22E4">
        <w:rPr>
          <w:rStyle w:val="Textoennegrita"/>
          <w:bdr w:val="none" w:sz="0" w:space="0" w:color="auto" w:frame="1"/>
        </w:rPr>
        <w:t> </w:t>
      </w:r>
      <w:r w:rsidRPr="001E22E4">
        <w:rPr>
          <w:rStyle w:val="Textoennegrita"/>
          <w:b w:val="0"/>
          <w:bdr w:val="none" w:sz="0" w:space="0" w:color="auto" w:frame="1"/>
        </w:rPr>
        <w:t>desincentivos a la innovación</w:t>
      </w:r>
      <w:r w:rsidRPr="001E22E4">
        <w:rPr>
          <w:bdr w:val="none" w:sz="0" w:space="0" w:color="auto" w:frame="1"/>
        </w:rPr>
        <w:t> en un sector estratégico como es el agrario, a levantar barreras no arancelarias para el sector exterior o a construir un sinfín de infraestructuras vacías -carreteras, aeropuertos, etc.-, cuyo principal efecto ha sido el </w:t>
      </w:r>
      <w:r w:rsidRPr="001E22E4">
        <w:rPr>
          <w:rStyle w:val="Textoennegrita"/>
          <w:b w:val="0"/>
          <w:bdr w:val="none" w:sz="0" w:space="0" w:color="auto" w:frame="1"/>
        </w:rPr>
        <w:t>endeudamiento improductivo</w:t>
      </w:r>
      <w:r w:rsidRPr="001E22E4">
        <w:rPr>
          <w:rStyle w:val="Textoennegrita"/>
          <w:bdr w:val="none" w:sz="0" w:space="0" w:color="auto" w:frame="1"/>
        </w:rPr>
        <w:t>.</w:t>
      </w:r>
    </w:p>
    <w:p w:rsidR="001E22E4" w:rsidRPr="001E22E4" w:rsidRDefault="001E22E4"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1E22E4">
        <w:rPr>
          <w:rFonts w:ascii="Times New Roman" w:hAnsi="Times New Roman" w:cs="Times New Roman"/>
          <w:noProof/>
          <w:sz w:val="24"/>
          <w:szCs w:val="24"/>
          <w:bdr w:val="none" w:sz="0" w:space="0" w:color="auto" w:frame="1"/>
          <w:lang w:val="en-GB" w:eastAsia="en-GB"/>
        </w:rPr>
        <w:drawing>
          <wp:inline distT="0" distB="0" distL="0" distR="0">
            <wp:extent cx="5715000" cy="3638550"/>
            <wp:effectExtent l="0" t="0" r="0" b="0"/>
            <wp:docPr id="47" name="Imagen 47" descr="pareu2.jpg">
              <a:hlinkClick xmlns:a="http://schemas.openxmlformats.org/drawingml/2006/main" r:id="rId12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reu2.jpg">
                      <a:hlinkClick r:id="rId126" tooltip="&quot;&quot;"/>
                    </pic:cNvPr>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3638550"/>
                    </a:xfrm>
                    <a:prstGeom prst="rect">
                      <a:avLst/>
                    </a:prstGeom>
                    <a:noFill/>
                    <a:ln>
                      <a:noFill/>
                    </a:ln>
                  </pic:spPr>
                </pic:pic>
              </a:graphicData>
            </a:graphic>
          </wp:inline>
        </w:drawing>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rStyle w:val="Textoennegrita"/>
          <w:bdr w:val="none" w:sz="0" w:space="0" w:color="auto" w:frame="1"/>
        </w:rPr>
      </w:pPr>
      <w:r w:rsidRPr="001E22E4">
        <w:rPr>
          <w:bdr w:val="none" w:sz="0" w:space="0" w:color="auto" w:frame="1"/>
        </w:rPr>
        <w:t>Para el período 2021-2027 tenemos que esperar </w:t>
      </w:r>
      <w:r w:rsidRPr="001E22E4">
        <w:rPr>
          <w:rStyle w:val="Textoennegrita"/>
          <w:bdr w:val="none" w:sz="0" w:space="0" w:color="auto" w:frame="1"/>
        </w:rPr>
        <w:t>dos cambios fundamentales:</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numPr>
          <w:ilvl w:val="0"/>
          <w:numId w:val="7"/>
        </w:numPr>
        <w:shd w:val="clear" w:color="auto" w:fill="FFFFFF"/>
        <w:spacing w:after="0" w:line="240" w:lineRule="auto"/>
        <w:ind w:left="360"/>
        <w:jc w:val="both"/>
        <w:textAlignment w:val="baseline"/>
        <w:rPr>
          <w:rFonts w:ascii="Times New Roman" w:hAnsi="Times New Roman" w:cs="Times New Roman"/>
          <w:sz w:val="24"/>
          <w:szCs w:val="24"/>
          <w:bdr w:val="none" w:sz="0" w:space="0" w:color="auto" w:frame="1"/>
        </w:rPr>
      </w:pPr>
      <w:r w:rsidRPr="001E22E4">
        <w:rPr>
          <w:rFonts w:ascii="Times New Roman" w:hAnsi="Times New Roman" w:cs="Times New Roman"/>
          <w:sz w:val="24"/>
          <w:szCs w:val="24"/>
          <w:bdr w:val="none" w:sz="0" w:space="0" w:color="auto" w:frame="1"/>
        </w:rPr>
        <w:t>En primer lugar, </w:t>
      </w:r>
      <w:r w:rsidRPr="001E22E4">
        <w:rPr>
          <w:rStyle w:val="Textoennegrita"/>
          <w:rFonts w:ascii="Times New Roman" w:hAnsi="Times New Roman" w:cs="Times New Roman"/>
          <w:sz w:val="24"/>
          <w:szCs w:val="24"/>
          <w:u w:val="single"/>
          <w:bdr w:val="none" w:sz="0" w:space="0" w:color="auto" w:frame="1"/>
        </w:rPr>
        <w:t>Reino Unido abandonará la Unión Europea</w:t>
      </w:r>
      <w:r w:rsidRPr="001E22E4">
        <w:rPr>
          <w:rFonts w:ascii="Times New Roman" w:hAnsi="Times New Roman" w:cs="Times New Roman"/>
          <w:sz w:val="24"/>
          <w:szCs w:val="24"/>
          <w:bdr w:val="none" w:sz="0" w:space="0" w:color="auto" w:frame="1"/>
        </w:rPr>
        <w:t>. Veremos de qué manera, pero el segundo contribuyente neto al presupuesto comunitario sale de las instituciones comunitarias.</w:t>
      </w:r>
    </w:p>
    <w:p w:rsidR="004B402F" w:rsidRPr="001E22E4" w:rsidRDefault="004B402F" w:rsidP="004B402F">
      <w:pPr>
        <w:numPr>
          <w:ilvl w:val="0"/>
          <w:numId w:val="7"/>
        </w:numPr>
        <w:shd w:val="clear" w:color="auto" w:fill="FFFFFF"/>
        <w:spacing w:after="0" w:line="240" w:lineRule="auto"/>
        <w:ind w:left="360"/>
        <w:jc w:val="both"/>
        <w:textAlignment w:val="baseline"/>
        <w:rPr>
          <w:rFonts w:ascii="Times New Roman" w:hAnsi="Times New Roman" w:cs="Times New Roman"/>
          <w:sz w:val="24"/>
          <w:szCs w:val="24"/>
          <w:u w:val="single"/>
          <w:bdr w:val="none" w:sz="0" w:space="0" w:color="auto" w:frame="1"/>
        </w:rPr>
      </w:pPr>
      <w:r w:rsidRPr="001E22E4">
        <w:rPr>
          <w:rFonts w:ascii="Times New Roman" w:hAnsi="Times New Roman" w:cs="Times New Roman"/>
          <w:sz w:val="24"/>
          <w:szCs w:val="24"/>
          <w:bdr w:val="none" w:sz="0" w:space="0" w:color="auto" w:frame="1"/>
        </w:rPr>
        <w:t>Y, por otra parte, la previsión de gastos es al alza. Los </w:t>
      </w:r>
      <w:r w:rsidRPr="001E22E4">
        <w:rPr>
          <w:rStyle w:val="Textoennegrita"/>
          <w:rFonts w:ascii="Times New Roman" w:hAnsi="Times New Roman" w:cs="Times New Roman"/>
          <w:sz w:val="24"/>
          <w:szCs w:val="24"/>
          <w:u w:val="single"/>
          <w:bdr w:val="none" w:sz="0" w:space="0" w:color="auto" w:frame="1"/>
        </w:rPr>
        <w:t>macroplanes de estímulo fiscal</w:t>
      </w:r>
      <w:r w:rsidRPr="001E22E4">
        <w:rPr>
          <w:rFonts w:ascii="Times New Roman" w:hAnsi="Times New Roman" w:cs="Times New Roman"/>
          <w:sz w:val="24"/>
          <w:szCs w:val="24"/>
          <w:bdr w:val="none" w:sz="0" w:space="0" w:color="auto" w:frame="1"/>
        </w:rPr>
        <w:t> ya comienzan a sonar en los mentideros europeos. Lo que tradicionalmente han sido inyecciones masivas de recursos con cargo a deuda ahora le pondrán el adjetivo “verde” y seguirán pretendiendo sablear su bolsillo y el mío, además de aplanar aún más el encefalograma que refleja la economía europea. Macron ya ha escrito una carta a sus socios europeos hablando de </w:t>
      </w:r>
      <w:r w:rsidRPr="001E22E4">
        <w:rPr>
          <w:rStyle w:val="Textoennegrita"/>
          <w:rFonts w:ascii="Times New Roman" w:hAnsi="Times New Roman" w:cs="Times New Roman"/>
          <w:sz w:val="24"/>
          <w:szCs w:val="24"/>
          <w:bdr w:val="none" w:sz="0" w:space="0" w:color="auto" w:frame="1"/>
        </w:rPr>
        <w:t>“</w:t>
      </w:r>
      <w:r w:rsidRPr="001E22E4">
        <w:rPr>
          <w:rStyle w:val="Textoennegrita"/>
          <w:rFonts w:ascii="Times New Roman" w:hAnsi="Times New Roman" w:cs="Times New Roman"/>
          <w:sz w:val="24"/>
          <w:szCs w:val="24"/>
          <w:u w:val="single"/>
          <w:bdr w:val="none" w:sz="0" w:space="0" w:color="auto" w:frame="1"/>
        </w:rPr>
        <w:t>defensa de industrias estratégicas”</w:t>
      </w:r>
      <w:r w:rsidRPr="001E22E4">
        <w:rPr>
          <w:rFonts w:ascii="Times New Roman" w:hAnsi="Times New Roman" w:cs="Times New Roman"/>
          <w:sz w:val="24"/>
          <w:szCs w:val="24"/>
          <w:u w:val="single"/>
          <w:bdr w:val="none" w:sz="0" w:space="0" w:color="auto" w:frame="1"/>
        </w:rPr>
        <w:t>, de “preferencia europea” y de crear un Banco Europeo del clima para financiar la transición ecológica.</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r w:rsidRPr="001E22E4">
        <w:rPr>
          <w:bdr w:val="none" w:sz="0" w:space="0" w:color="auto" w:frame="1"/>
        </w:rPr>
        <w:t>El significado de estas frases tan grandilocuentes es el mismo que el</w:t>
      </w:r>
      <w:r w:rsidRPr="001E22E4">
        <w:rPr>
          <w:rStyle w:val="Textoennegrita"/>
          <w:bdr w:val="none" w:sz="0" w:space="0" w:color="auto" w:frame="1"/>
        </w:rPr>
        <w:t> </w:t>
      </w:r>
      <w:r w:rsidRPr="001E22E4">
        <w:rPr>
          <w:rStyle w:val="Textoennegrita"/>
          <w:b w:val="0"/>
          <w:bdr w:val="none" w:sz="0" w:space="0" w:color="auto" w:frame="1"/>
        </w:rPr>
        <w:t>Plan E de Zapatero,</w:t>
      </w:r>
      <w:r w:rsidRPr="001E22E4">
        <w:rPr>
          <w:b/>
          <w:bdr w:val="none" w:sz="0" w:space="0" w:color="auto" w:frame="1"/>
        </w:rPr>
        <w:t> </w:t>
      </w:r>
      <w:r w:rsidRPr="001E22E4">
        <w:rPr>
          <w:bdr w:val="none" w:sz="0" w:space="0" w:color="auto" w:frame="1"/>
        </w:rPr>
        <w:t>el</w:t>
      </w:r>
      <w:r w:rsidRPr="001E22E4">
        <w:rPr>
          <w:b/>
          <w:bdr w:val="none" w:sz="0" w:space="0" w:color="auto" w:frame="1"/>
        </w:rPr>
        <w:t> </w:t>
      </w:r>
      <w:r w:rsidR="009B039D" w:rsidRPr="001E22E4">
        <w:rPr>
          <w:rStyle w:val="Textoennegrita"/>
          <w:b w:val="0"/>
          <w:bdr w:val="none" w:sz="0" w:space="0" w:color="auto" w:frame="1"/>
        </w:rPr>
        <w:t xml:space="preserve">Plan </w:t>
      </w:r>
      <w:r w:rsidRPr="001E22E4">
        <w:rPr>
          <w:rStyle w:val="Textoennegrita"/>
          <w:b w:val="0"/>
          <w:bdr w:val="none" w:sz="0" w:space="0" w:color="auto" w:frame="1"/>
        </w:rPr>
        <w:t>Juncker</w:t>
      </w:r>
      <w:r w:rsidRPr="001E22E4">
        <w:rPr>
          <w:bdr w:val="none" w:sz="0" w:space="0" w:color="auto" w:frame="1"/>
        </w:rPr>
        <w:t> o los innumerables </w:t>
      </w:r>
      <w:r w:rsidRPr="001E22E4">
        <w:rPr>
          <w:rStyle w:val="nfasis"/>
          <w:rFonts w:eastAsiaTheme="majorEastAsia"/>
          <w:bdr w:val="none" w:sz="0" w:space="0" w:color="auto" w:frame="1"/>
        </w:rPr>
        <w:t>planes de estímulo</w:t>
      </w:r>
      <w:r w:rsidRPr="001E22E4">
        <w:rPr>
          <w:bdr w:val="none" w:sz="0" w:space="0" w:color="auto" w:frame="1"/>
        </w:rPr>
        <w:t> europeos: más proteccionismo, más impuestos, más deuda, menos innovación y menos prosperidad. ¿O es que acaso hemos olvidado que la gran recesión en Europa se produjo en 2012 como consecuencia de los macro programas de estímulo permitidos desde la burocracia europea a nivel nacional?</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1E22E4">
        <w:rPr>
          <w:rFonts w:ascii="Times New Roman" w:hAnsi="Times New Roman" w:cs="Times New Roman"/>
          <w:noProof/>
          <w:sz w:val="24"/>
          <w:szCs w:val="24"/>
          <w:bdr w:val="none" w:sz="0" w:space="0" w:color="auto" w:frame="1"/>
          <w:lang w:val="en-GB" w:eastAsia="en-GB"/>
        </w:rPr>
        <w:drawing>
          <wp:inline distT="0" distB="0" distL="0" distR="0">
            <wp:extent cx="5613400" cy="4616450"/>
            <wp:effectExtent l="0" t="0" r="6350" b="0"/>
            <wp:docPr id="49" name="Imagen 49" descr="pareu3.jpg">
              <a:hlinkClick xmlns:a="http://schemas.openxmlformats.org/drawingml/2006/main" r:id="rId1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eu3.jpg">
                      <a:hlinkClick r:id="rId128" tooltip="&quot;&quot;"/>
                    </pic:cNvPr>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3400" cy="4616450"/>
                    </a:xfrm>
                    <a:prstGeom prst="rect">
                      <a:avLst/>
                    </a:prstGeom>
                    <a:noFill/>
                    <a:ln>
                      <a:noFill/>
                    </a:ln>
                  </pic:spPr>
                </pic:pic>
              </a:graphicData>
            </a:graphic>
          </wp:inline>
        </w:drawing>
      </w:r>
    </w:p>
    <w:p w:rsidR="004B402F" w:rsidRPr="001E22E4" w:rsidRDefault="004B402F" w:rsidP="004B402F">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1E22E4">
        <w:rPr>
          <w:bdr w:val="none" w:sz="0" w:space="0" w:color="auto" w:frame="1"/>
        </w:rPr>
        <w:t>La colección de impuestos verdes, amarillos, grises y del arco iris va a ser estudiada en los manuales de economía como una política fallida que nunca deberá repetirse. La </w:t>
      </w:r>
      <w:hyperlink r:id="rId130" w:history="1">
        <w:r w:rsidRPr="001E22E4">
          <w:rPr>
            <w:rStyle w:val="Hipervnculo"/>
            <w:rFonts w:eastAsiaTheme="minorEastAsia"/>
            <w:color w:val="auto"/>
            <w:u w:val="none"/>
            <w:bdr w:val="none" w:sz="0" w:space="0" w:color="auto" w:frame="1"/>
          </w:rPr>
          <w:t>Tasa Google</w:t>
        </w:r>
      </w:hyperlink>
      <w:r w:rsidRPr="001E22E4">
        <w:rPr>
          <w:bdr w:val="none" w:sz="0" w:space="0" w:color="auto" w:frame="1"/>
        </w:rPr>
        <w:t> no es un invento del gobierno socialista, es un adelanto de lo que en Europa se va a implantar si los planes siguen adelante. Y, como ella, el sinfín de</w:t>
      </w:r>
      <w:r w:rsidRPr="001E22E4">
        <w:rPr>
          <w:rStyle w:val="Textoennegrita"/>
          <w:bdr w:val="none" w:sz="0" w:space="0" w:color="auto" w:frame="1"/>
        </w:rPr>
        <w:t> </w:t>
      </w:r>
      <w:r w:rsidRPr="001E22E4">
        <w:rPr>
          <w:rStyle w:val="Textoennegrita"/>
          <w:b w:val="0"/>
          <w:bdr w:val="none" w:sz="0" w:space="0" w:color="auto" w:frame="1"/>
        </w:rPr>
        <w:t>impuestos medioambientales</w:t>
      </w:r>
      <w:r w:rsidRPr="001E22E4">
        <w:rPr>
          <w:bdr w:val="none" w:sz="0" w:space="0" w:color="auto" w:frame="1"/>
        </w:rPr>
        <w:t xml:space="preserve"> que ya han encendido la llama de </w:t>
      </w:r>
      <w:r w:rsidRPr="001E22E4">
        <w:rPr>
          <w:b/>
          <w:bdr w:val="none" w:sz="0" w:space="0" w:color="auto" w:frame="1"/>
        </w:rPr>
        <w:t xml:space="preserve">la </w:t>
      </w:r>
      <w:r w:rsidRPr="001E22E4">
        <w:rPr>
          <w:rStyle w:val="Textoennegrita"/>
          <w:b w:val="0"/>
          <w:bdr w:val="none" w:sz="0" w:space="0" w:color="auto" w:frame="1"/>
        </w:rPr>
        <w:t>desaceleración en Alemania.</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r w:rsidRPr="001E22E4">
        <w:rPr>
          <w:bdr w:val="none" w:sz="0" w:space="0" w:color="auto" w:frame="1"/>
        </w:rPr>
        <w:t>Europa corre el riesgo de seguir emitiendo falsas promesas y de sacar a los ciudadanos más vulnerables del sistema. ¿Cómo? Asegurando una protección, a cambio de libertad, que nunca se podrá conceder. ¿O es que acaso seguimos sin tener claro que los </w:t>
      </w:r>
      <w:r w:rsidRPr="001E22E4">
        <w:rPr>
          <w:rStyle w:val="Textoennegrita"/>
          <w:bdr w:val="none" w:sz="0" w:space="0" w:color="auto" w:frame="1"/>
        </w:rPr>
        <w:t xml:space="preserve">sistemas de </w:t>
      </w:r>
      <w:r w:rsidRPr="001E22E4">
        <w:rPr>
          <w:rStyle w:val="Textoennegrita"/>
          <w:b w:val="0"/>
          <w:bdr w:val="none" w:sz="0" w:space="0" w:color="auto" w:frame="1"/>
        </w:rPr>
        <w:t>pensiones de reparto son insostenibles</w:t>
      </w:r>
      <w:r w:rsidRPr="001E22E4">
        <w:rPr>
          <w:bdr w:val="none" w:sz="0" w:space="0" w:color="auto" w:frame="1"/>
        </w:rPr>
        <w:t> en economías sin crecimiento de la productividad? La </w:t>
      </w:r>
      <w:r w:rsidRPr="001E22E4">
        <w:rPr>
          <w:rStyle w:val="Textoennegrita"/>
          <w:b w:val="0"/>
          <w:bdr w:val="none" w:sz="0" w:space="0" w:color="auto" w:frame="1"/>
        </w:rPr>
        <w:t>losa de la deuda</w:t>
      </w:r>
      <w:r w:rsidRPr="001E22E4">
        <w:rPr>
          <w:bdr w:val="none" w:sz="0" w:space="0" w:color="auto" w:frame="1"/>
        </w:rPr>
        <w:t> ya se está comiendo el crecimiento de la mayor parte de economías europeas y seguimos acudiendo a papá Estado a que nos solucione un problema que ha creado él. La panorámica es desoladora.</w:t>
      </w:r>
    </w:p>
    <w:p w:rsidR="004B402F" w:rsidRPr="001E22E4" w:rsidRDefault="004B402F" w:rsidP="004B402F">
      <w:pPr>
        <w:shd w:val="clear" w:color="auto" w:fill="FFFFFF"/>
        <w:spacing w:line="240" w:lineRule="auto"/>
        <w:jc w:val="both"/>
        <w:textAlignment w:val="baseline"/>
        <w:rPr>
          <w:rFonts w:ascii="Times New Roman" w:hAnsi="Times New Roman" w:cs="Times New Roman"/>
          <w:sz w:val="24"/>
          <w:szCs w:val="24"/>
          <w:bdr w:val="none" w:sz="0" w:space="0" w:color="auto" w:frame="1"/>
        </w:rPr>
      </w:pPr>
      <w:r w:rsidRPr="001E22E4">
        <w:rPr>
          <w:rFonts w:ascii="Times New Roman" w:hAnsi="Times New Roman" w:cs="Times New Roman"/>
          <w:noProof/>
          <w:sz w:val="24"/>
          <w:szCs w:val="24"/>
          <w:bdr w:val="none" w:sz="0" w:space="0" w:color="auto" w:frame="1"/>
          <w:lang w:val="en-GB" w:eastAsia="en-GB"/>
        </w:rPr>
        <w:drawing>
          <wp:inline distT="0" distB="0" distL="0" distR="0">
            <wp:extent cx="5778500" cy="3352800"/>
            <wp:effectExtent l="0" t="0" r="0" b="0"/>
            <wp:docPr id="51" name="Imagen 51" descr="pareu4.jpg">
              <a:hlinkClick xmlns:a="http://schemas.openxmlformats.org/drawingml/2006/main" r:id="rId13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reu4.jpg">
                      <a:hlinkClick r:id="rId131" tooltip="&quot;&quot;"/>
                    </pic:cNvPr>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8500" cy="3352800"/>
                    </a:xfrm>
                    <a:prstGeom prst="rect">
                      <a:avLst/>
                    </a:prstGeom>
                    <a:noFill/>
                    <a:ln>
                      <a:noFill/>
                    </a:ln>
                  </pic:spPr>
                </pic:pic>
              </a:graphicData>
            </a:graphic>
          </wp:inline>
        </w:drawing>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r w:rsidRPr="001E22E4">
        <w:rPr>
          <w:bdr w:val="none" w:sz="0" w:space="0" w:color="auto" w:frame="1"/>
        </w:rPr>
        <w:t>Y entonces, aparecen los Parlamentos ingobernables, la inestabilidad política y la celebración de elecciones cada dos años -a lo sumo-. Y, con ella, los populismos, los nacionalismos y la fractura de Europa. Ahí tienen el </w:t>
      </w:r>
      <w:r w:rsidRPr="001E22E4">
        <w:rPr>
          <w:rStyle w:val="Textoennegrita"/>
          <w:b w:val="0"/>
          <w:bdr w:val="none" w:sz="0" w:space="0" w:color="auto" w:frame="1"/>
        </w:rPr>
        <w:t>ejemplo italiano</w:t>
      </w:r>
      <w:r w:rsidRPr="001E22E4">
        <w:rPr>
          <w:bdr w:val="none" w:sz="0" w:space="0" w:color="auto" w:frame="1"/>
        </w:rPr>
        <w:t>, el </w:t>
      </w:r>
      <w:r w:rsidRPr="001E22E4">
        <w:rPr>
          <w:rStyle w:val="nfasis"/>
          <w:rFonts w:eastAsiaTheme="majorEastAsia"/>
          <w:bdr w:val="none" w:sz="0" w:space="0" w:color="auto" w:frame="1"/>
        </w:rPr>
        <w:t>Brexit</w:t>
      </w:r>
      <w:r w:rsidRPr="001E22E4">
        <w:rPr>
          <w:bdr w:val="none" w:sz="0" w:space="0" w:color="auto" w:frame="1"/>
        </w:rPr>
        <w:t> o lo que nos espera en nuestro país, tanto en las elecciones generales como en las autonómicas y municipales.</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1E22E4">
        <w:rPr>
          <w:rStyle w:val="Textoennegrita"/>
          <w:b w:val="0"/>
          <w:bdr w:val="none" w:sz="0" w:space="0" w:color="auto" w:frame="1"/>
        </w:rPr>
        <w:t>¿Hay solución? Claro.</w:t>
      </w:r>
      <w:r w:rsidRPr="001E22E4">
        <w:rPr>
          <w:bdr w:val="none" w:sz="0" w:space="0" w:color="auto" w:frame="1"/>
        </w:rPr>
        <w:t> Pero pasa por el bisturí y la cirugía fina en una Europa que ha vivido en un mar de desincentivos durante las últimas décadas. La Unión Europea no es una zona económica óptima. Nació con deficiencias, pero la ausencia de unión bancaria y/o fiscal, por sí mismas, no están entre ellas. Si queremos avanzar en la definición de políticas fiscales comunes o en la puesta en mercado de instrumentos financieros que diseminen el riesgo, tenemos que minimizar el impacto sobre las economías más saludables. ¿Cómo? Bajo el </w:t>
      </w:r>
      <w:r w:rsidRPr="001E22E4">
        <w:rPr>
          <w:rStyle w:val="Textoennegrita"/>
          <w:b w:val="0"/>
          <w:bdr w:val="none" w:sz="0" w:space="0" w:color="auto" w:frame="1"/>
        </w:rPr>
        <w:t>principio de responsabilidad estatal individual.</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r w:rsidRPr="001E22E4">
        <w:rPr>
          <w:bdr w:val="none" w:sz="0" w:space="0" w:color="auto" w:frame="1"/>
        </w:rPr>
        <w:t>O, lo que es lo mismo, </w:t>
      </w:r>
      <w:r w:rsidRPr="001E22E4">
        <w:rPr>
          <w:rStyle w:val="Textoennegrita"/>
          <w:u w:val="single"/>
          <w:bdr w:val="none" w:sz="0" w:space="0" w:color="auto" w:frame="1"/>
        </w:rPr>
        <w:t>volver al Tratado de Maastricht</w:t>
      </w:r>
      <w:r w:rsidRPr="001E22E4">
        <w:rPr>
          <w:bdr w:val="none" w:sz="0" w:space="0" w:color="auto" w:frame="1"/>
        </w:rPr>
        <w:t>, establecer condiciones severas y comunes para la pertenencia a la Unión Europea, así como mecanismos de salida -no sanciones económicas- para los países incumplidores. </w:t>
      </w:r>
      <w:r w:rsidRPr="001E22E4">
        <w:rPr>
          <w:rStyle w:val="Textoennegrita"/>
          <w:u w:val="single"/>
          <w:bdr w:val="none" w:sz="0" w:space="0" w:color="auto" w:frame="1"/>
        </w:rPr>
        <w:t>Federalismo y soberanía nacional,</w:t>
      </w:r>
      <w:r w:rsidRPr="001E22E4">
        <w:rPr>
          <w:u w:val="single"/>
          <w:bdr w:val="none" w:sz="0" w:space="0" w:color="auto" w:frame="1"/>
        </w:rPr>
        <w:t> </w:t>
      </w:r>
      <w:r w:rsidRPr="001E22E4">
        <w:rPr>
          <w:rStyle w:val="Textoennegrita"/>
          <w:u w:val="single"/>
          <w:bdr w:val="none" w:sz="0" w:space="0" w:color="auto" w:frame="1"/>
        </w:rPr>
        <w:t>en un marco común</w:t>
      </w:r>
      <w:r w:rsidRPr="001E22E4">
        <w:rPr>
          <w:rStyle w:val="Textoennegrita"/>
          <w:bdr w:val="none" w:sz="0" w:space="0" w:color="auto" w:frame="1"/>
        </w:rPr>
        <w:t>,</w:t>
      </w:r>
      <w:r w:rsidRPr="001E22E4">
        <w:rPr>
          <w:bdr w:val="none" w:sz="0" w:space="0" w:color="auto" w:frame="1"/>
        </w:rPr>
        <w:t> frente a un modelo de compartición del riesgo en el que todos pagamos y nadie asume responsabilidades.</w:t>
      </w:r>
    </w:p>
    <w:p w:rsidR="004B402F" w:rsidRPr="001E22E4" w:rsidRDefault="004B402F" w:rsidP="004B402F">
      <w:pPr>
        <w:pStyle w:val="NormalWeb"/>
        <w:shd w:val="clear" w:color="auto" w:fill="FFFFFF"/>
        <w:spacing w:before="0" w:beforeAutospacing="0" w:after="0" w:afterAutospacing="0"/>
        <w:jc w:val="both"/>
        <w:textAlignment w:val="baseline"/>
        <w:rPr>
          <w:bdr w:val="none" w:sz="0" w:space="0" w:color="auto" w:frame="1"/>
        </w:rPr>
      </w:pPr>
    </w:p>
    <w:p w:rsidR="004B402F" w:rsidRPr="001E22E4" w:rsidRDefault="004B402F" w:rsidP="004B402F">
      <w:pPr>
        <w:pStyle w:val="NormalWeb"/>
        <w:shd w:val="clear" w:color="auto" w:fill="FFFFFF"/>
        <w:spacing w:before="0" w:beforeAutospacing="0" w:after="0" w:afterAutospacing="0"/>
        <w:jc w:val="both"/>
        <w:textAlignment w:val="baseline"/>
        <w:rPr>
          <w:rStyle w:val="Textoennegrita"/>
          <w:u w:val="single"/>
          <w:bdr w:val="none" w:sz="0" w:space="0" w:color="auto" w:frame="1"/>
        </w:rPr>
      </w:pPr>
      <w:r w:rsidRPr="001E22E4">
        <w:rPr>
          <w:bdr w:val="none" w:sz="0" w:space="0" w:color="auto" w:frame="1"/>
        </w:rPr>
        <w:t xml:space="preserve">Condicionalidad, responsabilidad estatal y apertura real de mercados internacionales. Todo lo que salga de ahí nos condena al fracaso. La Unión Europea es un marco institucional necesario para que países como el nuestro puedan competir en los mercados internacionales con potencias como Estados Unidos o China. Pero no esta Unión Europea. </w:t>
      </w:r>
      <w:r w:rsidRPr="001E22E4">
        <w:rPr>
          <w:u w:val="single"/>
          <w:bdr w:val="none" w:sz="0" w:space="0" w:color="auto" w:frame="1"/>
        </w:rPr>
        <w:t>Si seguimos sin tomarnos en serio las próximas elecciones europeas,</w:t>
      </w:r>
      <w:r w:rsidRPr="001E22E4">
        <w:rPr>
          <w:rStyle w:val="Textoennegrita"/>
          <w:u w:val="single"/>
          <w:bdr w:val="none" w:sz="0" w:space="0" w:color="auto" w:frame="1"/>
        </w:rPr>
        <w:t> la moneda única estará seriamente amenazada.</w:t>
      </w:r>
    </w:p>
    <w:p w:rsidR="00523824" w:rsidRPr="001E22E4" w:rsidRDefault="00523824" w:rsidP="00523824">
      <w:pPr>
        <w:pStyle w:val="NormalWeb"/>
        <w:shd w:val="clear" w:color="auto" w:fill="FFFFFF"/>
        <w:spacing w:after="270"/>
        <w:jc w:val="both"/>
        <w:rPr>
          <w:b/>
          <w:spacing w:val="-1"/>
        </w:rPr>
      </w:pPr>
      <w:r w:rsidRPr="001E22E4">
        <w:rPr>
          <w:spacing w:val="-1"/>
        </w:rPr>
        <w:t xml:space="preserve">- </w:t>
      </w:r>
      <w:r w:rsidRPr="001E22E4">
        <w:rPr>
          <w:spacing w:val="-1"/>
          <w:u w:val="single"/>
        </w:rPr>
        <w:t>La verdadera debilidad de la eurozona</w:t>
      </w:r>
      <w:r w:rsidRPr="001E22E4">
        <w:rPr>
          <w:spacing w:val="-1"/>
        </w:rPr>
        <w:t xml:space="preserve"> (Project Syndicate - </w:t>
      </w:r>
      <w:r w:rsidRPr="001E22E4">
        <w:rPr>
          <w:b/>
          <w:spacing w:val="-1"/>
        </w:rPr>
        <w:t>28/3/19</w:t>
      </w:r>
      <w:r w:rsidRPr="001E22E4">
        <w:rPr>
          <w:spacing w:val="-1"/>
        </w:rPr>
        <w:t xml:space="preserve">) </w:t>
      </w:r>
    </w:p>
    <w:p w:rsidR="00523824" w:rsidRPr="001E22E4" w:rsidRDefault="00523824" w:rsidP="00523824">
      <w:pPr>
        <w:pStyle w:val="NormalWeb"/>
        <w:shd w:val="clear" w:color="auto" w:fill="FFFFFF"/>
        <w:spacing w:after="270"/>
        <w:jc w:val="both"/>
        <w:rPr>
          <w:spacing w:val="-1"/>
          <w:u w:val="single"/>
        </w:rPr>
      </w:pPr>
      <w:r w:rsidRPr="001E22E4">
        <w:rPr>
          <w:spacing w:val="-1"/>
        </w:rPr>
        <w:t>Londres.-</w:t>
      </w:r>
      <w:r w:rsidR="009B039D" w:rsidRPr="001E22E4">
        <w:rPr>
          <w:spacing w:val="-1"/>
        </w:rPr>
        <w:t xml:space="preserve"> El 20</w:t>
      </w:r>
      <w:r w:rsidRPr="001E22E4">
        <w:rPr>
          <w:spacing w:val="-1"/>
        </w:rPr>
        <w:t xml:space="preserve">º aniversario del euro, que se cumple este año, es buen momento para reflexionar sobre la solidez de la unión monetaria europea. El recuerdo de la última crisis, que comenzó en Estados Unidos en 2008, todavía está fresco en las mentes de los europeos: la eurozona sufrió más que Estados Unidos, y algunos de sus estados miembros fueron mucho más afectados que otros. </w:t>
      </w:r>
      <w:r w:rsidRPr="001E22E4">
        <w:rPr>
          <w:spacing w:val="-1"/>
          <w:u w:val="single"/>
        </w:rPr>
        <w:t>En un momento en que la eurozona muestra otra vez signos de desaceleración significativa, es importante comprender qué pasó la última vez. ¿Aprendimos algo en los primeros veinte años del euro que nos ayude a combatir otra recesión?</w:t>
      </w:r>
    </w:p>
    <w:p w:rsidR="00523824" w:rsidRPr="000A4671" w:rsidRDefault="00523824" w:rsidP="00523824">
      <w:pPr>
        <w:pStyle w:val="NormalWeb"/>
        <w:shd w:val="clear" w:color="auto" w:fill="FFFFFF"/>
        <w:spacing w:after="270"/>
        <w:jc w:val="both"/>
        <w:rPr>
          <w:color w:val="FF0000"/>
          <w:spacing w:val="-1"/>
          <w:u w:val="single"/>
        </w:rPr>
      </w:pPr>
      <w:r w:rsidRPr="000A4671">
        <w:rPr>
          <w:color w:val="FF0000"/>
          <w:spacing w:val="-1"/>
          <w:u w:val="single"/>
        </w:rPr>
        <w:t>La explicación más habitual de la crisis de la eurozona se basa en la teoría de la “zona monetaria óptima” (ZMO) del economista Robert Mundell, que desaconseja establecer una política monetaria común en una federación de estados diferentes con distintos niveles de resiliencia económica. Según esta idea, el problema de los miembros de la eurozona es que carecen de flexibilidad cambiaria que los ayude a responder a perturbaciones negativas. Para colmo de males, como la meta del Banco Central Europeo se refiere a la inflación promedio de la eurozona, sus políticas monetarias pueden no ser adecuadas para todos los estados miembros, lo que puede llevar en los países más débiles a un tipo de interés real superior al necesario para el pleno empleo.</w:t>
      </w:r>
    </w:p>
    <w:p w:rsidR="00523824" w:rsidRPr="000A4671" w:rsidRDefault="00523824" w:rsidP="00523824">
      <w:pPr>
        <w:pStyle w:val="NormalWeb"/>
        <w:shd w:val="clear" w:color="auto" w:fill="FFFFFF"/>
        <w:spacing w:after="270"/>
        <w:jc w:val="both"/>
        <w:rPr>
          <w:color w:val="FF0000"/>
          <w:spacing w:val="-1"/>
          <w:u w:val="single"/>
        </w:rPr>
      </w:pPr>
      <w:r w:rsidRPr="000A4671">
        <w:rPr>
          <w:color w:val="FF0000"/>
          <w:spacing w:val="-1"/>
          <w:u w:val="single"/>
        </w:rPr>
        <w:t>Otra explicación da más importancia a la fragilidad financiera. En tiempos de bonanza, algunos países de la eurozona acumulan un exceso de apalancamiento basado en el nivel relativamente bajo de los tipos de interés reales (derivado en parte de la uniformidad de la política monetaria del BCE); en países con instituciones débiles y problemas de gobernanza, esto puede producir pérdida de competitividad y consumo excesivo. De modo que una crisis puede resultar inusualmente dañina y provocar caída de precios de los activos, impagos de deuda y finalmente un período de desapalancamiento y escasez de demanda.</w:t>
      </w:r>
    </w:p>
    <w:p w:rsidR="00523824" w:rsidRPr="00F16766" w:rsidRDefault="00523824" w:rsidP="00523824">
      <w:pPr>
        <w:pStyle w:val="NormalWeb"/>
        <w:shd w:val="clear" w:color="auto" w:fill="FFFFFF"/>
        <w:spacing w:after="270"/>
        <w:jc w:val="both"/>
        <w:rPr>
          <w:spacing w:val="-1"/>
        </w:rPr>
      </w:pPr>
      <w:r w:rsidRPr="000A4671">
        <w:rPr>
          <w:color w:val="FF0000"/>
          <w:spacing w:val="-1"/>
          <w:u w:val="single"/>
        </w:rPr>
        <w:t>Hoy dos preguntas son relevantes. Una es si los países más débiles de la eurozona estarían mejor fuera de la unión monetaria, con monedas nacionales propias</w:t>
      </w:r>
      <w:r w:rsidRPr="00F16766">
        <w:rPr>
          <w:spacing w:val="-1"/>
        </w:rPr>
        <w:t>. No es un mero debate académico, en vista de la oposición cada vez más manifiesta de los electorados de algunos estados miembros al euro</w:t>
      </w:r>
      <w:r w:rsidRPr="000A4671">
        <w:rPr>
          <w:color w:val="FF0000"/>
          <w:spacing w:val="-1"/>
          <w:u w:val="single"/>
        </w:rPr>
        <w:t>. La segunda pregunta, más urgente, es si una eventual recesión en la eurozona volvería a provocar una crisis con efectos sumamente desiguales</w:t>
      </w:r>
      <w:r w:rsidRPr="00F16766">
        <w:rPr>
          <w:spacing w:val="-1"/>
        </w:rPr>
        <w:t>. La respuesta ayudará a fijar las prioridades de las políticas para el supuesto</w:t>
      </w:r>
      <w:r>
        <w:rPr>
          <w:spacing w:val="-1"/>
        </w:rPr>
        <w:t xml:space="preserve"> de una perturbación económica.</w:t>
      </w:r>
    </w:p>
    <w:p w:rsidR="00523824" w:rsidRPr="000A4671" w:rsidRDefault="00523824" w:rsidP="00523824">
      <w:pPr>
        <w:pStyle w:val="NormalWeb"/>
        <w:shd w:val="clear" w:color="auto" w:fill="FFFFFF"/>
        <w:spacing w:after="270"/>
        <w:jc w:val="both"/>
        <w:rPr>
          <w:color w:val="FF0000"/>
          <w:spacing w:val="-1"/>
          <w:u w:val="single"/>
        </w:rPr>
      </w:pPr>
      <w:r w:rsidRPr="000A4671">
        <w:rPr>
          <w:color w:val="FF0000"/>
          <w:spacing w:val="-1"/>
          <w:u w:val="single"/>
        </w:rPr>
        <w:t>Mi respuesta a la primera pregunta es que no, más que nada porque la teoría de la ZMO no tiene en cuenta dos factores clave. En primer lugar, la globalización de los mercados financieros y los grandes flujos de capitales de corto plazo pueden causar grandes fluctuaciones del tipo de cambio en países con régimen cambiario flotante, y en particular, en economías pequeñas y abiertas. Como han demostrado muchos mercados emergentes, esas oscilaciones cambiarias pueden afectar la capacidad de los países para devolver deudas en moneda extranjera y obligarlos a adoptar una política monetaria incompatible con sus objetivos internos.</w:t>
      </w:r>
    </w:p>
    <w:p w:rsidR="00523824" w:rsidRPr="000A4671" w:rsidRDefault="00523824" w:rsidP="00523824">
      <w:pPr>
        <w:pStyle w:val="NormalWeb"/>
        <w:shd w:val="clear" w:color="auto" w:fill="FFFFFF"/>
        <w:spacing w:after="270"/>
        <w:jc w:val="both"/>
        <w:rPr>
          <w:color w:val="FF0000"/>
          <w:spacing w:val="-1"/>
          <w:u w:val="single"/>
        </w:rPr>
      </w:pPr>
      <w:r w:rsidRPr="000A4671">
        <w:rPr>
          <w:color w:val="FF0000"/>
          <w:spacing w:val="-1"/>
          <w:u w:val="single"/>
        </w:rPr>
        <w:t>Además, la teoría de la ZMO no tiene en cuenta el efecto estabilizador de la credibilidad del banco central. Por ejemplo, cuesta imaginar que Irlanda se hubiera evitado una crisis financiera devaluando su moneda en 2008, especialmente con deuda en euros y otras monedas internacionales fuertes. En los años de la crisis entre 2008 y 2013, las autoridades de la eurozona tuvieron que enfrentar una fuga de capitales hacia los estados del núcleo, además de una creciente “balcanización” geográfica de los mercados financieros, en la que los inversores preferían los títulos públicos de sus propios países; esto le restó eficacia a la política monetaria laxa del BCE. En estas circunstancias, cuesta imaginar que un banco central nacional hubiera podido conseguir primas de riesgo más bajas mediante compras de activos en el nivel nacional si un programa de ajuste macroeconómico carecía de credibilidad.</w:t>
      </w:r>
    </w:p>
    <w:p w:rsidR="00523824" w:rsidRPr="00F16766" w:rsidRDefault="00523824" w:rsidP="00523824">
      <w:pPr>
        <w:pStyle w:val="NormalWeb"/>
        <w:shd w:val="clear" w:color="auto" w:fill="FFFFFF"/>
        <w:spacing w:after="270"/>
        <w:jc w:val="both"/>
        <w:rPr>
          <w:spacing w:val="-1"/>
        </w:rPr>
      </w:pPr>
      <w:r w:rsidRPr="00F16766">
        <w:rPr>
          <w:spacing w:val="-1"/>
        </w:rPr>
        <w:t xml:space="preserve">Los defensores del regreso a las monedas nacionales suelen señalar que Japón y el Reino Unido pudieron combatir la última recesión mejor que España, Irlanda, Grecia y Portugal. Pero pasan por alto el hecho de que a lo largo de la historia, estos países han sido económicamente más volátiles que Alemania o Francia, y siguieron siéndolo tras </w:t>
      </w:r>
      <w:r>
        <w:rPr>
          <w:spacing w:val="-1"/>
        </w:rPr>
        <w:t>adoptar la moneda única.</w:t>
      </w:r>
    </w:p>
    <w:p w:rsidR="00523824" w:rsidRPr="00347BCD" w:rsidRDefault="00523824" w:rsidP="00523824">
      <w:pPr>
        <w:pStyle w:val="NormalWeb"/>
        <w:shd w:val="clear" w:color="auto" w:fill="FFFFFF"/>
        <w:spacing w:after="270"/>
        <w:jc w:val="both"/>
        <w:rPr>
          <w:spacing w:val="-1"/>
          <w:u w:val="single"/>
        </w:rPr>
      </w:pPr>
      <w:r w:rsidRPr="00347BCD">
        <w:rPr>
          <w:spacing w:val="-1"/>
          <w:u w:val="single"/>
        </w:rPr>
        <w:t>En cuanto a la segunda pregunta, lo más probable es que una nueva recesión en la eurozona tenga un efecto menos desigual que en 2008 o 2011. Hoy casi todos los países de la eurozona tienen superávit de cuenta corriente. Irlanda crece más rápido que China, mientras que a España y Portugal también les está yendo relativamente bien. Y aunque parte de este crecimiento se basa en una apreciación de la vivienda, hoy hay menos apalancamiento que hace diez años. De modo que es improbable que la próxima recesión en estos países traiga consigo una crisis bancaria grave que pueda empeorar las cosas.</w:t>
      </w:r>
    </w:p>
    <w:p w:rsidR="00523824" w:rsidRPr="00347BCD" w:rsidRDefault="00523824" w:rsidP="00523824">
      <w:pPr>
        <w:pStyle w:val="NormalWeb"/>
        <w:shd w:val="clear" w:color="auto" w:fill="FFFFFF"/>
        <w:spacing w:after="270"/>
        <w:jc w:val="both"/>
        <w:rPr>
          <w:spacing w:val="-1"/>
          <w:u w:val="single"/>
        </w:rPr>
      </w:pPr>
      <w:r w:rsidRPr="00347BCD">
        <w:rPr>
          <w:spacing w:val="-1"/>
          <w:u w:val="single"/>
        </w:rPr>
        <w:t>Pero en las tres economías más grandes de la eurozona los riesgos de una recesión son mayores</w:t>
      </w:r>
      <w:r w:rsidRPr="00F16766">
        <w:rPr>
          <w:spacing w:val="-1"/>
        </w:rPr>
        <w:t xml:space="preserve">. Alemania e Italia tienen sectores bancarios débiles y enfrentan una pronunciada desaceleración cíclica, que en Italia se combina con un crecimiento tendencial a largo plazo muy bajo y una elevada deuda pública. Francia también crece a ritmo lento y tiene un alto endeudamiento privado. </w:t>
      </w:r>
      <w:r w:rsidRPr="00347BCD">
        <w:rPr>
          <w:spacing w:val="-1"/>
          <w:u w:val="single"/>
        </w:rPr>
        <w:t>Una recesión en los tres países grandes arrastraría también a los integrantes más pequeños de la eurozona.</w:t>
      </w:r>
    </w:p>
    <w:p w:rsidR="00523824" w:rsidRPr="00F16766" w:rsidRDefault="00523824" w:rsidP="00523824">
      <w:pPr>
        <w:pStyle w:val="NormalWeb"/>
        <w:shd w:val="clear" w:color="auto" w:fill="FFFFFF"/>
        <w:spacing w:after="270"/>
        <w:jc w:val="both"/>
        <w:rPr>
          <w:spacing w:val="-1"/>
        </w:rPr>
      </w:pPr>
      <w:r w:rsidRPr="00F16766">
        <w:rPr>
          <w:spacing w:val="-1"/>
        </w:rPr>
        <w:t>La perturbación paneuropea resultante demandaría una respuesta común, en la que los países coordinen la política fiscal y monetaria para generar el estímulo correcto. Pero será difícil implementar un estímulo fiscal coordinado a menos que lo lidere Alemania, el país con la mayor capacidad fiscal. Además, las autoridades tendrán que tratar de evitar otro episodio de balcanización de los mercados financieros de la eurozona. La última crisis demostró que esa fragmentación debilita la política monetaria, limita el reparto de riesgos y elimina todas las ventajas de tener un mercado de capital</w:t>
      </w:r>
      <w:r>
        <w:rPr>
          <w:spacing w:val="-1"/>
        </w:rPr>
        <w:t>es integrado, grande y líquido.</w:t>
      </w:r>
    </w:p>
    <w:p w:rsidR="00523824" w:rsidRPr="00347BCD" w:rsidRDefault="00523824" w:rsidP="00523824">
      <w:pPr>
        <w:pStyle w:val="NormalWeb"/>
        <w:shd w:val="clear" w:color="auto" w:fill="FFFFFF"/>
        <w:spacing w:after="270"/>
        <w:jc w:val="both"/>
        <w:rPr>
          <w:b/>
          <w:color w:val="FF0000"/>
          <w:spacing w:val="-1"/>
          <w:u w:val="single"/>
        </w:rPr>
      </w:pPr>
      <w:r w:rsidRPr="00347BCD">
        <w:rPr>
          <w:b/>
          <w:color w:val="FF0000"/>
          <w:spacing w:val="-1"/>
          <w:u w:val="single"/>
        </w:rPr>
        <w:t>La debilidad real de la eurozona no es la falta de flexibilidad cambiaria, ni la política monetaria común, sino la ruptura del reparto de riesgos cuando se producen grandes perturbaciones económicas, combinada con la ausencia de una política fiscal común. Esa es la principal enseñanza de los últimos veinte años.</w:t>
      </w:r>
    </w:p>
    <w:p w:rsidR="00523824" w:rsidRDefault="00523824" w:rsidP="00523824">
      <w:pPr>
        <w:pStyle w:val="NormalWeb"/>
        <w:shd w:val="clear" w:color="auto" w:fill="FFFFFF"/>
        <w:spacing w:after="270"/>
        <w:jc w:val="both"/>
        <w:rPr>
          <w:spacing w:val="-1"/>
          <w:lang w:val="en-US"/>
        </w:rPr>
      </w:pPr>
      <w:r>
        <w:rPr>
          <w:spacing w:val="-1"/>
          <w:lang w:val="en-US"/>
        </w:rPr>
        <w:t>(</w:t>
      </w:r>
      <w:r w:rsidRPr="00F16766">
        <w:rPr>
          <w:spacing w:val="-1"/>
          <w:lang w:val="en-US"/>
        </w:rPr>
        <w:t>Lucrezia Reichlin, a former director of research at the European Central Bank, is Professor of Economics at the London Business Sch</w:t>
      </w:r>
      <w:r>
        <w:rPr>
          <w:spacing w:val="-1"/>
          <w:lang w:val="en-US"/>
        </w:rPr>
        <w:t>ool)</w:t>
      </w:r>
    </w:p>
    <w:p w:rsidR="00523824" w:rsidRPr="00F16766" w:rsidRDefault="00523824" w:rsidP="00523824">
      <w:pPr>
        <w:pStyle w:val="NormalWeb"/>
        <w:shd w:val="clear" w:color="auto" w:fill="FFFFFF"/>
        <w:spacing w:after="270"/>
        <w:jc w:val="both"/>
        <w:rPr>
          <w:spacing w:val="-1"/>
        </w:rPr>
      </w:pPr>
      <w:r>
        <w:rPr>
          <w:spacing w:val="-1"/>
        </w:rPr>
        <w:t xml:space="preserve">- </w:t>
      </w:r>
      <w:r w:rsidRPr="00F16766">
        <w:rPr>
          <w:spacing w:val="-1"/>
          <w:u w:val="single"/>
        </w:rPr>
        <w:t>Europa necesita una estrategia global</w:t>
      </w:r>
      <w:r>
        <w:rPr>
          <w:spacing w:val="-1"/>
        </w:rPr>
        <w:t xml:space="preserve"> (Project Syndicate - </w:t>
      </w:r>
      <w:r w:rsidRPr="00F16766">
        <w:rPr>
          <w:b/>
          <w:spacing w:val="-1"/>
        </w:rPr>
        <w:t>28/3/19</w:t>
      </w:r>
      <w:r>
        <w:rPr>
          <w:spacing w:val="-1"/>
        </w:rPr>
        <w:t xml:space="preserve">) </w:t>
      </w:r>
    </w:p>
    <w:p w:rsidR="00523824" w:rsidRPr="000116AE" w:rsidRDefault="00523824" w:rsidP="00523824">
      <w:pPr>
        <w:pStyle w:val="NormalWeb"/>
        <w:shd w:val="clear" w:color="auto" w:fill="FFFFFF"/>
        <w:spacing w:after="270"/>
        <w:jc w:val="both"/>
        <w:rPr>
          <w:spacing w:val="-1"/>
          <w:u w:val="single"/>
        </w:rPr>
      </w:pPr>
      <w:r>
        <w:rPr>
          <w:spacing w:val="-1"/>
        </w:rPr>
        <w:t>Berlín.-</w:t>
      </w:r>
      <w:r w:rsidRPr="000116AE">
        <w:rPr>
          <w:color w:val="FF0000"/>
          <w:spacing w:val="-1"/>
          <w:u w:val="single"/>
        </w:rPr>
        <w:t>La elección de Donald Trump como presidente de Estados Unidos puede haber acelerado el fin del “siglo norteamericano” y del orden internacional de posguerra liderado por Estados Unidos</w:t>
      </w:r>
      <w:r w:rsidRPr="00F16766">
        <w:rPr>
          <w:spacing w:val="-1"/>
        </w:rPr>
        <w:t xml:space="preserve">. </w:t>
      </w:r>
      <w:r w:rsidRPr="000116AE">
        <w:rPr>
          <w:spacing w:val="-1"/>
          <w:u w:val="single"/>
        </w:rPr>
        <w:t>Es verdad, el centro de gravedad político y económico del mundo venía trasladándose hacia el este de Asia mucho antes de 2016, y la idea de que China se convierta en una potencia global en el inminente “siglo del Pacífico” tampoco es nueva</w:t>
      </w:r>
      <w:r w:rsidRPr="00F16766">
        <w:rPr>
          <w:spacing w:val="-1"/>
        </w:rPr>
        <w:t xml:space="preserve">. Pero las acciones de Trump, junto con las de su contraparte chino, Xi Jinping, han llevado la rivalidad cada vez más filosa entre las superpotencias a una escena central. </w:t>
      </w:r>
      <w:r w:rsidRPr="000116AE">
        <w:rPr>
          <w:spacing w:val="-1"/>
          <w:u w:val="single"/>
        </w:rPr>
        <w:t>Desafortunadamente, Europa todavía tiene que ofrecer una respuesta coherente.</w:t>
      </w:r>
    </w:p>
    <w:p w:rsidR="00523824" w:rsidRPr="000116AE" w:rsidRDefault="00523824" w:rsidP="00523824">
      <w:pPr>
        <w:pStyle w:val="NormalWeb"/>
        <w:shd w:val="clear" w:color="auto" w:fill="FFFFFF"/>
        <w:spacing w:after="270"/>
        <w:jc w:val="both"/>
        <w:rPr>
          <w:color w:val="FF0000"/>
          <w:spacing w:val="-1"/>
          <w:u w:val="single"/>
        </w:rPr>
      </w:pPr>
      <w:r w:rsidRPr="000116AE">
        <w:rPr>
          <w:color w:val="FF0000"/>
          <w:spacing w:val="-1"/>
          <w:u w:val="single"/>
        </w:rPr>
        <w:t>La actual disputa comercial entre Estados Unidos y China tiene el potencial de desatar una recesión global. Pero aún este conflicto es sólo parte de una lucha de poder mucho mayor, inclusive en el sector tecnológico, para determinar si la nueva estrella ascendente (China) o el actor principal (Estados Unidos) desempeña el papel global de liderazgo.</w:t>
      </w:r>
    </w:p>
    <w:p w:rsidR="00523824" w:rsidRPr="00F16766" w:rsidRDefault="00523824" w:rsidP="00523824">
      <w:pPr>
        <w:pStyle w:val="NormalWeb"/>
        <w:shd w:val="clear" w:color="auto" w:fill="FFFFFF"/>
        <w:spacing w:after="270"/>
        <w:jc w:val="both"/>
        <w:rPr>
          <w:spacing w:val="-1"/>
        </w:rPr>
      </w:pPr>
      <w:r w:rsidRPr="00F16766">
        <w:rPr>
          <w:spacing w:val="-1"/>
        </w:rPr>
        <w:t xml:space="preserve">Durante gran parte del período transcurrido desde que China inició sus medidas de modernización bajo el régimen de Deng Xiaoping a fines de los años 1970, su política no consistió en desafiar el orden geopolítico y estratégico existente y sí en evitar una confrontación con Estados Unidos a toda costa. Pero </w:t>
      </w:r>
      <w:r w:rsidRPr="000116AE">
        <w:rPr>
          <w:spacing w:val="-1"/>
          <w:u w:val="single"/>
        </w:rPr>
        <w:t>el discurso de Xi en el 19 Congreso Nacional del Partido Comunista Chino en octubre de 2017, y las varias iniciativas chinas en curso destinadas a desafiar el predominio de Estados Unidos, indican que China ya no ocultará su fortaleza y esperará su oportunidad,</w:t>
      </w:r>
      <w:r>
        <w:rPr>
          <w:spacing w:val="-1"/>
        </w:rPr>
        <w:t xml:space="preserve"> como ordenaba Deng.</w:t>
      </w:r>
    </w:p>
    <w:p w:rsidR="00523824" w:rsidRPr="000116AE" w:rsidRDefault="00523824" w:rsidP="00523824">
      <w:pPr>
        <w:pStyle w:val="NormalWeb"/>
        <w:shd w:val="clear" w:color="auto" w:fill="FFFFFF"/>
        <w:spacing w:after="270"/>
        <w:jc w:val="both"/>
        <w:rPr>
          <w:spacing w:val="-1"/>
          <w:u w:val="single"/>
        </w:rPr>
      </w:pPr>
      <w:r w:rsidRPr="00F16766">
        <w:rPr>
          <w:spacing w:val="-1"/>
        </w:rPr>
        <w:t xml:space="preserve">La nueva asertividad de China se torna evidente en su fortificación militar de los arrecifes y pequeñas islas en el Mar de China Meridional, así como en </w:t>
      </w:r>
      <w:r w:rsidRPr="000116AE">
        <w:rPr>
          <w:spacing w:val="-1"/>
          <w:u w:val="single"/>
        </w:rPr>
        <w:t>la estrategia “Hecho en China 2025”, que apunta a convertir al país en el líder mundial en las industrias clave del futuro en la próxima década. Y con su gigantesca “Iniciativa un cinturón, un camino” (BRI por su sigla en inglés), China quiere utilizar sus inversiones en comercio e infraestructura de transporte para establecer su predominio geopolítico y comercial en Eurasia, Europa, Oriente Medio y África.</w:t>
      </w:r>
    </w:p>
    <w:p w:rsidR="00523824" w:rsidRPr="00F16766" w:rsidRDefault="00523824" w:rsidP="00523824">
      <w:pPr>
        <w:pStyle w:val="NormalWeb"/>
        <w:shd w:val="clear" w:color="auto" w:fill="FFFFFF"/>
        <w:spacing w:after="270"/>
        <w:jc w:val="both"/>
        <w:rPr>
          <w:spacing w:val="-1"/>
        </w:rPr>
      </w:pPr>
      <w:r w:rsidRPr="000116AE">
        <w:rPr>
          <w:spacing w:val="-1"/>
          <w:u w:val="single"/>
        </w:rPr>
        <w:t>Frente a este desafío cada vez más obvio a su liderazgo, Estados Unidos también ha cambiado su estrategia y ha adoptado una postura más belicosa con China. Si bien Trump está liderando este cambio, la furia, el miedo y la frustración norteamericana que genera China se extiende mucho más allá de la Casa Blanca y del Partido Republicano</w:t>
      </w:r>
      <w:r w:rsidRPr="00F16766">
        <w:rPr>
          <w:spacing w:val="-1"/>
        </w:rPr>
        <w:t>, y cala hondo en l</w:t>
      </w:r>
      <w:r>
        <w:rPr>
          <w:spacing w:val="-1"/>
        </w:rPr>
        <w:t>as filas del Partido Demócrata.</w:t>
      </w:r>
    </w:p>
    <w:p w:rsidR="00523824" w:rsidRPr="00F16766" w:rsidRDefault="00523824" w:rsidP="00523824">
      <w:pPr>
        <w:pStyle w:val="NormalWeb"/>
        <w:shd w:val="clear" w:color="auto" w:fill="FFFFFF"/>
        <w:spacing w:after="270"/>
        <w:jc w:val="both"/>
        <w:rPr>
          <w:spacing w:val="-1"/>
        </w:rPr>
      </w:pPr>
      <w:r w:rsidRPr="000116AE">
        <w:rPr>
          <w:spacing w:val="-1"/>
          <w:u w:val="single"/>
        </w:rPr>
        <w:t>Por empezar, Estados Unidos está adoptando una postura más dura en materia de comercio.</w:t>
      </w:r>
      <w:r w:rsidRPr="000116AE">
        <w:rPr>
          <w:color w:val="FF0000"/>
          <w:spacing w:val="-1"/>
          <w:u w:val="single"/>
        </w:rPr>
        <w:t>En el pasado, el mercado estadounidense por lo general estaba abierto a las exportaciones chinas –sin ese acceso, el rápido crecimiento económico de China nunca habría sido posible-.</w:t>
      </w:r>
      <w:r w:rsidRPr="000116AE">
        <w:rPr>
          <w:spacing w:val="-1"/>
          <w:u w:val="single"/>
        </w:rPr>
        <w:t>Pero la administración Trump quiere poner fin a esta apertura y hacer que el comercio bilateral de los países pase de ser una herramienta a convertirse en un arma</w:t>
      </w:r>
      <w:r w:rsidRPr="00F16766">
        <w:rPr>
          <w:spacing w:val="-1"/>
        </w:rPr>
        <w:t>. Estados Unidos también está endureciendo su política hacia la BRI, y ha criticado la decisión reciente de Italia de respaldar la iniciativa.</w:t>
      </w:r>
    </w:p>
    <w:p w:rsidR="00523824" w:rsidRPr="00F16766" w:rsidRDefault="00523824" w:rsidP="00523824">
      <w:pPr>
        <w:pStyle w:val="NormalWeb"/>
        <w:shd w:val="clear" w:color="auto" w:fill="FFFFFF"/>
        <w:spacing w:after="270"/>
        <w:jc w:val="both"/>
        <w:rPr>
          <w:spacing w:val="-1"/>
        </w:rPr>
      </w:pPr>
      <w:r w:rsidRPr="000116AE">
        <w:rPr>
          <w:spacing w:val="-1"/>
          <w:u w:val="single"/>
        </w:rPr>
        <w:t>La tecnología es otra gran preocupación norteamericana. Estados Unidos y China están inmersos en una contienda enconada en el terreno de la inteligencia artificial</w:t>
      </w:r>
      <w:r w:rsidRPr="00F16766">
        <w:rPr>
          <w:spacing w:val="-1"/>
        </w:rPr>
        <w:t xml:space="preserve"> y siguen enfrentándose por la empresa de</w:t>
      </w:r>
      <w:r w:rsidR="00290C0D">
        <w:rPr>
          <w:spacing w:val="-1"/>
        </w:rPr>
        <w:t xml:space="preserve"> telecomunicaciones china Huawei</w:t>
      </w:r>
      <w:r w:rsidRPr="00F16766">
        <w:rPr>
          <w:spacing w:val="-1"/>
        </w:rPr>
        <w:t>, una de las compa</w:t>
      </w:r>
      <w:r>
        <w:rPr>
          <w:spacing w:val="-1"/>
        </w:rPr>
        <w:t>ñías globales líderes del país.</w:t>
      </w:r>
    </w:p>
    <w:p w:rsidR="00523824" w:rsidRPr="00F16766" w:rsidRDefault="00523824" w:rsidP="00523824">
      <w:pPr>
        <w:pStyle w:val="NormalWeb"/>
        <w:shd w:val="clear" w:color="auto" w:fill="FFFFFF"/>
        <w:spacing w:after="270"/>
        <w:jc w:val="both"/>
        <w:rPr>
          <w:spacing w:val="-1"/>
        </w:rPr>
      </w:pPr>
      <w:r w:rsidRPr="00F16766">
        <w:rPr>
          <w:spacing w:val="-1"/>
        </w:rPr>
        <w:t>La alta ejecutiva de Huawei Meng Wanzhou, la hija del fundador de la compañía, actualmente está esperando ser extraditada a Estados Unidos después de haber sido arrestada en Canadá en diciembre pasado por violar supuestamente las reglas de embargo norteamericanas respecto de Irán. Al mismo tiempo, la administración Trump está ejerciendo una fuerte presión sobre sus aliados europeos para que excluyan a Huawei de sus mercados de telecomunicaciones por cuestiones de espionaje (aunque Estados Unidos todavía no ha ofrecido e</w:t>
      </w:r>
      <w:r>
        <w:rPr>
          <w:spacing w:val="-1"/>
        </w:rPr>
        <w:t>videncia de esto públicamente).</w:t>
      </w:r>
    </w:p>
    <w:p w:rsidR="00523824" w:rsidRPr="000116AE" w:rsidRDefault="00523824" w:rsidP="00523824">
      <w:pPr>
        <w:pStyle w:val="NormalWeb"/>
        <w:shd w:val="clear" w:color="auto" w:fill="FFFFFF"/>
        <w:spacing w:after="270"/>
        <w:jc w:val="both"/>
        <w:rPr>
          <w:color w:val="FF0000"/>
          <w:spacing w:val="-1"/>
          <w:u w:val="single"/>
        </w:rPr>
      </w:pPr>
      <w:r w:rsidRPr="000116AE">
        <w:rPr>
          <w:color w:val="FF0000"/>
          <w:spacing w:val="-1"/>
          <w:u w:val="single"/>
        </w:rPr>
        <w:t>La llegada de este nuevo orden global del siglo XXI no es un buen augurio para Europa, como dejan en claro estas escaramuzas iniciales en materia de comercio y tecnología. Pero, como es habitual cuando se enfrenta a un desafío global importante, Europa esencialmente se mira el ombligo y se preocupa por los problemas internos, incluido el Brexit.</w:t>
      </w:r>
    </w:p>
    <w:p w:rsidR="00523824" w:rsidRPr="00F16766" w:rsidRDefault="00523824" w:rsidP="00523824">
      <w:pPr>
        <w:pStyle w:val="NormalWeb"/>
        <w:shd w:val="clear" w:color="auto" w:fill="FFFFFF"/>
        <w:spacing w:after="270"/>
        <w:jc w:val="both"/>
        <w:rPr>
          <w:spacing w:val="-1"/>
        </w:rPr>
      </w:pPr>
      <w:r w:rsidRPr="000116AE">
        <w:rPr>
          <w:color w:val="FF0000"/>
          <w:spacing w:val="-1"/>
          <w:u w:val="single"/>
        </w:rPr>
        <w:t>Pero los europeos no pueden permitirse mantenerse al margen. Europa será una de las primeras víctimas si la disputa actual entre China y Estados Unidos se convierte en un conflicto comercial declarado. Si esto sucediera, las dos superpotencias ex</w:t>
      </w:r>
      <w:r w:rsidR="00F54F54">
        <w:rPr>
          <w:color w:val="FF0000"/>
          <w:spacing w:val="-1"/>
          <w:u w:val="single"/>
        </w:rPr>
        <w:t>igirán que Europa tome partido -</w:t>
      </w:r>
      <w:r w:rsidRPr="000116AE">
        <w:rPr>
          <w:color w:val="FF0000"/>
          <w:spacing w:val="-1"/>
          <w:u w:val="single"/>
        </w:rPr>
        <w:t>precisamente el tipo de elección que no quiere hacer, porque Estados Unidos y China son sus dos principales mercados exportadores-.</w:t>
      </w:r>
      <w:r w:rsidRPr="00F16766">
        <w:rPr>
          <w:spacing w:val="-1"/>
        </w:rPr>
        <w:t xml:space="preserve"> De la misma manera, Europa muy probablemente enfrentaría una represalia china si decidiera expulsar a Hua</w:t>
      </w:r>
      <w:r>
        <w:rPr>
          <w:spacing w:val="-1"/>
        </w:rPr>
        <w:t>wei de sus mercados nacionales.</w:t>
      </w:r>
    </w:p>
    <w:p w:rsidR="00523824" w:rsidRPr="000116AE" w:rsidRDefault="00523824" w:rsidP="00523824">
      <w:pPr>
        <w:pStyle w:val="NormalWeb"/>
        <w:shd w:val="clear" w:color="auto" w:fill="FFFFFF"/>
        <w:spacing w:after="270"/>
        <w:jc w:val="both"/>
        <w:rPr>
          <w:color w:val="FF0000"/>
          <w:spacing w:val="-1"/>
          <w:u w:val="single"/>
        </w:rPr>
      </w:pPr>
      <w:r w:rsidRPr="000116AE">
        <w:rPr>
          <w:color w:val="FF0000"/>
          <w:spacing w:val="-1"/>
          <w:u w:val="single"/>
        </w:rPr>
        <w:t>Europa debe forjar su propia visión estratégica sobre el nuevo orden global. Y tendrá que poner un peso suficiente en la balanza geopolítica para seguir comerciando con Estados Unidos y China según sus propios términos.</w:t>
      </w:r>
    </w:p>
    <w:p w:rsidR="00523824" w:rsidRPr="00F16766" w:rsidRDefault="00523824" w:rsidP="00523824">
      <w:pPr>
        <w:pStyle w:val="NormalWeb"/>
        <w:shd w:val="clear" w:color="auto" w:fill="FFFFFF"/>
        <w:spacing w:after="270"/>
        <w:jc w:val="both"/>
        <w:rPr>
          <w:spacing w:val="-1"/>
        </w:rPr>
      </w:pPr>
      <w:r w:rsidRPr="00F16766">
        <w:rPr>
          <w:spacing w:val="-1"/>
        </w:rPr>
        <w:t>Esto exigirá que Europa desarrolle una política industrial basada en los intereses y valores europeos. Al mismo tiempo, los líderes de Europa deben reconocer que China está construyendo rápidamente un sistema político alternativo en el que un partido único controla digitalmente a las masas. No importa la opinión que uno tenga de Trump, esto</w:t>
      </w:r>
      <w:r>
        <w:rPr>
          <w:spacing w:val="-1"/>
        </w:rPr>
        <w:t xml:space="preserve"> no sucederá en Estados Unidos.</w:t>
      </w:r>
    </w:p>
    <w:p w:rsidR="00523824" w:rsidRPr="000116AE" w:rsidRDefault="00523824" w:rsidP="00523824">
      <w:pPr>
        <w:pStyle w:val="NormalWeb"/>
        <w:shd w:val="clear" w:color="auto" w:fill="FFFFFF"/>
        <w:spacing w:after="270"/>
        <w:jc w:val="both"/>
        <w:rPr>
          <w:color w:val="FF0000"/>
          <w:spacing w:val="-1"/>
          <w:u w:val="single"/>
        </w:rPr>
      </w:pPr>
      <w:r w:rsidRPr="000116AE">
        <w:rPr>
          <w:color w:val="FF0000"/>
          <w:spacing w:val="-1"/>
          <w:u w:val="single"/>
        </w:rPr>
        <w:t>El equilibrio geopolítico global está cambiando aceleradamente y Europa debe adaptarse. En lugar de mirar hacia adentro, los líderes europeos necesitan una estrategia creíble para con las dos superpotencias –y China en particular.</w:t>
      </w:r>
    </w:p>
    <w:p w:rsidR="00523824" w:rsidRDefault="00523824" w:rsidP="00523824">
      <w:pPr>
        <w:pStyle w:val="NormalWeb"/>
        <w:shd w:val="clear" w:color="auto" w:fill="FFFFFF"/>
        <w:spacing w:after="270"/>
        <w:jc w:val="both"/>
        <w:rPr>
          <w:spacing w:val="-1"/>
          <w:lang w:val="en-US"/>
        </w:rPr>
      </w:pPr>
      <w:r>
        <w:rPr>
          <w:spacing w:val="-1"/>
          <w:lang w:val="en-US"/>
        </w:rPr>
        <w:t>(</w:t>
      </w:r>
      <w:r w:rsidRPr="00F16766">
        <w:rPr>
          <w:spacing w:val="-1"/>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spacing w:val="-1"/>
          <w:lang w:val="en-US"/>
        </w:rPr>
        <w:t>h he led for almost two decades)</w:t>
      </w:r>
    </w:p>
    <w:p w:rsidR="00523824" w:rsidRPr="00EF1450" w:rsidRDefault="00523824" w:rsidP="00523824">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044708">
        <w:rPr>
          <w:rFonts w:ascii="Times New Roman" w:hAnsi="Times New Roman" w:cs="Times New Roman"/>
          <w:sz w:val="24"/>
          <w:szCs w:val="24"/>
          <w:u w:val="single"/>
        </w:rPr>
        <w:t>Europa y el nuevo imperialismo</w:t>
      </w:r>
      <w:r>
        <w:rPr>
          <w:rFonts w:ascii="Times New Roman" w:hAnsi="Times New Roman" w:cs="Times New Roman"/>
          <w:sz w:val="24"/>
          <w:szCs w:val="24"/>
        </w:rPr>
        <w:t xml:space="preserve"> (Project Syndicate - </w:t>
      </w:r>
      <w:r w:rsidRPr="00044708">
        <w:rPr>
          <w:rFonts w:ascii="Times New Roman" w:hAnsi="Times New Roman" w:cs="Times New Roman"/>
          <w:b/>
          <w:sz w:val="24"/>
          <w:szCs w:val="24"/>
        </w:rPr>
        <w:t>1/4/19</w:t>
      </w:r>
      <w:r>
        <w:rPr>
          <w:rFonts w:ascii="Times New Roman" w:hAnsi="Times New Roman" w:cs="Times New Roman"/>
          <w:sz w:val="24"/>
          <w:szCs w:val="24"/>
        </w:rPr>
        <w:t xml:space="preserve">) </w:t>
      </w:r>
    </w:p>
    <w:p w:rsidR="00523824" w:rsidRPr="00990995" w:rsidRDefault="00523824" w:rsidP="00523824">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París.-</w:t>
      </w:r>
      <w:r w:rsidRPr="00990995">
        <w:rPr>
          <w:rFonts w:ascii="Times New Roman" w:hAnsi="Times New Roman" w:cs="Times New Roman"/>
          <w:color w:val="FF0000"/>
          <w:sz w:val="24"/>
          <w:szCs w:val="24"/>
          <w:u w:val="single"/>
        </w:rPr>
        <w:t>Hace un siglo, Lenin escribió que el imperialismo se define por cinco características fundamentales: concentración de la producción; fusión de capital financiero e industrial; exportación de capital; carteles transnacionales; y división territorial del mundo entre las potencias capitalistas. Hasta hace poco sólo los bolcheviques más acérrimos consideraban pertinente esa definición. Pero ya no es así: la descripción de Lenin parece cada vez más exacta.</w:t>
      </w:r>
    </w:p>
    <w:p w:rsidR="00523824" w:rsidRPr="00990995" w:rsidRDefault="00523824" w:rsidP="00523824">
      <w:pPr>
        <w:spacing w:line="240" w:lineRule="auto"/>
        <w:jc w:val="both"/>
        <w:rPr>
          <w:rFonts w:ascii="Times New Roman" w:hAnsi="Times New Roman" w:cs="Times New Roman"/>
          <w:color w:val="FF0000"/>
          <w:sz w:val="24"/>
          <w:szCs w:val="24"/>
          <w:u w:val="single"/>
        </w:rPr>
      </w:pPr>
      <w:r w:rsidRPr="00990995">
        <w:rPr>
          <w:rFonts w:ascii="Times New Roman" w:hAnsi="Times New Roman" w:cs="Times New Roman"/>
          <w:color w:val="FF0000"/>
          <w:sz w:val="24"/>
          <w:szCs w:val="24"/>
          <w:u w:val="single"/>
        </w:rPr>
        <w:t>Hace unos pocos años, se daba por sentado que la globalización diluiría el poder de mercado y estimularía la competencia. Y se esperaba que una mayor interdependencia económica evitaría conflictos internacionales</w:t>
      </w:r>
      <w:r w:rsidRPr="00044708">
        <w:rPr>
          <w:rFonts w:ascii="Times New Roman" w:hAnsi="Times New Roman" w:cs="Times New Roman"/>
          <w:sz w:val="24"/>
          <w:szCs w:val="24"/>
        </w:rPr>
        <w:t xml:space="preserve">. Si había que citar autores de principios del siglo XX, estos eran Joseph Schumpeter, el economista que identificó la “destrucción creativa” como fuerza motora del progreso, y el estadista británico Norman Angell, quien sostuvo que la interdependencia económica había vuelto obsoleto el militarismo. </w:t>
      </w:r>
      <w:r w:rsidRPr="00990995">
        <w:rPr>
          <w:rFonts w:ascii="Times New Roman" w:hAnsi="Times New Roman" w:cs="Times New Roman"/>
          <w:color w:val="FF0000"/>
          <w:sz w:val="24"/>
          <w:szCs w:val="24"/>
          <w:u w:val="single"/>
        </w:rPr>
        <w:t>Sin embargo, nos encontramos ahora en un mundo de monopolios económicos y rivalidad geopolítica.</w:t>
      </w:r>
    </w:p>
    <w:p w:rsidR="00523824" w:rsidRPr="00990995" w:rsidRDefault="00523824" w:rsidP="00523824">
      <w:pPr>
        <w:spacing w:line="240" w:lineRule="auto"/>
        <w:jc w:val="both"/>
        <w:rPr>
          <w:rFonts w:ascii="Times New Roman" w:hAnsi="Times New Roman" w:cs="Times New Roman"/>
          <w:color w:val="FF0000"/>
          <w:sz w:val="24"/>
          <w:szCs w:val="24"/>
          <w:u w:val="single"/>
        </w:rPr>
      </w:pPr>
      <w:r w:rsidRPr="00990995">
        <w:rPr>
          <w:rFonts w:ascii="Times New Roman" w:hAnsi="Times New Roman" w:cs="Times New Roman"/>
          <w:color w:val="FF0000"/>
          <w:sz w:val="24"/>
          <w:szCs w:val="24"/>
          <w:u w:val="single"/>
        </w:rPr>
        <w:t>El primer problema halla su máxima expresión en los gigantes tecnológicos estadounidenses, pero en realidad está muy difundido. Según la OCDE, la concentración de mercado aumentó en una variedad de sectores, lo mismo en Estados Unidos que en Europa; y China está creando megaempresas nacionales con apoyo estatal todavía más grandes. En cuanto a la geopolítica, parece que Estados Unidos abandonó la esperanza de que la integración de China a la economía global llevaría a su convergencia política con el orden liberal occidental establecido. Como expresó con crudeza el vicepresidente estadounidense Mike Pence en un discurso de octubre de 2018, Estados Unidos ahora ve a China como un rival estratégico en una nueva era de “competencia entre grandes potencias”.</w:t>
      </w:r>
    </w:p>
    <w:p w:rsidR="00523824" w:rsidRPr="00A1369B" w:rsidRDefault="00523824" w:rsidP="00523824">
      <w:pPr>
        <w:spacing w:line="240" w:lineRule="auto"/>
        <w:jc w:val="both"/>
        <w:rPr>
          <w:rFonts w:ascii="Times New Roman" w:hAnsi="Times New Roman" w:cs="Times New Roman"/>
          <w:sz w:val="24"/>
          <w:szCs w:val="24"/>
          <w:u w:val="single"/>
        </w:rPr>
      </w:pPr>
      <w:r w:rsidRPr="00A1369B">
        <w:rPr>
          <w:rFonts w:ascii="Times New Roman" w:hAnsi="Times New Roman" w:cs="Times New Roman"/>
          <w:color w:val="FF0000"/>
          <w:sz w:val="24"/>
          <w:szCs w:val="24"/>
          <w:u w:val="single"/>
        </w:rPr>
        <w:t>La concentración económica y la rivalidad geopolítica son en la práctica inseparables. Internet, que pasaba por ser un ámbito abierto, universal y competitivo, se está fragmentando en un archipiélago de subsistemas separados, algunos de ellos administrados por gobiernos.</w:t>
      </w:r>
      <w:r w:rsidRPr="00A1369B">
        <w:rPr>
          <w:rFonts w:ascii="Times New Roman" w:hAnsi="Times New Roman" w:cs="Times New Roman"/>
          <w:sz w:val="24"/>
          <w:szCs w:val="24"/>
          <w:u w:val="single"/>
        </w:rPr>
        <w:t>Crece el temor a que el dominio de la megatecnológica china Huawei en el mercado del hardware 5G pueda usarse para obtener ventajas geopolíticas. Y la asociación industrial alemana BDI advierte que China inició una “competencia sistémica con las economías de mercado liberales” y que está “aunando capacidades en pos de objetivos políticos y económicos en forma muy eficiente”.</w:t>
      </w:r>
    </w:p>
    <w:p w:rsidR="00523824" w:rsidRPr="00A1369B" w:rsidRDefault="00523824" w:rsidP="00523824">
      <w:pPr>
        <w:spacing w:line="240" w:lineRule="auto"/>
        <w:jc w:val="both"/>
        <w:rPr>
          <w:rFonts w:ascii="Times New Roman" w:hAnsi="Times New Roman" w:cs="Times New Roman"/>
          <w:sz w:val="24"/>
          <w:szCs w:val="24"/>
          <w:u w:val="single"/>
        </w:rPr>
      </w:pPr>
      <w:r w:rsidRPr="00A1369B">
        <w:rPr>
          <w:rFonts w:ascii="Times New Roman" w:hAnsi="Times New Roman" w:cs="Times New Roman"/>
          <w:sz w:val="24"/>
          <w:szCs w:val="24"/>
          <w:u w:val="single"/>
        </w:rPr>
        <w:t xml:space="preserve">Pero Estados Unidos también se está reposicionando, en particular en el ámbito del comercio y la inversión. Una ley aprobada hace poco autoriza al Departamento del Tesoro a </w:t>
      </w:r>
      <w:r w:rsidRPr="00A1369B">
        <w:rPr>
          <w:rFonts w:ascii="Times New Roman" w:hAnsi="Times New Roman" w:cs="Times New Roman"/>
          <w:color w:val="FF0000"/>
          <w:sz w:val="24"/>
          <w:szCs w:val="24"/>
          <w:u w:val="single"/>
        </w:rPr>
        <w:t>individualizar inversiones extranjeras “con motivaciones estratégicas” (léase: chinas) que puedan “plantear una amenaza a la superioridad tecnológica y seguridad nacional de los Estados Unidos</w:t>
      </w:r>
      <w:r w:rsidRPr="00A1369B">
        <w:rPr>
          <w:rFonts w:ascii="Times New Roman" w:hAnsi="Times New Roman" w:cs="Times New Roman"/>
          <w:sz w:val="24"/>
          <w:szCs w:val="24"/>
          <w:u w:val="single"/>
        </w:rPr>
        <w:t>”, lo que indica que la administración Trump pretende limitar las inversiones de modo de proteger la ventaja tecnológica de Estados Unidos.</w:t>
      </w:r>
    </w:p>
    <w:p w:rsidR="00523824" w:rsidRPr="00A1369B" w:rsidRDefault="00523824" w:rsidP="00523824">
      <w:pPr>
        <w:spacing w:line="240" w:lineRule="auto"/>
        <w:jc w:val="both"/>
        <w:rPr>
          <w:rFonts w:ascii="Times New Roman" w:hAnsi="Times New Roman" w:cs="Times New Roman"/>
          <w:color w:val="FF0000"/>
          <w:sz w:val="24"/>
          <w:szCs w:val="24"/>
          <w:u w:val="single"/>
        </w:rPr>
      </w:pPr>
      <w:r w:rsidRPr="00A1369B">
        <w:rPr>
          <w:rFonts w:ascii="Times New Roman" w:hAnsi="Times New Roman" w:cs="Times New Roman"/>
          <w:color w:val="FF0000"/>
          <w:sz w:val="24"/>
          <w:szCs w:val="24"/>
          <w:u w:val="single"/>
        </w:rPr>
        <w:t>A China muchos la acusan de mezclar la economía con la política. Pero lo mismo puede decirse de Estados Unidos</w:t>
      </w:r>
      <w:r w:rsidRPr="00044708">
        <w:rPr>
          <w:rFonts w:ascii="Times New Roman" w:hAnsi="Times New Roman" w:cs="Times New Roman"/>
          <w:sz w:val="24"/>
          <w:szCs w:val="24"/>
        </w:rPr>
        <w:t xml:space="preserve">. Basta pensar en cómo la administración Trump usa el dólar (una moneda a la que se consideraba un bien público global) y su papel central en las finanzas internacionales para imponer sanciones secundarias a empresas extranjeras que hagan negocios con Irán. Esto obligó a SWIFT, el servicio de mensajería financiera con base en la UE, a negar el acceso a bancos iraníes, so pena de perder su propio acceso al sistema financiero estadounidense. Asimismo, bajo presión de Estados Unidos, el año pasado el Bundesbank bloqueó una importante transferencia de efectivo a Teherán desde una cuenta iraní en un banco de propiedad iraní en Hamburgo. </w:t>
      </w:r>
      <w:r w:rsidRPr="00A1369B">
        <w:rPr>
          <w:rFonts w:ascii="Times New Roman" w:hAnsi="Times New Roman" w:cs="Times New Roman"/>
          <w:color w:val="FF0000"/>
          <w:sz w:val="24"/>
          <w:szCs w:val="24"/>
          <w:u w:val="single"/>
        </w:rPr>
        <w:t>Es evidente que Estados Unidos ya no siente necesidad alguna de contenerse en el uso del poder monetario y financiero.</w:t>
      </w:r>
    </w:p>
    <w:p w:rsidR="00523824" w:rsidRPr="00A1369B" w:rsidRDefault="00523824" w:rsidP="00523824">
      <w:pPr>
        <w:spacing w:line="240" w:lineRule="auto"/>
        <w:jc w:val="both"/>
        <w:rPr>
          <w:rFonts w:ascii="Times New Roman" w:hAnsi="Times New Roman" w:cs="Times New Roman"/>
          <w:color w:val="FF0000"/>
          <w:sz w:val="24"/>
          <w:szCs w:val="24"/>
          <w:u w:val="single"/>
        </w:rPr>
      </w:pPr>
      <w:r w:rsidRPr="00A1369B">
        <w:rPr>
          <w:rFonts w:ascii="Times New Roman" w:hAnsi="Times New Roman" w:cs="Times New Roman"/>
          <w:color w:val="FF0000"/>
          <w:sz w:val="24"/>
          <w:szCs w:val="24"/>
          <w:u w:val="single"/>
        </w:rPr>
        <w:t>Para Europa, todo esto supone un golpe enorme. Económicamente, la Unión Europea está en la avanzada del orden liberal de la posguerra: como firme defensora de la competencia, obligó más de una vez a poderosas empresas extranjeras a respetar sus leyes. Pero geopolíticamente, la UE siempre intentó mantener la economía separada de las relaciones internacionales, de modo que se sentía cómoda en un sistema multilateral basado en reglas, donde el ejercicio absoluto del poder estatal se hallaba necesariamente restringido. El nacionalismo y el imperialismo son sus peores pesadillas.</w:t>
      </w:r>
    </w:p>
    <w:p w:rsidR="00523824" w:rsidRPr="008952DC" w:rsidRDefault="00523824" w:rsidP="00523824">
      <w:pPr>
        <w:spacing w:line="240" w:lineRule="auto"/>
        <w:jc w:val="both"/>
        <w:rPr>
          <w:rFonts w:ascii="Times New Roman" w:hAnsi="Times New Roman" w:cs="Times New Roman"/>
          <w:b/>
          <w:color w:val="FF0000"/>
          <w:sz w:val="24"/>
          <w:szCs w:val="24"/>
          <w:u w:val="single"/>
        </w:rPr>
      </w:pPr>
      <w:r w:rsidRPr="00A1369B">
        <w:rPr>
          <w:rFonts w:ascii="Times New Roman" w:hAnsi="Times New Roman" w:cs="Times New Roman"/>
          <w:b/>
          <w:color w:val="FF0000"/>
          <w:sz w:val="24"/>
          <w:szCs w:val="24"/>
          <w:u w:val="single"/>
        </w:rPr>
        <w:t xml:space="preserve">Europa se enfrenta ahora al desafío de posicionarse en un nuevo contexto en el que el poder importa más que las reglas y que el bienestar de los consumidores. La UE tiene ante sí tres grandes preguntas: si debe reorientar su política de competencia; cómo combinar los objetivos económicos y de seguridad; y cómo evitar convertirse en rehén económico de las prioridades de Estados Unidos en política exterior. </w:t>
      </w:r>
      <w:r w:rsidRPr="008952DC">
        <w:rPr>
          <w:rFonts w:ascii="Times New Roman" w:hAnsi="Times New Roman" w:cs="Times New Roman"/>
          <w:b/>
          <w:color w:val="FF0000"/>
          <w:sz w:val="24"/>
          <w:szCs w:val="24"/>
          <w:u w:val="single"/>
        </w:rPr>
        <w:t>Responderlas demandará una redefinición del concepto de soberanía económica.</w:t>
      </w:r>
    </w:p>
    <w:p w:rsidR="00523824" w:rsidRPr="00A1369B" w:rsidRDefault="00523824" w:rsidP="00523824">
      <w:pPr>
        <w:spacing w:line="240" w:lineRule="auto"/>
        <w:jc w:val="both"/>
        <w:rPr>
          <w:rFonts w:ascii="Times New Roman" w:hAnsi="Times New Roman" w:cs="Times New Roman"/>
          <w:color w:val="FF0000"/>
          <w:sz w:val="24"/>
          <w:szCs w:val="24"/>
          <w:u w:val="single"/>
        </w:rPr>
      </w:pPr>
      <w:r w:rsidRPr="00A1369B">
        <w:rPr>
          <w:rFonts w:ascii="Times New Roman" w:hAnsi="Times New Roman" w:cs="Times New Roman"/>
          <w:color w:val="FF0000"/>
          <w:sz w:val="24"/>
          <w:szCs w:val="24"/>
          <w:u w:val="single"/>
        </w:rPr>
        <w:t>La política de competencia es objeto de intenso debate. Algunos quieren modificar las normas antitrust de la UE para permitir la creación de “campeones” empresariales europeos. Pero es una idea cuestionable. Es verdad que Europa necesita más iniciativas de política industrial en campos como la inteligencia artificial y las baterías eléctricas, donde corre riesgo de quedar rezagada respecto de otras potencias globales. Es verdad que al momento de emitir dictamen sobre fusiones de empresas y ayudas estatales, los reguladores deberían tener en cuenta el alcance cada vez más global de la competencia. Y es verdad que a la evaluación estática del poder de mercado hay que complementarla con otras ideas más dinámicas que valoren la innovación. Pero nada de esto cambia el hecho de que en un mundo de gigantes corporativos, necesitaremos políticas de competencia todavía más fuertes para proteger a los consumidores.</w:t>
      </w:r>
    </w:p>
    <w:p w:rsidR="00523824" w:rsidRPr="00A1369B" w:rsidRDefault="00523824" w:rsidP="00523824">
      <w:pPr>
        <w:spacing w:line="240" w:lineRule="auto"/>
        <w:jc w:val="both"/>
        <w:rPr>
          <w:rFonts w:ascii="Times New Roman" w:hAnsi="Times New Roman" w:cs="Times New Roman"/>
          <w:sz w:val="24"/>
          <w:szCs w:val="24"/>
          <w:u w:val="single"/>
        </w:rPr>
      </w:pPr>
      <w:r w:rsidRPr="00A1369B">
        <w:rPr>
          <w:rFonts w:ascii="Times New Roman" w:hAnsi="Times New Roman" w:cs="Times New Roman"/>
          <w:sz w:val="24"/>
          <w:szCs w:val="24"/>
          <w:u w:val="single"/>
        </w:rPr>
        <w:t>La lógica económica y los temas de seguridad se mezclan fácilmente</w:t>
      </w:r>
      <w:r w:rsidRPr="00044708">
        <w:rPr>
          <w:rFonts w:ascii="Times New Roman" w:hAnsi="Times New Roman" w:cs="Times New Roman"/>
          <w:sz w:val="24"/>
          <w:szCs w:val="24"/>
        </w:rPr>
        <w:t>. La decisión de rechazar una fusión o autorizar una inversión que beneficie a un competidor extranjero políticamente motivado puede tener sentido en lo económico, y al mismo tiempo generar inquietud en el ámbito de la política exterior. Pero la solución no es alterar las reglas de competencia, sino dar a las autoridades encargadas de la seguridad cierta participación en el proceso de toma de decisiones. En tal sentido</w:t>
      </w:r>
      <w:r w:rsidRPr="00A1369B">
        <w:rPr>
          <w:rFonts w:ascii="Times New Roman" w:hAnsi="Times New Roman" w:cs="Times New Roman"/>
          <w:sz w:val="24"/>
          <w:szCs w:val="24"/>
          <w:u w:val="single"/>
        </w:rPr>
        <w:t>, en un artículo de próxima publicación del que soy coautor con varios expertos en política exterior y economistas, proponemos dar a la Alta Representante de la Unión para Asuntos Exteriores y Política de Seguridad el derecho a cuestionar ante la Comisión Europea por motivos de seguridad propuestas de fusión o decisiones de inversión. Los estados miembros de la UE ya tienen mecanismos de esa índole, y también debería tenerlos la UE.</w:t>
      </w:r>
    </w:p>
    <w:p w:rsidR="00523824" w:rsidRPr="00A1369B" w:rsidRDefault="00523824" w:rsidP="00523824">
      <w:pPr>
        <w:spacing w:line="240" w:lineRule="auto"/>
        <w:jc w:val="both"/>
        <w:rPr>
          <w:rFonts w:ascii="Times New Roman" w:hAnsi="Times New Roman" w:cs="Times New Roman"/>
          <w:b/>
          <w:color w:val="FF0000"/>
          <w:sz w:val="24"/>
          <w:szCs w:val="24"/>
          <w:u w:val="single"/>
        </w:rPr>
      </w:pPr>
      <w:r w:rsidRPr="00A1369B">
        <w:rPr>
          <w:rFonts w:ascii="Times New Roman" w:hAnsi="Times New Roman" w:cs="Times New Roman"/>
          <w:b/>
          <w:color w:val="FF0000"/>
          <w:sz w:val="24"/>
          <w:szCs w:val="24"/>
          <w:u w:val="single"/>
        </w:rPr>
        <w:t>Finalmente, la UE debe esforzarse más en desarrollar su instrumental financiero y promover el uso internacional del euro. No hay que hacerse ilusiones de que el euro reemplazará al dólar, pero ahora que Estados Unidos da señales de que usará Wall Street y el billete verde como instrumentos de política exterior, Europa ya no puede ser un espectador neutral pasivo. Por el contrario, puede usar líneas de swap con bancos centrales asociados y otros mecanismos para aumentar el atractivo internacional del euro y al mismo tiempo reforzar su propia soberanía económica.</w:t>
      </w:r>
    </w:p>
    <w:p w:rsidR="00523824" w:rsidRDefault="00523824" w:rsidP="00523824">
      <w:pPr>
        <w:spacing w:line="240" w:lineRule="auto"/>
        <w:jc w:val="both"/>
        <w:rPr>
          <w:rFonts w:ascii="Times New Roman" w:hAnsi="Times New Roman" w:cs="Times New Roman"/>
          <w:sz w:val="24"/>
          <w:szCs w:val="24"/>
          <w:lang w:val="en-US"/>
        </w:rPr>
      </w:pPr>
      <w:r w:rsidRPr="00044708">
        <w:rPr>
          <w:rFonts w:ascii="Times New Roman" w:hAnsi="Times New Roman" w:cs="Times New Roman"/>
          <w:sz w:val="24"/>
          <w:szCs w:val="24"/>
          <w:lang w:val="en-US"/>
        </w:rPr>
        <w:t>(Jean Pisani-Ferry, a professor at the Hertie School of Governance (Berlin) and Sciences Po (Paris), holds the Tommaso Padoa-Schioppa chair at the European University Institute and is a senior fellow at Brueg</w:t>
      </w:r>
      <w:r>
        <w:rPr>
          <w:rFonts w:ascii="Times New Roman" w:hAnsi="Times New Roman" w:cs="Times New Roman"/>
          <w:sz w:val="24"/>
          <w:szCs w:val="24"/>
          <w:lang w:val="en-US"/>
        </w:rPr>
        <w:t>el, a Brussels-based think tank)</w:t>
      </w:r>
    </w:p>
    <w:p w:rsidR="00523824" w:rsidRPr="00EF1450" w:rsidRDefault="00523824" w:rsidP="00523824">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7313BF">
        <w:rPr>
          <w:rFonts w:ascii="Times New Roman" w:hAnsi="Times New Roman" w:cs="Times New Roman"/>
          <w:sz w:val="24"/>
          <w:szCs w:val="24"/>
        </w:rPr>
        <w:t>¿</w:t>
      </w:r>
      <w:r w:rsidRPr="007313BF">
        <w:rPr>
          <w:rFonts w:ascii="Times New Roman" w:hAnsi="Times New Roman" w:cs="Times New Roman"/>
          <w:sz w:val="24"/>
          <w:szCs w:val="24"/>
          <w:u w:val="single"/>
        </w:rPr>
        <w:t>Se acerca el invierno a la UE</w:t>
      </w:r>
      <w:r w:rsidRPr="007313BF">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7313BF">
        <w:rPr>
          <w:rFonts w:ascii="Times New Roman" w:hAnsi="Times New Roman" w:cs="Times New Roman"/>
          <w:b/>
          <w:sz w:val="24"/>
          <w:szCs w:val="24"/>
        </w:rPr>
        <w:t>23/4/19</w:t>
      </w:r>
      <w:r>
        <w:rPr>
          <w:rFonts w:ascii="Times New Roman" w:hAnsi="Times New Roman" w:cs="Times New Roman"/>
          <w:sz w:val="24"/>
          <w:szCs w:val="24"/>
        </w:rPr>
        <w:t xml:space="preserve">) </w:t>
      </w:r>
    </w:p>
    <w:p w:rsidR="00523824" w:rsidRPr="003C73AD" w:rsidRDefault="00523824" w:rsidP="0052382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Berlín.-</w:t>
      </w:r>
      <w:r w:rsidRPr="003C73AD">
        <w:rPr>
          <w:rFonts w:ascii="Times New Roman" w:hAnsi="Times New Roman" w:cs="Times New Roman"/>
          <w:sz w:val="24"/>
          <w:szCs w:val="24"/>
          <w:u w:val="single"/>
        </w:rPr>
        <w:t>Una teoría muy difundida sostiene que las elecciones de mayo para el Parlamento Europeo serán el “Tercer Acto” en el drama populista que empezó en 2016 con el referendo por el Brexit en el Reino Unido y la elección de Donald Trump como presidente de los Estados Unidos. Según nos dicen, se avecina un gran duelo entre las fuerzas de la sociedad “abierta” y de la sociedad “cerrada”, en el que se juega el futuro de la Unión Europea. Todo esto suena muy verosímil. Pero está totalmente equivocado.</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El Brexit y la victoria de Trump llevaron a muchos analistas políticos a concluir que los votantes europeos también abandonarían a los partidos tradicionales para unirse a nuevas tribus identitarias. Pero en Estados Unidos, las divisorias políticas y regionales están tan arraigadas que afectan cuestiones como el lugar donde uno trabaja, con quién se casa y qué visión tiene del mundo. Y en el RU, hace rato que empezaron a aparecer divisorias similares entre norte y sur, jóvenes y viejos, habitantes urbanos y rura</w:t>
      </w:r>
      <w:r>
        <w:rPr>
          <w:rFonts w:ascii="Times New Roman" w:hAnsi="Times New Roman" w:cs="Times New Roman"/>
          <w:sz w:val="24"/>
          <w:szCs w:val="24"/>
        </w:rPr>
        <w:t xml:space="preserve">les, graduados y no graduados. </w:t>
      </w:r>
    </w:p>
    <w:p w:rsidR="00523824" w:rsidRPr="003C73AD" w:rsidRDefault="00523824" w:rsidP="00523824">
      <w:pPr>
        <w:spacing w:line="240" w:lineRule="auto"/>
        <w:jc w:val="both"/>
        <w:rPr>
          <w:rFonts w:ascii="Times New Roman" w:hAnsi="Times New Roman" w:cs="Times New Roman"/>
          <w:color w:val="FF0000"/>
          <w:sz w:val="24"/>
          <w:szCs w:val="24"/>
          <w:u w:val="single"/>
        </w:rPr>
      </w:pPr>
      <w:r w:rsidRPr="003C73AD">
        <w:rPr>
          <w:rFonts w:ascii="Times New Roman" w:hAnsi="Times New Roman" w:cs="Times New Roman"/>
          <w:sz w:val="24"/>
          <w:szCs w:val="24"/>
          <w:u w:val="single"/>
        </w:rPr>
        <w:t>La política europea es más fluida. Una encuesta reciente del Consejo Europeo de Relaciones Exteriores (ECFR) y YouGov</w:t>
      </w:r>
      <w:r>
        <w:rPr>
          <w:rFonts w:ascii="Times New Roman" w:hAnsi="Times New Roman" w:cs="Times New Roman"/>
          <w:sz w:val="24"/>
          <w:szCs w:val="24"/>
          <w:u w:val="single"/>
        </w:rPr>
        <w:t xml:space="preserve"> en la que participaron casi 50.</w:t>
      </w:r>
      <w:r w:rsidRPr="003C73AD">
        <w:rPr>
          <w:rFonts w:ascii="Times New Roman" w:hAnsi="Times New Roman" w:cs="Times New Roman"/>
          <w:sz w:val="24"/>
          <w:szCs w:val="24"/>
          <w:u w:val="single"/>
        </w:rPr>
        <w:t>000 votantes de 14 estados miembros de la UE sugiere que el mejor modelo para comprender a Europa en 2019 no es ni Estados Unidos ni el RU, sino Poniente, el principal escenario de la serie de HBO Game of Thrones (Juego de tronos). En vez de estar dividido en tribus estables, el paisaje político</w:t>
      </w:r>
      <w:r w:rsidRPr="003C73AD">
        <w:rPr>
          <w:rFonts w:ascii="Times New Roman" w:hAnsi="Times New Roman" w:cs="Times New Roman"/>
          <w:color w:val="FF0000"/>
          <w:sz w:val="24"/>
          <w:szCs w:val="24"/>
          <w:u w:val="single"/>
        </w:rPr>
        <w:t>europeo es un campo de batalla impredecible en el que se enfrentan alianzas que cambian todo el tiempo; la característica que lo define es una volatilidad radical.</w:t>
      </w:r>
    </w:p>
    <w:p w:rsidR="00523824" w:rsidRPr="007313BF" w:rsidRDefault="00523824" w:rsidP="00523824">
      <w:pPr>
        <w:spacing w:line="240" w:lineRule="auto"/>
        <w:jc w:val="both"/>
        <w:rPr>
          <w:rFonts w:ascii="Times New Roman" w:hAnsi="Times New Roman" w:cs="Times New Roman"/>
          <w:sz w:val="24"/>
          <w:szCs w:val="24"/>
        </w:rPr>
      </w:pPr>
      <w:r w:rsidRPr="003C73AD">
        <w:rPr>
          <w:rFonts w:ascii="Times New Roman" w:hAnsi="Times New Roman" w:cs="Times New Roman"/>
          <w:color w:val="FF0000"/>
          <w:sz w:val="24"/>
          <w:szCs w:val="24"/>
          <w:u w:val="single"/>
        </w:rPr>
        <w:t>Más que alejarse del centro hacia los extremos, la política europea se está abriendo en todas direcciones: de izquierda a derecha, de antisistema a pro-establishment, etcétera.</w:t>
      </w:r>
      <w:r w:rsidRPr="007313BF">
        <w:rPr>
          <w:rFonts w:ascii="Times New Roman" w:hAnsi="Times New Roman" w:cs="Times New Roman"/>
          <w:sz w:val="24"/>
          <w:szCs w:val="24"/>
        </w:rPr>
        <w:t xml:space="preserve"> Las opciones electorales de mayo son tan inciertas que la mitad de los encuestados dijeron que directamente no irán a votar. Otro 15% todavía no sabe si irá, y del 35% que ya tiene intenciones de votar, un 70% no decidió a quién. En cifras absolutas, en mayo hay unos cien millones de vot</w:t>
      </w:r>
      <w:r>
        <w:rPr>
          <w:rFonts w:ascii="Times New Roman" w:hAnsi="Times New Roman" w:cs="Times New Roman"/>
          <w:sz w:val="24"/>
          <w:szCs w:val="24"/>
        </w:rPr>
        <w:t>os que todavía no tienen dueño.</w:t>
      </w:r>
    </w:p>
    <w:p w:rsidR="00523824" w:rsidRPr="003C73AD" w:rsidRDefault="00523824" w:rsidP="00523824">
      <w:pPr>
        <w:spacing w:line="240" w:lineRule="auto"/>
        <w:jc w:val="both"/>
        <w:rPr>
          <w:rFonts w:ascii="Times New Roman" w:hAnsi="Times New Roman" w:cs="Times New Roman"/>
          <w:sz w:val="24"/>
          <w:szCs w:val="24"/>
          <w:u w:val="single"/>
        </w:rPr>
      </w:pPr>
      <w:r w:rsidRPr="003C73AD">
        <w:rPr>
          <w:rFonts w:ascii="Times New Roman" w:hAnsi="Times New Roman" w:cs="Times New Roman"/>
          <w:sz w:val="24"/>
          <w:szCs w:val="24"/>
          <w:u w:val="single"/>
        </w:rPr>
        <w:t>A diferencia de la elección presidencial de 2016 en Estados Unidos y del referendo por el Brexit, aquí la cuestión migratoria no será determinante. En general, la mayoría de los europeos no considera que la inmigración sea un tema central para su país. Hay otras cuestiones igualmente importantes que incluyen la economía y las amenazas planteadas por el nacionalismo, el radicalismo islámico, el cambio climático y la belicosidad de Rusia.</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De modo que los analistas se equivocan al presentar la elección como una batalla entre globalistas proeuropeos y nacionalistas euroescépticos, aunque esa descripción se aplica a la segunda ronda de la elección presidencial de 2017 en Francia, cuando Emmanuel Macron le propinó una rotunda derrota a Marine Le Pen del ultraderechista Frente Nacional (ahora llamado Alianza Nacional). La encuesta de ECFR/YouGov indica que para una gran mayoría de los europeos, no hay una disyuntiva tajante entre la identidad europea y sus respectivas identidades nacionales. De hecho, hasta los partidos nacionalistas se dieron cuenta de que ambas identidades están ligadas, y por eso dejaron de promover el abandono del euro o la salida de la UE.</w:t>
      </w:r>
    </w:p>
    <w:p w:rsidR="00523824" w:rsidRPr="003C73AD" w:rsidRDefault="00523824" w:rsidP="00523824">
      <w:pPr>
        <w:spacing w:line="240" w:lineRule="auto"/>
        <w:jc w:val="both"/>
        <w:rPr>
          <w:rFonts w:ascii="Times New Roman" w:hAnsi="Times New Roman" w:cs="Times New Roman"/>
          <w:color w:val="FF0000"/>
          <w:sz w:val="24"/>
          <w:szCs w:val="24"/>
          <w:u w:val="single"/>
        </w:rPr>
      </w:pPr>
      <w:r w:rsidRPr="003C73AD">
        <w:rPr>
          <w:rFonts w:ascii="Times New Roman" w:hAnsi="Times New Roman" w:cs="Times New Roman"/>
          <w:color w:val="FF0000"/>
          <w:sz w:val="24"/>
          <w:szCs w:val="24"/>
          <w:u w:val="single"/>
        </w:rPr>
        <w:t>La cuestión real que preocupa a la mayoría de los europeos es su relación con el “sistema”: casi tres de cada cuatro ciudadanos de la UE creen que el sistema político ya no funciona, sea en el nivel nacional, en el de la UE o en ambos. La actitud de cada votante ante esta cuestión es fundamental para entender su voto.</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Según la taxonomía de Game of Thrones, los votantes europeos se pueden dividir en cuatro grandes grupos. El primero son los Stark, que creen que el sistema todavía funciona, y que el verdadero cambio se logra con la participación política y el voto. La Casa Stark comprende el 24% del electorado europeo, y tiene su bastión en el norte (en concreto</w:t>
      </w:r>
      <w:r>
        <w:rPr>
          <w:rFonts w:ascii="Times New Roman" w:hAnsi="Times New Roman" w:cs="Times New Roman"/>
          <w:sz w:val="24"/>
          <w:szCs w:val="24"/>
        </w:rPr>
        <w:t xml:space="preserve"> Alemania, Dinamarca y Suecia).</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El segundo grupo son los “gorriones”, que piensan que la política ya no funciona ni en el nivel de la UE ni dentro de los estados miembros. Las vertientes más radicales de este grupo incluyen movimientos de protesta como los “chalecos amarillos”, quienes igual que los revolucionarios en Game of Thrones, quieren depurar al sistema de su corrupción y empezar de nuevo. Los gorriones comprenden el 38% del electorado, y son particularmente comun</w:t>
      </w:r>
      <w:r>
        <w:rPr>
          <w:rFonts w:ascii="Times New Roman" w:hAnsi="Times New Roman" w:cs="Times New Roman"/>
          <w:sz w:val="24"/>
          <w:szCs w:val="24"/>
        </w:rPr>
        <w:t>es en Francia, Grecia e Italia.</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El tercer grupo son los “inmaculados”, que en Game of Thrones, tras ser liberados de la esclavitud, se convierten en seguidores de Daenerys Targaryen, madre de dragones. En la UE este grupo se corresponde con los votantes que rechazan un nacionalismo cerrado y buscan sentido en el internacionalismo y en los proyectos transnacionales. Creen que el problema está en sus respectivos sistemas nacionales y que la solución está en Bruselas. Los inmaculados son el 24% del electorado, y están bien representados en Hungría, Rumania, Polonia y España.</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 xml:space="preserve">El último grupo son los “salvajes” que “viven más allá del Muro”. Pese a la atención que reciben de la prensa estos nacionalistas euroescépticos, sólo forman el 14% del electorado. Su presencia tiende a ser fuerte </w:t>
      </w:r>
      <w:r>
        <w:rPr>
          <w:rFonts w:ascii="Times New Roman" w:hAnsi="Times New Roman" w:cs="Times New Roman"/>
          <w:sz w:val="24"/>
          <w:szCs w:val="24"/>
        </w:rPr>
        <w:t>en Dinamarca, Austria e Italia.</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La disyuntiva fundamental para todos estos grupos no es en realidad entre una “Europa abierta” y unos “estados‑nación cerrados”, sino más bien la cuestión de si el statu quo todavía funciona y en qué contextos. Si existe un gran parecido entre Estados Unidos, el RU y la UE es que ahora los partidos políticos están más concentrados en movilizar a su propia base electoral que en tratar de ampliarla convenciendo a otros votantes para que se les unan. Es decir que en la elección para el Parlamento Europeo, muchos partidos políticos se concentrarán en los 149 millones de personas que no es</w:t>
      </w:r>
      <w:r>
        <w:rPr>
          <w:rFonts w:ascii="Times New Roman" w:hAnsi="Times New Roman" w:cs="Times New Roman"/>
          <w:sz w:val="24"/>
          <w:szCs w:val="24"/>
        </w:rPr>
        <w:t>tán seguras de si irán a votar.</w:t>
      </w:r>
    </w:p>
    <w:p w:rsidR="00523824" w:rsidRPr="007313BF" w:rsidRDefault="00523824" w:rsidP="00523824">
      <w:pPr>
        <w:spacing w:line="240" w:lineRule="auto"/>
        <w:jc w:val="both"/>
        <w:rPr>
          <w:rFonts w:ascii="Times New Roman" w:hAnsi="Times New Roman" w:cs="Times New Roman"/>
          <w:sz w:val="24"/>
          <w:szCs w:val="24"/>
        </w:rPr>
      </w:pPr>
      <w:r w:rsidRPr="007313BF">
        <w:rPr>
          <w:rFonts w:ascii="Times New Roman" w:hAnsi="Times New Roman" w:cs="Times New Roman"/>
          <w:sz w:val="24"/>
          <w:szCs w:val="24"/>
        </w:rPr>
        <w:t>Pero eso no bastará. Para derrotar a los partidos populistas y nacionalistas, los candidatos de los partidos tradicionales europeos tendrán que traer a algunos de los gorriones y de los salvajes de nuevo al sistema y ponérselos de su lado. Y eso demanda que se posicionen c</w:t>
      </w:r>
      <w:r>
        <w:rPr>
          <w:rFonts w:ascii="Times New Roman" w:hAnsi="Times New Roman" w:cs="Times New Roman"/>
          <w:sz w:val="24"/>
          <w:szCs w:val="24"/>
        </w:rPr>
        <w:t>omo agentes creíbles de cambio.</w:t>
      </w:r>
    </w:p>
    <w:p w:rsidR="00523824" w:rsidRPr="003C73AD" w:rsidRDefault="00523824" w:rsidP="00523824">
      <w:pPr>
        <w:spacing w:line="240" w:lineRule="auto"/>
        <w:jc w:val="both"/>
        <w:rPr>
          <w:rFonts w:ascii="Times New Roman" w:hAnsi="Times New Roman" w:cs="Times New Roman"/>
          <w:sz w:val="24"/>
          <w:szCs w:val="24"/>
          <w:u w:val="single"/>
          <w:lang w:val="en-US"/>
        </w:rPr>
      </w:pPr>
      <w:r w:rsidRPr="003C73AD">
        <w:rPr>
          <w:rFonts w:ascii="Times New Roman" w:hAnsi="Times New Roman" w:cs="Times New Roman"/>
          <w:sz w:val="24"/>
          <w:szCs w:val="24"/>
          <w:u w:val="single"/>
        </w:rPr>
        <w:t xml:space="preserve">A fin de cuentas, las condiciones en que se ganarán o perderán estas elecciones serán sumamente locales; lo que funcione para los partidos tradicionales en algunos lugares no funcionará en otros. Las batallas más importantes serán en países gobernados por euroescépticos, como Hungría e Italia, y en aquellos donde los proeuropeos han sufrido un retroceso político, como Francia. </w:t>
      </w:r>
      <w:r w:rsidRPr="003C73AD">
        <w:rPr>
          <w:rFonts w:ascii="Times New Roman" w:hAnsi="Times New Roman" w:cs="Times New Roman"/>
          <w:sz w:val="24"/>
          <w:szCs w:val="24"/>
          <w:u w:val="single"/>
          <w:lang w:val="en-US"/>
        </w:rPr>
        <w:t>Este juego apenas comienza.</w:t>
      </w:r>
    </w:p>
    <w:p w:rsidR="00523824" w:rsidRDefault="00523824" w:rsidP="0052382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7313BF">
        <w:rPr>
          <w:rFonts w:ascii="Times New Roman" w:hAnsi="Times New Roman" w:cs="Times New Roman"/>
          <w:sz w:val="24"/>
          <w:szCs w:val="24"/>
          <w:lang w:val="en-US"/>
        </w:rPr>
        <w:t>Mark Leonard is Director of the Europe</w:t>
      </w:r>
      <w:r>
        <w:rPr>
          <w:rFonts w:ascii="Times New Roman" w:hAnsi="Times New Roman" w:cs="Times New Roman"/>
          <w:sz w:val="24"/>
          <w:szCs w:val="24"/>
          <w:lang w:val="en-US"/>
        </w:rPr>
        <w:t>an Council on Foreign Relations)</w:t>
      </w:r>
    </w:p>
    <w:p w:rsidR="00523824" w:rsidRPr="00C350DC" w:rsidRDefault="00523824" w:rsidP="00523824">
      <w:pPr>
        <w:pStyle w:val="NormalWeb"/>
        <w:spacing w:after="0"/>
        <w:jc w:val="both"/>
        <w:textAlignment w:val="baseline"/>
        <w:rPr>
          <w:b/>
          <w:color w:val="FF0000"/>
        </w:rPr>
      </w:pPr>
      <w:r>
        <w:t xml:space="preserve">- </w:t>
      </w:r>
      <w:r w:rsidRPr="00662903">
        <w:rPr>
          <w:u w:val="single"/>
        </w:rPr>
        <w:t>Una decisión exclusivamente de Europa</w:t>
      </w:r>
      <w:r>
        <w:t xml:space="preserve"> (Project Syndicate - </w:t>
      </w:r>
      <w:r w:rsidRPr="00662903">
        <w:rPr>
          <w:b/>
        </w:rPr>
        <w:t>20/5/19</w:t>
      </w:r>
      <w:r>
        <w:t xml:space="preserve">) </w:t>
      </w:r>
    </w:p>
    <w:p w:rsidR="00523824" w:rsidRPr="00276BB6" w:rsidRDefault="00523824" w:rsidP="00523824">
      <w:pPr>
        <w:pStyle w:val="NormalWeb"/>
        <w:spacing w:after="0"/>
        <w:jc w:val="both"/>
        <w:textAlignment w:val="baseline"/>
        <w:rPr>
          <w:u w:val="single"/>
        </w:rPr>
      </w:pPr>
      <w:r>
        <w:t xml:space="preserve">Estocolmo.- </w:t>
      </w:r>
      <w:r w:rsidRPr="00276BB6">
        <w:rPr>
          <w:u w:val="single"/>
        </w:rPr>
        <w:t xml:space="preserve">A medida que se aproxima la elección del Parlamento Europeo, Europa es un hervidero de especulaciones sobre quién liderará las principales instituciones de la Unión Europea en los próximos cinco años. Entre los cargos que están disponibles están los que hoy ejercen el presidente de la Comisión Europea, Jean-Claude Juncker; el presidente del Consejo Europeo, Donald Tusk; el alto representante de la UE para Asuntos Exteriores y Política de Seguridad, Federica Mogherini; y el presidente del Banco Central Europeo, Mario Draghi. </w:t>
      </w:r>
    </w:p>
    <w:p w:rsidR="00523824" w:rsidRPr="00276BB6" w:rsidRDefault="00523824" w:rsidP="00523824">
      <w:pPr>
        <w:pStyle w:val="NormalWeb"/>
        <w:spacing w:after="0"/>
        <w:jc w:val="both"/>
        <w:textAlignment w:val="baseline"/>
        <w:rPr>
          <w:color w:val="FF0000"/>
          <w:u w:val="single"/>
        </w:rPr>
      </w:pPr>
      <w:r w:rsidRPr="00276BB6">
        <w:rPr>
          <w:color w:val="FF0000"/>
          <w:u w:val="single"/>
        </w:rPr>
        <w:t>Las cuestiones en torno al personal nunca son triviales. En política, la personalidad importa, y por lo general ha desempeñado un papel crucial a la hora de determinar la trayectoria de la UE. Aun así, el juego de nombres a nivel de la conducción no debería ser el foco principal. Mucho más importante es el debate sobre la agenda estratégica 2019-2024 de la UE.</w:t>
      </w:r>
    </w:p>
    <w:p w:rsidR="00523824" w:rsidRDefault="00523824" w:rsidP="00523824">
      <w:pPr>
        <w:pStyle w:val="NormalWeb"/>
        <w:spacing w:after="0"/>
        <w:jc w:val="both"/>
        <w:textAlignment w:val="baseline"/>
      </w:pPr>
      <w:r>
        <w:t xml:space="preserve">Después de una cumbre informal en Sibiu, Rumania, a comienzos de este mes, los líderes europeos decididamente regresarán a esta cuestión más avanzado el mes de junio. Y a pesar de toda la atención que se les preste a las instituciones de la UE, son los jefes de Estado de la UE quienes redactarán la agenda del bloque. En otras palabras, los gobiernos de los estados miembro, a través del Consejo Europeo, serán los actores a quienes mirar después de que se conozcan los resultados de la elección. </w:t>
      </w:r>
    </w:p>
    <w:p w:rsidR="00523824" w:rsidRDefault="00523824" w:rsidP="00523824">
      <w:pPr>
        <w:pStyle w:val="NormalWeb"/>
        <w:spacing w:after="0"/>
        <w:jc w:val="both"/>
        <w:textAlignment w:val="baseline"/>
      </w:pPr>
      <w:r>
        <w:t xml:space="preserve">Cuando se creó la Comunidad Económica Europea, antecesora de la UE, en 1957, su objetivo primario era garantizar la paz entre Francia y Alemania, empezando por una unión aduanera para los productos industriales (para los alemanes) y una política agrícola común (para los franceses). </w:t>
      </w:r>
    </w:p>
    <w:p w:rsidR="00523824" w:rsidRDefault="00523824" w:rsidP="00523824">
      <w:pPr>
        <w:pStyle w:val="NormalWeb"/>
        <w:spacing w:after="0"/>
        <w:jc w:val="both"/>
        <w:textAlignment w:val="baseline"/>
      </w:pPr>
      <w:r>
        <w:t xml:space="preserve">Este acuerdo afianzó la agenda europea durante décadas. Luego, cuando la Unión Soviética y su imperio colapsaron, los países que habían estado atrapados detrás de la Cortina de Hierro querían “regresar a Europa”. Desde entonces, la UE ha sobrellevado una enorme expansión para incluirlos. Su objetivo ha sido dual: ayudar a los estados miembro más nuevos en su desarrollo económico y político post-comunista, y mantener la paz y la estabilidad continental sumando a Europa central y del este al redil de las instituciones de la UE.  </w:t>
      </w:r>
    </w:p>
    <w:p w:rsidR="00523824" w:rsidRPr="00276BB6" w:rsidRDefault="00523824" w:rsidP="00523824">
      <w:pPr>
        <w:pStyle w:val="NormalWeb"/>
        <w:spacing w:after="0"/>
        <w:jc w:val="both"/>
        <w:textAlignment w:val="baseline"/>
        <w:rPr>
          <w:u w:val="single"/>
        </w:rPr>
      </w:pPr>
      <w:r w:rsidRPr="00276BB6">
        <w:rPr>
          <w:u w:val="single"/>
        </w:rPr>
        <w:t xml:space="preserve">El período inmediatamente posterior a la Guerra Fría fue un tiempo de autoconfianza y de optimismo en la UE. Poco a poco, su misión estratégica se expandió más allá de simplemente mantener la paz a proyectar al exterior el modelo europeo de soberanía compartida e integración. El modelo de la UE, se decía, derivaría en una gobernanza más estable para todo el mundo. </w:t>
      </w:r>
    </w:p>
    <w:p w:rsidR="00523824" w:rsidRPr="00276BB6" w:rsidRDefault="00523824" w:rsidP="00523824">
      <w:pPr>
        <w:pStyle w:val="NormalWeb"/>
        <w:spacing w:after="0"/>
        <w:jc w:val="both"/>
        <w:textAlignment w:val="baseline"/>
        <w:rPr>
          <w:color w:val="FF0000"/>
          <w:u w:val="single"/>
        </w:rPr>
      </w:pPr>
      <w:r w:rsidRPr="00276BB6">
        <w:rPr>
          <w:color w:val="FF0000"/>
          <w:u w:val="single"/>
        </w:rPr>
        <w:t>Sin embargo, en los últimos diez años, el esfuerzo de la UE por proyectar su modelo hacia afuera ha colapsado. Luego de la crisis financiera de 2008, la crisis del euro y los recurrentes embrollos en torno de la migración, la UE se ha volcado hacia adentro. Al mismo tiempo, el vecindario inmediato de la UE ha pasado de ser un círculo de potenciales amigos y socios a convertirse en un anillo de fuego.</w:t>
      </w:r>
    </w:p>
    <w:p w:rsidR="00523824" w:rsidRDefault="00523824" w:rsidP="00523824">
      <w:pPr>
        <w:pStyle w:val="NormalWeb"/>
        <w:spacing w:after="0"/>
        <w:jc w:val="both"/>
        <w:textAlignment w:val="baseline"/>
      </w:pPr>
      <w:r w:rsidRPr="00276BB6">
        <w:rPr>
          <w:color w:val="FF0000"/>
          <w:u w:val="single"/>
        </w:rPr>
        <w:t>Ahora, en lugar de intentar exportar estabilidad, la prioridad estratégica de Europa es protegerse del mundo exterior.</w:t>
      </w:r>
      <w:r>
        <w:t xml:space="preserve"> En un intento por insuflarle nueva vida a la UE después de años de una gestión de crisis introspectiva, el presidente francés, Emmanuel Macron, ha instado por “una Europa que proteja”. Luego del llamado a la acción de Macron, publicado por Project Syndicate en marzo, el liderazgo de la UE en Bruselas ha adoptado ese mantra y ha agrupado varias iniciativas bajo el lema de proteger a Europa en una era de tumulto global. </w:t>
      </w:r>
    </w:p>
    <w:p w:rsidR="00523824" w:rsidRDefault="00523824" w:rsidP="00523824">
      <w:pPr>
        <w:pStyle w:val="NormalWeb"/>
        <w:spacing w:after="0"/>
        <w:jc w:val="both"/>
        <w:textAlignment w:val="baseline"/>
      </w:pPr>
      <w:r>
        <w:t>Esa protección es, sin duda, necesaria. Las presiones de la migración, la constante amenaza del terrorismo y la escalada de las disputas económicas exigen una respuesta política más contundente. Y si bien el abordaje de algunas de estas cuestiones ha resultado polémico y difícil, la agenda de protección más amplia está en marcha.</w:t>
      </w:r>
    </w:p>
    <w:p w:rsidR="00523824" w:rsidRPr="00276BB6" w:rsidRDefault="00523824" w:rsidP="00523824">
      <w:pPr>
        <w:pStyle w:val="NormalWeb"/>
        <w:spacing w:after="0"/>
        <w:jc w:val="both"/>
        <w:textAlignment w:val="baseline"/>
        <w:rPr>
          <w:color w:val="FF0000"/>
          <w:u w:val="single"/>
        </w:rPr>
      </w:pPr>
      <w:r w:rsidRPr="00276BB6">
        <w:rPr>
          <w:color w:val="FF0000"/>
          <w:u w:val="single"/>
        </w:rPr>
        <w:t xml:space="preserve">Sin embargo, de cara al futuro, es claro que las medidas actuales no serán suficientes. La UE se encuentra en un mundo dominado por las rivalidades de las grandes potencias, una autoafirmación china y una beligerancia rusa revisionista. Peor aún, al enfrentar estas amenazas, ya no puede contar con que Estados Unidos sea un amigo y aliado incondicional. </w:t>
      </w:r>
    </w:p>
    <w:p w:rsidR="00523824" w:rsidRPr="00276BB6" w:rsidRDefault="00523824" w:rsidP="00523824">
      <w:pPr>
        <w:pStyle w:val="NormalWeb"/>
        <w:spacing w:after="0"/>
        <w:jc w:val="both"/>
        <w:textAlignment w:val="baseline"/>
        <w:rPr>
          <w:color w:val="FF0000"/>
          <w:u w:val="single"/>
        </w:rPr>
      </w:pPr>
      <w:r w:rsidRPr="00276BB6">
        <w:rPr>
          <w:color w:val="FF0000"/>
          <w:u w:val="single"/>
        </w:rPr>
        <w:t>La UE ahora debe elegir entre garantizar su propio lugar en el escenario global o convertirse en un campo de juego para otras potencias. Ésta es una decisión estratégica de primer orde</w:t>
      </w:r>
      <w:r w:rsidR="00290C0D">
        <w:rPr>
          <w:color w:val="FF0000"/>
          <w:u w:val="single"/>
        </w:rPr>
        <w:t>n -</w:t>
      </w:r>
      <w:r w:rsidRPr="00276BB6">
        <w:rPr>
          <w:color w:val="FF0000"/>
          <w:u w:val="single"/>
        </w:rPr>
        <w:t xml:space="preserve">todas las demás elecciones políticas surgirán de allí. </w:t>
      </w:r>
    </w:p>
    <w:p w:rsidR="00523824" w:rsidRDefault="00523824" w:rsidP="00523824">
      <w:pPr>
        <w:pStyle w:val="NormalWeb"/>
        <w:spacing w:after="0"/>
        <w:jc w:val="both"/>
        <w:textAlignment w:val="baseline"/>
      </w:pPr>
      <w:r>
        <w:t>Si Europa ignora o se desentiende de los dramas en los que está sumergido el mundo desde Amritsar en la India hasta Agadir en Marruecos, no podrá garantizar la paz en su vecindario y traicionará la promesa que les hizo a sus ciudadanos de protegerlos del peligro externo. Para que la UE</w:t>
      </w:r>
      <w:r w:rsidR="00290C0D">
        <w:t xml:space="preserve"> cumpla con su misión original -</w:t>
      </w:r>
      <w:r>
        <w:t>paz y estabilidad en casa- debe convertirse en un actor global.</w:t>
      </w:r>
    </w:p>
    <w:p w:rsidR="00523824" w:rsidRDefault="00523824" w:rsidP="00523824">
      <w:pPr>
        <w:pStyle w:val="NormalWeb"/>
        <w:spacing w:after="0"/>
        <w:jc w:val="both"/>
        <w:textAlignment w:val="baseline"/>
      </w:pPr>
      <w:r w:rsidRPr="00276BB6">
        <w:rPr>
          <w:color w:val="FF0000"/>
          <w:u w:val="single"/>
        </w:rPr>
        <w:t>La opción, entonces, es clara. La misión estratégica de Europa en los próximos años debe ser garantizar su posición en el escenario mundial, y todas las cuestiones vinculadas a la política y al personal deberían resolverse de manera de favorecer ese objetivo</w:t>
      </w:r>
      <w:r>
        <w:t>. Obviamente, un presidente fuerte del Consejo Europeo, que trabaje estrechamente con un alto representante igualmente fuerte, será esencial. Ambos necesitarán movilizar los recursos y los talentos de todos los estados miembro de la UE para impedir que las partes que conforman la UE resulten tironeadas en diferentes direcciones por las fuerzas globales.</w:t>
      </w:r>
    </w:p>
    <w:p w:rsidR="00523824" w:rsidRDefault="00523824" w:rsidP="00523824">
      <w:pPr>
        <w:pStyle w:val="NormalWeb"/>
        <w:spacing w:after="0"/>
        <w:jc w:val="both"/>
        <w:textAlignment w:val="baseline"/>
      </w:pPr>
      <w:r>
        <w:t>Si los estados miembro de la UE abrazan esta misión, Europa estará posicionada para actuar como un protagonista global en los años ven</w:t>
      </w:r>
      <w:r w:rsidR="00290C0D">
        <w:t>ideros. De lo contrario, ellos -</w:t>
      </w:r>
      <w:r>
        <w:t xml:space="preserve">y la UE en su totalidad- se encontrarán en un carrusel del cual no tienen control. </w:t>
      </w:r>
    </w:p>
    <w:p w:rsidR="00523824" w:rsidRDefault="00523824" w:rsidP="00523824">
      <w:pPr>
        <w:pStyle w:val="NormalWeb"/>
        <w:spacing w:after="0"/>
        <w:jc w:val="both"/>
        <w:textAlignment w:val="baseline"/>
        <w:rPr>
          <w:lang w:val="en-US"/>
        </w:rPr>
      </w:pPr>
      <w:r>
        <w:rPr>
          <w:lang w:val="en-US"/>
        </w:rPr>
        <w:t>(</w:t>
      </w:r>
      <w:r w:rsidRPr="00662903">
        <w:rPr>
          <w:lang w:val="en-US"/>
        </w:rPr>
        <w:t>Carl Bildt was Sweden’s foreign minister from 2006 to October 2014 and Prime Minister from 1991 to 1994, when he negotiated Sweden’s EU accession. A renowned international diplomat, he served as EU Special Envoy to the Former Yugoslavia, High Representative for Bosnia and Herzegovina, UN Special Envoy to the Balkans, and Co-Chairman of the Dayton Peace Conference. He is Co-Chair of the Europe</w:t>
      </w:r>
      <w:r>
        <w:rPr>
          <w:lang w:val="en-US"/>
        </w:rPr>
        <w:t>an Council on Foreign Relations)</w:t>
      </w:r>
    </w:p>
    <w:p w:rsidR="00523824" w:rsidRPr="00C350DC" w:rsidRDefault="00523824" w:rsidP="00523824">
      <w:pPr>
        <w:pStyle w:val="NormalWeb"/>
        <w:spacing w:after="0"/>
        <w:jc w:val="both"/>
        <w:textAlignment w:val="baseline"/>
        <w:rPr>
          <w:b/>
          <w:color w:val="FF0000"/>
        </w:rPr>
      </w:pPr>
      <w:r w:rsidRPr="00D457C0">
        <w:rPr>
          <w:color w:val="000000"/>
        </w:rPr>
        <w:t xml:space="preserve">- </w:t>
      </w:r>
      <w:r w:rsidRPr="00D457C0">
        <w:rPr>
          <w:color w:val="000000"/>
          <w:u w:val="single"/>
        </w:rPr>
        <w:t>Nace un Parlamento</w:t>
      </w:r>
      <w:r w:rsidRPr="00D457C0">
        <w:rPr>
          <w:color w:val="000000"/>
        </w:rPr>
        <w:t xml:space="preserve"> (Project Syndicate - </w:t>
      </w:r>
      <w:r w:rsidRPr="00D457C0">
        <w:rPr>
          <w:b/>
          <w:color w:val="000000"/>
        </w:rPr>
        <w:t>4/6/19</w:t>
      </w:r>
      <w:r w:rsidRPr="00D457C0">
        <w:rPr>
          <w:color w:val="000000"/>
        </w:rPr>
        <w:t>)</w:t>
      </w:r>
    </w:p>
    <w:p w:rsidR="00523824" w:rsidRPr="00D457C0" w:rsidRDefault="00523824" w:rsidP="00523824">
      <w:pPr>
        <w:pStyle w:val="NormalWeb"/>
        <w:spacing w:after="0"/>
        <w:jc w:val="both"/>
        <w:textAlignment w:val="baseline"/>
        <w:rPr>
          <w:color w:val="000000"/>
        </w:rPr>
      </w:pPr>
      <w:r>
        <w:rPr>
          <w:color w:val="000000"/>
        </w:rPr>
        <w:t>Bruselas.-</w:t>
      </w:r>
      <w:r w:rsidRPr="00D457C0">
        <w:rPr>
          <w:color w:val="000000"/>
        </w:rPr>
        <w:t xml:space="preserve"> El Parlamento Europeo solía ser un asunto tedioso, ignorado por los votantes y apenas percibido por los medios. Pero la última elección, realizada el último fin de semana de mayo, rompió el molde y captó la atención en tanto echó por tierra las expectativas.</w:t>
      </w:r>
    </w:p>
    <w:p w:rsidR="00523824" w:rsidRPr="00D457C0" w:rsidRDefault="00523824" w:rsidP="00523824">
      <w:pPr>
        <w:pStyle w:val="NormalWeb"/>
        <w:spacing w:after="0"/>
        <w:jc w:val="both"/>
        <w:textAlignment w:val="baseline"/>
        <w:rPr>
          <w:color w:val="000000"/>
        </w:rPr>
      </w:pPr>
      <w:r w:rsidRPr="00D457C0">
        <w:rPr>
          <w:color w:val="000000"/>
        </w:rPr>
        <w:t>La participación de los votantes, que había venido declinando desde la primera elección del Parlamento Europeo en 1979, aumentó marcadamente esta vez, superando el 50%. No se trata solamente de la mayor participación para una elección del Parlamento Europeo en 20 años, sino que también fue superior al típico 40-50% de una elección parlamentaria de mitad de mandato en Estados Unidos. La participa</w:t>
      </w:r>
      <w:r>
        <w:rPr>
          <w:color w:val="000000"/>
        </w:rPr>
        <w:t>ción excluyendo al Reino Unido -</w:t>
      </w:r>
      <w:r w:rsidRPr="00D457C0">
        <w:rPr>
          <w:color w:val="000000"/>
        </w:rPr>
        <w:t>más del 53%- fue comparable a la de la elección presidencial de Estados Unidos en 2016.</w:t>
      </w:r>
    </w:p>
    <w:p w:rsidR="00523824" w:rsidRPr="00A42FAB" w:rsidRDefault="00523824" w:rsidP="00523824">
      <w:pPr>
        <w:pStyle w:val="NormalWeb"/>
        <w:spacing w:after="0"/>
        <w:jc w:val="both"/>
        <w:textAlignment w:val="baseline"/>
        <w:rPr>
          <w:color w:val="000000"/>
          <w:u w:val="single"/>
        </w:rPr>
      </w:pPr>
      <w:r w:rsidRPr="00D457C0">
        <w:rPr>
          <w:color w:val="000000"/>
        </w:rPr>
        <w:t xml:space="preserve">Un factor clave que impulsó el aumento de la participación probablemente fue el ascenso de los partidos populistas, pero no por la razón que uno podría imaginar. Desde hace un tiempo, las encuestas de opinión han revelado un creciente respaldo a la pertenencia a la Unión Europea, en tanto los ciudadanos reportan más confianza en las instituciones de la UE que en las instituciones nacionales. </w:t>
      </w:r>
      <w:r w:rsidRPr="00A42FAB">
        <w:rPr>
          <w:color w:val="000000"/>
          <w:u w:val="single"/>
        </w:rPr>
        <w:t xml:space="preserve">De manera que el espectro del Brexit, y el miedo de que fuerzas populistas en otros países pusieran en peligro los beneficios de la integración europea, puede haber alimentado una mayor participación. Efectivamente, las fuerzas populistas ganaron terreno, pero no tanto como algunos habían temido. Es más, ninguno de los partidos populistas importantes propuso abandonar la UE (o el euro), mientras que 16 de ellos defendían este desenlace hace apenas un año. </w:t>
      </w:r>
    </w:p>
    <w:p w:rsidR="00523824" w:rsidRPr="00D457C0" w:rsidRDefault="00523824" w:rsidP="00523824">
      <w:pPr>
        <w:pStyle w:val="NormalWeb"/>
        <w:spacing w:after="0"/>
        <w:jc w:val="both"/>
        <w:textAlignment w:val="baseline"/>
        <w:rPr>
          <w:color w:val="000000"/>
        </w:rPr>
      </w:pPr>
      <w:r w:rsidRPr="00D457C0">
        <w:rPr>
          <w:color w:val="000000"/>
        </w:rPr>
        <w:t>De todos modos, en los países existe una correlación débil entre la popularidad de la UE y la participación en las elecciones del Parlame</w:t>
      </w:r>
      <w:r>
        <w:rPr>
          <w:color w:val="000000"/>
        </w:rPr>
        <w:t>nto Europeo. En algunos países -</w:t>
      </w:r>
      <w:r w:rsidRPr="00D457C0">
        <w:rPr>
          <w:color w:val="000000"/>
        </w:rPr>
        <w:t>Eslovaquia, por ejemplo-, la gente está feliz de estar en la UE, pero aun así no le ven sentido a votar por su parlamento y sólo una quinta parte de la población se presenta a las urnas.</w:t>
      </w:r>
    </w:p>
    <w:p w:rsidR="00523824" w:rsidRPr="00D457C0" w:rsidRDefault="00523824" w:rsidP="00523824">
      <w:pPr>
        <w:pStyle w:val="NormalWeb"/>
        <w:spacing w:after="0"/>
        <w:jc w:val="both"/>
        <w:textAlignment w:val="baseline"/>
        <w:rPr>
          <w:color w:val="000000"/>
        </w:rPr>
      </w:pPr>
      <w:r>
        <w:rPr>
          <w:color w:val="000000"/>
        </w:rPr>
        <w:t>Una segunda sorpresa -</w:t>
      </w:r>
      <w:r w:rsidRPr="00D457C0">
        <w:rPr>
          <w:color w:val="000000"/>
        </w:rPr>
        <w:t xml:space="preserve">que, nuevamente, refleja un deseo generalizado de permanecer en la UE- fue que el centro pro-europeo en gran medida mantuvo su posición dominante, mientras que las pérdidas de los dos partidos más relevantes (conservadores y socialdemócratas) estuvieron compensadas por las victorias de los liberales y especialmente de los Verdes. Este nuevo centro está más fracturado, y será necesaria una coalición de por lo menos tres partidos para una mayoría. Pero esto refleja la realidad política en el terreno: en muchos estados miembro de la UE, los dos partidos más importantes no pueden contar con ganar una mayoría combinada del voto. </w:t>
      </w:r>
    </w:p>
    <w:p w:rsidR="00523824" w:rsidRPr="00D457C0" w:rsidRDefault="00523824" w:rsidP="00523824">
      <w:pPr>
        <w:pStyle w:val="NormalWeb"/>
        <w:spacing w:after="0"/>
        <w:jc w:val="both"/>
        <w:textAlignment w:val="baseline"/>
        <w:rPr>
          <w:color w:val="000000"/>
        </w:rPr>
      </w:pPr>
      <w:r w:rsidRPr="00D457C0">
        <w:rPr>
          <w:color w:val="000000"/>
        </w:rPr>
        <w:t>La reciente campaña electoral también se destacó por la manera en que se discutieron las cuestiones europeas. En línea con el viejo dicho de que “toda la política es local”, las cuestiones se enmarcaron en términos de circunstancias e intereses nacionales. Pero al invocar a Europa, hubo un sentido subyacente de solidaridad.</w:t>
      </w:r>
    </w:p>
    <w:p w:rsidR="00523824" w:rsidRPr="00D457C0" w:rsidRDefault="00523824" w:rsidP="00523824">
      <w:pPr>
        <w:pStyle w:val="NormalWeb"/>
        <w:spacing w:after="0"/>
        <w:jc w:val="both"/>
        <w:textAlignment w:val="baseline"/>
        <w:rPr>
          <w:color w:val="000000"/>
        </w:rPr>
      </w:pPr>
      <w:r w:rsidRPr="00D457C0">
        <w:rPr>
          <w:color w:val="000000"/>
        </w:rPr>
        <w:t>Esas invocaciones se centraron principalmente en la seguridad, en especial en la inmigración, que según indican las encuestas de opinión sigue siendo el desafío para Europa que más le preocupa a la gente. Muchas campañas exhibieron una retórica sobre “recuperar el control”. Pero, a diferencia del Reino Unido, donde la frase significa controlar la frontera nacional, en el continente europeo, por lo general siempre se refirió a fortalecer la frontera externa de la UE.</w:t>
      </w:r>
    </w:p>
    <w:p w:rsidR="00523824" w:rsidRPr="00D457C0" w:rsidRDefault="00523824" w:rsidP="00523824">
      <w:pPr>
        <w:pStyle w:val="NormalWeb"/>
        <w:spacing w:after="0"/>
        <w:jc w:val="both"/>
        <w:textAlignment w:val="baseline"/>
        <w:rPr>
          <w:color w:val="000000"/>
        </w:rPr>
      </w:pPr>
      <w:r w:rsidRPr="00D457C0">
        <w:rPr>
          <w:color w:val="000000"/>
        </w:rPr>
        <w:t xml:space="preserve">Un cambio similar se puede ver en otras cuestiones, especialmente el comercio. Los defensores del Brexit han sostenido en repetidas ocasiones que el Reino Unido necesita recuperar el control sobre su propia política comercial. Pero, en vista de las medidas erráticas del presidente norteamericano, Donald Trump, los demás estados miembro de la UE han llegado a la conclusión contraria: en un mundo más incierto, sólo una Europa fuerte puede impedirles estar a merced de Estados Unidos y China. </w:t>
      </w:r>
    </w:p>
    <w:p w:rsidR="00523824" w:rsidRPr="00D457C0" w:rsidRDefault="00523824" w:rsidP="00523824">
      <w:pPr>
        <w:pStyle w:val="NormalWeb"/>
        <w:spacing w:after="0"/>
        <w:jc w:val="both"/>
        <w:textAlignment w:val="baseline"/>
        <w:rPr>
          <w:color w:val="000000"/>
        </w:rPr>
      </w:pPr>
      <w:r w:rsidRPr="00D457C0">
        <w:rPr>
          <w:color w:val="000000"/>
        </w:rPr>
        <w:t>El resultado de la elección conlleva implicancias importantes no sólo para el futuro de la UE, sino también –y más inmediatamente- para el propio Parlamento Europeo. El hecho de que la legislatura de la UE no exprese el principio “una persona, un voto” le ha impedido, durante mucho tiempo, convertirse en un verdadero parlamento. Por el contrario, las bancas se asignan a los estados miembro según el principio de la llamada proporcionalidad degresiva: la cantidad de votantes por MPE se achica en los estados miembro más pequeños y crece en los más grandes.</w:t>
      </w:r>
    </w:p>
    <w:p w:rsidR="00523824" w:rsidRPr="00D457C0" w:rsidRDefault="00523824" w:rsidP="00523824">
      <w:pPr>
        <w:pStyle w:val="NormalWeb"/>
        <w:spacing w:after="0"/>
        <w:jc w:val="both"/>
        <w:textAlignment w:val="baseline"/>
        <w:rPr>
          <w:color w:val="000000"/>
        </w:rPr>
      </w:pPr>
      <w:r w:rsidRPr="00D457C0">
        <w:rPr>
          <w:color w:val="000000"/>
        </w:rPr>
        <w:t>Un estado miembro grande como Alemania, Italia o Francia tiene un MPE por cada 800.000 ciudadanos aproximadamente. Entre los estados miembro más pequeños, el ratio es más cercano a 1:100.000. En otras palabras, un voto único en un país pequeño de la UE puede “valer” casi ocho veces más que un voto en un país grande.</w:t>
      </w:r>
    </w:p>
    <w:p w:rsidR="00523824" w:rsidRPr="00D457C0" w:rsidRDefault="00523824" w:rsidP="00523824">
      <w:pPr>
        <w:pStyle w:val="NormalWeb"/>
        <w:spacing w:after="0"/>
        <w:jc w:val="both"/>
        <w:textAlignment w:val="baseline"/>
        <w:rPr>
          <w:color w:val="000000"/>
        </w:rPr>
      </w:pPr>
      <w:r w:rsidRPr="00D457C0">
        <w:rPr>
          <w:color w:val="000000"/>
        </w:rPr>
        <w:t xml:space="preserve">La Corte Constitucional alemana ha citado proporcionalidad degresiva al decir que el Parlamento Europeo no puede considerarse plenamente democrático. Pero este argumento no tiene en cuenta los cimientos duales de la UE, que es una unión tanto de estados miembro como de su pueblo. </w:t>
      </w:r>
    </w:p>
    <w:p w:rsidR="00523824" w:rsidRPr="00D457C0" w:rsidRDefault="00523824" w:rsidP="00523824">
      <w:pPr>
        <w:pStyle w:val="NormalWeb"/>
        <w:spacing w:after="0"/>
        <w:jc w:val="both"/>
        <w:textAlignment w:val="baseline"/>
        <w:rPr>
          <w:color w:val="000000"/>
        </w:rPr>
      </w:pPr>
      <w:r w:rsidRPr="00D457C0">
        <w:rPr>
          <w:color w:val="000000"/>
        </w:rPr>
        <w:t xml:space="preserve">En un sentido, el Parlamento Europeo tiene mucho en común con el sistema de Estados Unidos. Por un lado, el organismo puede ser visto como una combinación de las dos cámaras del Congreso de Estados Unidos: el Senado (que tiene dos representantes por estado, no importa el tamaño) y la Cámara de Representantes (donde los miembros representan distritos de casi igual tamaño). </w:t>
      </w:r>
    </w:p>
    <w:p w:rsidR="00523824" w:rsidRPr="00D457C0" w:rsidRDefault="00523824" w:rsidP="00523824">
      <w:pPr>
        <w:pStyle w:val="NormalWeb"/>
        <w:spacing w:after="0"/>
        <w:jc w:val="both"/>
        <w:textAlignment w:val="baseline"/>
        <w:rPr>
          <w:color w:val="000000"/>
        </w:rPr>
      </w:pPr>
      <w:r w:rsidRPr="00D457C0">
        <w:rPr>
          <w:color w:val="000000"/>
        </w:rPr>
        <w:t>Por otro lado, la estructura del Parlamento Europeo se asemeja a la creada por el Colegio Electoral de Estados Unidos, que da mayor peso en las elecciones presidenciales a los votantes de estados menos poblados. En Estados Unidos, estas diferencias pueden ser decisivas: en tres de las últimas siete elecciones presidenciales, el ganador no obtuvo una mayoría del voto popular (Bill Clinton en 1992) o, en realidad, ganó menos votos que el perdedor (George W. Bush en 2000 y Donald Trump en 2016).</w:t>
      </w:r>
    </w:p>
    <w:p w:rsidR="00523824" w:rsidRPr="00D457C0" w:rsidRDefault="00523824" w:rsidP="00523824">
      <w:pPr>
        <w:pStyle w:val="NormalWeb"/>
        <w:spacing w:after="0"/>
        <w:jc w:val="both"/>
        <w:textAlignment w:val="baseline"/>
        <w:rPr>
          <w:color w:val="000000"/>
        </w:rPr>
      </w:pPr>
      <w:r w:rsidRPr="00D457C0">
        <w:rPr>
          <w:color w:val="000000"/>
        </w:rPr>
        <w:t>Afortunadamente para Europa, la excesiva representación de MPEs de estados miembro más pequeños no se ha convertido en un problema relevante. Esto quizá refleje el hecho de que no ha habido ningún cisma claro y permanente entre este y oeste, norte y sur o pequeño y grande. En Estados Unidos, en cambio, existe una división de larga data y significativa en las actitudes políticas entre los estados costeros más poblados y los estados interiores con menor densidad de población.</w:t>
      </w:r>
    </w:p>
    <w:p w:rsidR="00523824" w:rsidRPr="00D457C0" w:rsidRDefault="00523824" w:rsidP="00523824">
      <w:pPr>
        <w:pStyle w:val="NormalWeb"/>
        <w:spacing w:after="0"/>
        <w:jc w:val="both"/>
        <w:textAlignment w:val="baseline"/>
        <w:rPr>
          <w:color w:val="000000"/>
        </w:rPr>
      </w:pPr>
      <w:r w:rsidRPr="00D457C0">
        <w:rPr>
          <w:color w:val="000000"/>
        </w:rPr>
        <w:t>En general, el Parlamento Europeo parece haber dado un paso pequeño pero importante para convertirse en una verdadera expresión de la voluntad popular de los europeos. Muchas cuestiones todavía son decididas por líderes nacionales en el Consejo Europeo, que obtiene su legitimidad de elecciones a nivel nacional. Pero el equilibrio de autoridad entre los líderes europeos y los nacionales</w:t>
      </w:r>
      <w:r>
        <w:rPr>
          <w:color w:val="000000"/>
        </w:rPr>
        <w:t>,</w:t>
      </w:r>
      <w:r w:rsidRPr="00D457C0">
        <w:rPr>
          <w:color w:val="000000"/>
        </w:rPr>
        <w:t xml:space="preserve"> hoy parece ser menos asimétrico. </w:t>
      </w:r>
    </w:p>
    <w:p w:rsidR="00523824" w:rsidRDefault="00523824" w:rsidP="00523824">
      <w:pPr>
        <w:pStyle w:val="NormalWeb"/>
        <w:spacing w:before="0" w:beforeAutospacing="0" w:after="0" w:afterAutospacing="0"/>
        <w:jc w:val="both"/>
        <w:textAlignment w:val="baseline"/>
        <w:rPr>
          <w:color w:val="000000"/>
          <w:lang w:val="en-US"/>
        </w:rPr>
      </w:pPr>
      <w:r>
        <w:rPr>
          <w:color w:val="000000"/>
          <w:lang w:val="en-US"/>
        </w:rPr>
        <w:t>(</w:t>
      </w:r>
      <w:r w:rsidRPr="00D457C0">
        <w:rPr>
          <w:color w:val="000000"/>
          <w:lang w:val="en-US"/>
        </w:rPr>
        <w:t>Daniel Gros is Director of the Cen</w:t>
      </w:r>
      <w:r>
        <w:rPr>
          <w:color w:val="000000"/>
          <w:lang w:val="en-US"/>
        </w:rPr>
        <w:t>tre for European Policy Studies)</w:t>
      </w:r>
    </w:p>
    <w:p w:rsidR="00523824" w:rsidRPr="00311CC8" w:rsidRDefault="00523824" w:rsidP="00523824">
      <w:pPr>
        <w:pStyle w:val="NormalWeb"/>
        <w:shd w:val="clear" w:color="auto" w:fill="FFFFFF"/>
        <w:spacing w:after="0"/>
        <w:jc w:val="both"/>
        <w:textAlignment w:val="baseline"/>
      </w:pPr>
      <w:r>
        <w:t xml:space="preserve">- </w:t>
      </w:r>
      <w:r w:rsidRPr="00311CC8">
        <w:t>¿</w:t>
      </w:r>
      <w:r w:rsidRPr="00311CC8">
        <w:rPr>
          <w:u w:val="single"/>
        </w:rPr>
        <w:t>Cuál es el camino ahora para la UE</w:t>
      </w:r>
      <w:r w:rsidRPr="00311CC8">
        <w:t>?</w:t>
      </w:r>
      <w:r>
        <w:t xml:space="preserve"> (Project Syndicate - </w:t>
      </w:r>
      <w:r w:rsidRPr="00311CC8">
        <w:rPr>
          <w:b/>
        </w:rPr>
        <w:t>25/7/19</w:t>
      </w:r>
      <w:r>
        <w:t xml:space="preserve">) </w:t>
      </w:r>
    </w:p>
    <w:p w:rsidR="00523824" w:rsidRPr="00311CC8" w:rsidRDefault="00523824" w:rsidP="00523824">
      <w:pPr>
        <w:pStyle w:val="NormalWeb"/>
        <w:shd w:val="clear" w:color="auto" w:fill="FFFFFF"/>
        <w:spacing w:after="0"/>
        <w:jc w:val="both"/>
        <w:textAlignment w:val="baseline"/>
      </w:pPr>
      <w:r>
        <w:t>Washington, DC.-</w:t>
      </w:r>
      <w:r w:rsidRPr="00311CC8">
        <w:t xml:space="preserve"> Ahora que las principales instituciones de la Unión Europea se preparan para un cambio de liderazgo este otoño, es el momento de reflexionar sobre las prioridades de la UE para los próximos años. </w:t>
      </w:r>
    </w:p>
    <w:p w:rsidR="00523824" w:rsidRPr="00616ADE" w:rsidRDefault="00523824" w:rsidP="00523824">
      <w:pPr>
        <w:pStyle w:val="NormalWeb"/>
        <w:shd w:val="clear" w:color="auto" w:fill="FFFFFF"/>
        <w:spacing w:after="0"/>
        <w:jc w:val="both"/>
        <w:textAlignment w:val="baseline"/>
        <w:rPr>
          <w:color w:val="FF0000"/>
          <w:u w:val="single"/>
        </w:rPr>
      </w:pPr>
      <w:r w:rsidRPr="00616ADE">
        <w:rPr>
          <w:color w:val="FF0000"/>
          <w:u w:val="single"/>
        </w:rPr>
        <w:t xml:space="preserve">La nueva conducción de la UE está prácticamente confirmada. Ursula von der Leyen, la ex ministra de Defensa alemana, será la nueva presidenta de la Comisión Europea, mientras que Christine Lagarde, la saliente directora gerente del Fondo Monetario Internacional, asumirá en el Banco Central Europeo. El primer ministro belga, Charles Michel, será el próximo presidente del Consejo Europeo y el ministro de Relaciones Exteriores español, Josep Borrell, está listo para convertirse en el nuevo Alto Representante de la Unión Europea para Asuntos Exteriores y Política de Seguridad. </w:t>
      </w:r>
    </w:p>
    <w:p w:rsidR="00523824" w:rsidRPr="00616ADE" w:rsidRDefault="00523824" w:rsidP="00523824">
      <w:pPr>
        <w:pStyle w:val="NormalWeb"/>
        <w:shd w:val="clear" w:color="auto" w:fill="FFFFFF"/>
        <w:spacing w:after="0"/>
        <w:jc w:val="both"/>
        <w:textAlignment w:val="baseline"/>
        <w:rPr>
          <w:u w:val="single"/>
        </w:rPr>
      </w:pPr>
      <w:r w:rsidRPr="00616ADE">
        <w:rPr>
          <w:u w:val="single"/>
        </w:rPr>
        <w:t xml:space="preserve">Varios analistas dicen que los nuevos líderes de la UE deberían buscar fortalecer la “soberanía estratégica” de Europa aunando los recursos de los estados miembro y una coordinación mucho más estrecha de las políticas. Esto por cierto es muy necesario, sobre todo en cuestiones de la eurozona. Pero los reclamos de una mayor soberanía estratégica suelen implicar que una UE más integrada debería convertirse en el tercer pilar de un mundo “G3” junto con Estados Unidos y China. Y eso no basta. </w:t>
      </w:r>
    </w:p>
    <w:p w:rsidR="00523824" w:rsidRPr="00616ADE" w:rsidRDefault="00523824" w:rsidP="00523824">
      <w:pPr>
        <w:pStyle w:val="NormalWeb"/>
        <w:shd w:val="clear" w:color="auto" w:fill="FFFFFF"/>
        <w:spacing w:after="0"/>
        <w:jc w:val="both"/>
        <w:textAlignment w:val="baseline"/>
        <w:rPr>
          <w:color w:val="FF0000"/>
          <w:u w:val="single"/>
        </w:rPr>
      </w:pPr>
      <w:r w:rsidRPr="00616ADE">
        <w:rPr>
          <w:color w:val="FF0000"/>
          <w:u w:val="single"/>
        </w:rPr>
        <w:t xml:space="preserve">La estructura del poder global en 2019 es muy diferente de lo que era inclusive hace pocos años. Ahora vivimos en un mundo G2, en el que China rápidamente se está acercando a Estados Unidos en materia de poder e influencia. Si bien China todavía está muy por detrás de Estados Unidos en términos militares, su PIB hoy es más grande que el de Estados unidos (en base a paridad de poder adquisitivo). Es más, China tiene fuerzas armadas de primera clase, genera muchos más graduados de ciencia, ingeniería y medicina que Estados Unidos, hace alarde de los cuatro bancos más grandes del mundo y se ha convertido en un actor global líder en el ámbito de la tecnología. </w:t>
      </w:r>
    </w:p>
    <w:p w:rsidR="00523824" w:rsidRPr="00616ADE" w:rsidRDefault="00523824" w:rsidP="00523824">
      <w:pPr>
        <w:pStyle w:val="NormalWeb"/>
        <w:shd w:val="clear" w:color="auto" w:fill="FFFFFF"/>
        <w:spacing w:after="0"/>
        <w:jc w:val="both"/>
        <w:textAlignment w:val="baseline"/>
        <w:rPr>
          <w:b/>
          <w:color w:val="FF0000"/>
          <w:u w:val="single"/>
        </w:rPr>
      </w:pPr>
      <w:r w:rsidRPr="00616ADE">
        <w:rPr>
          <w:b/>
          <w:color w:val="FF0000"/>
          <w:u w:val="single"/>
        </w:rPr>
        <w:t>Claramente, ningún otro país está ni siquiera cerca de rivalizar con China y Estados Unidos. Pero, en conjunto</w:t>
      </w:r>
      <w:r>
        <w:rPr>
          <w:b/>
          <w:color w:val="FF0000"/>
          <w:u w:val="single"/>
        </w:rPr>
        <w:t>, los estados miembro de la UE -</w:t>
      </w:r>
      <w:r w:rsidRPr="00616ADE">
        <w:rPr>
          <w:b/>
          <w:color w:val="FF0000"/>
          <w:u w:val="single"/>
        </w:rPr>
        <w:t>inclusive sin el Reino Unido- constituirían un poder de similar magnitud. Al impulsar su soberanía estratégica, por ende, Europa podría hacer que ese mundo G3 se convirtiera en una realidad. Una Europa más fuerte y más unificada, sostiene el argumento, luego podría competir con Estad</w:t>
      </w:r>
      <w:r>
        <w:rPr>
          <w:b/>
          <w:color w:val="FF0000"/>
          <w:u w:val="single"/>
        </w:rPr>
        <w:t>os Unidos y China en casi todo -</w:t>
      </w:r>
      <w:r w:rsidRPr="00616ADE">
        <w:rPr>
          <w:b/>
          <w:color w:val="FF0000"/>
          <w:u w:val="single"/>
        </w:rPr>
        <w:t>inclusive “convirtiendo en armas” sus recursos económicos para promover sus objetivos geoestratégicos.</w:t>
      </w:r>
    </w:p>
    <w:p w:rsidR="00523824" w:rsidRPr="00311CC8" w:rsidRDefault="00523824" w:rsidP="00523824">
      <w:pPr>
        <w:pStyle w:val="NormalWeb"/>
        <w:shd w:val="clear" w:color="auto" w:fill="FFFFFF"/>
        <w:spacing w:after="0"/>
        <w:jc w:val="both"/>
        <w:textAlignment w:val="baseline"/>
      </w:pPr>
      <w:r w:rsidRPr="00616ADE">
        <w:rPr>
          <w:u w:val="single"/>
        </w:rPr>
        <w:t>Sin embargo, los líderes europeos tentados por la perspectiva de un mundo G3 deben abordar dos cuestiones relacionadas. Primero, no resulta claro cómo alcanzará la UE el nivel necesario de integración cuando la mayoría de las decisiones importantes en el bloque todavía exigen una unanimidad entre los estados miembro</w:t>
      </w:r>
      <w:r w:rsidRPr="00311CC8">
        <w:t xml:space="preserve">. Según los términos del Tratado de Lisboa de la UE, una integración más amplia y significativa requeriría un acuerdo unánime sobre puntos específicos o su aprobación mediante una votación por mayoría cualificada (VMC). Pero el uso de VMC en estas cuestiones importantes exigiría en sí mismo una unanimidad o un cambio del tratado, lo que parece imposible en el futuro cercano. </w:t>
      </w:r>
    </w:p>
    <w:p w:rsidR="00523824" w:rsidRPr="008348F7" w:rsidRDefault="00523824" w:rsidP="00523824">
      <w:pPr>
        <w:pStyle w:val="NormalWeb"/>
        <w:shd w:val="clear" w:color="auto" w:fill="FFFFFF"/>
        <w:spacing w:after="0"/>
        <w:jc w:val="both"/>
        <w:textAlignment w:val="baseline"/>
        <w:rPr>
          <w:color w:val="FF0000"/>
          <w:u w:val="single"/>
        </w:rPr>
      </w:pPr>
      <w:r w:rsidRPr="008348F7">
        <w:rPr>
          <w:color w:val="FF0000"/>
          <w:u w:val="single"/>
        </w:rPr>
        <w:t>La única manera de resolver este problema puede ser si un grupo central de estados miembro está dispuesto a eludir el Tratado de Lisboa y utilizar tratados intergubernamentales en áreas donde vetos nacionales o un bloqueo impiden la unanimidad. Este curso de acción debería ser un último recurso, pero de todos mod</w:t>
      </w:r>
      <w:r>
        <w:rPr>
          <w:color w:val="FF0000"/>
          <w:u w:val="single"/>
        </w:rPr>
        <w:t>os debería estar sobre la mesa -</w:t>
      </w:r>
      <w:r w:rsidRPr="008348F7">
        <w:rPr>
          <w:color w:val="FF0000"/>
          <w:u w:val="single"/>
        </w:rPr>
        <w:t xml:space="preserve">como lo estuvo durante la crisis de la eurozona con el Tratado de Estabilidad Fiscal, que fue firmado por todos los miembros de la UE excepto República Checa y el Reino Unido. </w:t>
      </w:r>
    </w:p>
    <w:p w:rsidR="00523824" w:rsidRPr="008348F7" w:rsidRDefault="00523824" w:rsidP="00523824">
      <w:pPr>
        <w:pStyle w:val="NormalWeb"/>
        <w:shd w:val="clear" w:color="auto" w:fill="FFFFFF"/>
        <w:spacing w:after="0"/>
        <w:jc w:val="both"/>
        <w:textAlignment w:val="baseline"/>
        <w:rPr>
          <w:color w:val="FF0000"/>
          <w:u w:val="single"/>
        </w:rPr>
      </w:pPr>
      <w:r w:rsidRPr="008348F7">
        <w:rPr>
          <w:color w:val="FF0000"/>
          <w:u w:val="single"/>
        </w:rPr>
        <w:t xml:space="preserve">Segundo, la UE no debería apuntar a un mundo G3 de rivalidad geoestratégica constante, sino más bien a un mundo que defienda los valores consagrados en la Declaración Universal de Derechos Humanos y los Objetivos de Desarrollo Sostenible. Europa debería utilizar su poder duro y blando para cooperar con todos los actores que busquen promover un orden global basado en reglas, en áreas que incluyan el comercio y la competencia, el clima, la gobernanza de las tecnologías digitales, la modificación genética, el control de armamentos y la búsqueda de los ODS. En la medida de lo posible, la UE debería intentar amplificar sus políticas a través de instituciones multilaterales. </w:t>
      </w:r>
    </w:p>
    <w:p w:rsidR="00523824" w:rsidRPr="008348F7" w:rsidRDefault="00523824" w:rsidP="00523824">
      <w:pPr>
        <w:pStyle w:val="NormalWeb"/>
        <w:shd w:val="clear" w:color="auto" w:fill="FFFFFF"/>
        <w:spacing w:after="0"/>
        <w:jc w:val="both"/>
        <w:textAlignment w:val="baseline"/>
        <w:rPr>
          <w:u w:val="single"/>
        </w:rPr>
      </w:pPr>
      <w:r w:rsidRPr="00311CC8">
        <w:t xml:space="preserve">Muchos de los aliados globales de Europa esperan y ansían que los nuevos líderes de la UE defiendan este curso de acción; es más, Europa se beneficia del poder blando que generan estos sentimientos. </w:t>
      </w:r>
      <w:r w:rsidRPr="008348F7">
        <w:rPr>
          <w:u w:val="single"/>
        </w:rPr>
        <w:t>Si, por otro lado, la nueva estrategia de Europa la hace ver simplemente interesada en volverse como China o</w:t>
      </w:r>
      <w:r>
        <w:rPr>
          <w:u w:val="single"/>
        </w:rPr>
        <w:t xml:space="preserve"> un Estados Unidos “trumpiano” -</w:t>
      </w:r>
      <w:r w:rsidRPr="008348F7">
        <w:rPr>
          <w:u w:val="single"/>
        </w:rPr>
        <w:t xml:space="preserve">es decir, un simple peso pesado en un juego transaccional de realpolitik-, entonces el poder blando de Europa se debilitará. </w:t>
      </w:r>
    </w:p>
    <w:p w:rsidR="00523824" w:rsidRPr="008348F7" w:rsidRDefault="00523824" w:rsidP="00523824">
      <w:pPr>
        <w:pStyle w:val="NormalWeb"/>
        <w:shd w:val="clear" w:color="auto" w:fill="FFFFFF"/>
        <w:spacing w:after="0"/>
        <w:jc w:val="both"/>
        <w:textAlignment w:val="baseline"/>
        <w:rPr>
          <w:u w:val="single"/>
        </w:rPr>
      </w:pPr>
      <w:r w:rsidRPr="008348F7">
        <w:rPr>
          <w:u w:val="single"/>
        </w:rPr>
        <w:t>Este punto está relacionado con la posible necesidad de una votación por mayoría y hasta de tratados intergubernamentales para mejorar la cooperación al interior de la UE. Si el bloque es incapaz de implementar sus valores d</w:t>
      </w:r>
      <w:r>
        <w:rPr>
          <w:u w:val="single"/>
        </w:rPr>
        <w:t>entro de sus propias fronteras -</w:t>
      </w:r>
      <w:r w:rsidRPr="008348F7">
        <w:rPr>
          <w:u w:val="single"/>
        </w:rPr>
        <w:t xml:space="preserve">como sucede actualmente, por ejemplo, en Hungría-, entonces no podrá promoverlos de manera convincente en el escenario mundial. </w:t>
      </w:r>
    </w:p>
    <w:p w:rsidR="00523824" w:rsidRPr="008348F7" w:rsidRDefault="00523824" w:rsidP="00523824">
      <w:pPr>
        <w:pStyle w:val="NormalWeb"/>
        <w:shd w:val="clear" w:color="auto" w:fill="FFFFFF"/>
        <w:spacing w:after="0"/>
        <w:jc w:val="both"/>
        <w:textAlignment w:val="baseline"/>
        <w:rPr>
          <w:color w:val="FF0000"/>
          <w:u w:val="single"/>
        </w:rPr>
      </w:pPr>
      <w:r w:rsidRPr="008348F7">
        <w:rPr>
          <w:color w:val="FF0000"/>
          <w:u w:val="single"/>
        </w:rPr>
        <w:t>Europa por lo tanto debe liderar con el ejemplo y proyectar sus valores en todas partes, inclusive en sus acuerdos con Estados Unidos y China. La esperanza de que Europa pronto pueda volver a defender estos valores conjuntamente con Estados Unidos es realista; y debería seguir viva. Y si bien las diferencias con China persisten, en algún momento van a surgir fuerzas sociales y políticas que buscan una mayor libertad y un mayor multilateralismo en ese país.</w:t>
      </w:r>
    </w:p>
    <w:p w:rsidR="00523824" w:rsidRPr="008348F7" w:rsidRDefault="00523824" w:rsidP="00523824">
      <w:pPr>
        <w:pStyle w:val="NormalWeb"/>
        <w:shd w:val="clear" w:color="auto" w:fill="FFFFFF"/>
        <w:spacing w:after="0"/>
        <w:jc w:val="both"/>
        <w:textAlignment w:val="baseline"/>
        <w:rPr>
          <w:b/>
          <w:color w:val="FF0000"/>
          <w:u w:val="single"/>
        </w:rPr>
      </w:pPr>
      <w:r w:rsidRPr="008348F7">
        <w:rPr>
          <w:b/>
          <w:color w:val="FF0000"/>
          <w:u w:val="single"/>
        </w:rPr>
        <w:t>Los nuevos líderes de la UE deben trazar un camino ambicioso y creíble para el bloque en el futuro. Deberían intentar construir una Europa más fuerte y más integrada, que no se vea retrasada por el menor denominador común y que sea capaz de valerse por sí misma, trabajando al mismo tiempo por un orden mundial multilateral pacífico. Ese papel global podría transformar a la UE en un tipo nuevo y muy diferente de superpotencia.</w:t>
      </w:r>
    </w:p>
    <w:p w:rsidR="00523824" w:rsidRDefault="00523824" w:rsidP="00523824">
      <w:pPr>
        <w:pStyle w:val="NormalWeb"/>
        <w:shd w:val="clear" w:color="auto" w:fill="FFFFFF"/>
        <w:spacing w:after="0"/>
        <w:jc w:val="both"/>
        <w:textAlignment w:val="baseline"/>
        <w:rPr>
          <w:lang w:val="en-US"/>
        </w:rPr>
      </w:pPr>
      <w:r>
        <w:rPr>
          <w:lang w:val="en-US"/>
        </w:rPr>
        <w:t>(</w:t>
      </w:r>
      <w:r w:rsidRPr="00311CC8">
        <w:rPr>
          <w:lang w:val="en-US"/>
        </w:rPr>
        <w:t>Kemal Derviş, former Minister of Economic Affairs of Turkey and former Administrator for the United Nations Development Program (UNDP), is Senior Fellow at the Brookings Institution</w:t>
      </w:r>
      <w:r>
        <w:rPr>
          <w:lang w:val="en-US"/>
        </w:rPr>
        <w:t>)</w:t>
      </w:r>
    </w:p>
    <w:p w:rsidR="00B40549" w:rsidRPr="00953CB7" w:rsidRDefault="00B40549" w:rsidP="00B40549">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B41AAD">
        <w:rPr>
          <w:rFonts w:ascii="Times New Roman" w:hAnsi="Times New Roman" w:cs="Times New Roman"/>
          <w:sz w:val="24"/>
          <w:szCs w:val="24"/>
          <w:u w:val="single"/>
        </w:rPr>
        <w:t>Alemania: algo más que la guerra comercial</w:t>
      </w:r>
      <w:r>
        <w:rPr>
          <w:rFonts w:ascii="Times New Roman" w:hAnsi="Times New Roman" w:cs="Times New Roman"/>
          <w:sz w:val="24"/>
          <w:szCs w:val="24"/>
        </w:rPr>
        <w:t xml:space="preserve"> (Cinco Días - </w:t>
      </w:r>
      <w:r w:rsidRPr="00B41AAD">
        <w:rPr>
          <w:rFonts w:ascii="Times New Roman" w:hAnsi="Times New Roman" w:cs="Times New Roman"/>
          <w:b/>
          <w:sz w:val="24"/>
          <w:szCs w:val="24"/>
        </w:rPr>
        <w:t>21/8/19</w:t>
      </w:r>
      <w:r>
        <w:rPr>
          <w:rFonts w:ascii="Times New Roman" w:hAnsi="Times New Roman" w:cs="Times New Roman"/>
          <w:sz w:val="24"/>
          <w:szCs w:val="24"/>
        </w:rPr>
        <w:t xml:space="preserve">) </w:t>
      </w:r>
    </w:p>
    <w:p w:rsidR="00B40549" w:rsidRPr="00646C0C" w:rsidRDefault="00B40549" w:rsidP="00B40549">
      <w:pPr>
        <w:spacing w:line="240" w:lineRule="auto"/>
        <w:jc w:val="both"/>
        <w:rPr>
          <w:rFonts w:ascii="Times New Roman" w:hAnsi="Times New Roman" w:cs="Times New Roman"/>
          <w:color w:val="FF0000"/>
          <w:sz w:val="24"/>
          <w:szCs w:val="24"/>
        </w:rPr>
      </w:pPr>
      <w:r w:rsidRPr="00646C0C">
        <w:rPr>
          <w:rFonts w:ascii="Times New Roman" w:hAnsi="Times New Roman" w:cs="Times New Roman"/>
          <w:color w:val="FF0000"/>
          <w:sz w:val="24"/>
          <w:szCs w:val="24"/>
        </w:rPr>
        <w:t>Una expansión fiscal, con su deuda por debajo del 60% del PIB, parece razonable</w:t>
      </w:r>
    </w:p>
    <w:p w:rsidR="00B40549" w:rsidRPr="004F1CFF" w:rsidRDefault="00B40549" w:rsidP="00B40549">
      <w:pPr>
        <w:spacing w:line="240" w:lineRule="auto"/>
        <w:jc w:val="both"/>
        <w:rPr>
          <w:rFonts w:ascii="Times New Roman" w:hAnsi="Times New Roman" w:cs="Times New Roman"/>
          <w:sz w:val="24"/>
          <w:szCs w:val="24"/>
          <w:u w:val="single"/>
        </w:rPr>
      </w:pPr>
      <w:r w:rsidRPr="004F1CFF">
        <w:rPr>
          <w:rFonts w:ascii="Times New Roman" w:hAnsi="Times New Roman" w:cs="Times New Roman"/>
          <w:color w:val="FF0000"/>
          <w:sz w:val="24"/>
          <w:szCs w:val="24"/>
          <w:u w:val="single"/>
        </w:rPr>
        <w:t>El despabile de la economía europea para abrirse a estímulos fiscales ha comenzado por donde más falta hacía, Alemania. Parece que los aplicados contribuyentes germanos necesitan apreciar la realidad de una (probable) recesión para apoyar medidas de gasto público.</w:t>
      </w:r>
      <w:r w:rsidRPr="00B41AAD">
        <w:rPr>
          <w:rFonts w:ascii="Times New Roman" w:hAnsi="Times New Roman" w:cs="Times New Roman"/>
          <w:sz w:val="24"/>
          <w:szCs w:val="24"/>
        </w:rPr>
        <w:t xml:space="preserve"> Podría haberse hecho antes para tratar de sortear o sobrellevar mejor este tránsito recesivo tan anunciado. </w:t>
      </w:r>
      <w:r w:rsidRPr="004F1CFF">
        <w:rPr>
          <w:rFonts w:ascii="Times New Roman" w:hAnsi="Times New Roman" w:cs="Times New Roman"/>
          <w:sz w:val="24"/>
          <w:szCs w:val="24"/>
          <w:u w:val="single"/>
        </w:rPr>
        <w:t>Se habla de 50.000 millones de euros en el paquete de medidas. La mayoría de ellas porque emulan a algunas de las que se tomaron en 2009 para tratar de salir de la crisis. Entre ellas, incentivos a la compra de automóviles. También otras destinadas al consumo y a la renovación de equipos duraderos como primar la eficiencia energética y un amplio paquete de subvenciones para la población con menores ingresos.</w:t>
      </w:r>
    </w:p>
    <w:p w:rsidR="00B40549" w:rsidRPr="004F1CFF" w:rsidRDefault="00B40549" w:rsidP="00B40549">
      <w:pPr>
        <w:spacing w:line="240" w:lineRule="auto"/>
        <w:jc w:val="both"/>
        <w:rPr>
          <w:rFonts w:ascii="Times New Roman" w:hAnsi="Times New Roman" w:cs="Times New Roman"/>
          <w:color w:val="FF0000"/>
          <w:sz w:val="24"/>
          <w:szCs w:val="24"/>
          <w:u w:val="single"/>
        </w:rPr>
      </w:pPr>
      <w:r w:rsidRPr="004F1CFF">
        <w:rPr>
          <w:rFonts w:ascii="Times New Roman" w:hAnsi="Times New Roman" w:cs="Times New Roman"/>
          <w:sz w:val="24"/>
          <w:szCs w:val="24"/>
          <w:u w:val="single"/>
        </w:rPr>
        <w:t>Una expansión fiscal en Alemania, donde la deuda se encuentra por debajo del 60% del PIB y hay motivos para temer estancamiento duradero, parece razonable. Lo que no cuadra es el diagnóstico, al menos el de largo plazo</w:t>
      </w:r>
      <w:r w:rsidRPr="00B41AAD">
        <w:rPr>
          <w:rFonts w:ascii="Times New Roman" w:hAnsi="Times New Roman" w:cs="Times New Roman"/>
          <w:sz w:val="24"/>
          <w:szCs w:val="24"/>
        </w:rPr>
        <w:t xml:space="preserve">. Aun así, son llamativos los indicadores que muestran vigor en la economía alemana. El paro apenas se mueve de un envidiable 3% a pesar de las amenazas recesivas. El crédito tiene un vigor inusitado en un sector privado también poco dado al endeudamiento. Las </w:t>
      </w:r>
      <w:r>
        <w:rPr>
          <w:rFonts w:ascii="Times New Roman" w:hAnsi="Times New Roman" w:cs="Times New Roman"/>
          <w:sz w:val="24"/>
          <w:szCs w:val="24"/>
        </w:rPr>
        <w:t>empresas invierten y se compran</w:t>
      </w:r>
      <w:r w:rsidRPr="00B41AAD">
        <w:rPr>
          <w:rFonts w:ascii="Times New Roman" w:hAnsi="Times New Roman" w:cs="Times New Roman"/>
          <w:sz w:val="24"/>
          <w:szCs w:val="24"/>
        </w:rPr>
        <w:t xml:space="preserve"> más viviendas. La inflación (1,7%) está por encima del promedio europeo, con una subida salarial por encima del 2% interanual en los últimos trimestres. No obstante, </w:t>
      </w:r>
      <w:r w:rsidRPr="004F1CFF">
        <w:rPr>
          <w:rFonts w:ascii="Times New Roman" w:hAnsi="Times New Roman" w:cs="Times New Roman"/>
          <w:color w:val="FF0000"/>
          <w:sz w:val="24"/>
          <w:szCs w:val="24"/>
          <w:u w:val="single"/>
        </w:rPr>
        <w:t>las autoridades económicas sugieren que el país se enfrenta a una recesión por la guerra comercial. Esto es cierto pero no se trata del mayor problema de la industria alemana. Puede ser más síntoma que causa.</w:t>
      </w:r>
    </w:p>
    <w:p w:rsidR="00B40549" w:rsidRPr="004F1CFF" w:rsidRDefault="00B40549" w:rsidP="00B40549">
      <w:pPr>
        <w:spacing w:line="240" w:lineRule="auto"/>
        <w:jc w:val="both"/>
        <w:rPr>
          <w:rFonts w:ascii="Times New Roman" w:hAnsi="Times New Roman" w:cs="Times New Roman"/>
          <w:color w:val="FF0000"/>
          <w:sz w:val="24"/>
          <w:szCs w:val="24"/>
          <w:u w:val="single"/>
        </w:rPr>
      </w:pPr>
      <w:r w:rsidRPr="004F1CFF">
        <w:rPr>
          <w:rFonts w:ascii="Times New Roman" w:hAnsi="Times New Roman" w:cs="Times New Roman"/>
          <w:color w:val="FF0000"/>
          <w:sz w:val="24"/>
          <w:szCs w:val="24"/>
          <w:u w:val="single"/>
        </w:rPr>
        <w:t>Se precisa admitir que hay un cambio estructural en la industria que ha pillado Alemania con el pie cambiado. Que uno de los principales estímulos se dirija a las compras de automóviles es sintomático. La industria alemana está dejando de ser puntera en muchos sistemas que requieren mayor digitalización o una nueva relación con el medio ambiente. Es posible que a la vuelta de unos años los automóviles alemanes sigan siendo referencia, pero solo lo serán si son muy distintos. Tensiones arancelarias aparte, está en disputa quién asume mejor el reto de la nueva automoción, de los sistemas de información y el control de los datos, de la computación y de nuevas formas de gestión de la energía. Alemania está en la contienda. También Estados Unidos. Pero es posible que Asia vaya por delante. También porque países como China juegan con dudosos ases en la manga en lo que se refiere a patentes y a costes laborales.</w:t>
      </w:r>
    </w:p>
    <w:p w:rsidR="00B40549" w:rsidRPr="004F1CFF" w:rsidRDefault="00B40549" w:rsidP="00B40549">
      <w:pPr>
        <w:spacing w:line="240" w:lineRule="auto"/>
        <w:jc w:val="both"/>
        <w:rPr>
          <w:rFonts w:ascii="Times New Roman" w:hAnsi="Times New Roman" w:cs="Times New Roman"/>
          <w:b/>
          <w:color w:val="FF0000"/>
          <w:sz w:val="24"/>
          <w:szCs w:val="24"/>
          <w:u w:val="single"/>
        </w:rPr>
      </w:pPr>
      <w:r w:rsidRPr="004F1CFF">
        <w:rPr>
          <w:rFonts w:ascii="Times New Roman" w:hAnsi="Times New Roman" w:cs="Times New Roman"/>
          <w:b/>
          <w:color w:val="FF0000"/>
          <w:sz w:val="24"/>
          <w:szCs w:val="24"/>
          <w:u w:val="single"/>
        </w:rPr>
        <w:t>Sea como fuere, la guerra comercial es un problemón pero, hasta la fecha, es solo el tablero de juego aparente (con tiras y aflojas cada cierto tiempo) de una contienda mucho más profunda, la del verdadero cambio hacia la digitalización. En realidad, es difícil creer que en Alemania no se sepa que su imagen de liderazgo industrial está amenazada. Tampoco pueden ocultar mucho tiempo las dificultades de otros grandes gigantes empresariales teutones con dificultades, como sus entidades bancarias. En su conjunto, sorprende que una economía con esa inflación (muy moderada pero considerable para los estándares de control germanos), con ese crédito y con ese desempleo se plantee estímulos. Y más que bienvenidos sean porque en Europa, la única expansión fiscal suficientemente potente (y contablemente responsable) que puede haber tendría que venir de Alemania.</w:t>
      </w:r>
    </w:p>
    <w:p w:rsidR="00B40549" w:rsidRPr="00B41AAD" w:rsidRDefault="00B40549" w:rsidP="00B40549">
      <w:pPr>
        <w:spacing w:line="240" w:lineRule="auto"/>
        <w:jc w:val="both"/>
        <w:rPr>
          <w:rFonts w:ascii="Times New Roman" w:hAnsi="Times New Roman" w:cs="Times New Roman"/>
          <w:sz w:val="24"/>
          <w:szCs w:val="24"/>
        </w:rPr>
      </w:pPr>
      <w:r w:rsidRPr="004F1CFF">
        <w:rPr>
          <w:rFonts w:ascii="Times New Roman" w:hAnsi="Times New Roman" w:cs="Times New Roman"/>
          <w:color w:val="FF0000"/>
          <w:sz w:val="24"/>
          <w:szCs w:val="24"/>
          <w:u w:val="single"/>
        </w:rPr>
        <w:t>Es Europa un espejo con dos caras donde llevamos diez años mirando solo el lado sur y ahora toca mirar también al norte</w:t>
      </w:r>
      <w:r w:rsidRPr="00B41AAD">
        <w:rPr>
          <w:rFonts w:ascii="Times New Roman" w:hAnsi="Times New Roman" w:cs="Times New Roman"/>
          <w:sz w:val="24"/>
          <w:szCs w:val="24"/>
        </w:rPr>
        <w:t xml:space="preserve">. Entre Fráncfort y Bruselas debe haber bastantes responsables de la política común y de la monetaria conscientes de que </w:t>
      </w:r>
      <w:r w:rsidRPr="004F1CFF">
        <w:rPr>
          <w:rFonts w:ascii="Times New Roman" w:hAnsi="Times New Roman" w:cs="Times New Roman"/>
          <w:sz w:val="24"/>
          <w:szCs w:val="24"/>
          <w:u w:val="single"/>
        </w:rPr>
        <w:t>solo con expansiones de liquidez y tipos de interés reducidos no se va a lugar alguno.</w:t>
      </w:r>
      <w:r w:rsidRPr="00B41AAD">
        <w:rPr>
          <w:rFonts w:ascii="Times New Roman" w:hAnsi="Times New Roman" w:cs="Times New Roman"/>
          <w:sz w:val="24"/>
          <w:szCs w:val="24"/>
        </w:rPr>
        <w:t xml:space="preserve"> Ahora bien, </w:t>
      </w:r>
      <w:r w:rsidRPr="004F1CFF">
        <w:rPr>
          <w:rFonts w:ascii="Times New Roman" w:hAnsi="Times New Roman" w:cs="Times New Roman"/>
          <w:sz w:val="24"/>
          <w:szCs w:val="24"/>
          <w:u w:val="single"/>
        </w:rPr>
        <w:t>los estímulos tal vez deberían orientarse también (en un número amplio de países europeos) no solo a la compra y el consumo que favorezcan a industrias con dificultades de demanda, sino a transformar esos sectores en la medida en que la nueva economía y el medio ambiente lo exigen</w:t>
      </w:r>
      <w:r w:rsidRPr="00B41AAD">
        <w:rPr>
          <w:rFonts w:ascii="Times New Roman" w:hAnsi="Times New Roman" w:cs="Times New Roman"/>
          <w:sz w:val="24"/>
          <w:szCs w:val="24"/>
        </w:rPr>
        <w:t xml:space="preserve">. </w:t>
      </w:r>
      <w:r w:rsidRPr="004F1CFF">
        <w:rPr>
          <w:rFonts w:ascii="Times New Roman" w:hAnsi="Times New Roman" w:cs="Times New Roman"/>
          <w:color w:val="FF0000"/>
          <w:sz w:val="24"/>
          <w:szCs w:val="24"/>
          <w:u w:val="single"/>
        </w:rPr>
        <w:t>Este desafío debería ser europeo. Debería existir un programa paneuropeo de transformación industrial y digital que se sumase a los esfuerzos nacionales, manteniendo la responsabilidad fiscal. Sobre todo, porque sobran las excusas para mirar a otro lado y hacer esfuerzos puntuales</w:t>
      </w:r>
      <w:r w:rsidRPr="00B41AAD">
        <w:rPr>
          <w:rFonts w:ascii="Times New Roman" w:hAnsi="Times New Roman" w:cs="Times New Roman"/>
          <w:sz w:val="24"/>
          <w:szCs w:val="24"/>
        </w:rPr>
        <w:t>. Llegarán más oportunidades para usar pretextos y el Brexit será</w:t>
      </w:r>
      <w:r>
        <w:rPr>
          <w:rFonts w:ascii="Times New Roman" w:hAnsi="Times New Roman" w:cs="Times New Roman"/>
          <w:sz w:val="24"/>
          <w:szCs w:val="24"/>
        </w:rPr>
        <w:t xml:space="preserve"> uno particularmente socorrido.</w:t>
      </w:r>
    </w:p>
    <w:p w:rsidR="00B40549" w:rsidRPr="004F1CFF" w:rsidRDefault="00B40549" w:rsidP="00B40549">
      <w:pPr>
        <w:spacing w:line="240" w:lineRule="auto"/>
        <w:jc w:val="both"/>
        <w:rPr>
          <w:rFonts w:ascii="Times New Roman" w:hAnsi="Times New Roman" w:cs="Times New Roman"/>
          <w:b/>
          <w:color w:val="FF0000"/>
          <w:sz w:val="24"/>
          <w:szCs w:val="24"/>
          <w:u w:val="single"/>
        </w:rPr>
      </w:pPr>
      <w:r w:rsidRPr="004F1CFF">
        <w:rPr>
          <w:rFonts w:ascii="Times New Roman" w:hAnsi="Times New Roman" w:cs="Times New Roman"/>
          <w:b/>
          <w:color w:val="FF0000"/>
          <w:sz w:val="24"/>
          <w:szCs w:val="24"/>
          <w:u w:val="single"/>
        </w:rPr>
        <w:t>Un mercado de 500 millones de habitantes como el de la UE, donde hay mayores posibilidades de integración y de expansión fiscal que las actuales, no puede perder la oportunidad de esa mencionada transformación, de una agenda reformista común. Ya se observan alarmantes signos de irrelevancia tecnológica (no hay ninguna BigTech europea comparable a las estadounidenses o chinas), pero no es tarde para reorientar aquello que siempre se hizo bien y para encontrar nuevas capacidades.</w:t>
      </w:r>
    </w:p>
    <w:p w:rsidR="00B40549" w:rsidRPr="00B41AAD" w:rsidRDefault="00B40549" w:rsidP="00B40549">
      <w:pPr>
        <w:spacing w:line="240" w:lineRule="auto"/>
        <w:jc w:val="both"/>
        <w:rPr>
          <w:rFonts w:ascii="Times New Roman" w:hAnsi="Times New Roman" w:cs="Times New Roman"/>
          <w:sz w:val="24"/>
          <w:szCs w:val="24"/>
        </w:rPr>
      </w:pPr>
      <w:r w:rsidRPr="00B41AAD">
        <w:rPr>
          <w:rFonts w:ascii="Times New Roman" w:hAnsi="Times New Roman" w:cs="Times New Roman"/>
          <w:sz w:val="24"/>
          <w:szCs w:val="24"/>
        </w:rPr>
        <w:t>Parece urgente apostar por la creación de un proyecto paneuropeo de inteligencia artificial, al estilo del consorcio Airbus, que permita contar con algún gigante tecnológico del continente en un razonable espacio de tiempo y de la que, sin duda, se beneficiaría Alemania notablemente. Al fin y al cabo, la UE es un todo donde la falta de cohesión siempre contragolpea. Ahora Alemania sufre y no porque no haya hecho estímulos antes, sino porque no ha orientado su gasto a modernizarse y a invertir donde lo requiere su demanda internac</w:t>
      </w:r>
      <w:r>
        <w:rPr>
          <w:rFonts w:ascii="Times New Roman" w:hAnsi="Times New Roman" w:cs="Times New Roman"/>
          <w:sz w:val="24"/>
          <w:szCs w:val="24"/>
        </w:rPr>
        <w:t>ional. Guerra comercial aparte.</w:t>
      </w:r>
    </w:p>
    <w:p w:rsidR="00B40549" w:rsidRDefault="00B40549" w:rsidP="00B4054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41AAD">
        <w:rPr>
          <w:rFonts w:ascii="Times New Roman" w:hAnsi="Times New Roman" w:cs="Times New Roman"/>
          <w:sz w:val="24"/>
          <w:szCs w:val="24"/>
        </w:rPr>
        <w:t>Santiago Carbó es catedrático de Economía de Cunef y director de Estudios Financieros de Funcas</w:t>
      </w:r>
      <w:r>
        <w:rPr>
          <w:rFonts w:ascii="Times New Roman" w:hAnsi="Times New Roman" w:cs="Times New Roman"/>
          <w:sz w:val="24"/>
          <w:szCs w:val="24"/>
        </w:rPr>
        <w:t>)</w:t>
      </w:r>
    </w:p>
    <w:p w:rsidR="00AA7566" w:rsidRDefault="00AA7566" w:rsidP="00AA7566">
      <w:pPr>
        <w:rPr>
          <w:rFonts w:ascii="Times New Roman" w:hAnsi="Times New Roman" w:cs="Times New Roman"/>
          <w:b/>
          <w:sz w:val="24"/>
          <w:szCs w:val="24"/>
        </w:rPr>
      </w:pPr>
    </w:p>
    <w:p w:rsidR="00AA7566" w:rsidRDefault="00AA7566" w:rsidP="00AA7566">
      <w:pPr>
        <w:rPr>
          <w:rFonts w:ascii="Times New Roman" w:hAnsi="Times New Roman" w:cs="Times New Roman"/>
          <w:b/>
          <w:sz w:val="24"/>
          <w:szCs w:val="24"/>
        </w:rPr>
      </w:pPr>
    </w:p>
    <w:p w:rsidR="00AA7566" w:rsidRDefault="00AA7566" w:rsidP="00AA7566">
      <w:pPr>
        <w:rPr>
          <w:rFonts w:ascii="Times New Roman" w:hAnsi="Times New Roman" w:cs="Times New Roman"/>
          <w:b/>
          <w:sz w:val="24"/>
          <w:szCs w:val="24"/>
        </w:rPr>
      </w:pPr>
    </w:p>
    <w:p w:rsidR="00AA7566" w:rsidRDefault="00AA7566" w:rsidP="00AA7566">
      <w:pPr>
        <w:rPr>
          <w:rFonts w:ascii="Times New Roman" w:hAnsi="Times New Roman" w:cs="Times New Roman"/>
          <w:b/>
          <w:sz w:val="24"/>
          <w:szCs w:val="24"/>
        </w:rPr>
      </w:pPr>
    </w:p>
    <w:p w:rsidR="00AA7566" w:rsidRDefault="00AA7566" w:rsidP="00AA7566">
      <w:pPr>
        <w:rPr>
          <w:rFonts w:ascii="Times New Roman" w:hAnsi="Times New Roman" w:cs="Times New Roman"/>
          <w:b/>
          <w:sz w:val="24"/>
          <w:szCs w:val="24"/>
        </w:rPr>
      </w:pPr>
    </w:p>
    <w:p w:rsidR="00AA7566" w:rsidRDefault="00AA7566" w:rsidP="00AA7566">
      <w:pPr>
        <w:rPr>
          <w:rFonts w:ascii="Times New Roman" w:hAnsi="Times New Roman" w:cs="Times New Roman"/>
          <w:b/>
          <w:sz w:val="24"/>
          <w:szCs w:val="24"/>
        </w:rPr>
      </w:pPr>
    </w:p>
    <w:p w:rsidR="00AA7566" w:rsidRDefault="00AA7566" w:rsidP="00AA7566">
      <w:pPr>
        <w:rPr>
          <w:rFonts w:ascii="Times New Roman" w:hAnsi="Times New Roman" w:cs="Times New Roman"/>
          <w:b/>
          <w:sz w:val="24"/>
          <w:szCs w:val="24"/>
        </w:rPr>
      </w:pPr>
      <w:r>
        <w:rPr>
          <w:rFonts w:ascii="Times New Roman" w:hAnsi="Times New Roman" w:cs="Times New Roman"/>
          <w:b/>
          <w:sz w:val="24"/>
          <w:szCs w:val="24"/>
        </w:rPr>
        <w:t xml:space="preserve">- Anexo Euro punto de vista: LOS TRAUMAS Y COMPLEJOS QUE </w:t>
      </w:r>
      <w:r w:rsidR="001E22E4">
        <w:rPr>
          <w:rFonts w:ascii="Times New Roman" w:hAnsi="Times New Roman" w:cs="Times New Roman"/>
          <w:b/>
          <w:sz w:val="24"/>
          <w:szCs w:val="24"/>
        </w:rPr>
        <w:t xml:space="preserve">PARALIZAN A LA UNIÓN EUROPEA </w:t>
      </w:r>
      <w:r>
        <w:rPr>
          <w:rFonts w:ascii="Times New Roman" w:hAnsi="Times New Roman" w:cs="Times New Roman"/>
          <w:b/>
          <w:sz w:val="24"/>
          <w:szCs w:val="24"/>
        </w:rPr>
        <w:t>(II)</w:t>
      </w:r>
      <w:r w:rsidR="001E22E4">
        <w:rPr>
          <w:rFonts w:ascii="Times New Roman" w:hAnsi="Times New Roman" w:cs="Times New Roman"/>
          <w:b/>
          <w:sz w:val="24"/>
          <w:szCs w:val="24"/>
        </w:rPr>
        <w:t xml:space="preserve"> -</w:t>
      </w:r>
      <w:r>
        <w:rPr>
          <w:rFonts w:ascii="Times New Roman" w:hAnsi="Times New Roman" w:cs="Times New Roman"/>
          <w:b/>
          <w:sz w:val="24"/>
          <w:szCs w:val="24"/>
        </w:rPr>
        <w:t xml:space="preserve"> BREXIT</w:t>
      </w:r>
    </w:p>
    <w:p w:rsidR="00AA7566" w:rsidRPr="007214C0" w:rsidRDefault="00AA7566" w:rsidP="00AA7566">
      <w:pPr>
        <w:spacing w:line="240" w:lineRule="auto"/>
        <w:jc w:val="both"/>
        <w:rPr>
          <w:rFonts w:ascii="Times New Roman" w:hAnsi="Times New Roman" w:cs="Times New Roman"/>
          <w:sz w:val="24"/>
          <w:szCs w:val="24"/>
        </w:rPr>
      </w:pPr>
      <w:r>
        <w:rPr>
          <w:noProof/>
          <w:lang w:val="en-GB" w:eastAsia="en-GB"/>
        </w:rPr>
        <w:drawing>
          <wp:inline distT="0" distB="0" distL="0" distR="0">
            <wp:extent cx="5731510" cy="3217545"/>
            <wp:effectExtent l="0" t="0" r="2540" b="1905"/>
            <wp:docPr id="166" name="Imagen 166" descr="Image result for foto de la pintura de banksy con un obrero picando la estrella de la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foto de la pintura de banksy con un obrero picando la estrella de la UE"/>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17545"/>
                    </a:xfrm>
                    <a:prstGeom prst="rect">
                      <a:avLst/>
                    </a:prstGeom>
                    <a:noFill/>
                    <a:ln>
                      <a:noFill/>
                    </a:ln>
                  </pic:spPr>
                </pic:pic>
              </a:graphicData>
            </a:graphic>
          </wp:inline>
        </w:drawing>
      </w:r>
    </w:p>
    <w:p w:rsidR="00AA7566" w:rsidRPr="00F01646" w:rsidRDefault="00AA7566" w:rsidP="00AA7566">
      <w:pPr>
        <w:spacing w:after="0" w:line="240" w:lineRule="auto"/>
        <w:jc w:val="both"/>
        <w:textAlignment w:val="baseline"/>
        <w:rPr>
          <w:rFonts w:ascii="Times New Roman" w:eastAsia="Times New Roman" w:hAnsi="Times New Roman" w:cs="Times New Roman"/>
          <w:color w:val="FF0000"/>
          <w:sz w:val="24"/>
          <w:szCs w:val="24"/>
        </w:rPr>
      </w:pPr>
      <w:r w:rsidRPr="00570C0D">
        <w:rPr>
          <w:rFonts w:ascii="Times New Roman" w:eastAsia="Times New Roman" w:hAnsi="Times New Roman" w:cs="Times New Roman"/>
          <w:color w:val="000000"/>
          <w:sz w:val="24"/>
          <w:szCs w:val="24"/>
        </w:rPr>
        <w:t xml:space="preserve">- </w:t>
      </w:r>
      <w:r w:rsidRPr="00570C0D">
        <w:rPr>
          <w:rFonts w:ascii="Times New Roman" w:eastAsia="Times New Roman" w:hAnsi="Times New Roman" w:cs="Times New Roman"/>
          <w:color w:val="000000"/>
          <w:sz w:val="24"/>
          <w:szCs w:val="24"/>
          <w:u w:val="single"/>
        </w:rPr>
        <w:t>Las duras verdades del Brexit</w:t>
      </w:r>
      <w:r w:rsidRPr="00570C0D">
        <w:rPr>
          <w:rFonts w:ascii="Times New Roman" w:eastAsia="Times New Roman" w:hAnsi="Times New Roman" w:cs="Times New Roman"/>
          <w:color w:val="000000"/>
          <w:sz w:val="24"/>
          <w:szCs w:val="24"/>
        </w:rPr>
        <w:t xml:space="preserve"> (Project Syndicate - </w:t>
      </w:r>
      <w:r w:rsidRPr="00570C0D">
        <w:rPr>
          <w:rFonts w:ascii="Times New Roman" w:eastAsia="Times New Roman" w:hAnsi="Times New Roman" w:cs="Times New Roman"/>
          <w:b/>
          <w:color w:val="000000"/>
          <w:sz w:val="24"/>
          <w:szCs w:val="24"/>
        </w:rPr>
        <w:t>3/1/19</w:t>
      </w:r>
      <w:r w:rsidRPr="00570C0D">
        <w:rPr>
          <w:rFonts w:ascii="Times New Roman" w:eastAsia="Times New Roman" w:hAnsi="Times New Roman" w:cs="Times New Roman"/>
          <w:color w:val="000000"/>
          <w:sz w:val="24"/>
          <w:szCs w:val="24"/>
        </w:rPr>
        <w:t>)</w:t>
      </w:r>
    </w:p>
    <w:p w:rsidR="00AA7566"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290C0D" w:rsidP="00AA7566">
      <w:pPr>
        <w:spacing w:after="0" w:line="240" w:lineRule="auto"/>
        <w:jc w:val="both"/>
        <w:textAlignment w:val="baseline"/>
        <w:rPr>
          <w:rFonts w:ascii="Times New Roman" w:eastAsia="Times New Roman" w:hAnsi="Times New Roman" w:cs="Times New Roman"/>
          <w:color w:val="000000"/>
          <w:sz w:val="24"/>
          <w:szCs w:val="24"/>
        </w:rPr>
      </w:pPr>
      <w:r w:rsidRPr="004A6D82">
        <w:rPr>
          <w:rFonts w:ascii="Times New Roman" w:eastAsia="Times New Roman" w:hAnsi="Times New Roman" w:cs="Times New Roman"/>
          <w:color w:val="000000"/>
          <w:sz w:val="24"/>
          <w:szCs w:val="24"/>
        </w:rPr>
        <w:t>D</w:t>
      </w:r>
      <w:r>
        <w:rPr>
          <w:rFonts w:ascii="Times New Roman" w:eastAsia="Times New Roman" w:hAnsi="Times New Roman" w:cs="Times New Roman"/>
          <w:color w:val="000000"/>
          <w:sz w:val="24"/>
          <w:szCs w:val="24"/>
        </w:rPr>
        <w:t>ublín</w:t>
      </w:r>
      <w:r w:rsidR="004A6D82">
        <w:rPr>
          <w:rFonts w:ascii="Times New Roman" w:eastAsia="Times New Roman" w:hAnsi="Times New Roman" w:cs="Times New Roman"/>
          <w:color w:val="000000"/>
          <w:sz w:val="24"/>
          <w:szCs w:val="24"/>
        </w:rPr>
        <w:t xml:space="preserve">.- </w:t>
      </w:r>
      <w:r w:rsidR="00AA7566" w:rsidRPr="004A6D82">
        <w:rPr>
          <w:rFonts w:ascii="Times New Roman" w:eastAsia="Times New Roman" w:hAnsi="Times New Roman" w:cs="Times New Roman"/>
          <w:color w:val="000000"/>
          <w:sz w:val="24"/>
          <w:szCs w:val="24"/>
        </w:rPr>
        <w:t>El</w:t>
      </w:r>
      <w:r w:rsidR="00AA7566" w:rsidRPr="00803020">
        <w:rPr>
          <w:rFonts w:ascii="Times New Roman" w:eastAsia="Times New Roman" w:hAnsi="Times New Roman" w:cs="Times New Roman"/>
          <w:color w:val="000000"/>
          <w:sz w:val="24"/>
          <w:szCs w:val="24"/>
          <w:u w:val="single"/>
        </w:rPr>
        <w:t xml:space="preserve"> plazo del 29 de marzo de 2019 para que el Reino Unido abandone la Unión Europea está cada vez más cerca, pero todavía no está nada claro cómo será en realidad la partida</w:t>
      </w:r>
      <w:r w:rsidR="00AA7566" w:rsidRPr="00570C0D">
        <w:rPr>
          <w:rFonts w:ascii="Times New Roman" w:eastAsia="Times New Roman" w:hAnsi="Times New Roman" w:cs="Times New Roman"/>
          <w:color w:val="000000"/>
          <w:sz w:val="24"/>
          <w:szCs w:val="24"/>
        </w:rPr>
        <w:t>. Pronto será inevitable tomar decisiones. Es decir, tras dos años y medio de ir a la deriva y criticarse mutuamente, ya es hora de que todas las partes del debate sobre el Brexit en el RU empiecen a hablar con honestidad.</w:t>
      </w:r>
    </w:p>
    <w:p w:rsidR="00AA7566"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Aunque la primera ministra Theresa May llegó a un acuerdo con la UE, las chances de que obtenga aprobación parlamentaria antes del 14 de enero (el plazo que fijó May) se ven cada vez más exiguas, incluso con el mes adicional que se dio May para tratar de mejorarlas. Parece más bien que el RU se encamina a una elección entre dos extremos, que probablemente impliquen (los dos) otro referendo.</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803020">
        <w:rPr>
          <w:rFonts w:ascii="Times New Roman" w:eastAsia="Times New Roman" w:hAnsi="Times New Roman" w:cs="Times New Roman"/>
          <w:color w:val="FF0000"/>
          <w:sz w:val="24"/>
          <w:szCs w:val="24"/>
          <w:u w:val="single"/>
        </w:rPr>
        <w:t>La primera alternativa (preferida por cada vez más parlamentarios del gobernante Partido Conservador, pero todavía no</w:t>
      </w:r>
      <w:r w:rsidR="004A6D82">
        <w:rPr>
          <w:rFonts w:ascii="Times New Roman" w:eastAsia="Times New Roman" w:hAnsi="Times New Roman" w:cs="Times New Roman"/>
          <w:color w:val="FF0000"/>
          <w:sz w:val="24"/>
          <w:szCs w:val="24"/>
          <w:u w:val="single"/>
        </w:rPr>
        <w:t xml:space="preserve"> -oficialmente-</w:t>
      </w:r>
      <w:r w:rsidRPr="00803020">
        <w:rPr>
          <w:rFonts w:ascii="Times New Roman" w:eastAsia="Times New Roman" w:hAnsi="Times New Roman" w:cs="Times New Roman"/>
          <w:color w:val="FF0000"/>
          <w:sz w:val="24"/>
          <w:szCs w:val="24"/>
          <w:u w:val="single"/>
        </w:rPr>
        <w:t xml:space="preserve"> por la oposición laborista) es celebrar un segundo referendo sobre el Brexit</w:t>
      </w:r>
      <w:r w:rsidRPr="00570C0D">
        <w:rPr>
          <w:rFonts w:ascii="Times New Roman" w:eastAsia="Times New Roman" w:hAnsi="Times New Roman" w:cs="Times New Roman"/>
          <w:color w:val="000000"/>
          <w:sz w:val="24"/>
          <w:szCs w:val="24"/>
        </w:rPr>
        <w:t>. La idea es que tras presenciar el zafarrancho político que se armó después de la estrecha victoria (51,9% a 48,1%) de los partidarios de abandonar la UE en el referendo de junio de 2016, ahora puede ser que los votantes del RU decidan que después de todo no quieren concretar el Brexit. Pero sea como sea, la idea más amplia es que si el Parlamento no puede llegar a una decisión, hay que preguntarle otra vez al pueblo.</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C3491B">
        <w:rPr>
          <w:rFonts w:ascii="Times New Roman" w:eastAsia="Times New Roman" w:hAnsi="Times New Roman" w:cs="Times New Roman"/>
          <w:color w:val="000000"/>
          <w:sz w:val="24"/>
          <w:szCs w:val="24"/>
          <w:u w:val="single"/>
        </w:rPr>
        <w:t>La segunda alternativa, aún más extrema (y preferida por algunos fundamentalistas del Partido Conservador, entre ellos el ex secretario de asuntos exteriores Boris Johnson), es ir a un Brexit “sin acuerdo”, en el que el RU abandone la UE con mínimas disposiciones legales para el manejo de las relaciones futuras</w:t>
      </w:r>
      <w:r w:rsidRPr="00570C0D">
        <w:rPr>
          <w:rFonts w:ascii="Times New Roman" w:eastAsia="Times New Roman" w:hAnsi="Times New Roman" w:cs="Times New Roman"/>
          <w:color w:val="000000"/>
          <w:sz w:val="24"/>
          <w:szCs w:val="24"/>
        </w:rPr>
        <w:t>. Los que prefieren esta opción sostienen que le daría al RU margen para adoptar la clase de agenda libremercadista y desregulatoria que propugnan, y para negociar nuevos acuerdos comerciales con países como Estados Unidos, Japón y China.</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C3491B">
        <w:rPr>
          <w:rFonts w:ascii="Times New Roman" w:eastAsia="Times New Roman" w:hAnsi="Times New Roman" w:cs="Times New Roman"/>
          <w:color w:val="000000"/>
          <w:sz w:val="24"/>
          <w:szCs w:val="24"/>
          <w:u w:val="single"/>
        </w:rPr>
        <w:t>Todavía puede surgir alguna clase de prórroga que dé al RU (o mejor dicho, a los políticos británicos) más margen para tomar una decisión</w:t>
      </w:r>
      <w:r w:rsidRPr="00570C0D">
        <w:rPr>
          <w:rFonts w:ascii="Times New Roman" w:eastAsia="Times New Roman" w:hAnsi="Times New Roman" w:cs="Times New Roman"/>
          <w:color w:val="000000"/>
          <w:sz w:val="24"/>
          <w:szCs w:val="24"/>
        </w:rPr>
        <w:t>. Pero independientemente de que se detenga o no el reloj (como es tradición en la UE), parece probable que en definitiva se optará por uno de estos extremos.</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A aquellos que defendemos el llamado a otro referendo, con la esperanza de revertir el Brexit, la honestidad nos exige reconocer que (lo mismo que la primera vez) nada asegura una victoria de la opción por quedarse en la UE. Encuestas de opinión recientes sugieren que si se les pide elegir entre quedarse en la UE o salir con la clase de acuerdo a medias que negoció May, una clara mayoría de los votantes preferiría quedarse.</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Pero esas encuestas son reflejo de la caótica situación política actual, en la que el campo pro‑Brexit está profundamente dividido. Eso puede cambiar, sobre todo si se produce el rechazo definitivo del acuerdo de May y los partidarios del Brexit consiguen unirse en pos de un plan alternativo.</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C3491B" w:rsidRDefault="00AA7566" w:rsidP="00AA7566">
      <w:pPr>
        <w:spacing w:after="0" w:line="240" w:lineRule="auto"/>
        <w:jc w:val="both"/>
        <w:textAlignment w:val="baseline"/>
        <w:rPr>
          <w:rFonts w:ascii="Times New Roman" w:eastAsia="Times New Roman" w:hAnsi="Times New Roman" w:cs="Times New Roman"/>
          <w:color w:val="000000"/>
          <w:sz w:val="24"/>
          <w:szCs w:val="24"/>
          <w:u w:val="single"/>
        </w:rPr>
      </w:pPr>
      <w:r w:rsidRPr="00570C0D">
        <w:rPr>
          <w:rFonts w:ascii="Times New Roman" w:eastAsia="Times New Roman" w:hAnsi="Times New Roman" w:cs="Times New Roman"/>
          <w:color w:val="000000"/>
          <w:sz w:val="24"/>
          <w:szCs w:val="24"/>
        </w:rPr>
        <w:t xml:space="preserve">La necesidad de honestidad es todavía más fuerte en el lado pro‑Brexit, y también implica la posibilidad de perder un referendo. </w:t>
      </w:r>
      <w:r w:rsidRPr="00C3491B">
        <w:rPr>
          <w:rFonts w:ascii="Times New Roman" w:eastAsia="Times New Roman" w:hAnsi="Times New Roman" w:cs="Times New Roman"/>
          <w:color w:val="000000"/>
          <w:sz w:val="24"/>
          <w:szCs w:val="24"/>
          <w:u w:val="single"/>
        </w:rPr>
        <w:t>Los intransigentes del Brexit tendrán que admitir que las opciones que prefieren pueden llevar a la ruptura del RU, con la decisión de Irlanda del Norte en un referendo de unirse a la República de Irlanda.</w:t>
      </w:r>
    </w:p>
    <w:p w:rsidR="00AA7566" w:rsidRPr="00C3491B" w:rsidRDefault="00AA7566" w:rsidP="00AA7566">
      <w:pPr>
        <w:spacing w:after="0" w:line="240" w:lineRule="auto"/>
        <w:jc w:val="both"/>
        <w:textAlignment w:val="baseline"/>
        <w:rPr>
          <w:rFonts w:ascii="Times New Roman" w:eastAsia="Times New Roman" w:hAnsi="Times New Roman" w:cs="Times New Roman"/>
          <w:color w:val="000000"/>
          <w:sz w:val="24"/>
          <w:szCs w:val="24"/>
          <w:u w:val="single"/>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La principal objeción de los pro‑Brexit al acuerdo de May es que incluye una garantía (el llamado “plan de contingencia”) de que el RU hará básicamente todo lo necesario para evitar la reintroducción de controles efectivos en los 500 kilómetros de frontera que separan a Irlanda del Norte de la República de Irlanda. Para que esto funcione en la práctica, el RU post‑Brexit tendría que mantener una estrecha sintonía reglamentaria con la UE en relación con productos agrícolas y bienes, por no hablar de los aranceles. Pero para los intransigentes del Brexit, el verdadero objetivo de abandonar la UE es restaurar la autoridad del RU para fijar reglas propias.</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Desde el referendo de 2016, el debate en relación con la frontera irlandesa se disuadió, demoró y distorsionó mediante una serie de fantasías, por ejemplo hablar de alguna solución tecnológica que permita una frontera relativamente abierta, o que la UE y el RU actúen de algún modo como agente de aduana de la otra parte. Pero minimizar los controles de frontera no es suficiente. En 1998 y tras más de 3000 muertes, Irlanda del Norte logró salir de tres décadas de guerra civil. La continuidad de una paz que todavía es frágil exige que no haya frontera alguna. Es una prueba difícil, que ninguna de las soluciones propuestas superó.</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C3491B" w:rsidRDefault="00AA7566" w:rsidP="00AA7566">
      <w:pPr>
        <w:spacing w:after="0" w:line="240" w:lineRule="auto"/>
        <w:jc w:val="both"/>
        <w:textAlignment w:val="baseline"/>
        <w:rPr>
          <w:rFonts w:ascii="Times New Roman" w:eastAsia="Times New Roman" w:hAnsi="Times New Roman" w:cs="Times New Roman"/>
          <w:color w:val="000000"/>
          <w:sz w:val="24"/>
          <w:szCs w:val="24"/>
          <w:u w:val="single"/>
        </w:rPr>
      </w:pPr>
      <w:r w:rsidRPr="00C3491B">
        <w:rPr>
          <w:rFonts w:ascii="Times New Roman" w:eastAsia="Times New Roman" w:hAnsi="Times New Roman" w:cs="Times New Roman"/>
          <w:color w:val="000000"/>
          <w:sz w:val="24"/>
          <w:szCs w:val="24"/>
          <w:u w:val="single"/>
        </w:rPr>
        <w:t>Si los intransigentes del Brexit no están dispuestos a hacer lo necesario para mantener una frontera abierta con la UE en Irlanda, tienen que admitir las probables consecuencias. Irlanda del Norte querrá un referendo para decidir si se queda dentro del RU o se unifica con la República de Irlanda, que es miembro de la UE.</w:t>
      </w:r>
    </w:p>
    <w:p w:rsidR="00AA7566" w:rsidRPr="00C3491B" w:rsidRDefault="00AA7566" w:rsidP="00AA7566">
      <w:pPr>
        <w:spacing w:after="0" w:line="240" w:lineRule="auto"/>
        <w:jc w:val="both"/>
        <w:textAlignment w:val="baseline"/>
        <w:rPr>
          <w:rFonts w:ascii="Times New Roman" w:eastAsia="Times New Roman" w:hAnsi="Times New Roman" w:cs="Times New Roman"/>
          <w:color w:val="000000"/>
          <w:sz w:val="24"/>
          <w:szCs w:val="24"/>
          <w:u w:val="single"/>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Eso sería posible conforme al Acuerdo de Belfast de 1998, que puso fin a la guerra civil e incluyó la promesa del RU, Irlanda y la UE de mantener uniformidad normativa en toda Irlanda. De hecho, el acuerdo deja abierta la posibilidad de una reunificación de la isla, si sendas mayorías en Irlanda del Norte y en la República de Irlanda deciden eso en un referendo.</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En 2016, Irlanda del Norte votó a favor de permanecer en la UE, por una clara diferencia de 56% a 44%. El gobierno conservador minoritario se sostiene gracias al apoyo de los diez parlamentarios que representan al Partido Unionista Democrático (pro‑Brexit) de Irlanda del Norte, pero es probable que hoy haya una mayoría incluso mayor de votantes norirlandeses dispuestos a quedarse en la UE.</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C3491B" w:rsidRDefault="00AA7566" w:rsidP="00AA7566">
      <w:pPr>
        <w:spacing w:after="0" w:line="240" w:lineRule="auto"/>
        <w:jc w:val="both"/>
        <w:textAlignment w:val="baseline"/>
        <w:rPr>
          <w:rFonts w:ascii="Times New Roman" w:eastAsia="Times New Roman" w:hAnsi="Times New Roman" w:cs="Times New Roman"/>
          <w:color w:val="000000"/>
          <w:sz w:val="24"/>
          <w:szCs w:val="24"/>
          <w:u w:val="single"/>
        </w:rPr>
      </w:pPr>
      <w:r w:rsidRPr="00C3491B">
        <w:rPr>
          <w:rFonts w:ascii="Times New Roman" w:eastAsia="Times New Roman" w:hAnsi="Times New Roman" w:cs="Times New Roman"/>
          <w:color w:val="000000"/>
          <w:sz w:val="24"/>
          <w:szCs w:val="24"/>
          <w:u w:val="single"/>
        </w:rPr>
        <w:t>De modo que los pro‑Brexit honestos deberían admitir que dejar la UE según sus condiciones puede llevar a la disolución del RU. Si Irlanda se reunifica, otro referendo independentista en Escocia sería prácticamente irresistible (aunque no hay modo de saber cuál sería su resultado).</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r w:rsidRPr="00570C0D">
        <w:rPr>
          <w:rFonts w:ascii="Times New Roman" w:eastAsia="Times New Roman" w:hAnsi="Times New Roman" w:cs="Times New Roman"/>
          <w:color w:val="000000"/>
          <w:sz w:val="24"/>
          <w:szCs w:val="24"/>
        </w:rPr>
        <w:t>El pasado junio, cuando le preguntaron por los temores de la dirigencia empresarial en relación con el Brexit, Johnson declaró con total descaro que lo tenían sin cuidado: “Fuck business”, dijo. Si fuera honesto, incluiría en su grosera despreocupación a Irlanda del Norte y Escocia. Entonces al menos quedaría clara la verdadera posición del campo pro‑Brexit.</w:t>
      </w:r>
    </w:p>
    <w:p w:rsidR="00AA7566" w:rsidRPr="00570C0D" w:rsidRDefault="00AA7566" w:rsidP="00AA7566">
      <w:pPr>
        <w:spacing w:after="0" w:line="240" w:lineRule="auto"/>
        <w:jc w:val="both"/>
        <w:textAlignment w:val="baseline"/>
        <w:rPr>
          <w:rFonts w:ascii="Times New Roman" w:eastAsia="Times New Roman" w:hAnsi="Times New Roman" w:cs="Times New Roman"/>
          <w:color w:val="000000"/>
          <w:sz w:val="24"/>
          <w:szCs w:val="24"/>
        </w:rPr>
      </w:pPr>
    </w:p>
    <w:p w:rsidR="00AA7566" w:rsidRDefault="00AA7566" w:rsidP="00AA7566">
      <w:pPr>
        <w:spacing w:after="0" w:line="240" w:lineRule="auto"/>
        <w:jc w:val="both"/>
        <w:textAlignment w:val="baseline"/>
        <w:rPr>
          <w:rFonts w:ascii="Times New Roman" w:eastAsia="Times New Roman" w:hAnsi="Times New Roman" w:cs="Times New Roman"/>
          <w:color w:val="000000"/>
          <w:sz w:val="24"/>
          <w:szCs w:val="24"/>
          <w:lang w:val="en-US"/>
        </w:rPr>
      </w:pPr>
      <w:r w:rsidRPr="00570C0D">
        <w:rPr>
          <w:rFonts w:ascii="Times New Roman" w:eastAsia="Times New Roman" w:hAnsi="Times New Roman" w:cs="Times New Roman"/>
          <w:color w:val="000000"/>
          <w:sz w:val="24"/>
          <w:szCs w:val="24"/>
          <w:lang w:val="en-US"/>
        </w:rPr>
        <w:t>(Bill Emmott is a former e</w:t>
      </w:r>
      <w:r>
        <w:rPr>
          <w:rFonts w:ascii="Times New Roman" w:eastAsia="Times New Roman" w:hAnsi="Times New Roman" w:cs="Times New Roman"/>
          <w:color w:val="000000"/>
          <w:sz w:val="24"/>
          <w:szCs w:val="24"/>
          <w:lang w:val="en-US"/>
        </w:rPr>
        <w:t>ditor-in-chief of The Economist)</w:t>
      </w:r>
    </w:p>
    <w:p w:rsidR="00AA7566" w:rsidRPr="000865A8" w:rsidRDefault="00AA7566" w:rsidP="00AA7566">
      <w:pPr>
        <w:pStyle w:val="yiv6099203543msonormal"/>
        <w:shd w:val="clear" w:color="auto" w:fill="FFFFFF"/>
        <w:jc w:val="both"/>
        <w:rPr>
          <w:color w:val="FF0000"/>
        </w:rPr>
      </w:pPr>
      <w:r>
        <w:rPr>
          <w:color w:val="26282A"/>
        </w:rPr>
        <w:t xml:space="preserve">- </w:t>
      </w:r>
      <w:r w:rsidRPr="00BF4E9B">
        <w:rPr>
          <w:color w:val="26282A"/>
        </w:rPr>
        <w:t>¿</w:t>
      </w:r>
      <w:r w:rsidRPr="00BF4E9B">
        <w:rPr>
          <w:color w:val="26282A"/>
          <w:u w:val="single"/>
        </w:rPr>
        <w:t>Se puede evitar un Brexit “sin acuerdo</w:t>
      </w:r>
      <w:r w:rsidRPr="00BF4E9B">
        <w:rPr>
          <w:color w:val="26282A"/>
        </w:rPr>
        <w:t>”?</w:t>
      </w:r>
      <w:r>
        <w:rPr>
          <w:color w:val="26282A"/>
        </w:rPr>
        <w:t xml:space="preserve"> (Project Syndicate - </w:t>
      </w:r>
      <w:r w:rsidRPr="00BF4E9B">
        <w:rPr>
          <w:b/>
          <w:color w:val="26282A"/>
        </w:rPr>
        <w:t>28/1/19</w:t>
      </w:r>
      <w:r>
        <w:rPr>
          <w:color w:val="26282A"/>
        </w:rPr>
        <w:t xml:space="preserve">) </w:t>
      </w:r>
    </w:p>
    <w:p w:rsidR="00AA7566" w:rsidRPr="003800D3" w:rsidRDefault="004A6D82" w:rsidP="00AA7566">
      <w:pPr>
        <w:pStyle w:val="yiv6099203543msonormal"/>
        <w:shd w:val="clear" w:color="auto" w:fill="FFFFFF"/>
        <w:jc w:val="both"/>
        <w:rPr>
          <w:color w:val="FF0000"/>
          <w:u w:val="single"/>
        </w:rPr>
      </w:pPr>
      <w:r>
        <w:rPr>
          <w:color w:val="26282A"/>
        </w:rPr>
        <w:t>Edimburgo.-</w:t>
      </w:r>
      <w:r w:rsidR="00AA7566" w:rsidRPr="003800D3">
        <w:rPr>
          <w:color w:val="FF0000"/>
          <w:u w:val="single"/>
        </w:rPr>
        <w:t>Es casi una tragedia que Estados Unidos y el R</w:t>
      </w:r>
      <w:r w:rsidR="00F54F54">
        <w:rPr>
          <w:color w:val="FF0000"/>
          <w:u w:val="single"/>
        </w:rPr>
        <w:t>eino Unido -</w:t>
      </w:r>
      <w:r w:rsidR="00AA7566" w:rsidRPr="003800D3">
        <w:rPr>
          <w:color w:val="FF0000"/>
          <w:u w:val="single"/>
        </w:rPr>
        <w:t>los dos países más identificados con marcos constitucionales estables y largamente establecidos- hoy se ubiquen entre las democracias más disfuncionales del mundo.</w:t>
      </w:r>
    </w:p>
    <w:p w:rsidR="00AA7566" w:rsidRPr="00BF4E9B" w:rsidRDefault="00AA7566" w:rsidP="00AA7566">
      <w:pPr>
        <w:pStyle w:val="yiv6099203543msonormal"/>
        <w:shd w:val="clear" w:color="auto" w:fill="FFFFFF"/>
        <w:jc w:val="both"/>
        <w:rPr>
          <w:color w:val="26282A"/>
        </w:rPr>
      </w:pPr>
      <w:r w:rsidRPr="00BF4E9B">
        <w:rPr>
          <w:color w:val="26282A"/>
        </w:rPr>
        <w:t>En el pasado, cuando el Parlamento británico enfrentó crisis y parecía paralizado, demostró ser capaz de salir del atolladero. En el lapso de dos siglos, las batallas por la reforma electoral, las leyes de los cereales, el libre comercio, la Cámara de los Lores y la cuestión irlandesa finalmente se resolvieron med</w:t>
      </w:r>
      <w:r>
        <w:rPr>
          <w:color w:val="26282A"/>
        </w:rPr>
        <w:t>iante una reforma y un acuerdo.</w:t>
      </w:r>
    </w:p>
    <w:p w:rsidR="00AA7566" w:rsidRPr="00BF4E9B" w:rsidRDefault="00AA7566" w:rsidP="00AA7566">
      <w:pPr>
        <w:pStyle w:val="yiv6099203543msonormal"/>
        <w:shd w:val="clear" w:color="auto" w:fill="FFFFFF"/>
        <w:jc w:val="both"/>
        <w:rPr>
          <w:color w:val="26282A"/>
        </w:rPr>
      </w:pPr>
      <w:r w:rsidRPr="00BF4E9B">
        <w:rPr>
          <w:color w:val="26282A"/>
        </w:rPr>
        <w:t>Pero ahora un debate absorbente de dos años y medio sobre la relación del Reino Unido con Europa ha abrumado a Westminster y consumido el tiempo, la energía y la paciencia de Whitehall. Y en tanto se avecina la fecha límite del Brexit el 29 de marzo, ni el gobierno ni el Parlamento parecen capaces de poner</w:t>
      </w:r>
      <w:r>
        <w:rPr>
          <w:color w:val="26282A"/>
        </w:rPr>
        <w:t xml:space="preserve"> fin al impasse que han creado.</w:t>
      </w:r>
    </w:p>
    <w:p w:rsidR="00AA7566" w:rsidRPr="00BF4E9B" w:rsidRDefault="00AA7566" w:rsidP="00AA7566">
      <w:pPr>
        <w:pStyle w:val="yiv6099203543msonormal"/>
        <w:shd w:val="clear" w:color="auto" w:fill="FFFFFF"/>
        <w:jc w:val="both"/>
        <w:rPr>
          <w:color w:val="26282A"/>
        </w:rPr>
      </w:pPr>
      <w:r w:rsidRPr="00BF4E9B">
        <w:rPr>
          <w:color w:val="26282A"/>
        </w:rPr>
        <w:t>Las úl</w:t>
      </w:r>
      <w:r w:rsidR="004A6D82">
        <w:rPr>
          <w:color w:val="26282A"/>
        </w:rPr>
        <w:t>timas iniciativas del gobierno -</w:t>
      </w:r>
      <w:r w:rsidRPr="00BF4E9B">
        <w:rPr>
          <w:color w:val="26282A"/>
        </w:rPr>
        <w:t xml:space="preserve">que se discutirán en el Parlamento el martes- simplemente demuestran que el gobierno de la primera ministra Theresa May no ha aprendido nada y no ha olvidado nada. Una semana de “consulta” ha sido, en el mejor de los casos, un ejercicio grotesco de oír sin escuchar de parte de una primera ministra arrinconada detrás de sus propias líneas rojas. Su partido está dividido y su gabinete, resquebrajado y con la mitad de sus miembros tal vez hoy codeándose para sucederla. El acuerdo de retiro de May fue rechazado por una mayoría sin precedentes de 230 votos y los procedimientos del martes probablemente revelen que todavía no hay una mayoría en el Parlamento a favor de alguna opción política que no sea </w:t>
      </w:r>
      <w:r>
        <w:rPr>
          <w:color w:val="26282A"/>
        </w:rPr>
        <w:t>evitar un Brexit “sin acuerdo”.</w:t>
      </w:r>
    </w:p>
    <w:p w:rsidR="00AA7566" w:rsidRPr="003800D3" w:rsidRDefault="00AA7566" w:rsidP="00AA7566">
      <w:pPr>
        <w:pStyle w:val="yiv6099203543msonormal"/>
        <w:shd w:val="clear" w:color="auto" w:fill="FFFFFF"/>
        <w:jc w:val="both"/>
        <w:rPr>
          <w:color w:val="26282A"/>
          <w:u w:val="single"/>
        </w:rPr>
      </w:pPr>
      <w:r w:rsidRPr="003800D3">
        <w:rPr>
          <w:color w:val="26282A"/>
          <w:u w:val="single"/>
        </w:rPr>
        <w:t>En este momento, es prácticamente imposible legislar las siete leyes complejas y los cientos de instrumentos normativos requeridos por el acuerdo de retiro en los 32 días hábiles parlamentarios programados antes del 29 de marzo. Sin embargo, lo más preocupante de todo es que el Reino Unido no sólo tiene un gobierno que es incapaz de liderar sino también una población que hoy parece no estar dispuesta a que la lideren.</w:t>
      </w:r>
    </w:p>
    <w:p w:rsidR="00AA7566" w:rsidRPr="00BF4E9B" w:rsidRDefault="00AA7566" w:rsidP="00AA7566">
      <w:pPr>
        <w:pStyle w:val="yiv6099203543msonormal"/>
        <w:shd w:val="clear" w:color="auto" w:fill="FFFFFF"/>
        <w:jc w:val="both"/>
        <w:rPr>
          <w:color w:val="26282A"/>
        </w:rPr>
      </w:pPr>
      <w:r w:rsidRPr="003800D3">
        <w:rPr>
          <w:color w:val="FF0000"/>
          <w:u w:val="single"/>
        </w:rPr>
        <w:t>En ningún momento en este proceso sombrío alguna de las propuestas de May contó con el respaldo de más de una cuarta parte de la población. Según una encuesta encomendada por Hope Not Hate y Best fo</w:t>
      </w:r>
      <w:r w:rsidR="004A6D82">
        <w:rPr>
          <w:color w:val="FF0000"/>
          <w:u w:val="single"/>
        </w:rPr>
        <w:t>r Britain, más gente que nunca -</w:t>
      </w:r>
      <w:r w:rsidRPr="003800D3">
        <w:rPr>
          <w:color w:val="FF0000"/>
          <w:u w:val="single"/>
        </w:rPr>
        <w:t>el 68% y probablemente más en el futuro- hoy siente que ningún partido político la representa</w:t>
      </w:r>
      <w:r w:rsidRPr="00BF4E9B">
        <w:rPr>
          <w:color w:val="26282A"/>
        </w:rPr>
        <w:t>. La desconexión hoy es tan grande, la desconfianza ha calado tan hondo, que las acusaciones de “delación” y “traición” se han vuelto cosa de todos los días. Los partidarios de quedarse dicen que el referendo de 2016 se ganó con mentiras, con un mal uso de datos robados y con incumplimientos ilegales del derecho electoral. Los partidarios de irse creen que la promesa de una separación limpia con Europa no se ha cumplido.</w:t>
      </w:r>
    </w:p>
    <w:p w:rsidR="00AA7566" w:rsidRPr="003800D3" w:rsidRDefault="00AA7566" w:rsidP="00AA7566">
      <w:pPr>
        <w:pStyle w:val="yiv6099203543msonormal"/>
        <w:shd w:val="clear" w:color="auto" w:fill="FFFFFF"/>
        <w:jc w:val="both"/>
        <w:rPr>
          <w:color w:val="FF0000"/>
          <w:u w:val="single"/>
        </w:rPr>
      </w:pPr>
      <w:r w:rsidRPr="003800D3">
        <w:rPr>
          <w:color w:val="FF0000"/>
          <w:u w:val="single"/>
        </w:rPr>
        <w:t>Si, como puede suceder, se conjura un acuerdo de compromiso desordenado a último minuto y a puertas cerradas, la población se sentirá excluida de una decisión con efectos de amplio alcance en sus vidas, y la confianza de la gente en los políticos tal vez nunca se recupere.</w:t>
      </w:r>
    </w:p>
    <w:p w:rsidR="00AA7566" w:rsidRPr="003800D3" w:rsidRDefault="00AA7566" w:rsidP="00AA7566">
      <w:pPr>
        <w:pStyle w:val="yiv6099203543msonormal"/>
        <w:shd w:val="clear" w:color="auto" w:fill="FFFFFF"/>
        <w:jc w:val="both"/>
        <w:rPr>
          <w:color w:val="26282A"/>
          <w:u w:val="single"/>
        </w:rPr>
      </w:pPr>
      <w:r w:rsidRPr="003800D3">
        <w:rPr>
          <w:color w:val="26282A"/>
          <w:u w:val="single"/>
        </w:rPr>
        <w:t>De manera que resulta evidente que Gran Bretaña no puede poner fin al atolladero, reparar la confianza resquebrajada o curar a un país dividido sin volver a involucrar a la población en la solución</w:t>
      </w:r>
      <w:r w:rsidRPr="00BF4E9B">
        <w:rPr>
          <w:color w:val="26282A"/>
        </w:rPr>
        <w:t xml:space="preserve">. El diálogo que hoy necesita Gran Bretaña es un diálogo no sólo entre el Parlamento y el gobierno, sino entre nuestras elites políticas y el pueblo británico. Los participantes de la misma encuesta reciente de Hope Not Hate coincidían, casi dos a uno, con la propuesta de que </w:t>
      </w:r>
      <w:r w:rsidRPr="003800D3">
        <w:rPr>
          <w:color w:val="26282A"/>
          <w:u w:val="single"/>
        </w:rPr>
        <w:t>“Sería mejor… interrumpir el proceso y buscar un consenso reuniendo a la gente común para discutir las opciones”.</w:t>
      </w:r>
    </w:p>
    <w:p w:rsidR="00AA7566" w:rsidRPr="00BF4E9B" w:rsidRDefault="00AA7566" w:rsidP="00AA7566">
      <w:pPr>
        <w:pStyle w:val="yiv6099203543msonormal"/>
        <w:shd w:val="clear" w:color="auto" w:fill="FFFFFF"/>
        <w:jc w:val="both"/>
        <w:rPr>
          <w:color w:val="26282A"/>
        </w:rPr>
      </w:pPr>
      <w:r w:rsidRPr="003800D3">
        <w:rPr>
          <w:color w:val="26282A"/>
          <w:u w:val="single"/>
        </w:rPr>
        <w:t>Es hora de que los políticos hagan lo que deberían haber hecho desde el principio: hacer que el pueblo británico vuelva a confiar en ellos y sincerarse con la población diciéndole que la búsqueda de una solución rápida terminó</w:t>
      </w:r>
      <w:r w:rsidRPr="00BF4E9B">
        <w:rPr>
          <w:color w:val="26282A"/>
        </w:rPr>
        <w:t>. “Adentro o afuera” suena simple. Pero hasta los defensores del Brexit de línea más dura que quieren una “salida” siguen interesados en comprar y vender a países de la UE y viajar libremente a y desde Europa. Y eso requiere complejas cadenas de suministro que favorezcan a industrias como la aviación y la fabricación de automóviles, derechos de aterrizaje y regulaciones del tráfico por carreteras, y estándares de salud ambiental y animal. Hasta el suministro de medicamentos vitales tan básicos como la insulina se vería amenazado por un Brexit sin acu</w:t>
      </w:r>
      <w:r>
        <w:rPr>
          <w:color w:val="26282A"/>
        </w:rPr>
        <w:t>erdo.</w:t>
      </w:r>
    </w:p>
    <w:p w:rsidR="00AA7566" w:rsidRPr="00BF4E9B" w:rsidRDefault="00AA7566" w:rsidP="00AA7566">
      <w:pPr>
        <w:pStyle w:val="yiv6099203543msonormal"/>
        <w:shd w:val="clear" w:color="auto" w:fill="FFFFFF"/>
        <w:jc w:val="both"/>
        <w:rPr>
          <w:color w:val="26282A"/>
        </w:rPr>
      </w:pPr>
      <w:r w:rsidRPr="003800D3">
        <w:rPr>
          <w:color w:val="26282A"/>
          <w:u w:val="single"/>
        </w:rPr>
        <w:t>Reemplazar un conjunto de disposiciones complejas por otro es una empresa vasta</w:t>
      </w:r>
      <w:r w:rsidRPr="00BF4E9B">
        <w:rPr>
          <w:color w:val="26282A"/>
        </w:rPr>
        <w:t>. Y las comparaciones si</w:t>
      </w:r>
      <w:r w:rsidR="004A6D82">
        <w:rPr>
          <w:color w:val="26282A"/>
        </w:rPr>
        <w:t>mplistas, como con un divorcio -</w:t>
      </w:r>
      <w:r w:rsidRPr="00BF4E9B">
        <w:rPr>
          <w:color w:val="26282A"/>
        </w:rPr>
        <w:t>después del cual las parejas tal vez nunca vuelvan a comunicarse- o con una renuncia a un club de golf (insistiendo al mismo tiempo en cambiar sus reglas), simplemente no son válidas.</w:t>
      </w:r>
    </w:p>
    <w:p w:rsidR="00AA7566" w:rsidRPr="003800D3" w:rsidRDefault="00AA7566" w:rsidP="00AA7566">
      <w:pPr>
        <w:pStyle w:val="yiv6099203543msonormal"/>
        <w:shd w:val="clear" w:color="auto" w:fill="FFFFFF"/>
        <w:jc w:val="both"/>
        <w:rPr>
          <w:color w:val="26282A"/>
          <w:u w:val="single"/>
        </w:rPr>
      </w:pPr>
      <w:r w:rsidRPr="003800D3">
        <w:rPr>
          <w:color w:val="26282A"/>
          <w:u w:val="single"/>
        </w:rPr>
        <w:t>Durante más de medio siglo, desde que el entonces primer ministro Harold Macmillan se preparó para la primera solicitud de membrecía del Reino Unido en 1961, Europa ha sido objeto de un debate interminable. Sin embargo, sólo hubo dos exámenes en profundidad de qué significa ser parte de Europa para Gran Bretaña: los informes que encargó Macmillan y los 2003 estudios del gobierno laborista -23 volúmenes- sobre si abandonar o no la libra y sumarse al euro.</w:t>
      </w:r>
    </w:p>
    <w:p w:rsidR="00AA7566" w:rsidRPr="003800D3" w:rsidRDefault="00AA7566" w:rsidP="00AA7566">
      <w:pPr>
        <w:pStyle w:val="yiv6099203543msonormal"/>
        <w:shd w:val="clear" w:color="auto" w:fill="FFFFFF"/>
        <w:jc w:val="both"/>
        <w:rPr>
          <w:color w:val="26282A"/>
          <w:u w:val="single"/>
        </w:rPr>
      </w:pPr>
      <w:r w:rsidRPr="003800D3">
        <w:rPr>
          <w:color w:val="26282A"/>
          <w:u w:val="single"/>
        </w:rPr>
        <w:t>Los estudios basados en hechos como estos son necesarios hoy más que nunca. De manera que el martes el Parlamento debería votar no sólo para extender el plazo límite del Brexit, sino también para considerar introducir una serie de Asambleas de Ciudadanos. Con audiencias públicas en cada región del Reino Unido, respaldadas por Comités Selectos del Parlamento, una muestra de electores representativa debería considerar los hechos, sobre todo las cuestiones que dominaron el debate del referendo: quién controla las fronteras y las leyes del Reino Unido.</w:t>
      </w:r>
    </w:p>
    <w:p w:rsidR="00AA7566" w:rsidRPr="003800D3" w:rsidRDefault="00AA7566" w:rsidP="00AA7566">
      <w:pPr>
        <w:pStyle w:val="yiv6099203543msonormal"/>
        <w:shd w:val="clear" w:color="auto" w:fill="FFFFFF"/>
        <w:jc w:val="both"/>
        <w:rPr>
          <w:color w:val="FF0000"/>
          <w:u w:val="single"/>
        </w:rPr>
      </w:pPr>
      <w:r w:rsidRPr="003800D3">
        <w:rPr>
          <w:color w:val="FF0000"/>
          <w:u w:val="single"/>
        </w:rPr>
        <w:t>Estas consultas deberían estar seguidas de una reconsideración en el Parlamento de nuestras opciones europeas. Luego, si se acuerda que la situación ha cambiado, el Parlamento tendrá la opción de una renegociación con la UE, seguida de un referendo para darle a todo el electorado la opinión final.</w:t>
      </w:r>
    </w:p>
    <w:p w:rsidR="00AA7566" w:rsidRPr="00BF4E9B" w:rsidRDefault="00AA7566" w:rsidP="00AA7566">
      <w:pPr>
        <w:pStyle w:val="yiv6099203543msonormal"/>
        <w:shd w:val="clear" w:color="auto" w:fill="FFFFFF"/>
        <w:jc w:val="both"/>
        <w:rPr>
          <w:color w:val="26282A"/>
        </w:rPr>
      </w:pPr>
      <w:r w:rsidRPr="00BF4E9B">
        <w:rPr>
          <w:color w:val="26282A"/>
        </w:rPr>
        <w:t xml:space="preserve">Estas audiencias públicas han sido realizadas con éxito desde California hasta Escandinavia y </w:t>
      </w:r>
      <w:r w:rsidR="004A6D82">
        <w:rPr>
          <w:color w:val="26282A"/>
        </w:rPr>
        <w:t>Australia y, más recientemente -</w:t>
      </w:r>
      <w:r w:rsidRPr="00BF4E9B">
        <w:rPr>
          <w:color w:val="26282A"/>
        </w:rPr>
        <w:t>y con grandes elogios- antes del referendo por el aborto en Irlanda. Allí, una cuestión de la que se podrían haber apropiado los extremistas en ambos lados se volvió el tema de un debate civilizado en el que personas de fe devota y feministas acérrimas expresaron con firmeza su forma de pensar, escucharon y llegaron a respetar las posiciones de los demás. Al final, quienes perdieron el voto no cuestiona</w:t>
      </w:r>
      <w:r>
        <w:rPr>
          <w:color w:val="26282A"/>
        </w:rPr>
        <w:t>ron el veredicto del referendo.</w:t>
      </w:r>
    </w:p>
    <w:p w:rsidR="00AA7566" w:rsidRPr="003800D3" w:rsidRDefault="00AA7566" w:rsidP="00AA7566">
      <w:pPr>
        <w:pStyle w:val="yiv6099203543msonormal"/>
        <w:shd w:val="clear" w:color="auto" w:fill="FFFFFF"/>
        <w:jc w:val="both"/>
        <w:rPr>
          <w:color w:val="FF0000"/>
          <w:u w:val="single"/>
        </w:rPr>
      </w:pPr>
      <w:r w:rsidRPr="003800D3">
        <w:rPr>
          <w:color w:val="26282A"/>
          <w:u w:val="single"/>
        </w:rPr>
        <w:t>Gran Bretaña puede aprender de es</w:t>
      </w:r>
      <w:r w:rsidR="004A6D82">
        <w:rPr>
          <w:color w:val="26282A"/>
          <w:u w:val="single"/>
        </w:rPr>
        <w:t>to y tengo la sensación de que -</w:t>
      </w:r>
      <w:r w:rsidRPr="003800D3">
        <w:rPr>
          <w:color w:val="26282A"/>
          <w:u w:val="single"/>
        </w:rPr>
        <w:t>liberados por el momento de las opciones binarias de sí o no del pasado- el pueblo británico podría unirse en torno de la propuesta de que la situación ha cambiado desde 2016 y encontrar un terreno común</w:t>
      </w:r>
      <w:r w:rsidRPr="00BF4E9B">
        <w:rPr>
          <w:color w:val="26282A"/>
        </w:rPr>
        <w:t xml:space="preserve">. </w:t>
      </w:r>
      <w:r w:rsidRPr="003800D3">
        <w:rPr>
          <w:color w:val="FF0000"/>
          <w:u w:val="single"/>
        </w:rPr>
        <w:t>Un avance de estas características es necesario por otra razón, más urgente: la alternativa, un Brexit sin acuerdo, conduciría a pérdidas de empleos, un comercio reducido, pánico y acaparamiento, y autopistas transformadas en estacionamientos de camiones mientras se agarrotan los puertos en el Canal de la Mancha.</w:t>
      </w:r>
    </w:p>
    <w:p w:rsidR="00AA7566" w:rsidRPr="003800D3" w:rsidRDefault="00AA7566" w:rsidP="00AA7566">
      <w:pPr>
        <w:pStyle w:val="yiv6099203543msonormal"/>
        <w:shd w:val="clear" w:color="auto" w:fill="FFFFFF"/>
        <w:jc w:val="both"/>
        <w:rPr>
          <w:color w:val="FF0000"/>
          <w:u w:val="single"/>
        </w:rPr>
      </w:pPr>
      <w:r w:rsidRPr="003800D3">
        <w:rPr>
          <w:color w:val="FF0000"/>
          <w:u w:val="single"/>
        </w:rPr>
        <w:t>La parálisis política en Estados Unidos y el Reino Unido ha venido causando un caos generalizado. Pero los errores de gobierno atroces de los dos países pueden tener consecuencias muy diferentes. Las presidencias van y vienen, y la resiliencia de la constitución cuidadosamente redactada de Estados Unidos se impondrá. Pero si el Reino Unido se queda afuera de la UE sin ningún acuerdo, su marginación, disminución y decadencia podrían sentirse por décadas.</w:t>
      </w:r>
    </w:p>
    <w:p w:rsidR="00AA7566" w:rsidRPr="009E39AF" w:rsidRDefault="00AA7566" w:rsidP="00AA7566">
      <w:pPr>
        <w:pStyle w:val="yiv6099203543msonormal"/>
        <w:shd w:val="clear" w:color="auto" w:fill="FFFFFF"/>
        <w:jc w:val="both"/>
        <w:rPr>
          <w:color w:val="26282A"/>
          <w:lang w:val="en-US"/>
        </w:rPr>
      </w:pPr>
      <w:r>
        <w:rPr>
          <w:color w:val="26282A"/>
          <w:lang w:val="en-US"/>
        </w:rPr>
        <w:t>(</w:t>
      </w:r>
      <w:r w:rsidRPr="00BF4E9B">
        <w:rPr>
          <w:color w:val="26282A"/>
          <w:lang w:val="en-US"/>
        </w:rPr>
        <w:t xml:space="preserve">Gordon Brown, former Prime Minister and Chancellor of the Exchequer of the United Kingdom, is United Nations Special Envoy for Global Education and Chair of the International Commission on Financing Global Education Opportunity. </w:t>
      </w:r>
      <w:r w:rsidRPr="009E39AF">
        <w:rPr>
          <w:color w:val="26282A"/>
          <w:lang w:val="en-US"/>
        </w:rPr>
        <w:t>He chairs the Advisory Board of the Catalyst Foundation)</w:t>
      </w:r>
    </w:p>
    <w:p w:rsidR="00AA7566" w:rsidRPr="006658FB" w:rsidRDefault="00AA7566" w:rsidP="00AA7566">
      <w:pPr>
        <w:spacing w:line="240" w:lineRule="auto"/>
        <w:jc w:val="both"/>
        <w:rPr>
          <w:rFonts w:ascii="Times New Roman" w:hAnsi="Times New Roman" w:cs="Times New Roman"/>
          <w:sz w:val="24"/>
          <w:szCs w:val="24"/>
          <w:lang w:val="en-US"/>
        </w:rPr>
      </w:pPr>
      <w:r w:rsidRPr="006658FB">
        <w:rPr>
          <w:rFonts w:ascii="Times New Roman" w:hAnsi="Times New Roman" w:cs="Times New Roman"/>
          <w:sz w:val="24"/>
          <w:szCs w:val="24"/>
          <w:lang w:val="en-US"/>
        </w:rPr>
        <w:t xml:space="preserve">- </w:t>
      </w:r>
      <w:r w:rsidRPr="006658FB">
        <w:rPr>
          <w:rFonts w:ascii="Times New Roman" w:hAnsi="Times New Roman" w:cs="Times New Roman"/>
          <w:sz w:val="24"/>
          <w:szCs w:val="24"/>
          <w:u w:val="single"/>
          <w:lang w:val="en-US"/>
        </w:rPr>
        <w:t>De un Brexit sin acuerdo a un acuerdo sin Brexit</w:t>
      </w:r>
      <w:r w:rsidRPr="006658FB">
        <w:rPr>
          <w:rFonts w:ascii="Times New Roman" w:hAnsi="Times New Roman" w:cs="Times New Roman"/>
          <w:sz w:val="24"/>
          <w:szCs w:val="24"/>
          <w:lang w:val="en-US"/>
        </w:rPr>
        <w:t xml:space="preserve"> (Project Syndicate - </w:t>
      </w:r>
      <w:r w:rsidRPr="006658FB">
        <w:rPr>
          <w:rFonts w:ascii="Times New Roman" w:hAnsi="Times New Roman" w:cs="Times New Roman"/>
          <w:b/>
          <w:sz w:val="24"/>
          <w:szCs w:val="24"/>
          <w:lang w:val="en-US"/>
        </w:rPr>
        <w:t>30/1/19</w:t>
      </w:r>
      <w:r w:rsidRPr="006658FB">
        <w:rPr>
          <w:rFonts w:ascii="Times New Roman" w:hAnsi="Times New Roman" w:cs="Times New Roman"/>
          <w:sz w:val="24"/>
          <w:szCs w:val="24"/>
          <w:lang w:val="en-US"/>
        </w:rPr>
        <w:t xml:space="preserve">) </w:t>
      </w:r>
    </w:p>
    <w:p w:rsidR="00AA7566" w:rsidRPr="00A73289" w:rsidRDefault="004A6D82" w:rsidP="00AA756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Múnich.-</w:t>
      </w:r>
      <w:r w:rsidR="00AA7566" w:rsidRPr="00A73289">
        <w:rPr>
          <w:rFonts w:ascii="Times New Roman" w:hAnsi="Times New Roman" w:cs="Times New Roman"/>
          <w:sz w:val="24"/>
          <w:szCs w:val="24"/>
          <w:u w:val="single"/>
        </w:rPr>
        <w:t>Con la reciente firma del Tratado de Aquisgrán, el presidente francés Emmanuel Macron y la canciller alemana, Ángela Merkel, renovaron el pacto de amistad franco-alemana y dieron un importante y necesario paso hacia adelante para Europa. Sin embargo, no se debió haber dejado fuera del mismo al Reino Unido.</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El Reino Unido es una parte integral de Europa; en su calidad de la segunda economía más grande de la Unión Europea, su PIB equivale al de los 19 Estados miembros más pequeños de la UE combinados. Su éxodo, por lo tanto, sacudiría a Europa hasta su núcleo y destruiría el orden europeo de posguerra.</w:t>
      </w:r>
    </w:p>
    <w:p w:rsidR="00AA7566" w:rsidRPr="00A73289" w:rsidRDefault="00AA7566" w:rsidP="00AA7566">
      <w:pPr>
        <w:spacing w:line="240" w:lineRule="auto"/>
        <w:jc w:val="both"/>
        <w:rPr>
          <w:rFonts w:ascii="Times New Roman" w:hAnsi="Times New Roman" w:cs="Times New Roman"/>
          <w:sz w:val="24"/>
          <w:szCs w:val="24"/>
        </w:rPr>
      </w:pPr>
      <w:r w:rsidRPr="00A73289">
        <w:rPr>
          <w:rFonts w:ascii="Times New Roman" w:hAnsi="Times New Roman" w:cs="Times New Roman"/>
          <w:sz w:val="24"/>
          <w:szCs w:val="24"/>
        </w:rPr>
        <w:t>Además, vale la pena recordar que en el año 1963, el Bundestag prologó el Tratado del Eliseo con un preámbulo que estipulaba que Alemania esperaba llevar a Gran Bretaña a la Comunidad Económica Europea; en 1973, eso es precisamente lo que sucedió. Una obertura similar para Gran Bretaña no sería menos apropiada hoy.</w:t>
      </w:r>
    </w:p>
    <w:p w:rsidR="00AA7566" w:rsidRPr="00A73289" w:rsidRDefault="00AA7566" w:rsidP="00AA7566">
      <w:pPr>
        <w:spacing w:line="240" w:lineRule="auto"/>
        <w:jc w:val="both"/>
        <w:rPr>
          <w:rFonts w:ascii="Times New Roman" w:hAnsi="Times New Roman" w:cs="Times New Roman"/>
          <w:sz w:val="24"/>
          <w:szCs w:val="24"/>
        </w:rPr>
      </w:pPr>
      <w:r w:rsidRPr="00A73289">
        <w:rPr>
          <w:rFonts w:ascii="Times New Roman" w:hAnsi="Times New Roman" w:cs="Times New Roman"/>
          <w:sz w:val="24"/>
          <w:szCs w:val="24"/>
        </w:rPr>
        <w:t>Resulta que los líderes de los tres partidos políticos más grandes de Alemania, así como también los líderes empresariales y miembros del público, publicaron recientemente una carta abierta invitando a los británicos a permanecer en la UE. Ante esto, no es inconcebible que el Bundestag pueda adoptar una resolución siguiendo la misma línea.</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Ahora que el tratado de salida negociado de la primera ministra británica Theresa May ha sido derrotado en la Cámara de los Comunes, todas las opciones están sobre la mesa. La tragedia Brexit que se avecina aún podría evitarse en el último minuto.</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No olvidemos: una retirada británica pondría en peligro la posición fundamental de apertura de la UE hacia el mundo, en particular con respecto al comercio, del cual todos los países, y mucho más Alemania, se han beneficiado. También introduciría un nuevo riesgo para la seguridad, ya que Europa perdería la protección incondicional de una de sus dos potencias nucleares justo cuando el presidente de Estados Unidos, Donald Trump, está socavando la cohesión de la OTAN.</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Por su parte, el Reino Unido perdería su integridad nacional o el marco para garantizar la paz en Irlanda del Norte. No hay manera de evitarlo: Brexit requiere que Irlanda del Norte adopte una nueva frontera, ya sea con la República de Irlanda o con Gran Bretaña. Una frontera entre Irlanda del Norte y la República probablemente impulsaría al ejército republicano irlandés a volver a la acción, amenazando con renovar el conflicto civil. Pero una frontera entre Irlanda del Norte y Gran Bretaña auguraría la ruptura del Reino Unido, especialmente si Escocia renovara su propio impulso en pos de lograr su independencia.</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El tratado de salida de May representa una segunda opción, porque incluye una “salvaguarda” en caso de que fracasen las negociaciones sobre la futura relación entre la UE y el Reino Unido. En espera de una resolución, Irlanda del Norte permanecerá estrechamente vinculada a la UE, y Gran Bretaña sólo mantendrá su membresía en la unión aduanera de la UE. Sin embargo, esto significaría que los bienes que viajan desde Irlanda del Norte a Gran Bretaña, es decir, dentro del territorio nacional del Reino Unido, estarían sujetos a nuevos controles. No es de extrañar que la mayoría de los parlamentarios británicos rechazaran un acuerdo que permitiera tal resultado.</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rPr>
        <w:t xml:space="preserve">Entre tanto, muchos políticos de la UE han estado tratando de averiguar qué es lo que se necesitaría para convencer al Parlamento inglés y así ratifique, de una vez, el tratado de salida de May. Eso, me parece irritante. </w:t>
      </w:r>
      <w:r w:rsidRPr="00A73289">
        <w:rPr>
          <w:rFonts w:ascii="Times New Roman" w:hAnsi="Times New Roman" w:cs="Times New Roman"/>
          <w:sz w:val="24"/>
          <w:szCs w:val="24"/>
          <w:u w:val="single"/>
        </w:rPr>
        <w:t>¿Por qué centrarse en expulsar a Gran Bretaña de la UE cuando se podría tratar de encontrar una manera para mantenerla dentro? Obviamente, este último sería un mejor escenario para la propia Europa.</w:t>
      </w:r>
    </w:p>
    <w:p w:rsidR="00AA7566" w:rsidRPr="00A73289" w:rsidRDefault="00AA7566" w:rsidP="00AA7566">
      <w:pPr>
        <w:spacing w:line="240" w:lineRule="auto"/>
        <w:jc w:val="both"/>
        <w:rPr>
          <w:rFonts w:ascii="Times New Roman" w:hAnsi="Times New Roman" w:cs="Times New Roman"/>
          <w:sz w:val="24"/>
          <w:szCs w:val="24"/>
        </w:rPr>
      </w:pPr>
      <w:r w:rsidRPr="00A73289">
        <w:rPr>
          <w:rFonts w:ascii="Times New Roman" w:hAnsi="Times New Roman" w:cs="Times New Roman"/>
          <w:sz w:val="24"/>
          <w:szCs w:val="24"/>
        </w:rPr>
        <w:t xml:space="preserve">Por ejemplo, la UE podría ofrecer un acuerdo retomando las negociaciones donde se quedaron antes de que el ex primer ministro británico David Cameron convocara el referéndum Brexit. </w:t>
      </w:r>
      <w:r w:rsidRPr="00A73289">
        <w:rPr>
          <w:rFonts w:ascii="Times New Roman" w:hAnsi="Times New Roman" w:cs="Times New Roman"/>
          <w:sz w:val="24"/>
          <w:szCs w:val="24"/>
          <w:u w:val="single"/>
        </w:rPr>
        <w:t>La principal demanda de Cameron en el período 2015-2016 fue reducir el atractivo para la migración dentro de la UE</w:t>
      </w:r>
      <w:r w:rsidRPr="00A73289">
        <w:rPr>
          <w:rFonts w:ascii="Times New Roman" w:hAnsi="Times New Roman" w:cs="Times New Roman"/>
          <w:sz w:val="24"/>
          <w:szCs w:val="24"/>
        </w:rPr>
        <w:t xml:space="preserve"> con el propósito de que dicha migración sea solamente atractiva para los Estados europeos mejor desarrollados en cuanto a beneficios de bienestar social. Cameron tenía un argumento sólido. Si las personas vienen a un país para ganar salarios más altos, el pastel disponible para distribución aumenta de tamaño; pero, si vienen por los beneficios sociales, el pastel se hace más pequeño.</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Ante esto, ¿por qué no tener un sistema en el cual los países receptores y los países de origen compartan los costos de los beneficios sociales para los migrantes? Los países receptores podrían asumir la responsabilidad de administrar beneficios como el seguro de desempleo, el pago por enfermedad y las pensiones. Y, los países de origen podrían continuar brindando beneficios no relacionados con la relación laboral, tales como subsidios para niños que se quedan en el hogar y servicios para migrantes que tienen una edad demasiado avanzada o están muy enfermos como para poder trabajar cuando llegan.</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Tal cambio crearía una situación para la UE en la que todos ganen, ya que reduciría el atractivo destructivo del magnetismo creado por los beneficios de bienestar, y daría a los británicos la posibilidad de reconsiderar su decisión de salida, y les permitiría quedarse en la UE con la cabeza en alto.</w:t>
      </w:r>
    </w:p>
    <w:p w:rsidR="00AA7566" w:rsidRPr="00A73289" w:rsidRDefault="00AA7566" w:rsidP="00AA7566">
      <w:pPr>
        <w:spacing w:line="240" w:lineRule="auto"/>
        <w:jc w:val="both"/>
        <w:rPr>
          <w:rFonts w:ascii="Times New Roman" w:hAnsi="Times New Roman" w:cs="Times New Roman"/>
          <w:sz w:val="24"/>
          <w:szCs w:val="24"/>
          <w:u w:val="single"/>
        </w:rPr>
      </w:pPr>
      <w:r w:rsidRPr="00A73289">
        <w:rPr>
          <w:rFonts w:ascii="Times New Roman" w:hAnsi="Times New Roman" w:cs="Times New Roman"/>
          <w:sz w:val="24"/>
          <w:szCs w:val="24"/>
          <w:u w:val="single"/>
        </w:rPr>
        <w:t>Qué es más importante: ¿insistir en el principio de que los países anfitriones paguen por la provisión de todos los beneficios sociales, o mantener la membresía del Reino Unido en la UE? Para cualquiera que esté realmente comprometido con el proyecto europeo, la respuesta debe ser obvia.</w:t>
      </w:r>
    </w:p>
    <w:p w:rsidR="00AA7566" w:rsidRPr="00A73289" w:rsidRDefault="00AA7566" w:rsidP="00AA7566">
      <w:pPr>
        <w:spacing w:line="240" w:lineRule="auto"/>
        <w:jc w:val="both"/>
        <w:rPr>
          <w:rFonts w:ascii="Times New Roman" w:hAnsi="Times New Roman" w:cs="Times New Roman"/>
          <w:sz w:val="24"/>
          <w:szCs w:val="24"/>
          <w:lang w:val="en-US"/>
        </w:rPr>
      </w:pPr>
      <w:r w:rsidRPr="00A73289">
        <w:rPr>
          <w:rFonts w:ascii="Times New Roman" w:hAnsi="Times New Roman" w:cs="Times New Roman"/>
          <w:sz w:val="24"/>
          <w:szCs w:val="24"/>
          <w:lang w:val="en-US"/>
        </w:rPr>
        <w:t>(Hans-Werner Sinn, Professor of Economics and Public Finance at the University of Munich, was President of the ifo Institute and serves on the German economy ministry’s Advisory Council. He is the author, most recently, of The Euro Trap: On Bursting Bubbles, Budgets, and Beliefs)</w:t>
      </w:r>
    </w:p>
    <w:p w:rsidR="00AA7566" w:rsidRPr="00B97CD8" w:rsidRDefault="00AA7566" w:rsidP="00AA7566">
      <w:pPr>
        <w:spacing w:line="240" w:lineRule="auto"/>
        <w:jc w:val="both"/>
        <w:rPr>
          <w:rFonts w:ascii="Times New Roman" w:hAnsi="Times New Roman" w:cs="Times New Roman"/>
          <w:color w:val="FF0000"/>
          <w:sz w:val="24"/>
          <w:szCs w:val="24"/>
        </w:rPr>
      </w:pPr>
      <w:r w:rsidRPr="00C31F18">
        <w:rPr>
          <w:rFonts w:ascii="Times New Roman" w:hAnsi="Times New Roman" w:cs="Times New Roman"/>
          <w:sz w:val="24"/>
          <w:szCs w:val="24"/>
        </w:rPr>
        <w:t xml:space="preserve">- </w:t>
      </w:r>
      <w:r w:rsidRPr="00C31F18">
        <w:rPr>
          <w:rFonts w:ascii="Times New Roman" w:hAnsi="Times New Roman" w:cs="Times New Roman"/>
          <w:sz w:val="24"/>
          <w:szCs w:val="24"/>
          <w:u w:val="single"/>
        </w:rPr>
        <w:t>El Brexit es el infierno</w:t>
      </w:r>
      <w:r w:rsidRPr="00C31F18">
        <w:rPr>
          <w:rFonts w:ascii="Times New Roman" w:hAnsi="Times New Roman" w:cs="Times New Roman"/>
          <w:sz w:val="24"/>
          <w:szCs w:val="24"/>
        </w:rPr>
        <w:t xml:space="preserve"> (Project Syndicate - </w:t>
      </w:r>
      <w:r w:rsidRPr="00C31F18">
        <w:rPr>
          <w:rFonts w:ascii="Times New Roman" w:hAnsi="Times New Roman" w:cs="Times New Roman"/>
          <w:b/>
          <w:sz w:val="24"/>
          <w:szCs w:val="24"/>
        </w:rPr>
        <w:t>4/3/19</w:t>
      </w:r>
      <w:r w:rsidRPr="00C31F18">
        <w:rPr>
          <w:rFonts w:ascii="Times New Roman" w:hAnsi="Times New Roman" w:cs="Times New Roman"/>
          <w:sz w:val="24"/>
          <w:szCs w:val="24"/>
        </w:rPr>
        <w:t>)</w:t>
      </w:r>
    </w:p>
    <w:p w:rsidR="00AA7566" w:rsidRPr="009D5245" w:rsidRDefault="004A6D82" w:rsidP="00AA7566">
      <w:pPr>
        <w:spacing w:line="240" w:lineRule="auto"/>
        <w:jc w:val="both"/>
        <w:rPr>
          <w:rFonts w:ascii="Times New Roman" w:hAnsi="Times New Roman" w:cs="Times New Roman"/>
          <w:sz w:val="24"/>
          <w:szCs w:val="24"/>
        </w:rPr>
      </w:pPr>
      <w:r>
        <w:rPr>
          <w:rFonts w:ascii="Times New Roman" w:hAnsi="Times New Roman" w:cs="Times New Roman"/>
          <w:sz w:val="24"/>
          <w:szCs w:val="24"/>
        </w:rPr>
        <w:t>Princeton.-</w:t>
      </w:r>
      <w:r w:rsidR="00AA7566" w:rsidRPr="009D5245">
        <w:rPr>
          <w:rFonts w:ascii="Times New Roman" w:hAnsi="Times New Roman" w:cs="Times New Roman"/>
          <w:sz w:val="24"/>
          <w:szCs w:val="24"/>
        </w:rPr>
        <w:t xml:space="preserve"> El presidente del Consejo Europeo, Donald Tusk, recientemente generó una polémica al decir que hay “un lugar especial en el infierno” para quienes defendieron el Brexit “sin un plan”. Para los defensores furiosos del Brexit, la declaración epitomiza la actitud insensible y moralista de la tecnocracia de la Unión Europea en Bruselas. La primera ministra británica, Theresa May, emitió oportunamente un comunicado reprendiendo a Tusk por su comentario.</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Pero la respuesta de May poco importa. Ella ya ha extendido su plazo límite para llevar a cabo un “voto significativo” sobre un acuerdo de salida de la UE, confirmando efectivamente que seguirá sin tener un plan hasta último momento. A este ritmo, las demoras y extensiones de los plazos límite del Brexit bien pod</w:t>
      </w:r>
      <w:r>
        <w:rPr>
          <w:rFonts w:ascii="Times New Roman" w:hAnsi="Times New Roman" w:cs="Times New Roman"/>
          <w:sz w:val="24"/>
          <w:szCs w:val="24"/>
        </w:rPr>
        <w:t>rían continuar indefinidamente.</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La gran ofensa de Tusk fue ofrecer una verdad trivial y universal. No importa si uno está en Londres, Washington o cualquier otra parte, nunca es aconsejable entrar en una negociación sin objetivos claros y una sensación de cómo responderá la otra parte. Por lo tanto, a lo largo de la historia, estadistas como Otto von Bismarck han considerado a la diplomacia como un juego de ajedrez. Como bien sabía Bismarck, no basta solamente con mover las piezas; también hay que anticipar lo que vendrá a continuación.</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 xml:space="preserve">En cuanto al lenguaje teológico en la acusación de Tusk, uno podría alegar que es perfectamente apropiado que los políticos en una Europa ampliamente secularizada hablen del infierno. Después de todo, inclusive muchos clérigos cristianos han pasado más allá de creer en una vida eterna de condena perpetua. Y la Iglesia Anglicana abandonó la idea del purgatorio en </w:t>
      </w:r>
      <w:r>
        <w:rPr>
          <w:rFonts w:ascii="Times New Roman" w:hAnsi="Times New Roman" w:cs="Times New Roman"/>
          <w:sz w:val="24"/>
          <w:szCs w:val="24"/>
        </w:rPr>
        <w:t xml:space="preserve">el siglo XVI, con la Reforma.  </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En la clásica obra de Christopher Marlowe Doctor Fausto (1592), el personaje del título le pregunta a Mefistófeles qué hace un demonio en su cuarto y no en el infierno. “Cómo, si aquí lo es”, responde Mefistófeles, “no estoy fuera de él”. Igual de abarcadora era la propia concepción del ateísta Jean-Paul Sartr</w:t>
      </w:r>
      <w:r>
        <w:rPr>
          <w:rFonts w:ascii="Times New Roman" w:hAnsi="Times New Roman" w:cs="Times New Roman"/>
          <w:sz w:val="24"/>
          <w:szCs w:val="24"/>
        </w:rPr>
        <w:t>e: “El infierno son los otros”.</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Lo que implica el infierno en un contexto político moderno está abierto a debate, al menos hasta que tengamos un Dante del siglo XXI que ofrezca una escatología integral y un nuevo mapa al Inferno. En vista de la defensa de la fallida candidatura presidencial de Hillary Clinton en 2016 por parte de la ex secretaria de Estado norteamericana Madeleine Albright, por ejemplo, el infierno es el destino final para “las mujeres que no se ayudan mutuamente”. Presuntamente, Albright no quiso decir que el 42% de las votantes mujeres que apoyaron a Trump tienen un futuro feroz por delante.</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 xml:space="preserve">Mientras tanto, algunos periodistas italianos han dicho, erróneamente, que hasta el Papa Francisco ha prescindido de la noción de infierno. En realidad, él ha puesto al infierno en el centro de su visión de la humanidad. Francisco nos recuerda que el infierno originariamente surgió de la arrogancia de un ángel rebelde, o superbia. La arrogancia, un vicio profundamente arraigado en la psiquis humana, es el acto de decirle a Dios “Ocúpate de ti mismo porque yo me ocuparé de mí mismo”, explicó Francisco en 2015. En consecuencia, “No te mandan al infierno, tú vas allí porque eliges estar </w:t>
      </w:r>
      <w:r>
        <w:rPr>
          <w:rFonts w:ascii="Times New Roman" w:hAnsi="Times New Roman" w:cs="Times New Roman"/>
          <w:sz w:val="24"/>
          <w:szCs w:val="24"/>
        </w:rPr>
        <w:t>allí”.</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El Brexit representa precisamente este curso. Si el infierno es pensar que no se necesita a los demás, y que uno sólo necesita cuidarse a sí mismo, entonces los defensores del Brexit ya están allí. Quienes creen únicamente en sí mismos no ven ninguna necesidad de negociar, porque suponen que la otra parte s</w:t>
      </w:r>
      <w:r>
        <w:rPr>
          <w:rFonts w:ascii="Times New Roman" w:hAnsi="Times New Roman" w:cs="Times New Roman"/>
          <w:sz w:val="24"/>
          <w:szCs w:val="24"/>
        </w:rPr>
        <w:t>implemente acatará su voluntad.</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Pero en las relaciones internacionales, la suposición de que uno puede regular todo por sí mismo crea un infierno en el que también tienen que vivir los otros. El infierno, en este sentido, es lo que sucede cuando la gente sucumbe al atractivo de la autodeterminación y la “soberanía”, creando un ciclo que se autoperpetúa de relaciones tirantes y unilateralismo mutuamente destructivo. Esta versión del invierno tiende a durar mucho tiempo, por cierto, porque cada parte tiene su propia memoria selec</w:t>
      </w:r>
      <w:r>
        <w:rPr>
          <w:rFonts w:ascii="Times New Roman" w:hAnsi="Times New Roman" w:cs="Times New Roman"/>
          <w:sz w:val="24"/>
          <w:szCs w:val="24"/>
        </w:rPr>
        <w:t>tiva y quiere castigar al otro.</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Si bien la aseveración de soberanía parece conjurar posibilidades nuevas e infinitas, como claramente les pasó a los defensores del Brexit, en verdad limita las elecciones propias. Quienes renuncian a los tratados, por ejemplo, invitan a otros a hacer lo mismo, tras lo cual se vuelve muy difícil forjar algún tipo de acuerdo. Y quienes se han convencido a sí mismos de que pueden elegir libremente entre infinitas oportunidades no cumplidas tienden a vivir en un lamento constante sobre lo que podría haber sido. Esa es la tramp</w:t>
      </w:r>
      <w:r>
        <w:rPr>
          <w:rFonts w:ascii="Times New Roman" w:hAnsi="Times New Roman" w:cs="Times New Roman"/>
          <w:sz w:val="24"/>
          <w:szCs w:val="24"/>
        </w:rPr>
        <w:t>a que nos tiende la arrogancia.</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 xml:space="preserve">Por lo tanto, como Tántalo que cada vez que intenta tomar una fruta ésta se retira de su alcance, el Reino Unido quiere implementar acuerdos comerciales que su pertenencia a la UE le impide. Lo que no se menciona es lo que eso significaría en la práctica. El Reino Unido podría apuntar a maximizar la prosperidad llevando la desregulación lo más lejos posible. Sin embargo, para comercial rentablemente con otros países o con la UE, tendría que seguir cumpliendo con sus estándares regulatorios en torno de la seguridad y la calidad, entre otras cosas. Es más, fuera del marco regulatorio de la UE, la nueva libertad de Gran Bretaña también implicaría nuevas responsabilidades en cuanto a introducir regulaciones que protejan a los </w:t>
      </w:r>
      <w:r>
        <w:rPr>
          <w:rFonts w:ascii="Times New Roman" w:hAnsi="Times New Roman" w:cs="Times New Roman"/>
          <w:sz w:val="24"/>
          <w:szCs w:val="24"/>
        </w:rPr>
        <w:t xml:space="preserve">residentes del Reino Unido.    </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El verdadero interrogante, entonces, es si el escape es incluso posible. Si May quisiera ser franca, podría emitir el siguiente comunicado: “El Brexit es un terrible error. La decisión se tomó después de una campaña de mentiras y de una influencia externa maligna, y resulta evidente que sus costos exceden en mucho sus beneficios. En estas circunstancias, mi gobierno ha decidido ya no seguir adelante con el Brexit. Por el contrario, nos comprometeremos a trabajar con la UE para encarar los temores británicos y prepararno</w:t>
      </w:r>
      <w:r>
        <w:rPr>
          <w:rFonts w:ascii="Times New Roman" w:hAnsi="Times New Roman" w:cs="Times New Roman"/>
          <w:sz w:val="24"/>
          <w:szCs w:val="24"/>
        </w:rPr>
        <w:t>s para un futuro impredecible”.</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Un comunicado de esas características, por supuesto, es imposible, porque May ya le ha pagado al barquero con sus elecciones previas. Lo que le aguarda a ella y al Reino Unido es más castigo. Primero, quedará expuesta la realidad sombría en el terreno, y resaltará en un marcado contraste con lo que podría haber sido. Luego, alguien tendrá que hacerse responsable. Pero atribuir la culpa es un castigo en sí mismo. En el relato de Dante, la adúltera Francesca da Rimini pasa el resto de la eternidad culpando por sus acciones a</w:t>
      </w:r>
      <w:r>
        <w:rPr>
          <w:rFonts w:ascii="Times New Roman" w:hAnsi="Times New Roman" w:cs="Times New Roman"/>
          <w:sz w:val="24"/>
          <w:szCs w:val="24"/>
        </w:rPr>
        <w:t xml:space="preserve"> todos y a todo excepto a ella.</w:t>
      </w:r>
    </w:p>
    <w:p w:rsidR="00AA7566" w:rsidRPr="009D5245" w:rsidRDefault="00AA7566" w:rsidP="00AA7566">
      <w:pPr>
        <w:spacing w:line="240" w:lineRule="auto"/>
        <w:jc w:val="both"/>
        <w:rPr>
          <w:rFonts w:ascii="Times New Roman" w:hAnsi="Times New Roman" w:cs="Times New Roman"/>
          <w:sz w:val="24"/>
          <w:szCs w:val="24"/>
        </w:rPr>
      </w:pPr>
      <w:r w:rsidRPr="009D5245">
        <w:rPr>
          <w:rFonts w:ascii="Times New Roman" w:hAnsi="Times New Roman" w:cs="Times New Roman"/>
          <w:sz w:val="24"/>
          <w:szCs w:val="24"/>
        </w:rPr>
        <w:t>El Brexit augura un destino nacional similar. Los debates en Westminster y Whitehall no dan señales de que alguna vez vayan a terminar, y se está volviendo cada vez más obvio por qué: el Brexit es una condena eterna.</w:t>
      </w:r>
    </w:p>
    <w:p w:rsidR="00AA7566" w:rsidRDefault="00AA7566" w:rsidP="00AA756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9D5245">
        <w:rPr>
          <w:rFonts w:ascii="Times New Roman" w:hAnsi="Times New Roman" w:cs="Times New Roman"/>
          <w:sz w:val="24"/>
          <w:szCs w:val="24"/>
          <w:lang w:val="en-US"/>
        </w:rPr>
        <w:t>Harold James is Professor of History and International Affairs at Princeton University and a senior fellow at the Center for International Governance Innovation. A specialist on German economic history and on globalization, he is a co-author of the new book The Euro and The Battle of Ideas, and the author of The Creation and Destruction of Value: The Globalization Cycle, Krupp: A History of the Legendary German Firm, and Mak</w:t>
      </w:r>
      <w:r>
        <w:rPr>
          <w:rFonts w:ascii="Times New Roman" w:hAnsi="Times New Roman" w:cs="Times New Roman"/>
          <w:sz w:val="24"/>
          <w:szCs w:val="24"/>
          <w:lang w:val="en-US"/>
        </w:rPr>
        <w:t>ing the European Monetary Union)</w:t>
      </w:r>
    </w:p>
    <w:p w:rsidR="00AA7566" w:rsidRPr="0052643E" w:rsidRDefault="00AA7566" w:rsidP="00AA7566">
      <w:pPr>
        <w:pStyle w:val="NormalWeb"/>
        <w:spacing w:after="0"/>
        <w:jc w:val="both"/>
      </w:pPr>
      <w:r>
        <w:t xml:space="preserve">- </w:t>
      </w:r>
      <w:r w:rsidRPr="0052643E">
        <w:t>¿</w:t>
      </w:r>
      <w:r w:rsidRPr="0052643E">
        <w:rPr>
          <w:u w:val="single"/>
        </w:rPr>
        <w:t>Un Brexit sin acuerdo se ha vuelto más factible</w:t>
      </w:r>
      <w:r w:rsidRPr="0052643E">
        <w:t xml:space="preserve">?(Project Syndicate - </w:t>
      </w:r>
      <w:r w:rsidRPr="0052643E">
        <w:rPr>
          <w:b/>
        </w:rPr>
        <w:t>31/5/19</w:t>
      </w:r>
      <w:r w:rsidRPr="0052643E">
        <w:t>)</w:t>
      </w:r>
    </w:p>
    <w:p w:rsidR="00AA7566" w:rsidRPr="0052643E" w:rsidRDefault="004A6D82" w:rsidP="00AA7566">
      <w:pPr>
        <w:pStyle w:val="NormalWeb"/>
        <w:spacing w:after="0"/>
        <w:jc w:val="both"/>
      </w:pPr>
      <w:r>
        <w:t>Londres.-</w:t>
      </w:r>
      <w:r w:rsidR="00AA7566" w:rsidRPr="009D2CCA">
        <w:rPr>
          <w:u w:val="single"/>
        </w:rPr>
        <w:t>Después del anuncio de renuncia de la primera ministra británica, Theresa May, algunos de los candidatos para sucederla han manifestado su deseo de un “Brexit sin acuerdo”. En respuesta a ello, los líderes europeos están redoblando los preparativos para una ruptura total con el Reino Unido, los analistas financieros están revisando sus pronósticos en consecuencia y la libra esterlina colapsa.</w:t>
      </w:r>
    </w:p>
    <w:p w:rsidR="00AA7566" w:rsidRPr="0052643E" w:rsidRDefault="00AA7566" w:rsidP="00AA7566">
      <w:pPr>
        <w:pStyle w:val="NormalWeb"/>
        <w:spacing w:after="0"/>
        <w:jc w:val="both"/>
      </w:pPr>
      <w:r w:rsidRPr="009D2CCA">
        <w:rPr>
          <w:color w:val="FF0000"/>
          <w:u w:val="single"/>
        </w:rPr>
        <w:t>Los temores sobre un Brexit sin acuerdo son entendibles. Un desenlace de esa naturaleza eliminaría el período de transición de 18 meses que ambas partes consideraban esencial para un reacomodamiento ordenado de la relación de Gran Bretaña con la Unión Europea</w:t>
      </w:r>
      <w:r w:rsidRPr="0052643E">
        <w:t xml:space="preserve">. Esto implicaría una interrupción repentina del comercio de Gran Bretaña con su principal socio comercial y del de la UE con su segundo socio más importante (después de Estados Unidos). Como supo el mundo luego del colapso de Lehman Brothers en 2008, una interrupción repentina del comercio y de las finanzas, aun si dura sólo unas semanas, puede causar años de sufrimiento. </w:t>
      </w:r>
    </w:p>
    <w:p w:rsidR="00AA7566" w:rsidRPr="0052643E" w:rsidRDefault="00AA7566" w:rsidP="00AA7566">
      <w:pPr>
        <w:pStyle w:val="NormalWeb"/>
        <w:spacing w:after="0"/>
        <w:jc w:val="both"/>
      </w:pPr>
      <w:r w:rsidRPr="0052643E">
        <w:t xml:space="preserve">Para enfatizar los peligros, el director de la administración pública de Gran Bretaña presentó un dossier de 14 páginas al gabinete (que inmediatamente se filtró) donde describía no sólo el potencial daño económico y financiero, sino también los riesgos para la seguridad nacional y la atención médica. Aún más importante, el secretario de gabinete insistió en incluir este dossier en las minutas de gabinete, para demostrar que los ministros, y no sus asesores civiles o militares, cargarían con toda la responsabilidad por asumir esos riesgos. </w:t>
      </w:r>
    </w:p>
    <w:p w:rsidR="00AA7566" w:rsidRPr="009D2CCA" w:rsidRDefault="00AA7566" w:rsidP="00AA7566">
      <w:pPr>
        <w:pStyle w:val="NormalWeb"/>
        <w:spacing w:after="0"/>
        <w:jc w:val="both"/>
        <w:rPr>
          <w:color w:val="FF0000"/>
          <w:u w:val="single"/>
        </w:rPr>
      </w:pPr>
      <w:r w:rsidRPr="009D2CCA">
        <w:rPr>
          <w:color w:val="FF0000"/>
          <w:u w:val="single"/>
        </w:rPr>
        <w:t xml:space="preserve">Si bien el daño sería más perjudicial en Gran Bretaña, un escenario de no acuerdo también podría resultar devastador para la UE. Debido a sus políticas macroeconómicas disfuncionales, Europa terminó siendo la mayor víctima de la crisis financiera de 2008 fabricada en Estados Unidos. Ahora que Alemania, Francia e Italia vuelven a balancearse al borde de la recesión, el mismo patrón podría repetirse en el caso de una ruptura repentina y desordenada en las cadenas de suministro y el comercio a través del Canal de la Mancha. </w:t>
      </w:r>
    </w:p>
    <w:p w:rsidR="00AA7566" w:rsidRPr="009D2CCA" w:rsidRDefault="00AA7566" w:rsidP="00AA7566">
      <w:pPr>
        <w:pStyle w:val="NormalWeb"/>
        <w:spacing w:after="0"/>
        <w:jc w:val="both"/>
        <w:rPr>
          <w:u w:val="single"/>
        </w:rPr>
      </w:pPr>
      <w:r w:rsidRPr="009D2CCA">
        <w:rPr>
          <w:u w:val="single"/>
        </w:rPr>
        <w:t xml:space="preserve">Afortunadamente para Europa y para Gran Bretaña, el escenario más factible es que el próximo líder conservador, después de complacer a los 120.000 miembros del Partido Conservador para ser electo, volverá a poner el foco en los 60 millones de ciudadanos británicos a quienes él o ella tendrá que satisfacer para sobrevivir en el cargo. Más allá de cualquier promesa hecha a los conservadores eurofóbicos, el próximo primer ministro pedirá reabrir las negociaciones por el Brexit y buscará una nueva extensión. Al final, el sucesor de May probablemente regrese con alguna variante de su acuerdo, que será aprobada por el Parlamento o servirá de pretexto para un segundo referendo a fin de decidir si Gran Bretaña todavía quiere abandonar la UE. </w:t>
      </w:r>
    </w:p>
    <w:p w:rsidR="00AA7566" w:rsidRPr="0052643E" w:rsidRDefault="00AA7566" w:rsidP="00AA7566">
      <w:pPr>
        <w:pStyle w:val="NormalWeb"/>
        <w:spacing w:after="0"/>
        <w:jc w:val="both"/>
      </w:pPr>
      <w:r w:rsidRPr="0052643E">
        <w:t xml:space="preserve">Para ver por qué un Brexit sin acuerdo sigue siendo altamente improbable, consideremos de qué manera podría suceder exactamente. Existen tres posibilidades. Gran Bretaña podría abandonar la UE el 31 de octubre sin ningún acuerdo, porque el Parlamento no vota ni por el acuerdo de retiro de May ni por una extensión del plazo límite. O Gran Bretaña pide una extensión, pero la UE se niega a otorgarla. Finalmente, el Parlamento podría pedir una extensión, pero el sucesor de May se niega a presentar este pedido ante la UE.  </w:t>
      </w:r>
    </w:p>
    <w:p w:rsidR="00AA7566" w:rsidRPr="0052643E" w:rsidRDefault="00AA7566" w:rsidP="00AA7566">
      <w:pPr>
        <w:pStyle w:val="NormalWeb"/>
        <w:spacing w:after="0"/>
        <w:jc w:val="both"/>
      </w:pPr>
      <w:r w:rsidRPr="0052643E">
        <w:t xml:space="preserve">La primera posibilidad –el Reino Unido simplemente se retira de Europa- fue la principal preocupación antes del plazo límite original para el Brexit del 29 de marzo. Resultó ser una falsa alarma, porque una clara mayoría de los miembros del Parlamento demostraron que estaban dispuestos a declarar ilegal un Brexit sin acuerdo, y May cedió ante su voluntad. Como la composición del Parlamento no se modificará el 31 de octubre (más allá de la deserción de cuatro parlamentarios conservadores a partidos de la oposición), es inconcebible que deliberadamente permita que se produzca un Brexit sin acuerdo. John Bercow, el speaker del Parlamento, ha confirmado que las convenciones parlamentarias que normalmente les dan a los primeros ministros facultad exclusiva para introducir nueva legislación serían suspendidas nuevamente, como en marzo y abril, si eso resultara necesario para que una mayoría parlamentaria decretara ilegal abandonar la UE sin un acuerdo. </w:t>
      </w:r>
    </w:p>
    <w:p w:rsidR="00AA7566" w:rsidRPr="0052643E" w:rsidRDefault="00AA7566" w:rsidP="00AA7566">
      <w:pPr>
        <w:pStyle w:val="NormalWeb"/>
        <w:spacing w:after="0"/>
        <w:jc w:val="both"/>
      </w:pPr>
      <w:r w:rsidRPr="0052643E">
        <w:t xml:space="preserve">El segundo escenario, en el que la UE niega una extensión, es igualmente improbable. Aunque el presidente francés, Emmanuel Macron, pueda denunciar una nueva extensión, sus socios europeos tendrán aún menos motivos de los que tenían en abril para complacerlo y correr el riesgo de la devastación económica que generaría un divorcio sin acuerdo. Ahora que ya pasaron las elecciones del Parlamento Europeo, que ha sido designada la nueva Comisión Europea, que las economías alemana e italiana están atravesando dificultades y que las contribuciones al presupuesto del Reino Unido son más importantes que nunca, el análisis de los costos y beneficios de otra extensión sería más favorable de lo que fue la última vez. </w:t>
      </w:r>
    </w:p>
    <w:p w:rsidR="00AA7566" w:rsidRPr="00BB1636" w:rsidRDefault="00AA7566" w:rsidP="00AA7566">
      <w:pPr>
        <w:pStyle w:val="NormalWeb"/>
        <w:spacing w:after="0"/>
        <w:jc w:val="both"/>
        <w:rPr>
          <w:u w:val="single"/>
        </w:rPr>
      </w:pPr>
      <w:r w:rsidRPr="00BB1636">
        <w:rPr>
          <w:u w:val="single"/>
        </w:rPr>
        <w:t>Esto no</w:t>
      </w:r>
      <w:r w:rsidR="004A6D82">
        <w:rPr>
          <w:u w:val="single"/>
        </w:rPr>
        <w:t>s deja frente al tercer riesgo -</w:t>
      </w:r>
      <w:r w:rsidRPr="00BB1636">
        <w:rPr>
          <w:u w:val="single"/>
        </w:rPr>
        <w:t>y el que resulta verdaderamente preocupante-. Una vez que May se haya ido y Boris Johnson u otro ferviente eurófobo casi con certeza la suceda, ¿acaso el primer ministro podría encontrar una manera de eludir al Parlamento e imponer unilateralmente un Brexit sin acuerdo?</w:t>
      </w:r>
    </w:p>
    <w:p w:rsidR="00AA7566" w:rsidRPr="00BB1636" w:rsidRDefault="00AA7566" w:rsidP="00AA7566">
      <w:pPr>
        <w:pStyle w:val="NormalWeb"/>
        <w:spacing w:after="0"/>
        <w:jc w:val="both"/>
        <w:rPr>
          <w:u w:val="single"/>
        </w:rPr>
      </w:pPr>
      <w:r w:rsidRPr="00BB1636">
        <w:rPr>
          <w:u w:val="single"/>
        </w:rPr>
        <w:t>Un defensor verdaderamente decidido del Brexit podría tener dos maneras de lograrlo. Él o ella podría accionar una elección general y ganar una mayoría parlamentaria directa, o de lo contrario intentar bloquear los esfuerzos parlamentarios por imponer una extensión del plazo límite del Brexit.</w:t>
      </w:r>
    </w:p>
    <w:p w:rsidR="00AA7566" w:rsidRPr="0052643E" w:rsidRDefault="00AA7566" w:rsidP="00AA7566">
      <w:pPr>
        <w:pStyle w:val="NormalWeb"/>
        <w:spacing w:after="0"/>
        <w:jc w:val="both"/>
      </w:pPr>
      <w:r w:rsidRPr="0052643E">
        <w:t xml:space="preserve">Sin embargo, al analizar más de cerca, estas opciones también son sumamente improbables. La idea de </w:t>
      </w:r>
      <w:r w:rsidR="004A6D82">
        <w:t>que un nuevo líder conservador -</w:t>
      </w:r>
      <w:r w:rsidRPr="0052643E">
        <w:t>especialmente si se trata de uno tan ambicioso como Johnson- pusiera en peligro su objetivo de toda la vida y corriera el riesgo de convertirse en el primer ministro que menos tiempo estuvo en el cargo en la historia al convocar a una elección antes del 31 de octubre es impensable. La próxima elección británica quizá se lleve a cabo mucho antes de la fecha límite constitucional del verano de 2022, pero cualquier nuevo primer ministro querrá mostrar algún logro (especialmente en torno al Brexit) y restablecer los pésimos índices de aprobación de los conservadores antes de asumir ese riesgo.</w:t>
      </w:r>
    </w:p>
    <w:p w:rsidR="00AA7566" w:rsidRPr="0052643E" w:rsidRDefault="00AA7566" w:rsidP="00AA7566">
      <w:pPr>
        <w:pStyle w:val="NormalWeb"/>
        <w:spacing w:after="0"/>
        <w:jc w:val="both"/>
      </w:pPr>
      <w:r w:rsidRPr="0052643E">
        <w:t xml:space="preserve">Un principio precautorio similar bloqueará la última ruta posible hacia un resultado sin acuerdo: un nuevo primer ministro que de alguna manera decida eludir o impugnar al Parlamento. Aun sin un cambio en los procedimientos parlamentarios, existe un mecanismo claro para impedir que un primer ministro desafíe a una mayoría de los miembros del Parlamento: la oposición puede llamar a un voto de no confianza en cualquier momento. Después de las deserciones conservadoras recientes, sólo se necesitarían cinco o seis rebeldes adicionales para derrocar al gobierno y forzar una elección general que el nuevo primer ministro estaría desesperado por evitar.  </w:t>
      </w:r>
    </w:p>
    <w:p w:rsidR="00AA7566" w:rsidRPr="00BB1636" w:rsidRDefault="00AA7566" w:rsidP="00AA7566">
      <w:pPr>
        <w:pStyle w:val="NormalWeb"/>
        <w:spacing w:after="0"/>
        <w:jc w:val="both"/>
        <w:rPr>
          <w:color w:val="FF0000"/>
          <w:u w:val="single"/>
          <w:lang w:val="en-US"/>
        </w:rPr>
      </w:pPr>
      <w:r w:rsidRPr="0052643E">
        <w:t xml:space="preserve">Sin embargo, los fanáticos del Brexit sostienen que un primer ministro genuinamente decidido a implementar un Brexit sin acuerdo podría y debería ser tajante: suspender el Parlamento y negarse a convocar a los miembros del Parlamento hasta después del plazo límite del 31 de octubre, cuando el Brexit se producirá automáticamente según la ley actual. </w:t>
      </w:r>
      <w:r w:rsidRPr="00BB1636">
        <w:rPr>
          <w:color w:val="FF0000"/>
          <w:u w:val="single"/>
        </w:rPr>
        <w:t xml:space="preserve">Si creen que el Reino Unido se está convirtiendo en Zimbabue o Venezuela, deberían esperar un Brexit sin acuerdo. </w:t>
      </w:r>
      <w:r w:rsidRPr="00BB1636">
        <w:rPr>
          <w:color w:val="FF0000"/>
          <w:u w:val="single"/>
          <w:lang w:val="en-US"/>
        </w:rPr>
        <w:t xml:space="preserve">De lo contrario, olvídense, porque eso no sucederá. </w:t>
      </w:r>
    </w:p>
    <w:p w:rsidR="00AA7566" w:rsidRDefault="00AA7566" w:rsidP="00AA7566">
      <w:pPr>
        <w:pStyle w:val="NormalWeb"/>
        <w:spacing w:after="0"/>
        <w:jc w:val="both"/>
        <w:rPr>
          <w:lang w:val="en-US"/>
        </w:rPr>
      </w:pPr>
      <w:r>
        <w:rPr>
          <w:lang w:val="en-US"/>
        </w:rPr>
        <w:t>(</w:t>
      </w:r>
      <w:r w:rsidRPr="0052643E">
        <w:rPr>
          <w:lang w:val="en-US"/>
        </w:rPr>
        <w:t xml:space="preserve">Anatole Kaletsky is Chief Economist and Co-Chairman of Gavekal Dragonomics. A former columnist at the Times of London, the International New York Times and the Financial Times, he is the author of Capitalism 4.0: The Birth of a New Economy in the Aftermath of Crisis, which anticipated many of the post-crisis transformations of the global economy. His 1985 book, Costs of Default, became an influential primer for Latin American and Asian governments negotiating debt defaults and restructurings with banks and </w:t>
      </w:r>
      <w:r>
        <w:rPr>
          <w:lang w:val="en-US"/>
        </w:rPr>
        <w:t>the IMF)</w:t>
      </w:r>
    </w:p>
    <w:p w:rsidR="00AA7566" w:rsidRPr="00B044BF" w:rsidRDefault="00AA7566" w:rsidP="00AA7566">
      <w:pPr>
        <w:pStyle w:val="NormalWeb"/>
        <w:shd w:val="clear" w:color="auto" w:fill="FFFFFF"/>
        <w:spacing w:after="0"/>
        <w:jc w:val="both"/>
        <w:textAlignment w:val="baseline"/>
        <w:rPr>
          <w:color w:val="FF0000"/>
          <w:lang w:val="en-US"/>
        </w:rPr>
      </w:pPr>
      <w:r w:rsidRPr="00FE70C8">
        <w:rPr>
          <w:lang w:val="en-US"/>
        </w:rPr>
        <w:t xml:space="preserve">- </w:t>
      </w:r>
      <w:r w:rsidRPr="00FE70C8">
        <w:rPr>
          <w:u w:val="single"/>
          <w:lang w:val="en-US"/>
        </w:rPr>
        <w:t>El Brexit de Boris</w:t>
      </w:r>
      <w:r w:rsidRPr="00FE70C8">
        <w:rPr>
          <w:lang w:val="en-US"/>
        </w:rPr>
        <w:t xml:space="preserve"> (Project Syndicate - </w:t>
      </w:r>
      <w:r w:rsidRPr="00FE70C8">
        <w:rPr>
          <w:b/>
          <w:lang w:val="en-US"/>
        </w:rPr>
        <w:t>24/7/19</w:t>
      </w:r>
      <w:r w:rsidRPr="00FE70C8">
        <w:rPr>
          <w:lang w:val="en-US"/>
        </w:rPr>
        <w:t>)</w:t>
      </w:r>
    </w:p>
    <w:p w:rsidR="00AA7566" w:rsidRPr="008348F7" w:rsidRDefault="004A6D82" w:rsidP="00AA7566">
      <w:pPr>
        <w:pStyle w:val="NormalWeb"/>
        <w:shd w:val="clear" w:color="auto" w:fill="FFFFFF"/>
        <w:spacing w:after="0"/>
        <w:jc w:val="both"/>
        <w:textAlignment w:val="baseline"/>
        <w:rPr>
          <w:u w:val="single"/>
        </w:rPr>
      </w:pPr>
      <w:r>
        <w:t>Londres.-</w:t>
      </w:r>
      <w:r w:rsidR="00AA7566" w:rsidRPr="008348F7">
        <w:rPr>
          <w:u w:val="single"/>
        </w:rPr>
        <w:t>Ahora que Boris Johnson hizo realidad su ambición de toda la vida de convertirse en primer ministro del Reino Unido, la tragicomedia del Brexit se acerca al clímax. El resto de la Unión Europea lo vio con mal disimulado horror, pero la apoteosis de Johnson trae consigo una mala y una buena noticia.</w:t>
      </w:r>
    </w:p>
    <w:p w:rsidR="00AA7566" w:rsidRPr="008348F7" w:rsidRDefault="00AA7566" w:rsidP="00AA7566">
      <w:pPr>
        <w:pStyle w:val="NormalWeb"/>
        <w:shd w:val="clear" w:color="auto" w:fill="FFFFFF"/>
        <w:spacing w:after="0"/>
        <w:jc w:val="both"/>
        <w:textAlignment w:val="baseline"/>
        <w:rPr>
          <w:u w:val="single"/>
        </w:rPr>
      </w:pPr>
      <w:r w:rsidRPr="008348F7">
        <w:rPr>
          <w:color w:val="FF0000"/>
          <w:u w:val="single"/>
        </w:rPr>
        <w:t>La mala noticia es que la retirada de la UE “sin acuerdo” que Johnson defendió para obtener el liderazgo del eurófobo Partido Conservador puede provocar una paralización de la actividad económica comparable al desastre que siguió a la quiebra de Lehman Brothers en 2008</w:t>
      </w:r>
      <w:r w:rsidRPr="00FE70C8">
        <w:t xml:space="preserve">. Puede que la ruptura comercial sólo afecte en un primer momento a las empresas británicas relacionadas con el comercio exterior, y que produzca alguna clase de solución negociada entre el RU y la UE dentro de algunas semanas o meses; pero </w:t>
      </w:r>
      <w:r w:rsidRPr="008348F7">
        <w:rPr>
          <w:u w:val="single"/>
        </w:rPr>
        <w:t>la crisis financiera de 2008 nos enseñó que incluso una breve interrupción de la actividad comercial normal en una parte de la economía puede tener consecuencias duraderas.</w:t>
      </w:r>
    </w:p>
    <w:p w:rsidR="00AA7566" w:rsidRPr="008348F7" w:rsidRDefault="00AA7566" w:rsidP="00AA7566">
      <w:pPr>
        <w:pStyle w:val="NormalWeb"/>
        <w:shd w:val="clear" w:color="auto" w:fill="FFFFFF"/>
        <w:spacing w:after="0"/>
        <w:jc w:val="both"/>
        <w:textAlignment w:val="baseline"/>
        <w:rPr>
          <w:u w:val="single"/>
        </w:rPr>
      </w:pPr>
      <w:r w:rsidRPr="008348F7">
        <w:rPr>
          <w:color w:val="FF0000"/>
          <w:u w:val="single"/>
        </w:rPr>
        <w:t>La buena noticia es que Johnson es un político mucho más astuto y habilidoso que su predecesora, Theresa May. Y tanto se ha difundido el pesimismo sobre el futuro del RU, que cualquier forma de Brexit que no sea una ruptura sin acuerdo será una sorpresa positiva y generará un rebote económico no sólo en el RU sino en toda Europa</w:t>
      </w:r>
      <w:r w:rsidRPr="00FE70C8">
        <w:t xml:space="preserve">. Es verdad que a la larga cualquier versión del Brexit perjudicará al RU; pero en todas las versiones con alguna clase de acuerdo, el daño a corto plazo se compensará con la recuperación de la confianza de empresas y consumidores, </w:t>
      </w:r>
      <w:r w:rsidRPr="008348F7">
        <w:rPr>
          <w:u w:val="single"/>
        </w:rPr>
        <w:t>cuando de pronto los riesgos de una ruptura total sean reemplazados por la certeza de un largo período de transición en el que las relaciones económicas del RU con Europa seguirán casi inalteradas.</w:t>
      </w:r>
    </w:p>
    <w:p w:rsidR="00AA7566" w:rsidRPr="00FE70C8" w:rsidRDefault="00AA7566" w:rsidP="00AA7566">
      <w:pPr>
        <w:pStyle w:val="NormalWeb"/>
        <w:shd w:val="clear" w:color="auto" w:fill="FFFFFF"/>
        <w:spacing w:after="0"/>
        <w:jc w:val="both"/>
        <w:textAlignment w:val="baseline"/>
      </w:pPr>
      <w:r w:rsidRPr="00FE70C8">
        <w:t>En este escenario, cambios a las políticas a ambos lados del Canal pueden superar incluso el daño estructural del Brexit al RU y a sus socios comerciales. El RU recibirá el estímulo cíclico prometido por Johnson en la forma de un mayor gasto público y rebajas de impuestos. El resto de Europa, especialmente Alemania y Francia, se beneficiará con las oportunidades comerciales derivadas de nuevas políticas de la UE que probablemente dejarán fuera del mercado común a competidores británicos en industrias lucrativas como las finanzas, los medios, los medicamentos, la defensa y los autos.</w:t>
      </w:r>
    </w:p>
    <w:p w:rsidR="00AA7566" w:rsidRPr="008348F7" w:rsidRDefault="00AA7566" w:rsidP="00AA7566">
      <w:pPr>
        <w:pStyle w:val="NormalWeb"/>
        <w:shd w:val="clear" w:color="auto" w:fill="FFFFFF"/>
        <w:spacing w:after="0"/>
        <w:jc w:val="both"/>
        <w:textAlignment w:val="baseline"/>
        <w:rPr>
          <w:color w:val="FF0000"/>
          <w:u w:val="single"/>
        </w:rPr>
      </w:pPr>
      <w:r w:rsidRPr="008348F7">
        <w:rPr>
          <w:color w:val="FF0000"/>
          <w:u w:val="single"/>
        </w:rPr>
        <w:t>¿Cuál es entonces la probabilidad de un resultado ordenado y un largo período de transición, en vez de una ruptura súbita potencialmente catastrófica?</w:t>
      </w:r>
    </w:p>
    <w:p w:rsidR="00AA7566" w:rsidRPr="008348F7" w:rsidRDefault="00AA7566" w:rsidP="00AA7566">
      <w:pPr>
        <w:pStyle w:val="NormalWeb"/>
        <w:shd w:val="clear" w:color="auto" w:fill="FFFFFF"/>
        <w:spacing w:after="0"/>
        <w:jc w:val="both"/>
        <w:textAlignment w:val="baseline"/>
        <w:rPr>
          <w:color w:val="FF0000"/>
          <w:u w:val="single"/>
        </w:rPr>
      </w:pPr>
      <w:r w:rsidRPr="008348F7">
        <w:rPr>
          <w:color w:val="FF0000"/>
          <w:u w:val="single"/>
        </w:rPr>
        <w:t>Los sitios de apuestas políticas calculan que la probabilidad de salida sin acuerdo llega al 33%, y algunos analistas financieros la sitúan hasta en 50%. No sorprende, dado que Johnson dedicó la mayor parte de su campaña por el liderazgo a normalizar la idea de abandonar la UE sin acuerdo. Pero hay al menos tres razones por las que ese resultado es muy improbable, a pesar de, o mejor dicho, debido a Johnson.</w:t>
      </w:r>
    </w:p>
    <w:p w:rsidR="00AA7566" w:rsidRPr="008348F7" w:rsidRDefault="00AA7566" w:rsidP="00AA7566">
      <w:pPr>
        <w:pStyle w:val="NormalWeb"/>
        <w:shd w:val="clear" w:color="auto" w:fill="FFFFFF"/>
        <w:spacing w:after="0"/>
        <w:jc w:val="both"/>
        <w:textAlignment w:val="baseline"/>
        <w:rPr>
          <w:u w:val="single"/>
        </w:rPr>
      </w:pPr>
      <w:r w:rsidRPr="008348F7">
        <w:rPr>
          <w:color w:val="FF0000"/>
          <w:u w:val="single"/>
        </w:rPr>
        <w:t>En primer lugar, hoy los números parlamentarios son más desfavorables que nunca a una salida sin acuerdo</w:t>
      </w:r>
      <w:r w:rsidRPr="00FE70C8">
        <w:t xml:space="preserve">. Los partidos de oposición están más unidos ahora en contra de Johnson que antes en contra de May, y la mayoría parlamentaria efectiva de Johnson se redujo a sólo dos o tres congresistas. De modo que en principio, bastaría la defección de dos conservadores para ganar una moción de censura contra el gobierno de Johnson y llamar a elección general. Este mes 40 congresistas conservadores votaron una moción que debilita la táctica negociadora de Johnson, de modo que no faltan disidentes potenciales para ponerle fin a su gobierno, si fuera necesario para evitar una salida sin acuerdo. Y si se llamara a elecciones antes de que Johnson pueda reunir a su partido logrando alguna versión del Brexit, es probable que pierda, lo que lo convertiría en el primer ministro más efímero de la historia británica. </w:t>
      </w:r>
      <w:r w:rsidRPr="008348F7">
        <w:rPr>
          <w:u w:val="single"/>
        </w:rPr>
        <w:t>De modo que para Johnson es mucho más peligroso incitar una rebelión entre los opositores a un Brexit sin acuerdo que contrariar a los eurófobos que sabotearon a May.</w:t>
      </w:r>
    </w:p>
    <w:p w:rsidR="00AA7566" w:rsidRPr="00FE70C8" w:rsidRDefault="00AA7566" w:rsidP="00AA7566">
      <w:pPr>
        <w:pStyle w:val="NormalWeb"/>
        <w:shd w:val="clear" w:color="auto" w:fill="FFFFFF"/>
        <w:spacing w:after="0"/>
        <w:jc w:val="both"/>
        <w:textAlignment w:val="baseline"/>
      </w:pPr>
      <w:r w:rsidRPr="008348F7">
        <w:rPr>
          <w:color w:val="FF0000"/>
          <w:u w:val="single"/>
        </w:rPr>
        <w:t>En segundo lugar, Johnson tiene un modo de evitar la ruptura, que no estuvo a disposición de May. Si pudiera persuadir a la dirigencia de la UE de hacer algunos cambios cosméticos menores al acuerdo de salida de May, conseguiría casi con certeza que el Parlamento apruebe su “nuevo” acuerdo, ya que a los euroescépticos intransigentes decididos a reemplazar a May con un brexitero “genuino” no les quedaría otra opción que votar por el acuerdo de Johnson o arriesgarse a una elección en la que podrían quedarse sin ningún Brexit</w:t>
      </w:r>
      <w:r w:rsidRPr="00FE70C8">
        <w:t>. En tanto, muchos proeuropeos en ambos partidos principales que antes esperaban evitar el Brexit ahora apoyarían casi cualquier acuerdo negociado, con tal de evitar la pesad</w:t>
      </w:r>
      <w:r>
        <w:t>illa de una salida sin acuerdo.</w:t>
      </w:r>
    </w:p>
    <w:p w:rsidR="00AA7566" w:rsidRPr="008348F7" w:rsidRDefault="00AA7566" w:rsidP="00AA7566">
      <w:pPr>
        <w:pStyle w:val="NormalWeb"/>
        <w:shd w:val="clear" w:color="auto" w:fill="FFFFFF"/>
        <w:spacing w:after="0"/>
        <w:jc w:val="both"/>
        <w:textAlignment w:val="baseline"/>
        <w:rPr>
          <w:color w:val="FF0000"/>
          <w:u w:val="single"/>
        </w:rPr>
      </w:pPr>
      <w:r w:rsidRPr="008348F7">
        <w:rPr>
          <w:color w:val="FF0000"/>
          <w:u w:val="single"/>
        </w:rPr>
        <w:t>De modo que el mayor riesgo procede de la UE. ¿Dará la dirigencia europea suficientes concesiones cosméticas a Johnson para convertir el acuerdo imposible de May en un éxito de Boris? La respuesta probable es que sí. La UE está casi tan desesperada como Johnson por poner fin al culebrón del Brexit; y en realidad, Johnson necesita una sola concesión pequeña: un cambio a la “salvaguarda irlandesa”, diseñada para garantizar una frontera abierta en Irlanda del Norte.</w:t>
      </w:r>
    </w:p>
    <w:p w:rsidR="00AA7566" w:rsidRPr="00FE70C8" w:rsidRDefault="00AA7566" w:rsidP="00AA7566">
      <w:pPr>
        <w:pStyle w:val="NormalWeb"/>
        <w:shd w:val="clear" w:color="auto" w:fill="FFFFFF"/>
        <w:spacing w:after="0"/>
        <w:jc w:val="both"/>
        <w:textAlignment w:val="baseline"/>
      </w:pPr>
      <w:r w:rsidRPr="008348F7">
        <w:rPr>
          <w:u w:val="single"/>
        </w:rPr>
        <w:t>Como esta cuestión sólo afecta a Irlanda, la UE se guiaría por los intereses del gobierno irlandés. Y es difícil imaginar que Dublín prefiera la certeza de perjuicio inmediato a los intereses económicos y de seguridad de Irlanda en un Brexit sin acuerdo antes que aceptar una ligera flexibilización de la “salvaguarda irlandesa” que garantice un largo período de transición sin cambios</w:t>
      </w:r>
      <w:r w:rsidRPr="00FE70C8">
        <w:t>. Como observó hace poco Pat Leahy, destacado comentarista del Irish Times: “¿No es la posibilidad de que haya controles de frontera dentro de unos años mejor que la certeza de que los habrá el 31 de octubre?”. Y para más provecho de Irlanda, durante el período de transición posterior a un Brexit ordenado, el RU estaría ansioso por negociar un tratado comercial permanente con la UE, lo que dejaría a Irlanda mejor posicionada para insistir en que se ponga como condición el mantenimiento de la frontera abierta.</w:t>
      </w:r>
    </w:p>
    <w:p w:rsidR="00AA7566" w:rsidRPr="008348F7" w:rsidRDefault="00AA7566" w:rsidP="00AA7566">
      <w:pPr>
        <w:pStyle w:val="NormalWeb"/>
        <w:shd w:val="clear" w:color="auto" w:fill="FFFFFF"/>
        <w:spacing w:after="0"/>
        <w:jc w:val="both"/>
        <w:textAlignment w:val="baseline"/>
        <w:rPr>
          <w:color w:val="FF0000"/>
          <w:u w:val="single"/>
        </w:rPr>
      </w:pPr>
      <w:r w:rsidRPr="008348F7">
        <w:rPr>
          <w:color w:val="FF0000"/>
          <w:u w:val="single"/>
        </w:rPr>
        <w:t>Esto nos trae a una tercera razón para apostar contra una salida sin acuerdo: las declaraciones y el estilo político de Johnson. Es verdad que prometió reiteradamente abandonar la UE en octubre “con o sin acuerdo”, pero también dijo que la probabilidad de lo segundo es “una en un millón”, porque está confiado en tener una negociación exitosa con la UE.</w:t>
      </w:r>
    </w:p>
    <w:p w:rsidR="00AA7566" w:rsidRPr="00FE70C8" w:rsidRDefault="00AA7566" w:rsidP="00AA7566">
      <w:pPr>
        <w:pStyle w:val="NormalWeb"/>
        <w:shd w:val="clear" w:color="auto" w:fill="FFFFFF"/>
        <w:spacing w:after="0"/>
        <w:jc w:val="both"/>
        <w:textAlignment w:val="baseline"/>
      </w:pPr>
      <w:r w:rsidRPr="00FE70C8">
        <w:t>¿Por qué aceptó el mundo como verdad revelada la promesa de Johnson de una salida “con o sin acuerdo” y descartó como una expresión de deseos irrelevante su predicción de un Brexit consensuado? Si se presta más atención a las ambiciones personales y menos a las promesas (que por lo general ha sido el mejor modo de predecir las acciones de Johnson) se</w:t>
      </w:r>
      <w:r>
        <w:t xml:space="preserve"> llega a la conclusión opuesta.</w:t>
      </w:r>
    </w:p>
    <w:p w:rsidR="00AA7566" w:rsidRPr="008348F7" w:rsidRDefault="00AA7566" w:rsidP="00AA7566">
      <w:pPr>
        <w:pStyle w:val="NormalWeb"/>
        <w:shd w:val="clear" w:color="auto" w:fill="FFFFFF"/>
        <w:spacing w:after="0"/>
        <w:jc w:val="both"/>
        <w:textAlignment w:val="baseline"/>
        <w:rPr>
          <w:color w:val="FF0000"/>
          <w:u w:val="single"/>
        </w:rPr>
      </w:pPr>
      <w:r w:rsidRPr="008348F7">
        <w:rPr>
          <w:color w:val="FF0000"/>
          <w:u w:val="single"/>
        </w:rPr>
        <w:t>Si Johnson insiste en un Brexit sin acuerdo, se arriesga a un desastre pase lo que pase: una debacle económica si consigue eludir la oposición parlamentaria y hace realidad la ruptura prometida, y una elección general prematura si el Parlamento la impide. Si, por otra parte, realmente intenta negociar un acuerdo para una retirada ordenada, todavía podrá entregar un Brexit simbólico dentro del plazo que se fijó para octubre, y al mismo tiempo conseguir el período de transición que el RU necesita desesperadamente.</w:t>
      </w:r>
    </w:p>
    <w:p w:rsidR="00AA7566" w:rsidRPr="008348F7" w:rsidRDefault="00AA7566" w:rsidP="00AA7566">
      <w:pPr>
        <w:pStyle w:val="NormalWeb"/>
        <w:shd w:val="clear" w:color="auto" w:fill="FFFFFF"/>
        <w:spacing w:after="0"/>
        <w:jc w:val="both"/>
        <w:textAlignment w:val="baseline"/>
        <w:rPr>
          <w:b/>
          <w:color w:val="FF0000"/>
          <w:u w:val="single"/>
        </w:rPr>
      </w:pPr>
      <w:r w:rsidRPr="00FE70C8">
        <w:t xml:space="preserve">La consiguiente recuperación de la confianza de las empresas permitiría un generoso presupuesto con rebaja de impuestos, dádivas públicas y un estímulo fiscal keynesiano, que sentaría las bases para una elección general el año entrante, en la que Johnson estaría casi seguro de ganar por amplia mayoría. </w:t>
      </w:r>
      <w:r w:rsidRPr="008348F7">
        <w:rPr>
          <w:b/>
          <w:color w:val="FF0000"/>
          <w:u w:val="single"/>
        </w:rPr>
        <w:t>Para un libertino político cuyo único principio coherente ha sido la incoherencia, un Brexit negociado y ordenado sería sin duda la opción preferida, más allá de las promesas temerarias que hizo a los eurófobos que lo llevaron al poder.</w:t>
      </w:r>
    </w:p>
    <w:p w:rsidR="00AA7566" w:rsidRDefault="00AA7566" w:rsidP="00AA7566">
      <w:pPr>
        <w:pStyle w:val="NormalWeb"/>
        <w:shd w:val="clear" w:color="auto" w:fill="FFFFFF"/>
        <w:spacing w:after="0"/>
        <w:jc w:val="both"/>
        <w:textAlignment w:val="baseline"/>
        <w:rPr>
          <w:lang w:val="en-US"/>
        </w:rPr>
      </w:pPr>
      <w:r>
        <w:rPr>
          <w:lang w:val="en-US"/>
        </w:rPr>
        <w:t>(</w:t>
      </w:r>
      <w:r w:rsidRPr="00FE70C8">
        <w:rPr>
          <w:lang w:val="en-US"/>
        </w:rPr>
        <w:t xml:space="preserve">Anatole Kaletsky is Chief Economist and Co-Chairman of Gavekal Dragonomics. A former columnist at the Times of London, the International New York Times and the Financial Times, he is the author of Capitalism 4.0: The Birth of a New Economy in the Aftermath of Crisis, which anticipated many of the post-crisis transformations of the global economy. His 1985 book, Costs of Default, became an influential primer for Latin American and Asian governments negotiating debt defaults and restructurings with banks and </w:t>
      </w:r>
      <w:r>
        <w:rPr>
          <w:lang w:val="en-US"/>
        </w:rPr>
        <w:t>the IMF)</w:t>
      </w:r>
    </w:p>
    <w:p w:rsidR="00AA7566" w:rsidRPr="00953CB7" w:rsidRDefault="00AA7566" w:rsidP="00AA7566">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D3773C">
        <w:rPr>
          <w:rFonts w:ascii="Times New Roman" w:hAnsi="Times New Roman" w:cs="Times New Roman"/>
          <w:sz w:val="24"/>
          <w:szCs w:val="24"/>
        </w:rPr>
        <w:t>¿</w:t>
      </w:r>
      <w:r w:rsidRPr="00901AE3">
        <w:rPr>
          <w:rFonts w:ascii="Times New Roman" w:hAnsi="Times New Roman" w:cs="Times New Roman"/>
          <w:sz w:val="24"/>
          <w:szCs w:val="24"/>
          <w:u w:val="single"/>
        </w:rPr>
        <w:t>Se está volviendo el Reino Unido un estado fallido</w:t>
      </w:r>
      <w:r w:rsidRPr="00D3773C">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D3773C">
        <w:rPr>
          <w:rFonts w:ascii="Times New Roman" w:hAnsi="Times New Roman" w:cs="Times New Roman"/>
          <w:b/>
          <w:sz w:val="24"/>
          <w:szCs w:val="24"/>
        </w:rPr>
        <w:t>20/8/19</w:t>
      </w:r>
      <w:r>
        <w:rPr>
          <w:rFonts w:ascii="Times New Roman" w:hAnsi="Times New Roman" w:cs="Times New Roman"/>
          <w:sz w:val="24"/>
          <w:szCs w:val="24"/>
        </w:rPr>
        <w:t xml:space="preserve">) </w:t>
      </w:r>
    </w:p>
    <w:p w:rsidR="00AA7566" w:rsidRPr="00FA40DB" w:rsidRDefault="004A6D82" w:rsidP="00AA756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00AA7566" w:rsidRPr="00FA40DB">
        <w:rPr>
          <w:rFonts w:ascii="Times New Roman" w:hAnsi="Times New Roman" w:cs="Times New Roman"/>
          <w:sz w:val="24"/>
          <w:szCs w:val="24"/>
          <w:u w:val="single"/>
        </w:rPr>
        <w:t>¿Qué es un estado fallido? Si me lo hubieran preguntado hace algún tiempo,</w:t>
      </w:r>
      <w:r w:rsidR="00AA7566" w:rsidRPr="00D3773C">
        <w:rPr>
          <w:rFonts w:ascii="Times New Roman" w:hAnsi="Times New Roman" w:cs="Times New Roman"/>
          <w:sz w:val="24"/>
          <w:szCs w:val="24"/>
        </w:rPr>
        <w:t xml:space="preserve"> cuando era ministro de Desarrollo de Ultramar del Reino Unido, y más tarde comisario europeo para Asuntos Exteriores, </w:t>
      </w:r>
      <w:r w:rsidR="00AA7566" w:rsidRPr="00FA40DB">
        <w:rPr>
          <w:rFonts w:ascii="Times New Roman" w:hAnsi="Times New Roman" w:cs="Times New Roman"/>
          <w:sz w:val="24"/>
          <w:szCs w:val="24"/>
          <w:u w:val="single"/>
        </w:rPr>
        <w:t>es probable que hubiera tratado de responder dando ejemplos concretos, entre ellos varios países en América Latina y África.</w:t>
      </w:r>
    </w:p>
    <w:p w:rsidR="00AA7566" w:rsidRPr="00FA40DB" w:rsidRDefault="00AA7566" w:rsidP="00AA7566">
      <w:pPr>
        <w:spacing w:line="240" w:lineRule="auto"/>
        <w:jc w:val="both"/>
        <w:rPr>
          <w:rFonts w:ascii="Times New Roman" w:hAnsi="Times New Roman" w:cs="Times New Roman"/>
          <w:color w:val="FF0000"/>
          <w:sz w:val="24"/>
          <w:szCs w:val="24"/>
          <w:u w:val="single"/>
        </w:rPr>
      </w:pPr>
      <w:r w:rsidRPr="00FA40DB">
        <w:rPr>
          <w:rFonts w:ascii="Times New Roman" w:hAnsi="Times New Roman" w:cs="Times New Roman"/>
          <w:color w:val="FF0000"/>
          <w:sz w:val="24"/>
          <w:szCs w:val="24"/>
          <w:u w:val="single"/>
        </w:rPr>
        <w:t>Hubiera hablado de conflictos tribales, de golpes militares, de fracasos económicos, de pobreza extrema y de altas tasas de mortalidad. Quizá me hubiera referido al hecho de que sociedades más prósperas no hayan garantizado que la globalización beneficiara a todos y no dejara algunas comunidades atrapadas en la privación. Además, sin duda hubiera hablado de aquellos sistemas de gobierno que dejaron de cumplir la función que tenían prevista, la que observadores externos bienintencionados esperaban y suponían que cumplieran.</w:t>
      </w:r>
    </w:p>
    <w:p w:rsidR="00AA7566" w:rsidRPr="00FA40DB" w:rsidRDefault="00AA7566" w:rsidP="00AA7566">
      <w:pPr>
        <w:spacing w:line="240" w:lineRule="auto"/>
        <w:jc w:val="both"/>
        <w:rPr>
          <w:rFonts w:ascii="Times New Roman" w:hAnsi="Times New Roman" w:cs="Times New Roman"/>
          <w:color w:val="FF0000"/>
          <w:sz w:val="24"/>
          <w:szCs w:val="24"/>
          <w:u w:val="single"/>
        </w:rPr>
      </w:pPr>
      <w:r w:rsidRPr="00FA40DB">
        <w:rPr>
          <w:rFonts w:ascii="Times New Roman" w:hAnsi="Times New Roman" w:cs="Times New Roman"/>
          <w:color w:val="FF0000"/>
          <w:sz w:val="24"/>
          <w:szCs w:val="24"/>
          <w:u w:val="single"/>
        </w:rPr>
        <w:t>Según estos últimos criterios, ya no hace falta viajar a América Latina o África para encontrar ejemplos de fracaso. De hecho, muchos en el RU tememos que haya un fracaso cada vez más evidente dentro de nuestras mismas fronteras (que pronto estarán colapsadas después del Brexit) y en particular en la forma en que se gobierna nuestro país.</w:t>
      </w:r>
    </w:p>
    <w:p w:rsidR="00AA7566" w:rsidRPr="00D3773C" w:rsidRDefault="00AA7566" w:rsidP="00AA7566">
      <w:pPr>
        <w:spacing w:line="240" w:lineRule="auto"/>
        <w:jc w:val="both"/>
        <w:rPr>
          <w:rFonts w:ascii="Times New Roman" w:hAnsi="Times New Roman" w:cs="Times New Roman"/>
          <w:sz w:val="24"/>
          <w:szCs w:val="24"/>
        </w:rPr>
      </w:pPr>
      <w:r w:rsidRPr="00D3773C">
        <w:rPr>
          <w:rFonts w:ascii="Times New Roman" w:hAnsi="Times New Roman" w:cs="Times New Roman"/>
          <w:sz w:val="24"/>
          <w:szCs w:val="24"/>
        </w:rPr>
        <w:t>El sistema británico de gobierno, tan alabado en el pasado, se basa en la democracia parlamentaria y en las instituciones del pluralismo que comúnmente se asocian con las sociedades abiertas.</w:t>
      </w:r>
    </w:p>
    <w:p w:rsidR="00AA7566" w:rsidRPr="00FA40DB" w:rsidRDefault="00AA7566" w:rsidP="00AA7566">
      <w:pPr>
        <w:spacing w:line="240" w:lineRule="auto"/>
        <w:jc w:val="both"/>
        <w:rPr>
          <w:rFonts w:ascii="Times New Roman" w:hAnsi="Times New Roman" w:cs="Times New Roman"/>
          <w:sz w:val="24"/>
          <w:szCs w:val="24"/>
          <w:u w:val="single"/>
        </w:rPr>
      </w:pPr>
      <w:r w:rsidRPr="00FA40DB">
        <w:rPr>
          <w:rFonts w:ascii="Times New Roman" w:hAnsi="Times New Roman" w:cs="Times New Roman"/>
          <w:sz w:val="24"/>
          <w:szCs w:val="24"/>
          <w:u w:val="single"/>
        </w:rPr>
        <w:t>Los votantes eligen parlamentarios que tienen ante sus electores la responsabilidad de aplicar su mejor juicio a las cuestiones políticas, no de hacer lo que les diga una presunta voluntad popular (el sistema preferido de déspotas y demagogos).</w:t>
      </w:r>
      <w:r w:rsidRPr="00D3773C">
        <w:rPr>
          <w:rFonts w:ascii="Times New Roman" w:hAnsi="Times New Roman" w:cs="Times New Roman"/>
          <w:sz w:val="24"/>
          <w:szCs w:val="24"/>
        </w:rPr>
        <w:t xml:space="preserve"> Nuestro sistema le debe mucho más al filósofo y político conservador Edmund Burke que al escritor francés Jean-Jacques Rousseau. </w:t>
      </w:r>
      <w:r w:rsidRPr="00FA40DB">
        <w:rPr>
          <w:rFonts w:ascii="Times New Roman" w:hAnsi="Times New Roman" w:cs="Times New Roman"/>
          <w:sz w:val="24"/>
          <w:szCs w:val="24"/>
          <w:u w:val="single"/>
        </w:rPr>
        <w:t>Siempre hemos preferido la cautela, el acuerdo y la evolución a la agitación y a la convocatoria a pasiones públicas pasajeras.</w:t>
      </w:r>
    </w:p>
    <w:p w:rsidR="00AA7566" w:rsidRPr="00D3773C" w:rsidRDefault="00AA7566" w:rsidP="00AA7566">
      <w:pPr>
        <w:spacing w:line="240" w:lineRule="auto"/>
        <w:jc w:val="both"/>
        <w:rPr>
          <w:rFonts w:ascii="Times New Roman" w:hAnsi="Times New Roman" w:cs="Times New Roman"/>
          <w:sz w:val="24"/>
          <w:szCs w:val="24"/>
        </w:rPr>
      </w:pPr>
      <w:r w:rsidRPr="00D3773C">
        <w:rPr>
          <w:rFonts w:ascii="Times New Roman" w:hAnsi="Times New Roman" w:cs="Times New Roman"/>
          <w:sz w:val="24"/>
          <w:szCs w:val="24"/>
        </w:rPr>
        <w:t xml:space="preserve">Los partidos de la mayoría de los parlamentarios representan diferentes vertientes de opinión. Pero en general, su debate siempre se basó en el supuesto de una firme relación entre las posturas que se defienden y la evidencia. Es decir, aunque los hechos se pudieran interpretar de maneras diferentes, no se los negaba por el mero hecho de contradecir una postura ideológica. El dogmatismo y la democracia no se llevan bien. Por supuesto que la opinión experta puede ser materia de discusión, pero hasta ahora, jamás se había considerado que la apelación a la experiencia fuera un medio del aparato gobernante para engañar y confundir a la gente en pos de objetivos propios. </w:t>
      </w:r>
    </w:p>
    <w:p w:rsidR="00AA7566" w:rsidRPr="00FA40DB" w:rsidRDefault="00AA7566" w:rsidP="00AA7566">
      <w:pPr>
        <w:spacing w:line="240" w:lineRule="auto"/>
        <w:jc w:val="both"/>
        <w:rPr>
          <w:rFonts w:ascii="Times New Roman" w:hAnsi="Times New Roman" w:cs="Times New Roman"/>
          <w:sz w:val="24"/>
          <w:szCs w:val="24"/>
          <w:u w:val="single"/>
        </w:rPr>
      </w:pPr>
      <w:r w:rsidRPr="00FA40DB">
        <w:rPr>
          <w:rFonts w:ascii="Times New Roman" w:hAnsi="Times New Roman" w:cs="Times New Roman"/>
          <w:sz w:val="24"/>
          <w:szCs w:val="24"/>
          <w:u w:val="single"/>
        </w:rPr>
        <w:t>En Gran Bretaña, el gobierno históricamente ha rendido cuentas ante el parlamento, cuyas opiniones y convenciones debe respetar. Y la existencia de un sistema judicial separado e independiente garantiza el estado de derecho, al que todos (ministros incluidos) están sujetos.</w:t>
      </w:r>
    </w:p>
    <w:p w:rsidR="00AA7566" w:rsidRPr="00FA40DB" w:rsidRDefault="00AA7566" w:rsidP="00AA7566">
      <w:pPr>
        <w:spacing w:line="240" w:lineRule="auto"/>
        <w:jc w:val="both"/>
        <w:rPr>
          <w:rFonts w:ascii="Times New Roman" w:hAnsi="Times New Roman" w:cs="Times New Roman"/>
          <w:sz w:val="24"/>
          <w:szCs w:val="24"/>
          <w:u w:val="single"/>
        </w:rPr>
      </w:pPr>
      <w:r w:rsidRPr="00FA40DB">
        <w:rPr>
          <w:rFonts w:ascii="Times New Roman" w:hAnsi="Times New Roman" w:cs="Times New Roman"/>
          <w:sz w:val="24"/>
          <w:szCs w:val="24"/>
          <w:u w:val="single"/>
        </w:rPr>
        <w:t>Así condujo Gran Bretaña sus asuntos nacionales: evitó el extremismo político, buscó un equilibrio entre la izquierda y la derecha, manejó los cambios durante décadas en la paz y en la guerra, y transicionó de ser una potencia imperial a ser un país europeo mediano. Lo hicimos sin entregar ni atenuar nuestros valores, y así nos ganamos la aprobación y el elogio del mundo.</w:t>
      </w:r>
    </w:p>
    <w:p w:rsidR="00AA7566" w:rsidRPr="00D3773C" w:rsidRDefault="00AA7566" w:rsidP="00AA7566">
      <w:pPr>
        <w:spacing w:line="240" w:lineRule="auto"/>
        <w:jc w:val="both"/>
        <w:rPr>
          <w:rFonts w:ascii="Times New Roman" w:hAnsi="Times New Roman" w:cs="Times New Roman"/>
          <w:sz w:val="24"/>
          <w:szCs w:val="24"/>
        </w:rPr>
      </w:pPr>
      <w:r w:rsidRPr="00D3773C">
        <w:rPr>
          <w:rFonts w:ascii="Times New Roman" w:hAnsi="Times New Roman" w:cs="Times New Roman"/>
          <w:sz w:val="24"/>
          <w:szCs w:val="24"/>
        </w:rPr>
        <w:t>Lamentablemente, hoy las cosas se ven muy diferent</w:t>
      </w:r>
      <w:r>
        <w:rPr>
          <w:rFonts w:ascii="Times New Roman" w:hAnsi="Times New Roman" w:cs="Times New Roman"/>
          <w:sz w:val="24"/>
          <w:szCs w:val="24"/>
        </w:rPr>
        <w:t>es.</w:t>
      </w:r>
    </w:p>
    <w:p w:rsidR="00AA7566" w:rsidRPr="00FA40DB" w:rsidRDefault="00AA7566" w:rsidP="00AA7566">
      <w:pPr>
        <w:spacing w:line="240" w:lineRule="auto"/>
        <w:jc w:val="both"/>
        <w:rPr>
          <w:rFonts w:ascii="Times New Roman" w:hAnsi="Times New Roman" w:cs="Times New Roman"/>
          <w:color w:val="FF0000"/>
          <w:sz w:val="24"/>
          <w:szCs w:val="24"/>
          <w:u w:val="single"/>
        </w:rPr>
      </w:pPr>
      <w:r w:rsidRPr="00FA40DB">
        <w:rPr>
          <w:rFonts w:ascii="Times New Roman" w:hAnsi="Times New Roman" w:cs="Times New Roman"/>
          <w:color w:val="FF0000"/>
          <w:sz w:val="24"/>
          <w:szCs w:val="24"/>
          <w:u w:val="single"/>
        </w:rPr>
        <w:t xml:space="preserve">El RU tiene menos activistas políticos como proporción de su electorado que la mayoría de los otros países europeos. Pero en los últimos tiempos, esos activistas y otras figuras sectarias han obtenido un control cada vez mayor de las políticas de sus partidos y de la elección de sus líderes. </w:t>
      </w:r>
    </w:p>
    <w:p w:rsidR="00AA7566" w:rsidRPr="00D3773C" w:rsidRDefault="00AA7566" w:rsidP="00AA7566">
      <w:pPr>
        <w:spacing w:line="240" w:lineRule="auto"/>
        <w:jc w:val="both"/>
        <w:rPr>
          <w:rFonts w:ascii="Times New Roman" w:hAnsi="Times New Roman" w:cs="Times New Roman"/>
          <w:sz w:val="24"/>
          <w:szCs w:val="24"/>
        </w:rPr>
      </w:pPr>
      <w:r w:rsidRPr="00FA40DB">
        <w:rPr>
          <w:rFonts w:ascii="Times New Roman" w:hAnsi="Times New Roman" w:cs="Times New Roman"/>
          <w:sz w:val="24"/>
          <w:szCs w:val="24"/>
          <w:u w:val="single"/>
        </w:rPr>
        <w:t>Es así que el liderazgo del Partido Laborista ahora está en manos de Jeremy Corbyn, un socialista de extrema izquierda a la vieja usanza.Y 90.000 miembros del Partido Conservador, cuyas ideas se han vuelto más extremas a la par que han menguado sus filas, eligieron hace poco a Boris Johnson como nuevo líder</w:t>
      </w:r>
      <w:r w:rsidRPr="00D3773C">
        <w:rPr>
          <w:rFonts w:ascii="Times New Roman" w:hAnsi="Times New Roman" w:cs="Times New Roman"/>
          <w:sz w:val="24"/>
          <w:szCs w:val="24"/>
        </w:rPr>
        <w:t xml:space="preserve">, y por consiguiente, como </w:t>
      </w:r>
      <w:r>
        <w:rPr>
          <w:rFonts w:ascii="Times New Roman" w:hAnsi="Times New Roman" w:cs="Times New Roman"/>
          <w:sz w:val="24"/>
          <w:szCs w:val="24"/>
        </w:rPr>
        <w:t>nuevo primer ministro del país.</w:t>
      </w:r>
    </w:p>
    <w:p w:rsidR="00AA7566" w:rsidRPr="00FA40DB" w:rsidRDefault="00AA7566" w:rsidP="00AA7566">
      <w:pPr>
        <w:spacing w:line="240" w:lineRule="auto"/>
        <w:jc w:val="both"/>
        <w:rPr>
          <w:rFonts w:ascii="Times New Roman" w:hAnsi="Times New Roman" w:cs="Times New Roman"/>
          <w:color w:val="FF0000"/>
          <w:sz w:val="24"/>
          <w:szCs w:val="24"/>
          <w:u w:val="single"/>
        </w:rPr>
      </w:pPr>
      <w:r w:rsidRPr="00FA40DB">
        <w:rPr>
          <w:rFonts w:ascii="Times New Roman" w:hAnsi="Times New Roman" w:cs="Times New Roman"/>
          <w:color w:val="FF0000"/>
          <w:sz w:val="24"/>
          <w:szCs w:val="24"/>
          <w:u w:val="single"/>
        </w:rPr>
        <w:t>Eligieron al hacerlo a un oportunista mentiroso. No es exagerado decir que Johnson llegó donde está a fuerza de mentiras, primero como periodista y después en la política. Debe su influencia al auge de xenofobia y nacionalismo inglés que muchos conservadores ahora defienden. Johnson es primer ministro porque prometió concretar el Brexit a fines de octubre, y aseguró imprudentemente al mundo que sacará al RU de la Unión Europea con o sin acuerdo y cualesquiera sean las consecuencias.</w:t>
      </w:r>
    </w:p>
    <w:p w:rsidR="00AA7566" w:rsidRPr="00FA40DB" w:rsidRDefault="00AA7566" w:rsidP="00AA7566">
      <w:pPr>
        <w:spacing w:line="240" w:lineRule="auto"/>
        <w:jc w:val="both"/>
        <w:rPr>
          <w:rFonts w:ascii="Times New Roman" w:hAnsi="Times New Roman" w:cs="Times New Roman"/>
          <w:color w:val="FF0000"/>
          <w:sz w:val="24"/>
          <w:szCs w:val="24"/>
          <w:u w:val="single"/>
        </w:rPr>
      </w:pPr>
      <w:r w:rsidRPr="00FA40DB">
        <w:rPr>
          <w:rFonts w:ascii="Times New Roman" w:hAnsi="Times New Roman" w:cs="Times New Roman"/>
          <w:color w:val="FF0000"/>
          <w:sz w:val="24"/>
          <w:szCs w:val="24"/>
          <w:u w:val="single"/>
        </w:rPr>
        <w:t>Johnson designó un gobierno de nacionalistas antieuropeos de ideas similares. A su asesor principal, Dominic Cummings, el ex primer ministro británico (2010‑2016) David Cameron lo describió como un “psicópata de carrera”. Cummings es, junto con Johnson, la figura más poderosa del nuevo gobierno; un alborotador al que nadie eligió y al que este año la comisión de privilegios de la Cámara de los Comunes declaró en desacato parlamentario. No deja de ser coherente (aunque lamentable) que ahora sea el arquitecto de nuestra salida de la UE con o sin aprobación parlamentaria.</w:t>
      </w:r>
    </w:p>
    <w:p w:rsidR="00AA7566" w:rsidRPr="00FA40DB" w:rsidRDefault="00AA7566" w:rsidP="00AA7566">
      <w:pPr>
        <w:spacing w:line="240" w:lineRule="auto"/>
        <w:jc w:val="both"/>
        <w:rPr>
          <w:rFonts w:ascii="Times New Roman" w:hAnsi="Times New Roman" w:cs="Times New Roman"/>
          <w:color w:val="FF0000"/>
          <w:sz w:val="24"/>
          <w:szCs w:val="24"/>
          <w:u w:val="single"/>
        </w:rPr>
      </w:pPr>
      <w:r w:rsidRPr="00FA40DB">
        <w:rPr>
          <w:rFonts w:ascii="Times New Roman" w:hAnsi="Times New Roman" w:cs="Times New Roman"/>
          <w:color w:val="FF0000"/>
          <w:sz w:val="24"/>
          <w:szCs w:val="24"/>
          <w:u w:val="single"/>
        </w:rPr>
        <w:t>Además, el gobierno está tramando ganar una elección, todavía no anunciada, con una campaña basada en la idea de enfrentar “al pueblo contra los políticos”. A los que se opongan a abandonar por las malas la UE sin acuerdo se los calificará de oponentes de la soberanía popular. Adiós democracia parlamentaria.</w:t>
      </w:r>
    </w:p>
    <w:p w:rsidR="00AA7566" w:rsidRPr="00FA40DB" w:rsidRDefault="00AA7566" w:rsidP="00AA7566">
      <w:pPr>
        <w:spacing w:line="240" w:lineRule="auto"/>
        <w:jc w:val="both"/>
        <w:rPr>
          <w:rFonts w:ascii="Times New Roman" w:hAnsi="Times New Roman" w:cs="Times New Roman"/>
          <w:sz w:val="24"/>
          <w:szCs w:val="24"/>
          <w:u w:val="single"/>
        </w:rPr>
      </w:pPr>
      <w:r w:rsidRPr="00FA40DB">
        <w:rPr>
          <w:rFonts w:ascii="Times New Roman" w:hAnsi="Times New Roman" w:cs="Times New Roman"/>
          <w:sz w:val="24"/>
          <w:szCs w:val="24"/>
          <w:u w:val="single"/>
        </w:rPr>
        <w:t>El gobierno de Johnson esconde la verdad sobre las consecuencias de un Brexit sin acuerdo, y califica cualquier intento de exponerla como parte de una “campaña de miedo”.</w:t>
      </w:r>
      <w:r w:rsidRPr="00D3773C">
        <w:rPr>
          <w:rFonts w:ascii="Times New Roman" w:hAnsi="Times New Roman" w:cs="Times New Roman"/>
          <w:sz w:val="24"/>
          <w:szCs w:val="24"/>
        </w:rPr>
        <w:t xml:space="preserve"> Se culpa a la UE por el fracaso de las negociaciones, aunque se debió casi totalmente a decisiones que tomó el gobierno británico anterior. Para colmo, se le dice a la opinión pública que si el RU puede convencer a la UE de que está dispuesto a salir del bloque a cualquier costo, entonces Francia, Alemania y otros países se rendirán y cederán a nuestras demandas. </w:t>
      </w:r>
      <w:r w:rsidRPr="00FA40DB">
        <w:rPr>
          <w:rFonts w:ascii="Times New Roman" w:hAnsi="Times New Roman" w:cs="Times New Roman"/>
          <w:sz w:val="24"/>
          <w:szCs w:val="24"/>
          <w:u w:val="single"/>
        </w:rPr>
        <w:t>Pero a largo plazo, un Brexit sin acuerdo perjudicará infinitamente más al RU que a la UE.</w:t>
      </w:r>
    </w:p>
    <w:p w:rsidR="00AA7566" w:rsidRPr="00D3773C" w:rsidRDefault="00AA7566" w:rsidP="00AA7566">
      <w:pPr>
        <w:spacing w:line="240" w:lineRule="auto"/>
        <w:jc w:val="both"/>
        <w:rPr>
          <w:rFonts w:ascii="Times New Roman" w:hAnsi="Times New Roman" w:cs="Times New Roman"/>
          <w:sz w:val="24"/>
          <w:szCs w:val="24"/>
        </w:rPr>
      </w:pPr>
      <w:r w:rsidRPr="00D3773C">
        <w:rPr>
          <w:rFonts w:ascii="Times New Roman" w:hAnsi="Times New Roman" w:cs="Times New Roman"/>
          <w:sz w:val="24"/>
          <w:szCs w:val="24"/>
        </w:rPr>
        <w:t>Johnson y Cummings están dispuestos a usar todos los métodos que funcionaron en la campaña del referendo por el Brexit en 2016, cuando se le aseguró a la población británica que de ninguna manera nos iríamos de la UE sin acuerdo. Ahora llueven promesas de aumento del gasto público desde un Tesoro que pronto se encontrará escaso de recursos. El valor de la libra está en caída, la inflación aumentó en julio, y la inversión de las empresas está estancada. Ya no se aclaman los presuntos beneficios de salir de la UE, con la excepción de un prometido acuerdo de comercio con el presidente estadounidense Donald Trump que sería casi tan inaceptable para el Congreso de los Estados Unidos como para la opinión pública británica. Encima, el gobierno omite totalmente el hecho de que una salida sin acuerdo iría seguida inevitablemente de l</w:t>
      </w:r>
      <w:r>
        <w:rPr>
          <w:rFonts w:ascii="Times New Roman" w:hAnsi="Times New Roman" w:cs="Times New Roman"/>
          <w:sz w:val="24"/>
          <w:szCs w:val="24"/>
        </w:rPr>
        <w:t xml:space="preserve">argas negociaciones con la UE. </w:t>
      </w:r>
    </w:p>
    <w:p w:rsidR="00AA7566" w:rsidRPr="001222C6" w:rsidRDefault="00AA7566" w:rsidP="00AA7566">
      <w:pPr>
        <w:spacing w:line="240" w:lineRule="auto"/>
        <w:jc w:val="both"/>
        <w:rPr>
          <w:rFonts w:ascii="Times New Roman" w:hAnsi="Times New Roman" w:cs="Times New Roman"/>
          <w:color w:val="FF0000"/>
          <w:sz w:val="24"/>
          <w:szCs w:val="24"/>
          <w:u w:val="single"/>
        </w:rPr>
      </w:pPr>
      <w:r w:rsidRPr="001222C6">
        <w:rPr>
          <w:rFonts w:ascii="Times New Roman" w:hAnsi="Times New Roman" w:cs="Times New Roman"/>
          <w:color w:val="FF0000"/>
          <w:sz w:val="24"/>
          <w:szCs w:val="24"/>
          <w:u w:val="single"/>
        </w:rPr>
        <w:t xml:space="preserve">Peor aún, un riesgo creciente se cierne sobre el futuro de la Unión de Inglaterra, Escocia, Gales e Irlanda del Norte. El gobierno no quiere entender que si el RU abandona la unión aduanera europea, la frontera resultante entre la República de Irlanda e Irlanda del Norte pondrá en peligro el Acuerdo de Belfast (1998), que trajo más de veinte años de paz a la isla de Irlanda. </w:t>
      </w:r>
    </w:p>
    <w:p w:rsidR="00AA7566" w:rsidRPr="001222C6" w:rsidRDefault="00AA7566" w:rsidP="00AA7566">
      <w:pPr>
        <w:spacing w:line="240" w:lineRule="auto"/>
        <w:jc w:val="both"/>
        <w:rPr>
          <w:rFonts w:ascii="Times New Roman" w:hAnsi="Times New Roman" w:cs="Times New Roman"/>
          <w:sz w:val="24"/>
          <w:szCs w:val="24"/>
          <w:u w:val="single"/>
        </w:rPr>
      </w:pPr>
      <w:r w:rsidRPr="001222C6">
        <w:rPr>
          <w:rFonts w:ascii="Times New Roman" w:hAnsi="Times New Roman" w:cs="Times New Roman"/>
          <w:sz w:val="24"/>
          <w:szCs w:val="24"/>
          <w:u w:val="single"/>
        </w:rPr>
        <w:t>¿Son estas las acciones de un estado exitoso? Los que nos hacemos esa pregunta nos arriesgamos a que se nos llame “enemigos del pueblo”. Pero estamos en buena compañía: es lo mismo que dijeron los brexiteros de tres altos jueces británicos que afirmaron el principio de soberanía parlamentaria en el proceso del Brexit.</w:t>
      </w:r>
    </w:p>
    <w:p w:rsidR="00AA7566" w:rsidRPr="00D3773C" w:rsidRDefault="00AA7566" w:rsidP="00AA7566">
      <w:pPr>
        <w:spacing w:line="240" w:lineRule="auto"/>
        <w:jc w:val="both"/>
        <w:rPr>
          <w:rFonts w:ascii="Times New Roman" w:hAnsi="Times New Roman" w:cs="Times New Roman"/>
          <w:sz w:val="24"/>
          <w:szCs w:val="24"/>
        </w:rPr>
      </w:pPr>
      <w:r w:rsidRPr="00D3773C">
        <w:rPr>
          <w:rFonts w:ascii="Times New Roman" w:hAnsi="Times New Roman" w:cs="Times New Roman"/>
          <w:sz w:val="24"/>
          <w:szCs w:val="24"/>
        </w:rPr>
        <w:t>El Brexit está cada vez más cerca, y las instituciones y perspectivas económicas del RU, su constitución y su futuro están en riesgo. Pero el temerario descenso a un abismo de engaños y mentiras no se detiene.</w:t>
      </w:r>
    </w:p>
    <w:p w:rsidR="00AA7566" w:rsidRDefault="00AA7566" w:rsidP="00AA7566">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3773C">
        <w:rPr>
          <w:rFonts w:ascii="Times New Roman" w:hAnsi="Times New Roman" w:cs="Times New Roman"/>
          <w:sz w:val="24"/>
          <w:szCs w:val="24"/>
          <w:lang w:val="en-US"/>
        </w:rPr>
        <w:t>Chris Patten, the last British governor of Hong Kong and a former EU commissioner for external affairs, is Chancel</w:t>
      </w:r>
      <w:r>
        <w:rPr>
          <w:rFonts w:ascii="Times New Roman" w:hAnsi="Times New Roman" w:cs="Times New Roman"/>
          <w:sz w:val="24"/>
          <w:szCs w:val="24"/>
          <w:lang w:val="en-US"/>
        </w:rPr>
        <w:t>lor of the University of Oxford)</w:t>
      </w:r>
    </w:p>
    <w:p w:rsidR="00AA7566" w:rsidRPr="00953CB7" w:rsidRDefault="00AA7566" w:rsidP="00AA7566">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004A6D82">
        <w:rPr>
          <w:rFonts w:ascii="Times New Roman" w:hAnsi="Times New Roman" w:cs="Times New Roman"/>
          <w:sz w:val="24"/>
          <w:szCs w:val="24"/>
          <w:u w:val="single"/>
        </w:rPr>
        <w:t>Donald Trump promete un “gran acuerdo comercial”</w:t>
      </w:r>
      <w:r w:rsidRPr="00560764">
        <w:rPr>
          <w:rFonts w:ascii="Times New Roman" w:hAnsi="Times New Roman" w:cs="Times New Roman"/>
          <w:sz w:val="24"/>
          <w:szCs w:val="24"/>
          <w:u w:val="single"/>
        </w:rPr>
        <w:t xml:space="preserve"> a Boris Johnson para amortiguar el Brexit</w:t>
      </w:r>
      <w:r>
        <w:rPr>
          <w:rFonts w:ascii="Times New Roman" w:hAnsi="Times New Roman" w:cs="Times New Roman"/>
          <w:sz w:val="24"/>
          <w:szCs w:val="24"/>
        </w:rPr>
        <w:t xml:space="preserve"> (El Economista - </w:t>
      </w:r>
      <w:r w:rsidRPr="00DA0599">
        <w:rPr>
          <w:rFonts w:ascii="Times New Roman" w:hAnsi="Times New Roman" w:cs="Times New Roman"/>
          <w:b/>
          <w:sz w:val="24"/>
          <w:szCs w:val="24"/>
        </w:rPr>
        <w:t>25/8/19</w:t>
      </w:r>
      <w:r>
        <w:rPr>
          <w:rFonts w:ascii="Times New Roman" w:hAnsi="Times New Roman" w:cs="Times New Roman"/>
          <w:sz w:val="24"/>
          <w:szCs w:val="24"/>
        </w:rPr>
        <w:t xml:space="preserve">) </w:t>
      </w:r>
    </w:p>
    <w:p w:rsidR="00AA7566" w:rsidRPr="00560764" w:rsidRDefault="00AA7566" w:rsidP="00AA7566">
      <w:pPr>
        <w:spacing w:line="240" w:lineRule="auto"/>
        <w:jc w:val="both"/>
        <w:rPr>
          <w:rFonts w:ascii="Times New Roman" w:hAnsi="Times New Roman" w:cs="Times New Roman"/>
          <w:sz w:val="24"/>
          <w:szCs w:val="24"/>
        </w:rPr>
      </w:pPr>
      <w:r w:rsidRPr="00560764">
        <w:rPr>
          <w:rFonts w:ascii="Times New Roman" w:hAnsi="Times New Roman" w:cs="Times New Roman"/>
          <w:sz w:val="24"/>
          <w:szCs w:val="24"/>
        </w:rPr>
        <w:t>El presidente americano di</w:t>
      </w:r>
      <w:r w:rsidR="004A6D82">
        <w:rPr>
          <w:rFonts w:ascii="Times New Roman" w:hAnsi="Times New Roman" w:cs="Times New Roman"/>
          <w:sz w:val="24"/>
          <w:szCs w:val="24"/>
        </w:rPr>
        <w:t>ce que Johnson es el “hombre ideal para el Brexit”</w:t>
      </w:r>
    </w:p>
    <w:p w:rsidR="00AA7566" w:rsidRPr="00560764" w:rsidRDefault="00AA7566" w:rsidP="00AA7566">
      <w:pPr>
        <w:spacing w:line="240" w:lineRule="auto"/>
        <w:jc w:val="both"/>
        <w:rPr>
          <w:rFonts w:ascii="Times New Roman" w:hAnsi="Times New Roman" w:cs="Times New Roman"/>
          <w:color w:val="FF0000"/>
          <w:sz w:val="24"/>
          <w:szCs w:val="24"/>
          <w:u w:val="single"/>
        </w:rPr>
      </w:pPr>
      <w:r w:rsidRPr="00560764">
        <w:rPr>
          <w:rFonts w:ascii="Times New Roman" w:hAnsi="Times New Roman" w:cs="Times New Roman"/>
          <w:color w:val="FF0000"/>
          <w:sz w:val="24"/>
          <w:szCs w:val="24"/>
          <w:u w:val="single"/>
        </w:rPr>
        <w:t>El presidente de Estados Unidos, Donald Trump, ha aplaudido al primer ministro de Reino</w:t>
      </w:r>
      <w:r w:rsidR="004A6D82">
        <w:rPr>
          <w:rFonts w:ascii="Times New Roman" w:hAnsi="Times New Roman" w:cs="Times New Roman"/>
          <w:color w:val="FF0000"/>
          <w:sz w:val="24"/>
          <w:szCs w:val="24"/>
          <w:u w:val="single"/>
        </w:rPr>
        <w:t xml:space="preserve"> Unido, Boris Johnson, como el “hombre ideal”</w:t>
      </w:r>
      <w:r w:rsidRPr="00560764">
        <w:rPr>
          <w:rFonts w:ascii="Times New Roman" w:hAnsi="Times New Roman" w:cs="Times New Roman"/>
          <w:color w:val="FF0000"/>
          <w:sz w:val="24"/>
          <w:szCs w:val="24"/>
          <w:u w:val="single"/>
        </w:rPr>
        <w:t xml:space="preserve"> para abanderar la salida del país de la Unió</w:t>
      </w:r>
      <w:r w:rsidR="004A6D82">
        <w:rPr>
          <w:rFonts w:ascii="Times New Roman" w:hAnsi="Times New Roman" w:cs="Times New Roman"/>
          <w:color w:val="FF0000"/>
          <w:sz w:val="24"/>
          <w:szCs w:val="24"/>
          <w:u w:val="single"/>
        </w:rPr>
        <w:t>n Europea y le ha prometido un “gran acuerdo comercial”</w:t>
      </w:r>
      <w:r w:rsidRPr="00560764">
        <w:rPr>
          <w:rFonts w:ascii="Times New Roman" w:hAnsi="Times New Roman" w:cs="Times New Roman"/>
          <w:color w:val="FF0000"/>
          <w:sz w:val="24"/>
          <w:szCs w:val="24"/>
          <w:u w:val="single"/>
        </w:rPr>
        <w:t xml:space="preserve"> para amortiguar el impacto económico del Brexit.</w:t>
      </w:r>
    </w:p>
    <w:p w:rsidR="00AA7566" w:rsidRPr="00560764" w:rsidRDefault="004A6D82" w:rsidP="00AA756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AA7566" w:rsidRPr="00560764">
        <w:rPr>
          <w:rFonts w:ascii="Times New Roman" w:hAnsi="Times New Roman" w:cs="Times New Roman"/>
          <w:sz w:val="24"/>
          <w:szCs w:val="24"/>
          <w:u w:val="single"/>
        </w:rPr>
        <w:t>Vamos a preparar un gran acuerdo comercial con Reino Unido q</w:t>
      </w:r>
      <w:r>
        <w:rPr>
          <w:rFonts w:ascii="Times New Roman" w:hAnsi="Times New Roman" w:cs="Times New Roman"/>
          <w:sz w:val="24"/>
          <w:szCs w:val="24"/>
          <w:u w:val="single"/>
        </w:rPr>
        <w:t>ue esperamos cerrar rápidamente”</w:t>
      </w:r>
      <w:r w:rsidR="00AA7566" w:rsidRPr="00560764">
        <w:rPr>
          <w:rFonts w:ascii="Times New Roman" w:hAnsi="Times New Roman" w:cs="Times New Roman"/>
          <w:sz w:val="24"/>
          <w:szCs w:val="24"/>
          <w:u w:val="single"/>
        </w:rPr>
        <w:t>, ha declarado Trump durante la cumbre de los siete países más industrializados del mundo, el G7, que se celebra en la ciudad francesa de Biarritz.</w:t>
      </w:r>
    </w:p>
    <w:p w:rsidR="00AA7566" w:rsidRPr="00560764" w:rsidRDefault="004A6D82" w:rsidP="00AA756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AA7566" w:rsidRPr="00560764">
        <w:rPr>
          <w:rFonts w:ascii="Times New Roman" w:hAnsi="Times New Roman" w:cs="Times New Roman"/>
          <w:sz w:val="24"/>
          <w:szCs w:val="24"/>
          <w:u w:val="single"/>
        </w:rPr>
        <w:t>A mí me parece que va a ser un gr</w:t>
      </w:r>
      <w:r>
        <w:rPr>
          <w:rFonts w:ascii="Times New Roman" w:hAnsi="Times New Roman" w:cs="Times New Roman"/>
          <w:sz w:val="24"/>
          <w:szCs w:val="24"/>
          <w:u w:val="single"/>
        </w:rPr>
        <w:t>an primer ministro”</w:t>
      </w:r>
      <w:r w:rsidR="00AA7566" w:rsidRPr="00560764">
        <w:rPr>
          <w:rFonts w:ascii="Times New Roman" w:hAnsi="Times New Roman" w:cs="Times New Roman"/>
          <w:sz w:val="24"/>
          <w:szCs w:val="24"/>
          <w:u w:val="single"/>
        </w:rPr>
        <w:t>, ha declarado Trump en su primer encuentro con Johnson con este último al frente del Gobierno británico.</w:t>
      </w:r>
    </w:p>
    <w:p w:rsidR="00AA7566" w:rsidRPr="00DA0599" w:rsidRDefault="00AA7566" w:rsidP="00AA7566">
      <w:pPr>
        <w:spacing w:line="240" w:lineRule="auto"/>
        <w:jc w:val="both"/>
        <w:rPr>
          <w:rFonts w:ascii="Times New Roman" w:hAnsi="Times New Roman" w:cs="Times New Roman"/>
          <w:sz w:val="24"/>
          <w:szCs w:val="24"/>
        </w:rPr>
      </w:pPr>
      <w:r w:rsidRPr="00DA0599">
        <w:rPr>
          <w:rFonts w:ascii="Times New Roman" w:hAnsi="Times New Roman" w:cs="Times New Roman"/>
          <w:sz w:val="24"/>
          <w:szCs w:val="24"/>
        </w:rPr>
        <w:t>Previamente, Trump había remarcado el buen ambiente que se respira entre l</w:t>
      </w:r>
      <w:r w:rsidR="004A6D82">
        <w:rPr>
          <w:rFonts w:ascii="Times New Roman" w:hAnsi="Times New Roman" w:cs="Times New Roman"/>
          <w:sz w:val="24"/>
          <w:szCs w:val="24"/>
        </w:rPr>
        <w:t>os participantes del encuentro “</w:t>
      </w:r>
      <w:r w:rsidRPr="00DA0599">
        <w:rPr>
          <w:rFonts w:ascii="Times New Roman" w:hAnsi="Times New Roman" w:cs="Times New Roman"/>
          <w:sz w:val="24"/>
          <w:szCs w:val="24"/>
        </w:rPr>
        <w:t>a pesar de las falsas inf</w:t>
      </w:r>
      <w:r w:rsidR="004A6D82">
        <w:rPr>
          <w:rFonts w:ascii="Times New Roman" w:hAnsi="Times New Roman" w:cs="Times New Roman"/>
          <w:sz w:val="24"/>
          <w:szCs w:val="24"/>
        </w:rPr>
        <w:t>ormaciones”</w:t>
      </w:r>
      <w:r w:rsidRPr="00DA0599">
        <w:rPr>
          <w:rFonts w:ascii="Times New Roman" w:hAnsi="Times New Roman" w:cs="Times New Roman"/>
          <w:sz w:val="24"/>
          <w:szCs w:val="24"/>
        </w:rPr>
        <w:t xml:space="preserve"> publica</w:t>
      </w:r>
      <w:r>
        <w:rPr>
          <w:rFonts w:ascii="Times New Roman" w:hAnsi="Times New Roman" w:cs="Times New Roman"/>
          <w:sz w:val="24"/>
          <w:szCs w:val="24"/>
        </w:rPr>
        <w:t>das por medios norteamericanos.</w:t>
      </w:r>
    </w:p>
    <w:p w:rsidR="00AA7566" w:rsidRPr="00DA0599" w:rsidRDefault="00AA7566" w:rsidP="00AA7566">
      <w:pPr>
        <w:spacing w:line="240" w:lineRule="auto"/>
        <w:jc w:val="both"/>
        <w:rPr>
          <w:rFonts w:ascii="Times New Roman" w:hAnsi="Times New Roman" w:cs="Times New Roman"/>
          <w:sz w:val="24"/>
          <w:szCs w:val="24"/>
        </w:rPr>
      </w:pPr>
      <w:r w:rsidRPr="00DA0599">
        <w:rPr>
          <w:rFonts w:ascii="Times New Roman" w:hAnsi="Times New Roman" w:cs="Times New Roman"/>
          <w:sz w:val="24"/>
          <w:szCs w:val="24"/>
        </w:rPr>
        <w:t>En particular, con el presidente francés, Emmanuel Macron, quien ha prometido aplicar un impuesto adicional a las compañías tecnológicas estadounidenses en Francia; a lo que Trump había respondido con la amenaza de imponer aranceles adi</w:t>
      </w:r>
      <w:r>
        <w:rPr>
          <w:rFonts w:ascii="Times New Roman" w:hAnsi="Times New Roman" w:cs="Times New Roman"/>
          <w:sz w:val="24"/>
          <w:szCs w:val="24"/>
        </w:rPr>
        <w:t>cionales a los vinos franceses.</w:t>
      </w:r>
    </w:p>
    <w:p w:rsidR="00AA7566" w:rsidRPr="00DA0599" w:rsidRDefault="00AA7566" w:rsidP="00AA7566">
      <w:pPr>
        <w:spacing w:line="240" w:lineRule="auto"/>
        <w:jc w:val="both"/>
        <w:rPr>
          <w:rFonts w:ascii="Times New Roman" w:hAnsi="Times New Roman" w:cs="Times New Roman"/>
          <w:sz w:val="24"/>
          <w:szCs w:val="24"/>
        </w:rPr>
      </w:pPr>
      <w:r w:rsidRPr="00DA0599">
        <w:rPr>
          <w:rFonts w:ascii="Times New Roman" w:hAnsi="Times New Roman" w:cs="Times New Roman"/>
          <w:sz w:val="24"/>
          <w:szCs w:val="24"/>
        </w:rPr>
        <w:t xml:space="preserve">El mandatario norteamericano ha llegado incluso a decir </w:t>
      </w:r>
      <w:r w:rsidR="004A6D82">
        <w:rPr>
          <w:rFonts w:ascii="Times New Roman" w:hAnsi="Times New Roman" w:cs="Times New Roman"/>
          <w:sz w:val="24"/>
          <w:szCs w:val="24"/>
        </w:rPr>
        <w:t>que sus socios internacionales “respetan la guerra comercial”que está entablando con China. “</w:t>
      </w:r>
      <w:r w:rsidRPr="00DA0599">
        <w:rPr>
          <w:rFonts w:ascii="Times New Roman" w:hAnsi="Times New Roman" w:cs="Times New Roman"/>
          <w:sz w:val="24"/>
          <w:szCs w:val="24"/>
        </w:rPr>
        <w:t>Es algo que tenía que ocurrir y nadie me ha</w:t>
      </w:r>
      <w:r w:rsidR="004A6D82">
        <w:rPr>
          <w:rFonts w:ascii="Times New Roman" w:hAnsi="Times New Roman" w:cs="Times New Roman"/>
          <w:sz w:val="24"/>
          <w:szCs w:val="24"/>
        </w:rPr>
        <w:t xml:space="preserve"> dicho nada al respecto”</w:t>
      </w:r>
      <w:r w:rsidRPr="00DA0599">
        <w:rPr>
          <w:rFonts w:ascii="Times New Roman" w:hAnsi="Times New Roman" w:cs="Times New Roman"/>
          <w:sz w:val="24"/>
          <w:szCs w:val="24"/>
        </w:rPr>
        <w:t>, ha añadido Trump a pesar de los recelos mostrados por los líderes y organismos económicos internacionales sobre la inestabilidad que</w:t>
      </w:r>
      <w:r>
        <w:rPr>
          <w:rFonts w:ascii="Times New Roman" w:hAnsi="Times New Roman" w:cs="Times New Roman"/>
          <w:sz w:val="24"/>
          <w:szCs w:val="24"/>
        </w:rPr>
        <w:t xml:space="preserve"> está generando esta contienda.</w:t>
      </w:r>
    </w:p>
    <w:p w:rsidR="004A6D82" w:rsidRDefault="00AA7566" w:rsidP="001C7F37">
      <w:pPr>
        <w:spacing w:line="240" w:lineRule="auto"/>
        <w:jc w:val="both"/>
        <w:rPr>
          <w:rFonts w:ascii="Times New Roman" w:hAnsi="Times New Roman" w:cs="Times New Roman"/>
          <w:sz w:val="24"/>
          <w:szCs w:val="24"/>
        </w:rPr>
      </w:pPr>
      <w:r w:rsidRPr="00DA0599">
        <w:rPr>
          <w:rFonts w:ascii="Times New Roman" w:hAnsi="Times New Roman" w:cs="Times New Roman"/>
          <w:sz w:val="24"/>
          <w:szCs w:val="24"/>
        </w:rPr>
        <w:t xml:space="preserve">Johnson, por su parte, ha felicitado al presidente norteamericano </w:t>
      </w:r>
      <w:r w:rsidR="004A6D82">
        <w:rPr>
          <w:rFonts w:ascii="Times New Roman" w:hAnsi="Times New Roman" w:cs="Times New Roman"/>
          <w:sz w:val="24"/>
          <w:szCs w:val="24"/>
        </w:rPr>
        <w:t>“</w:t>
      </w:r>
      <w:r w:rsidRPr="00DA0599">
        <w:rPr>
          <w:rFonts w:ascii="Times New Roman" w:hAnsi="Times New Roman" w:cs="Times New Roman"/>
          <w:sz w:val="24"/>
          <w:szCs w:val="24"/>
        </w:rPr>
        <w:t>por todo lo que ha co</w:t>
      </w:r>
      <w:r w:rsidR="004A6D82">
        <w:rPr>
          <w:rFonts w:ascii="Times New Roman" w:hAnsi="Times New Roman" w:cs="Times New Roman"/>
          <w:sz w:val="24"/>
          <w:szCs w:val="24"/>
        </w:rPr>
        <w:t>nseguido en el ámbito económico”</w:t>
      </w:r>
      <w:r w:rsidRPr="00DA0599">
        <w:rPr>
          <w:rFonts w:ascii="Times New Roman" w:hAnsi="Times New Roman" w:cs="Times New Roman"/>
          <w:sz w:val="24"/>
          <w:szCs w:val="24"/>
        </w:rPr>
        <w:t>, aunqu</w:t>
      </w:r>
      <w:r w:rsidR="004A6D82">
        <w:rPr>
          <w:rFonts w:ascii="Times New Roman" w:hAnsi="Times New Roman" w:cs="Times New Roman"/>
          <w:sz w:val="24"/>
          <w:szCs w:val="24"/>
        </w:rPr>
        <w:t>e ha apostado por mantener una “paz comercial”</w:t>
      </w:r>
      <w:r w:rsidRPr="00DA0599">
        <w:rPr>
          <w:rFonts w:ascii="Times New Roman" w:hAnsi="Times New Roman" w:cs="Times New Roman"/>
          <w:sz w:val="24"/>
          <w:szCs w:val="24"/>
        </w:rPr>
        <w:t xml:space="preserve"> en lo que se refiere a la actual contienda que man</w:t>
      </w:r>
      <w:r w:rsidR="004A6D82">
        <w:rPr>
          <w:rFonts w:ascii="Times New Roman" w:hAnsi="Times New Roman" w:cs="Times New Roman"/>
          <w:sz w:val="24"/>
          <w:szCs w:val="24"/>
        </w:rPr>
        <w:t>tienen China y Estados Unidos. “</w:t>
      </w:r>
      <w:r w:rsidRPr="00DA0599">
        <w:rPr>
          <w:rFonts w:ascii="Times New Roman" w:hAnsi="Times New Roman" w:cs="Times New Roman"/>
          <w:sz w:val="24"/>
          <w:szCs w:val="24"/>
        </w:rPr>
        <w:t>No nos g</w:t>
      </w:r>
      <w:r w:rsidR="004A6D82">
        <w:rPr>
          <w:rFonts w:ascii="Times New Roman" w:hAnsi="Times New Roman" w:cs="Times New Roman"/>
          <w:sz w:val="24"/>
          <w:szCs w:val="24"/>
        </w:rPr>
        <w:t>ustan los aranceles, en general”</w:t>
      </w:r>
      <w:r w:rsidRPr="00DA0599">
        <w:rPr>
          <w:rFonts w:ascii="Times New Roman" w:hAnsi="Times New Roman" w:cs="Times New Roman"/>
          <w:sz w:val="24"/>
          <w:szCs w:val="24"/>
        </w:rPr>
        <w:t>, ha declarado Johnson.</w:t>
      </w:r>
    </w:p>
    <w:p w:rsidR="001C7F37" w:rsidRPr="004A6D82" w:rsidRDefault="001C7F37" w:rsidP="001C7F37">
      <w:pPr>
        <w:spacing w:line="240" w:lineRule="auto"/>
        <w:jc w:val="both"/>
        <w:rPr>
          <w:rFonts w:ascii="Times New Roman" w:hAnsi="Times New Roman" w:cs="Times New Roman"/>
          <w:sz w:val="24"/>
          <w:szCs w:val="24"/>
        </w:rPr>
      </w:pPr>
      <w:r w:rsidRPr="008D2C12">
        <w:rPr>
          <w:rFonts w:ascii="Times New Roman" w:hAnsi="Times New Roman" w:cs="Times New Roman"/>
          <w:b/>
          <w:sz w:val="24"/>
          <w:szCs w:val="24"/>
        </w:rPr>
        <w:t>Anexo:</w:t>
      </w:r>
      <w:r>
        <w:rPr>
          <w:rFonts w:ascii="Times New Roman" w:hAnsi="Times New Roman" w:cs="Times New Roman"/>
          <w:b/>
          <w:sz w:val="24"/>
          <w:szCs w:val="24"/>
        </w:rPr>
        <w:t xml:space="preserve"> ¿Qué piensan los europeos? - </w:t>
      </w:r>
      <w:r w:rsidRPr="008D2C12">
        <w:rPr>
          <w:rFonts w:ascii="Times New Roman" w:hAnsi="Times New Roman" w:cs="Times New Roman"/>
          <w:b/>
          <w:sz w:val="24"/>
          <w:szCs w:val="24"/>
        </w:rPr>
        <w:t>Informes de Organismos Internacionales (selección y resumen</w:t>
      </w:r>
      <w:r>
        <w:rPr>
          <w:rFonts w:ascii="Times New Roman" w:hAnsi="Times New Roman" w:cs="Times New Roman"/>
          <w:b/>
          <w:sz w:val="24"/>
          <w:szCs w:val="24"/>
        </w:rPr>
        <w:t xml:space="preserve"> de las publicaciones más recientes, sobre el “perfil” del ciudadano</w:t>
      </w:r>
      <w:r w:rsidRPr="008D2C12">
        <w:rPr>
          <w:rFonts w:ascii="Times New Roman" w:hAnsi="Times New Roman" w:cs="Times New Roman"/>
          <w:b/>
          <w:sz w:val="24"/>
          <w:szCs w:val="24"/>
        </w:rPr>
        <w:t>)</w:t>
      </w:r>
    </w:p>
    <w:p w:rsidR="001C7F37" w:rsidRPr="008D2C12" w:rsidRDefault="001C7F37" w:rsidP="001C7F3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Estudio Internacional de </w:t>
      </w:r>
      <w:r w:rsidRPr="008D2C12">
        <w:rPr>
          <w:rFonts w:ascii="Times New Roman" w:hAnsi="Times New Roman" w:cs="Times New Roman"/>
          <w:b/>
          <w:sz w:val="24"/>
          <w:szCs w:val="24"/>
        </w:rPr>
        <w:t>Valores Fundación BBVA</w:t>
      </w:r>
      <w:r>
        <w:rPr>
          <w:rFonts w:ascii="Times New Roman" w:hAnsi="Times New Roman" w:cs="Times New Roman"/>
          <w:b/>
          <w:sz w:val="24"/>
          <w:szCs w:val="24"/>
        </w:rPr>
        <w:t xml:space="preserve"> (Septiembre 2019)</w:t>
      </w:r>
    </w:p>
    <w:p w:rsidR="001C7F37" w:rsidRDefault="001C7F37" w:rsidP="001C7F3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Primera parte: Valores y actitudes en Europa </w:t>
      </w:r>
      <w:r w:rsidRPr="008D2C12">
        <w:rPr>
          <w:rFonts w:ascii="Times New Roman" w:hAnsi="Times New Roman" w:cs="Times New Roman"/>
          <w:b/>
          <w:sz w:val="24"/>
          <w:szCs w:val="24"/>
        </w:rPr>
        <w:t>acerca de la esfera pública</w:t>
      </w:r>
    </w:p>
    <w:p w:rsidR="001C7F37" w:rsidRDefault="001C7F37" w:rsidP="001C7F37">
      <w:pPr>
        <w:spacing w:line="240" w:lineRule="auto"/>
        <w:jc w:val="both"/>
        <w:rPr>
          <w:rFonts w:ascii="Times New Roman" w:hAnsi="Times New Roman" w:cs="Times New Roman"/>
          <w:sz w:val="24"/>
          <w:szCs w:val="24"/>
        </w:rPr>
      </w:pPr>
      <w:r w:rsidRPr="008D2C12">
        <w:rPr>
          <w:rFonts w:ascii="Times New Roman" w:hAnsi="Times New Roman" w:cs="Times New Roman"/>
          <w:sz w:val="24"/>
          <w:szCs w:val="24"/>
        </w:rPr>
        <w:t>El Estudio Europeo de Valores 2019 de la F</w:t>
      </w:r>
      <w:r>
        <w:rPr>
          <w:rFonts w:ascii="Times New Roman" w:hAnsi="Times New Roman" w:cs="Times New Roman"/>
          <w:sz w:val="24"/>
          <w:szCs w:val="24"/>
        </w:rPr>
        <w:t xml:space="preserve">undación BBVA examina un amplio </w:t>
      </w:r>
      <w:r w:rsidRPr="008D2C12">
        <w:rPr>
          <w:rFonts w:ascii="Times New Roman" w:hAnsi="Times New Roman" w:cs="Times New Roman"/>
          <w:sz w:val="24"/>
          <w:szCs w:val="24"/>
        </w:rPr>
        <w:t>conjunto de valores y actitudes de la poblaci</w:t>
      </w:r>
      <w:r>
        <w:rPr>
          <w:rFonts w:ascii="Times New Roman" w:hAnsi="Times New Roman" w:cs="Times New Roman"/>
          <w:sz w:val="24"/>
          <w:szCs w:val="24"/>
        </w:rPr>
        <w:t xml:space="preserve">ón adulta de 5 países europeos: </w:t>
      </w:r>
      <w:r w:rsidRPr="008D2C12">
        <w:rPr>
          <w:rFonts w:ascii="Times New Roman" w:hAnsi="Times New Roman" w:cs="Times New Roman"/>
          <w:sz w:val="24"/>
          <w:szCs w:val="24"/>
        </w:rPr>
        <w:t xml:space="preserve">Alemania, Reino Unido, Francia, Italia y </w:t>
      </w:r>
      <w:r>
        <w:rPr>
          <w:rFonts w:ascii="Times New Roman" w:hAnsi="Times New Roman" w:cs="Times New Roman"/>
          <w:sz w:val="24"/>
          <w:szCs w:val="24"/>
        </w:rPr>
        <w:t xml:space="preserve">España. Los valores y actitudes </w:t>
      </w:r>
      <w:r w:rsidRPr="008D2C12">
        <w:rPr>
          <w:rFonts w:ascii="Times New Roman" w:hAnsi="Times New Roman" w:cs="Times New Roman"/>
          <w:sz w:val="24"/>
          <w:szCs w:val="24"/>
        </w:rPr>
        <w:t>considerados abarcan los ámbitos públi</w:t>
      </w:r>
      <w:r>
        <w:rPr>
          <w:rFonts w:ascii="Times New Roman" w:hAnsi="Times New Roman" w:cs="Times New Roman"/>
          <w:sz w:val="24"/>
          <w:szCs w:val="24"/>
        </w:rPr>
        <w:t xml:space="preserve">co (política, economía, medios, </w:t>
      </w:r>
      <w:r w:rsidRPr="008D2C12">
        <w:rPr>
          <w:rFonts w:ascii="Times New Roman" w:hAnsi="Times New Roman" w:cs="Times New Roman"/>
          <w:sz w:val="24"/>
          <w:szCs w:val="24"/>
        </w:rPr>
        <w:t>confianza) y privado (religión, ética, ciencia, medio ambiente).</w:t>
      </w:r>
    </w:p>
    <w:p w:rsidR="001C7F37" w:rsidRPr="008D2C12" w:rsidRDefault="001C7F37" w:rsidP="001C7F37">
      <w:pPr>
        <w:spacing w:line="240" w:lineRule="auto"/>
        <w:jc w:val="both"/>
        <w:rPr>
          <w:rFonts w:ascii="Times New Roman" w:hAnsi="Times New Roman" w:cs="Times New Roman"/>
          <w:sz w:val="24"/>
          <w:szCs w:val="24"/>
        </w:rPr>
      </w:pPr>
      <w:r w:rsidRPr="008D2C12">
        <w:rPr>
          <w:rFonts w:ascii="Times New Roman" w:hAnsi="Times New Roman" w:cs="Times New Roman"/>
          <w:sz w:val="24"/>
          <w:szCs w:val="24"/>
        </w:rPr>
        <w:t>Esta presentación está referida exclusivamente a</w:t>
      </w:r>
      <w:r>
        <w:rPr>
          <w:rFonts w:ascii="Times New Roman" w:hAnsi="Times New Roman" w:cs="Times New Roman"/>
          <w:sz w:val="24"/>
          <w:szCs w:val="24"/>
        </w:rPr>
        <w:t xml:space="preserve"> distintas facetas de la esfera </w:t>
      </w:r>
      <w:r w:rsidRPr="008D2C12">
        <w:rPr>
          <w:rFonts w:ascii="Times New Roman" w:hAnsi="Times New Roman" w:cs="Times New Roman"/>
          <w:sz w:val="24"/>
          <w:szCs w:val="24"/>
        </w:rPr>
        <w:t xml:space="preserve">pública. El análisis comparado de estos valores y </w:t>
      </w:r>
      <w:r>
        <w:rPr>
          <w:rFonts w:ascii="Times New Roman" w:hAnsi="Times New Roman" w:cs="Times New Roman"/>
          <w:sz w:val="24"/>
          <w:szCs w:val="24"/>
        </w:rPr>
        <w:t xml:space="preserve">actitudes identifica los puntos </w:t>
      </w:r>
      <w:r w:rsidRPr="008D2C12">
        <w:rPr>
          <w:rFonts w:ascii="Times New Roman" w:hAnsi="Times New Roman" w:cs="Times New Roman"/>
          <w:sz w:val="24"/>
          <w:szCs w:val="24"/>
        </w:rPr>
        <w:t>en común y las diferencias entre esas cinco soc</w:t>
      </w:r>
      <w:r>
        <w:rPr>
          <w:rFonts w:ascii="Times New Roman" w:hAnsi="Times New Roman" w:cs="Times New Roman"/>
          <w:sz w:val="24"/>
          <w:szCs w:val="24"/>
        </w:rPr>
        <w:t xml:space="preserve">iedades, así como en el seno de </w:t>
      </w:r>
      <w:r w:rsidRPr="008D2C12">
        <w:rPr>
          <w:rFonts w:ascii="Times New Roman" w:hAnsi="Times New Roman" w:cs="Times New Roman"/>
          <w:sz w:val="24"/>
          <w:szCs w:val="24"/>
        </w:rPr>
        <w:t>cada una de ellas, atendiendo a factores soc</w:t>
      </w:r>
      <w:r>
        <w:rPr>
          <w:rFonts w:ascii="Times New Roman" w:hAnsi="Times New Roman" w:cs="Times New Roman"/>
          <w:sz w:val="24"/>
          <w:szCs w:val="24"/>
        </w:rPr>
        <w:t xml:space="preserve">iodemográficos y culturales: la </w:t>
      </w:r>
      <w:r w:rsidRPr="008D2C12">
        <w:rPr>
          <w:rFonts w:ascii="Times New Roman" w:hAnsi="Times New Roman" w:cs="Times New Roman"/>
          <w:sz w:val="24"/>
          <w:szCs w:val="24"/>
        </w:rPr>
        <w:t>edad, el género, el nivel de estudios y el autoposicionamiento ideológico.</w:t>
      </w:r>
    </w:p>
    <w:p w:rsidR="001C7F37" w:rsidRPr="008D2C12" w:rsidRDefault="001C7F37" w:rsidP="001C7F37">
      <w:pPr>
        <w:spacing w:line="240" w:lineRule="auto"/>
        <w:jc w:val="both"/>
        <w:rPr>
          <w:rFonts w:ascii="Times New Roman" w:hAnsi="Times New Roman" w:cs="Times New Roman"/>
          <w:sz w:val="24"/>
          <w:szCs w:val="24"/>
        </w:rPr>
      </w:pPr>
      <w:r w:rsidRPr="008D2C12">
        <w:rPr>
          <w:rFonts w:ascii="Times New Roman" w:hAnsi="Times New Roman" w:cs="Times New Roman"/>
          <w:sz w:val="24"/>
          <w:szCs w:val="24"/>
        </w:rPr>
        <w:t>La información empírica se ha obtenido a travé</w:t>
      </w:r>
      <w:r>
        <w:rPr>
          <w:rFonts w:ascii="Times New Roman" w:hAnsi="Times New Roman" w:cs="Times New Roman"/>
          <w:sz w:val="24"/>
          <w:szCs w:val="24"/>
        </w:rPr>
        <w:t xml:space="preserve">s de una encuesta a una muestra </w:t>
      </w:r>
      <w:r w:rsidRPr="008D2C12">
        <w:rPr>
          <w:rFonts w:ascii="Times New Roman" w:hAnsi="Times New Roman" w:cs="Times New Roman"/>
          <w:sz w:val="24"/>
          <w:szCs w:val="24"/>
        </w:rPr>
        <w:t>representativa de 1.500 personas de 18 y má</w:t>
      </w:r>
      <w:r>
        <w:rPr>
          <w:rFonts w:ascii="Times New Roman" w:hAnsi="Times New Roman" w:cs="Times New Roman"/>
          <w:sz w:val="24"/>
          <w:szCs w:val="24"/>
        </w:rPr>
        <w:t xml:space="preserve">s años en cada uno de los cinco </w:t>
      </w:r>
      <w:r w:rsidRPr="008D2C12">
        <w:rPr>
          <w:rFonts w:ascii="Times New Roman" w:hAnsi="Times New Roman" w:cs="Times New Roman"/>
          <w:sz w:val="24"/>
          <w:szCs w:val="24"/>
        </w:rPr>
        <w:t>países más poblados de la Unión Europea.</w:t>
      </w:r>
    </w:p>
    <w:p w:rsidR="001C7F37" w:rsidRDefault="001C7F37" w:rsidP="001C7F37">
      <w:pPr>
        <w:spacing w:line="240" w:lineRule="auto"/>
        <w:jc w:val="both"/>
        <w:rPr>
          <w:rFonts w:ascii="Times New Roman" w:hAnsi="Times New Roman" w:cs="Times New Roman"/>
          <w:sz w:val="24"/>
          <w:szCs w:val="24"/>
        </w:rPr>
      </w:pPr>
      <w:r w:rsidRPr="008D2C12">
        <w:rPr>
          <w:rFonts w:ascii="Times New Roman" w:hAnsi="Times New Roman" w:cs="Times New Roman"/>
          <w:sz w:val="24"/>
          <w:szCs w:val="24"/>
        </w:rPr>
        <w:t xml:space="preserve">El trabajo de campo ha sido realizado por Ipsos </w:t>
      </w:r>
      <w:r>
        <w:rPr>
          <w:rFonts w:ascii="Times New Roman" w:hAnsi="Times New Roman" w:cs="Times New Roman"/>
          <w:sz w:val="24"/>
          <w:szCs w:val="24"/>
        </w:rPr>
        <w:t xml:space="preserve">entre abril y julio de 2019. El </w:t>
      </w:r>
      <w:r w:rsidRPr="008D2C12">
        <w:rPr>
          <w:rFonts w:ascii="Times New Roman" w:hAnsi="Times New Roman" w:cs="Times New Roman"/>
          <w:sz w:val="24"/>
          <w:szCs w:val="24"/>
        </w:rPr>
        <w:t>diseño del cuestionario y el análisis de los datos</w:t>
      </w:r>
      <w:r>
        <w:rPr>
          <w:rFonts w:ascii="Times New Roman" w:hAnsi="Times New Roman" w:cs="Times New Roman"/>
          <w:sz w:val="24"/>
          <w:szCs w:val="24"/>
        </w:rPr>
        <w:t xml:space="preserve"> obtenidos se ha</w:t>
      </w:r>
      <w:r w:rsidR="00810DC1">
        <w:rPr>
          <w:rFonts w:ascii="Times New Roman" w:hAnsi="Times New Roman" w:cs="Times New Roman"/>
          <w:sz w:val="24"/>
          <w:szCs w:val="24"/>
        </w:rPr>
        <w:t>n</w:t>
      </w:r>
      <w:r>
        <w:rPr>
          <w:rFonts w:ascii="Times New Roman" w:hAnsi="Times New Roman" w:cs="Times New Roman"/>
          <w:sz w:val="24"/>
          <w:szCs w:val="24"/>
        </w:rPr>
        <w:t xml:space="preserve"> llevado a cabo </w:t>
      </w:r>
      <w:r w:rsidRPr="008D2C12">
        <w:rPr>
          <w:rFonts w:ascii="Times New Roman" w:hAnsi="Times New Roman" w:cs="Times New Roman"/>
          <w:sz w:val="24"/>
          <w:szCs w:val="24"/>
        </w:rPr>
        <w:t xml:space="preserve">por el Departamento de Estudios Sociales y </w:t>
      </w:r>
      <w:r>
        <w:rPr>
          <w:rFonts w:ascii="Times New Roman" w:hAnsi="Times New Roman" w:cs="Times New Roman"/>
          <w:sz w:val="24"/>
          <w:szCs w:val="24"/>
        </w:rPr>
        <w:t xml:space="preserve">Opinión Pública de la Fundación </w:t>
      </w:r>
      <w:r w:rsidRPr="008D2C12">
        <w:rPr>
          <w:rFonts w:ascii="Times New Roman" w:hAnsi="Times New Roman" w:cs="Times New Roman"/>
          <w:sz w:val="24"/>
          <w:szCs w:val="24"/>
        </w:rPr>
        <w:t>BBVA.</w:t>
      </w:r>
    </w:p>
    <w:p w:rsidR="001C7F37" w:rsidRDefault="001C7F37" w:rsidP="001C7F37">
      <w:pPr>
        <w:spacing w:line="240" w:lineRule="auto"/>
        <w:jc w:val="both"/>
        <w:rPr>
          <w:rFonts w:ascii="Times New Roman" w:hAnsi="Times New Roman" w:cs="Times New Roman"/>
          <w:sz w:val="24"/>
          <w:szCs w:val="24"/>
        </w:rPr>
      </w:pPr>
      <w:r w:rsidRPr="00B828FB">
        <w:rPr>
          <w:rFonts w:ascii="Times New Roman" w:hAnsi="Times New Roman" w:cs="Times New Roman"/>
          <w:sz w:val="24"/>
          <w:szCs w:val="24"/>
        </w:rPr>
        <w:t>El objeto del estudio es captar un amplio conj</w:t>
      </w:r>
      <w:r>
        <w:rPr>
          <w:rFonts w:ascii="Times New Roman" w:hAnsi="Times New Roman" w:cs="Times New Roman"/>
          <w:sz w:val="24"/>
          <w:szCs w:val="24"/>
        </w:rPr>
        <w:t xml:space="preserve">unto de preferencias, valores y </w:t>
      </w:r>
      <w:r w:rsidRPr="00B828FB">
        <w:rPr>
          <w:rFonts w:ascii="Times New Roman" w:hAnsi="Times New Roman" w:cs="Times New Roman"/>
          <w:sz w:val="24"/>
          <w:szCs w:val="24"/>
        </w:rPr>
        <w:t>creencias que contribuyen a orientar la c</w:t>
      </w:r>
      <w:r>
        <w:rPr>
          <w:rFonts w:ascii="Times New Roman" w:hAnsi="Times New Roman" w:cs="Times New Roman"/>
          <w:sz w:val="24"/>
          <w:szCs w:val="24"/>
        </w:rPr>
        <w:t xml:space="preserve">onducta individual en numerosas </w:t>
      </w:r>
      <w:r w:rsidRPr="00B828FB">
        <w:rPr>
          <w:rFonts w:ascii="Times New Roman" w:hAnsi="Times New Roman" w:cs="Times New Roman"/>
          <w:sz w:val="24"/>
          <w:szCs w:val="24"/>
        </w:rPr>
        <w:t>facetas de los ámbitos público y priva</w:t>
      </w:r>
      <w:r>
        <w:rPr>
          <w:rFonts w:ascii="Times New Roman" w:hAnsi="Times New Roman" w:cs="Times New Roman"/>
          <w:sz w:val="24"/>
          <w:szCs w:val="24"/>
        </w:rPr>
        <w:t xml:space="preserve">do, así como las relaciones del </w:t>
      </w:r>
      <w:r w:rsidRPr="00B828FB">
        <w:rPr>
          <w:rFonts w:ascii="Times New Roman" w:hAnsi="Times New Roman" w:cs="Times New Roman"/>
          <w:sz w:val="24"/>
          <w:szCs w:val="24"/>
        </w:rPr>
        <w:t>comportamiento en ambos dominios</w:t>
      </w:r>
      <w:r>
        <w:rPr>
          <w:rFonts w:ascii="Times New Roman" w:hAnsi="Times New Roman" w:cs="Times New Roman"/>
          <w:sz w:val="24"/>
          <w:szCs w:val="24"/>
        </w:rPr>
        <w:t>…</w:t>
      </w:r>
    </w:p>
    <w:p w:rsidR="001C7F37" w:rsidRPr="008D2C12" w:rsidRDefault="001C7F37" w:rsidP="001C7F37">
      <w:pPr>
        <w:spacing w:line="240" w:lineRule="auto"/>
        <w:jc w:val="both"/>
        <w:rPr>
          <w:rFonts w:ascii="Times New Roman" w:hAnsi="Times New Roman" w:cs="Times New Roman"/>
          <w:sz w:val="24"/>
          <w:szCs w:val="24"/>
        </w:rPr>
      </w:pPr>
      <w:r>
        <w:rPr>
          <w:rFonts w:ascii="Times New Roman" w:hAnsi="Times New Roman" w:cs="Times New Roman"/>
          <w:sz w:val="24"/>
          <w:szCs w:val="24"/>
        </w:rPr>
        <w:t>Cuatro grandes ejes:</w:t>
      </w:r>
    </w:p>
    <w:p w:rsidR="001C7F37" w:rsidRDefault="001C7F37" w:rsidP="001C7F37">
      <w:pPr>
        <w:spacing w:line="240" w:lineRule="auto"/>
        <w:jc w:val="both"/>
        <w:rPr>
          <w:rFonts w:ascii="Times New Roman" w:hAnsi="Times New Roman" w:cs="Times New Roman"/>
          <w:b/>
          <w:sz w:val="24"/>
          <w:szCs w:val="24"/>
        </w:rPr>
      </w:pPr>
      <w:r w:rsidRPr="00B828FB">
        <w:rPr>
          <w:rFonts w:ascii="Times New Roman" w:hAnsi="Times New Roman" w:cs="Times New Roman"/>
          <w:b/>
          <w:noProof/>
          <w:sz w:val="24"/>
          <w:szCs w:val="24"/>
          <w:lang w:val="en-GB" w:eastAsia="en-GB"/>
        </w:rPr>
        <w:drawing>
          <wp:inline distT="0" distB="0" distL="0" distR="0">
            <wp:extent cx="5731510" cy="2928214"/>
            <wp:effectExtent l="0" t="0" r="2540" b="571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2928214"/>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B828FB">
        <w:rPr>
          <w:rFonts w:ascii="Times New Roman" w:hAnsi="Times New Roman" w:cs="Times New Roman"/>
          <w:b/>
          <w:noProof/>
          <w:sz w:val="24"/>
          <w:szCs w:val="24"/>
          <w:lang w:val="en-GB" w:eastAsia="en-GB"/>
        </w:rPr>
        <w:drawing>
          <wp:inline distT="0" distB="0" distL="0" distR="0">
            <wp:extent cx="5731510" cy="4022467"/>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402246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B828FB">
        <w:rPr>
          <w:rFonts w:ascii="Times New Roman" w:hAnsi="Times New Roman" w:cs="Times New Roman"/>
          <w:b/>
          <w:noProof/>
          <w:sz w:val="24"/>
          <w:szCs w:val="24"/>
          <w:lang w:val="en-GB" w:eastAsia="en-GB"/>
        </w:rPr>
        <w:drawing>
          <wp:inline distT="0" distB="0" distL="0" distR="0">
            <wp:extent cx="5731510" cy="3891426"/>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89142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B828FB">
        <w:rPr>
          <w:rFonts w:ascii="Times New Roman" w:hAnsi="Times New Roman" w:cs="Times New Roman"/>
          <w:b/>
          <w:noProof/>
          <w:sz w:val="24"/>
          <w:szCs w:val="24"/>
          <w:lang w:val="en-GB" w:eastAsia="en-GB"/>
        </w:rPr>
        <w:drawing>
          <wp:inline distT="0" distB="0" distL="0" distR="0">
            <wp:extent cx="5731510" cy="4157794"/>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157794"/>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4184737"/>
            <wp:effectExtent l="0" t="0" r="254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418473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4190861"/>
            <wp:effectExtent l="0" t="0" r="2540" b="63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4190861"/>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4111256"/>
            <wp:effectExtent l="0" t="0" r="2540" b="381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411125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4208006"/>
            <wp:effectExtent l="0" t="0" r="2540" b="254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20800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4318227"/>
            <wp:effectExtent l="0" t="0" r="254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31822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27700" cy="3625850"/>
            <wp:effectExtent l="0" t="0" r="635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628262"/>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26939" cy="2628900"/>
            <wp:effectExtent l="0" t="0" r="762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630998"/>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27699" cy="2311400"/>
            <wp:effectExtent l="0" t="0" r="698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312938"/>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3363588"/>
            <wp:effectExtent l="0" t="0" r="2540" b="889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363588"/>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4196984"/>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4196984"/>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66220">
        <w:rPr>
          <w:rFonts w:ascii="Times New Roman" w:hAnsi="Times New Roman" w:cs="Times New Roman"/>
          <w:b/>
          <w:noProof/>
          <w:sz w:val="24"/>
          <w:szCs w:val="24"/>
          <w:lang w:val="en-GB" w:eastAsia="en-GB"/>
        </w:rPr>
        <w:drawing>
          <wp:inline distT="0" distB="0" distL="0" distR="0">
            <wp:extent cx="5731510" cy="4179838"/>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179838"/>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3684455"/>
            <wp:effectExtent l="0" t="0" r="254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684455"/>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074516"/>
            <wp:effectExtent l="0" t="0" r="2540" b="254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407451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3950823"/>
            <wp:effectExtent l="0" t="0" r="254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3950823"/>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173715"/>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4173715"/>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288223"/>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4288223"/>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3832641"/>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3832641"/>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244134"/>
            <wp:effectExtent l="0" t="0" r="2540" b="444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4244134"/>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242297"/>
            <wp:effectExtent l="0" t="0" r="2540" b="635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424229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031652"/>
            <wp:effectExtent l="0" t="0" r="2540" b="698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4031652"/>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067168"/>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4067168"/>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156569"/>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4156569"/>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5D379C">
        <w:rPr>
          <w:rFonts w:ascii="Times New Roman" w:hAnsi="Times New Roman" w:cs="Times New Roman"/>
          <w:b/>
          <w:noProof/>
          <w:sz w:val="24"/>
          <w:szCs w:val="24"/>
          <w:lang w:val="en-GB" w:eastAsia="en-GB"/>
        </w:rPr>
        <w:drawing>
          <wp:inline distT="0" distB="0" distL="0" distR="0">
            <wp:extent cx="5731510" cy="4277813"/>
            <wp:effectExtent l="0" t="0" r="2540" b="889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4277813"/>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323126"/>
            <wp:effectExtent l="0" t="0" r="2540" b="127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432312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231887"/>
            <wp:effectExtent l="0" t="0" r="254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423188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053696"/>
            <wp:effectExtent l="0" t="0" r="2540" b="444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405369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277813"/>
            <wp:effectExtent l="0" t="0" r="2540" b="889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4277813"/>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263729"/>
            <wp:effectExtent l="0" t="0" r="2540" b="381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4263729"/>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081864"/>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4081864"/>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163305"/>
            <wp:effectExtent l="0" t="0" r="2540" b="889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4163305"/>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130239"/>
            <wp:effectExtent l="0" t="0" r="2540" b="381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4130239"/>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290060"/>
            <wp:effectExtent l="0" t="0" r="254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4290060"/>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286386"/>
            <wp:effectExtent l="0" t="0" r="254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428638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320064"/>
            <wp:effectExtent l="0" t="0" r="2540" b="4445"/>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4320064"/>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070842"/>
            <wp:effectExtent l="0" t="0" r="254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4070842"/>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302307"/>
            <wp:effectExtent l="0" t="0" r="2540" b="317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430230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302307"/>
            <wp:effectExtent l="0" t="0" r="2540" b="317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430230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281487"/>
            <wp:effectExtent l="0" t="0" r="2540" b="508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428148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3985726"/>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398572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CB39BE">
        <w:rPr>
          <w:rFonts w:ascii="Times New Roman" w:hAnsi="Times New Roman" w:cs="Times New Roman"/>
          <w:b/>
          <w:noProof/>
          <w:sz w:val="24"/>
          <w:szCs w:val="24"/>
          <w:lang w:val="en-GB" w:eastAsia="en-GB"/>
        </w:rPr>
        <w:drawing>
          <wp:inline distT="0" distB="0" distL="0" distR="0">
            <wp:extent cx="5731510" cy="4286386"/>
            <wp:effectExtent l="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428638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323126"/>
            <wp:effectExtent l="0" t="0" r="2540" b="127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432312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171878"/>
            <wp:effectExtent l="0" t="0" r="2540" b="63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4171878"/>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339047"/>
            <wp:effectExtent l="0" t="0" r="2540" b="444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433904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290060"/>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4290060"/>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3854073"/>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3854073"/>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282712"/>
            <wp:effectExtent l="0" t="0" r="2540" b="381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4282712"/>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324963"/>
            <wp:effectExtent l="0" t="0" r="254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4324963"/>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159631"/>
            <wp:effectExtent l="0" t="0" r="254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4159631"/>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067780"/>
            <wp:effectExtent l="0" t="0" r="2540" b="952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4067780"/>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88338D">
        <w:rPr>
          <w:rFonts w:ascii="Times New Roman" w:hAnsi="Times New Roman" w:cs="Times New Roman"/>
          <w:b/>
          <w:noProof/>
          <w:sz w:val="24"/>
          <w:szCs w:val="24"/>
          <w:lang w:val="en-GB" w:eastAsia="en-GB"/>
        </w:rPr>
        <w:drawing>
          <wp:inline distT="0" distB="0" distL="0" distR="0">
            <wp:extent cx="5731510" cy="4089212"/>
            <wp:effectExtent l="0" t="0" r="2540" b="6985"/>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4089212"/>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3729156"/>
            <wp:effectExtent l="0" t="0" r="2540" b="508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372915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4099009"/>
            <wp:effectExtent l="0" t="0" r="254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4099009"/>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4102071"/>
            <wp:effectExtent l="0" t="0" r="254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4102071"/>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4187799"/>
            <wp:effectExtent l="0" t="0" r="2540" b="381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4187799"/>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4030427"/>
            <wp:effectExtent l="0" t="0" r="2540" b="8255"/>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403042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4220865"/>
            <wp:effectExtent l="0" t="0" r="2540" b="8255"/>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4220865"/>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4226376"/>
            <wp:effectExtent l="0" t="0" r="2540" b="317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4226376"/>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4015731"/>
            <wp:effectExtent l="0" t="0" r="2540" b="444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4015731"/>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B46115">
        <w:rPr>
          <w:rFonts w:ascii="Times New Roman" w:hAnsi="Times New Roman" w:cs="Times New Roman"/>
          <w:b/>
          <w:noProof/>
          <w:sz w:val="24"/>
          <w:szCs w:val="24"/>
          <w:lang w:val="en-GB" w:eastAsia="en-GB"/>
        </w:rPr>
        <w:drawing>
          <wp:inline distT="0" distB="0" distL="0" distR="0">
            <wp:extent cx="5731510" cy="3990625"/>
            <wp:effectExtent l="0" t="0" r="254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990625"/>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95F05">
        <w:rPr>
          <w:rFonts w:ascii="Times New Roman" w:hAnsi="Times New Roman" w:cs="Times New Roman"/>
          <w:b/>
          <w:noProof/>
          <w:sz w:val="24"/>
          <w:szCs w:val="24"/>
          <w:lang w:val="en-GB" w:eastAsia="en-GB"/>
        </w:rPr>
        <w:drawing>
          <wp:inline distT="0" distB="0" distL="0" distR="0">
            <wp:extent cx="5731510" cy="4252707"/>
            <wp:effectExtent l="0" t="0" r="254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4252707"/>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795F05">
        <w:rPr>
          <w:rFonts w:ascii="Times New Roman" w:hAnsi="Times New Roman" w:cs="Times New Roman"/>
          <w:b/>
          <w:noProof/>
          <w:sz w:val="24"/>
          <w:szCs w:val="24"/>
          <w:lang w:val="en-GB" w:eastAsia="en-GB"/>
        </w:rPr>
        <w:drawing>
          <wp:inline distT="0" distB="0" distL="0" distR="0">
            <wp:extent cx="5731510" cy="4187799"/>
            <wp:effectExtent l="0" t="0" r="2540" b="381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4187799"/>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r w:rsidRPr="00795F05">
        <w:rPr>
          <w:rFonts w:ascii="Times New Roman" w:hAnsi="Times New Roman" w:cs="Times New Roman"/>
          <w:b/>
          <w:noProof/>
          <w:sz w:val="24"/>
          <w:szCs w:val="24"/>
          <w:lang w:val="en-GB" w:eastAsia="en-GB"/>
        </w:rPr>
        <w:drawing>
          <wp:inline distT="0" distB="0" distL="0" distR="0">
            <wp:extent cx="5731510" cy="4133300"/>
            <wp:effectExtent l="0" t="0" r="2540" b="635"/>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4133300"/>
                    </a:xfrm>
                    <a:prstGeom prst="rect">
                      <a:avLst/>
                    </a:prstGeom>
                  </pic:spPr>
                </pic:pic>
              </a:graphicData>
            </a:graphic>
          </wp:inline>
        </w:drawing>
      </w: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p>
    <w:p w:rsidR="001C7F37" w:rsidRDefault="001C7F37" w:rsidP="001C7F37">
      <w:pPr>
        <w:spacing w:line="240" w:lineRule="auto"/>
        <w:jc w:val="both"/>
        <w:rPr>
          <w:rFonts w:ascii="Times New Roman" w:hAnsi="Times New Roman" w:cs="Times New Roman"/>
          <w:b/>
          <w:sz w:val="24"/>
          <w:szCs w:val="24"/>
        </w:rPr>
      </w:pPr>
      <w:r w:rsidRPr="00795F05">
        <w:rPr>
          <w:rFonts w:ascii="Times New Roman" w:hAnsi="Times New Roman" w:cs="Times New Roman"/>
          <w:b/>
          <w:noProof/>
          <w:sz w:val="24"/>
          <w:szCs w:val="24"/>
          <w:lang w:val="en-GB" w:eastAsia="en-GB"/>
        </w:rPr>
        <w:drawing>
          <wp:inline distT="0" distB="0" distL="0" distR="0">
            <wp:extent cx="5731510" cy="4007158"/>
            <wp:effectExtent l="0" t="0" r="254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4007158"/>
                    </a:xfrm>
                    <a:prstGeom prst="rect">
                      <a:avLst/>
                    </a:prstGeom>
                  </pic:spPr>
                </pic:pic>
              </a:graphicData>
            </a:graphic>
          </wp:inline>
        </w:drawing>
      </w:r>
    </w:p>
    <w:p w:rsidR="001C7F37" w:rsidRPr="001C7F37" w:rsidRDefault="001C7F37" w:rsidP="001C7F37">
      <w:pPr>
        <w:spacing w:line="240" w:lineRule="auto"/>
        <w:jc w:val="both"/>
        <w:rPr>
          <w:rFonts w:ascii="Times New Roman" w:hAnsi="Times New Roman" w:cs="Times New Roman"/>
          <w:b/>
          <w:sz w:val="24"/>
          <w:szCs w:val="24"/>
          <w:lang w:val="en-US"/>
        </w:rPr>
      </w:pPr>
      <w:r w:rsidRPr="00795F05">
        <w:rPr>
          <w:rFonts w:ascii="Times New Roman" w:hAnsi="Times New Roman" w:cs="Times New Roman"/>
          <w:b/>
          <w:noProof/>
          <w:sz w:val="24"/>
          <w:szCs w:val="24"/>
          <w:lang w:val="en-GB" w:eastAsia="en-GB"/>
        </w:rPr>
        <w:drawing>
          <wp:inline distT="0" distB="0" distL="0" distR="0">
            <wp:extent cx="5325422" cy="3162300"/>
            <wp:effectExtent l="0" t="0" r="889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325422" cy="3162300"/>
                    </a:xfrm>
                    <a:prstGeom prst="rect">
                      <a:avLst/>
                    </a:prstGeom>
                  </pic:spPr>
                </pic:pic>
              </a:graphicData>
            </a:graphic>
          </wp:inline>
        </w:drawing>
      </w:r>
    </w:p>
    <w:p w:rsidR="001C7F37" w:rsidRPr="001C7F37" w:rsidRDefault="001C7F37" w:rsidP="001C7F37">
      <w:pPr>
        <w:spacing w:line="240" w:lineRule="auto"/>
        <w:jc w:val="both"/>
        <w:rPr>
          <w:rFonts w:ascii="Times New Roman" w:hAnsi="Times New Roman" w:cs="Times New Roman"/>
          <w:b/>
          <w:sz w:val="24"/>
          <w:szCs w:val="24"/>
          <w:lang w:val="en-US"/>
        </w:rPr>
      </w:pPr>
    </w:p>
    <w:p w:rsidR="001C7F37" w:rsidRPr="001C7F37" w:rsidRDefault="001C7F37" w:rsidP="001C7F37">
      <w:pPr>
        <w:spacing w:line="240" w:lineRule="auto"/>
        <w:jc w:val="both"/>
        <w:rPr>
          <w:rFonts w:ascii="Times New Roman" w:hAnsi="Times New Roman" w:cs="Times New Roman"/>
          <w:b/>
          <w:sz w:val="24"/>
          <w:szCs w:val="24"/>
          <w:lang w:val="en-US"/>
        </w:rPr>
      </w:pPr>
    </w:p>
    <w:p w:rsidR="001C7F37" w:rsidRPr="001C7F37" w:rsidRDefault="001C7F37" w:rsidP="001C7F37">
      <w:pPr>
        <w:spacing w:line="240" w:lineRule="auto"/>
        <w:jc w:val="both"/>
        <w:rPr>
          <w:rFonts w:ascii="Times New Roman" w:hAnsi="Times New Roman" w:cs="Times New Roman"/>
          <w:b/>
          <w:sz w:val="24"/>
          <w:szCs w:val="24"/>
          <w:lang w:val="en-US"/>
        </w:rPr>
      </w:pPr>
    </w:p>
    <w:p w:rsidR="001C7F37" w:rsidRPr="001219B3" w:rsidRDefault="001C7F37" w:rsidP="001C7F37">
      <w:pPr>
        <w:spacing w:line="240" w:lineRule="auto"/>
        <w:jc w:val="both"/>
        <w:rPr>
          <w:rFonts w:ascii="Times New Roman" w:hAnsi="Times New Roman" w:cs="Times New Roman"/>
          <w:b/>
          <w:sz w:val="24"/>
          <w:szCs w:val="24"/>
          <w:lang w:val="en-US"/>
        </w:rPr>
      </w:pPr>
      <w:r w:rsidRPr="001219B3">
        <w:rPr>
          <w:rFonts w:ascii="Times New Roman" w:hAnsi="Times New Roman" w:cs="Times New Roman"/>
          <w:b/>
          <w:sz w:val="24"/>
          <w:szCs w:val="24"/>
          <w:lang w:val="en-US"/>
        </w:rPr>
        <w:t>- Economic Freedom of the World - Fraser Institute - 2019 Annual Report</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xml:space="preserve">The index published in </w:t>
      </w:r>
      <w:r w:rsidRPr="001219B3">
        <w:rPr>
          <w:rFonts w:ascii="Times New Roman" w:hAnsi="Times New Roman" w:cs="Times New Roman"/>
          <w:i/>
          <w:iCs/>
          <w:sz w:val="24"/>
          <w:szCs w:val="24"/>
          <w:lang w:val="en-US"/>
        </w:rPr>
        <w:t xml:space="preserve">Economic Freedom of the World </w:t>
      </w:r>
      <w:r w:rsidRPr="001219B3">
        <w:rPr>
          <w:rFonts w:ascii="Times New Roman" w:hAnsi="Times New Roman" w:cs="Times New Roman"/>
          <w:sz w:val="24"/>
          <w:szCs w:val="24"/>
          <w:lang w:val="en-US"/>
        </w:rPr>
        <w:t>measures the degree to which the policies and institutions of countries are supportive of economic freedom. The cornerstones of economic freedom are personal choice, voluntary exchange, freedom to enter markets and compete, and security of the person and privately owned property. Forty-two data points are used to construct a summary index and to measure the degree of economic freedom in five broad areas</w:t>
      </w:r>
      <w:r>
        <w:rPr>
          <w:rFonts w:ascii="Times New Roman" w:hAnsi="Times New Roman" w:cs="Times New Roman"/>
          <w:sz w:val="24"/>
          <w:szCs w:val="24"/>
          <w:lang w:val="en-US"/>
        </w:rPr>
        <w:t>…</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Economic f</w:t>
      </w:r>
      <w:r w:rsidR="005C56B6">
        <w:rPr>
          <w:rFonts w:ascii="Times New Roman" w:hAnsi="Times New Roman" w:cs="Times New Roman"/>
          <w:sz w:val="24"/>
          <w:szCs w:val="24"/>
          <w:lang w:val="en-US"/>
        </w:rPr>
        <w:t>reedom around the world in 2017</w:t>
      </w:r>
      <w:bookmarkStart w:id="6" w:name="_GoBack"/>
      <w:bookmarkEnd w:id="6"/>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Top-rated countries</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Hong Kong and Singapore, as usual, occupy the top two positions. The next highest scoring nations are New Zealand, Switzerland, United States, Ireland, United Kingdom, Canada, Australia, and Mauritius.</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Other major countries</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The rankings of some other major countries are Japan (17th), Germany (20th), Italy (46th), France (50th), Mexico (76th), India (79th), Russia (85th), China (113th), and Brazil (120th).</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Lowest-rated countries</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The 10 lowest-rated countries are: Iraq, Republic of Congo, Egypt, Syria, Democratic Republic of Congo, Angola, Algeria, Sudan, Libya, and, lastly, Venezuela.</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Nations that are economically free out-perform non-free nations in indicators of well-being</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Nations in the top quartile of economic freedom had an average per-capita GDP of $36,770 in 2017, compared to $6,140 for bottom quartile nations (PPP constant US$) (exhibit 1.6).</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xml:space="preserve">• In the top quartile, the average income of the poorest 10% was $10,646, compared to $1,503 in the bottom quartile in 2017 (exhibit 1.10). Interestingly, the average income of the </w:t>
      </w:r>
      <w:r w:rsidRPr="001219B3">
        <w:rPr>
          <w:rFonts w:ascii="Times New Roman" w:hAnsi="Times New Roman" w:cs="Times New Roman"/>
          <w:i/>
          <w:iCs/>
          <w:sz w:val="24"/>
          <w:szCs w:val="24"/>
          <w:lang w:val="en-US"/>
        </w:rPr>
        <w:t xml:space="preserve">poorest </w:t>
      </w:r>
      <w:r w:rsidRPr="001219B3">
        <w:rPr>
          <w:rFonts w:ascii="Times New Roman" w:hAnsi="Times New Roman" w:cs="Times New Roman"/>
          <w:sz w:val="24"/>
          <w:szCs w:val="24"/>
          <w:lang w:val="en-US"/>
        </w:rPr>
        <w:t xml:space="preserve">10% in the most economically free nations is two-thirds higher than the </w:t>
      </w:r>
      <w:r w:rsidRPr="001219B3">
        <w:rPr>
          <w:rFonts w:ascii="Times New Roman" w:hAnsi="Times New Roman" w:cs="Times New Roman"/>
          <w:i/>
          <w:iCs/>
          <w:sz w:val="24"/>
          <w:szCs w:val="24"/>
          <w:lang w:val="en-US"/>
        </w:rPr>
        <w:t xml:space="preserve">average </w:t>
      </w:r>
      <w:r w:rsidRPr="001219B3">
        <w:rPr>
          <w:rFonts w:ascii="Times New Roman" w:hAnsi="Times New Roman" w:cs="Times New Roman"/>
          <w:sz w:val="24"/>
          <w:szCs w:val="24"/>
          <w:lang w:val="en-US"/>
        </w:rPr>
        <w:t>per-capita income in the least-free nations.</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In the top quartile, 1.8% of the population experience extreme poverty (US$1.90 a day) compared to 27.2% in th</w:t>
      </w:r>
      <w:r>
        <w:rPr>
          <w:rFonts w:ascii="Times New Roman" w:hAnsi="Times New Roman" w:cs="Times New Roman"/>
          <w:sz w:val="24"/>
          <w:szCs w:val="24"/>
          <w:lang w:val="en-US"/>
        </w:rPr>
        <w:t>e lowest quartile (exhibit 1.11</w:t>
      </w:r>
      <w:r w:rsidRPr="001219B3">
        <w:rPr>
          <w:rFonts w:ascii="Times New Roman" w:hAnsi="Times New Roman" w:cs="Times New Roman"/>
          <w:sz w:val="24"/>
          <w:szCs w:val="24"/>
          <w:lang w:val="en-US"/>
        </w:rPr>
        <w:t>).</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Infant mortality is 6.7 per 1,000 live births in the top quartile compared to 40.5 in the bottom quartile (exhibit 1.8).</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Life expectancy is 79.4 years in the top quartile compared to 65.2 years in the bottom quartile (exhibit 1.7).</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A number of other outcomes are more positive in economically free nations than in those that lack economic freedom. For example:</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Political and civil liberties are considerably higher in economically free nations than in unfree nations (exhibit 1.12).</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Gender equality is greater in economically free nations (exhibit 1.13).</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 Happiness levels are higher in economically free nations (exhibit 1.14).</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rPr>
          <w:rFonts w:ascii="Times New Roman" w:hAnsi="Times New Roman" w:cs="Times New Roman"/>
          <w:sz w:val="24"/>
          <w:szCs w:val="24"/>
          <w:lang w:val="en-US"/>
        </w:rPr>
      </w:pPr>
      <w:r w:rsidRPr="001219B3">
        <w:rPr>
          <w:rFonts w:ascii="Times New Roman" w:hAnsi="Times New Roman" w:cs="Times New Roman"/>
          <w:sz w:val="24"/>
          <w:szCs w:val="24"/>
          <w:lang w:val="en-US"/>
        </w:rPr>
        <w:t>What is economic freedom?</w:t>
      </w:r>
    </w:p>
    <w:p w:rsidR="001C7F37" w:rsidRPr="001219B3" w:rsidRDefault="001C7F37" w:rsidP="001C7F37">
      <w:pPr>
        <w:autoSpaceDE w:val="0"/>
        <w:autoSpaceDN w:val="0"/>
        <w:adjustRightInd w:val="0"/>
        <w:spacing w:after="0" w:line="240" w:lineRule="auto"/>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Economic freedom is based on the concept of self-ownership. Because of this self-ownership, individuals have a ri</w:t>
      </w:r>
      <w:r w:rsidR="00732791">
        <w:rPr>
          <w:rFonts w:ascii="Times New Roman" w:hAnsi="Times New Roman" w:cs="Times New Roman"/>
          <w:sz w:val="24"/>
          <w:szCs w:val="24"/>
          <w:lang w:val="en-US"/>
        </w:rPr>
        <w:t>ght to choose -</w:t>
      </w:r>
      <w:r w:rsidRPr="001219B3">
        <w:rPr>
          <w:rFonts w:ascii="Times New Roman" w:hAnsi="Times New Roman" w:cs="Times New Roman"/>
          <w:sz w:val="24"/>
          <w:szCs w:val="24"/>
          <w:lang w:val="en-US"/>
        </w:rPr>
        <w:t>to decide how to use their time and talents to shape their lives. On the other hand, they do not have a right to the time, talents, and resources of others. Thus, they have no right to take things from others or demand that others provide things for them.</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The cornerstones of economic freedom are personal choice, voluntary exchange, open markets, and clearly defined and enforced property rights. Individuals are economically free when they are permitted to choose for themselves and engage in voluntary transactions as long as they do not harm the person or property of others. When economic freedom is present, the choices of individuals will decide what and how goods and services are produced. Put another way, economically free individuals will be permitted to decide for themselves rather than having options imposed on them by the political process or the use of violence, theft, or fraud by others.</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The EFW index is designed to measure the degree to which the institutions and policies of countries are consistent with economic freedom. In order to achieve a high EFW rating, a country must do some things, but refrain from others. Governments enhance economic freedom when they provide an infrastructure for voluntary exchange, and protect individuals and their property from aggressors using violence, coercion, and fraud to seize things that do not belong to them. In this regard, the legal system is particularly important. The country’s legal institutions must protect the person and property of all individuals from the aggressive acts of others and enforce contracts in an even-handed manner. Access must also be provided to money of sound value. But governments must also refrain from actions that restrict personal choice, interfere with voluntary exchange, and limit entry into markets. Economic freedom is reduced when taxes, government expenditures, and regulations are substituted for personal choice, voluntary exchange, and market coordination.</w:t>
      </w:r>
    </w:p>
    <w:p w:rsidR="001C7F37" w:rsidRPr="001219B3"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sz w:val="24"/>
          <w:szCs w:val="24"/>
          <w:lang w:val="en-US"/>
        </w:rPr>
        <w:t>The EFW measure might be thought of as a measure of the degree to which scarce resources are allocated by personal choices coordinated by markets rather than centralized planning directed by the political process. It might also be thought of as an effort to identify how closely the institutions and policies of a country correspond with the ideal of a limited government, where the government protects property rights and arranges for the provision of a limited set of “public goods” such as national defense and access to money of sound value, but little beyond these core functions. To a large degree, a country’s EFW summary rating is a measure of how closely its institutions and policies compare with the idealized structure implied by standard textbook analysis of microeconomics.</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noProof/>
          <w:sz w:val="24"/>
          <w:szCs w:val="24"/>
          <w:lang w:val="en-GB" w:eastAsia="en-GB"/>
        </w:rPr>
        <w:drawing>
          <wp:inline distT="0" distB="0" distL="0" distR="0">
            <wp:extent cx="5229955" cy="5239481"/>
            <wp:effectExtent l="0" t="0" r="889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229955" cy="5239481"/>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1219B3">
        <w:rPr>
          <w:rFonts w:ascii="Times New Roman" w:hAnsi="Times New Roman" w:cs="Times New Roman"/>
          <w:noProof/>
          <w:sz w:val="24"/>
          <w:szCs w:val="24"/>
          <w:lang w:val="en-GB" w:eastAsia="en-GB"/>
        </w:rPr>
        <w:drawing>
          <wp:inline distT="0" distB="0" distL="0" distR="0">
            <wp:extent cx="5296639" cy="2343477"/>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296639" cy="2343477"/>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54509B">
        <w:rPr>
          <w:rFonts w:ascii="Times New Roman" w:hAnsi="Times New Roman" w:cs="Times New Roman"/>
          <w:noProof/>
          <w:sz w:val="24"/>
          <w:szCs w:val="24"/>
          <w:lang w:val="en-GB" w:eastAsia="en-GB"/>
        </w:rPr>
        <w:drawing>
          <wp:inline distT="0" distB="0" distL="0" distR="0">
            <wp:extent cx="5727700" cy="3867150"/>
            <wp:effectExtent l="0" t="0" r="635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3869722"/>
                    </a:xfrm>
                    <a:prstGeom prst="rect">
                      <a:avLst/>
                    </a:prstGeom>
                  </pic:spPr>
                </pic:pic>
              </a:graphicData>
            </a:graphic>
          </wp:inline>
        </w:drawing>
      </w:r>
      <w:r w:rsidRPr="0054509B">
        <w:rPr>
          <w:rFonts w:ascii="Times New Roman" w:hAnsi="Times New Roman" w:cs="Times New Roman"/>
          <w:noProof/>
          <w:sz w:val="24"/>
          <w:szCs w:val="24"/>
          <w:lang w:val="en-GB" w:eastAsia="en-GB"/>
        </w:rPr>
        <w:drawing>
          <wp:inline distT="0" distB="0" distL="0" distR="0">
            <wp:extent cx="5733376" cy="4356100"/>
            <wp:effectExtent l="0" t="0" r="1270"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4354682"/>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54509B">
        <w:rPr>
          <w:rFonts w:ascii="Times New Roman" w:hAnsi="Times New Roman" w:cs="Times New Roman"/>
          <w:noProof/>
          <w:sz w:val="24"/>
          <w:szCs w:val="24"/>
          <w:lang w:val="en-GB" w:eastAsia="en-GB"/>
        </w:rPr>
        <w:drawing>
          <wp:inline distT="0" distB="0" distL="0" distR="0">
            <wp:extent cx="5730530" cy="4044950"/>
            <wp:effectExtent l="0" t="0" r="381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4045641"/>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54509B">
        <w:rPr>
          <w:rFonts w:ascii="Times New Roman" w:hAnsi="Times New Roman" w:cs="Times New Roman"/>
          <w:noProof/>
          <w:sz w:val="24"/>
          <w:szCs w:val="24"/>
          <w:lang w:val="en-GB" w:eastAsia="en-GB"/>
        </w:rPr>
        <w:drawing>
          <wp:inline distT="0" distB="0" distL="0" distR="0">
            <wp:extent cx="5731510" cy="4764624"/>
            <wp:effectExtent l="0" t="0" r="254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4764624"/>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54509B">
        <w:rPr>
          <w:rFonts w:ascii="Times New Roman" w:hAnsi="Times New Roman" w:cs="Times New Roman"/>
          <w:noProof/>
          <w:sz w:val="24"/>
          <w:szCs w:val="24"/>
          <w:lang w:val="en-GB" w:eastAsia="en-GB"/>
        </w:rPr>
        <w:drawing>
          <wp:inline distT="0" distB="0" distL="0" distR="0">
            <wp:extent cx="5729574" cy="4184650"/>
            <wp:effectExtent l="0" t="0" r="5080" b="635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4186064"/>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055DE8">
        <w:rPr>
          <w:rFonts w:ascii="Times New Roman" w:hAnsi="Times New Roman" w:cs="Times New Roman"/>
          <w:noProof/>
          <w:sz w:val="24"/>
          <w:szCs w:val="24"/>
          <w:lang w:val="en-GB" w:eastAsia="en-GB"/>
        </w:rPr>
        <w:drawing>
          <wp:inline distT="0" distB="0" distL="0" distR="0">
            <wp:extent cx="5734050" cy="446405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4462073"/>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055DE8">
        <w:rPr>
          <w:rFonts w:ascii="Times New Roman" w:hAnsi="Times New Roman" w:cs="Times New Roman"/>
          <w:noProof/>
          <w:sz w:val="24"/>
          <w:szCs w:val="24"/>
          <w:lang w:val="en-GB" w:eastAsia="en-GB"/>
        </w:rPr>
        <w:drawing>
          <wp:inline distT="0" distB="0" distL="0" distR="0">
            <wp:extent cx="5729574" cy="4203700"/>
            <wp:effectExtent l="0" t="0" r="5080" b="635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4205120"/>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055DE8">
        <w:rPr>
          <w:rFonts w:ascii="Times New Roman" w:hAnsi="Times New Roman" w:cs="Times New Roman"/>
          <w:noProof/>
          <w:sz w:val="24"/>
          <w:szCs w:val="24"/>
          <w:lang w:val="en-GB" w:eastAsia="en-GB"/>
        </w:rPr>
        <w:drawing>
          <wp:inline distT="0" distB="0" distL="0" distR="0">
            <wp:extent cx="5730256" cy="4419600"/>
            <wp:effectExtent l="0" t="0" r="381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4420567"/>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8847CB">
        <w:rPr>
          <w:rFonts w:ascii="Times New Roman" w:hAnsi="Times New Roman" w:cs="Times New Roman"/>
          <w:noProof/>
          <w:sz w:val="24"/>
          <w:szCs w:val="24"/>
          <w:lang w:val="en-GB" w:eastAsia="en-GB"/>
        </w:rPr>
        <w:drawing>
          <wp:inline distT="0" distB="0" distL="0" distR="0">
            <wp:extent cx="5726558" cy="4140200"/>
            <wp:effectExtent l="0" t="0" r="762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4143780"/>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8847CB">
        <w:rPr>
          <w:rFonts w:ascii="Times New Roman" w:hAnsi="Times New Roman" w:cs="Times New Roman"/>
          <w:noProof/>
          <w:sz w:val="24"/>
          <w:szCs w:val="24"/>
          <w:lang w:val="en-GB" w:eastAsia="en-GB"/>
        </w:rPr>
        <w:drawing>
          <wp:inline distT="0" distB="0" distL="0" distR="0">
            <wp:extent cx="5728044" cy="4476750"/>
            <wp:effectExtent l="0" t="0" r="635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4479459"/>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8847CB">
        <w:rPr>
          <w:rFonts w:ascii="Times New Roman" w:hAnsi="Times New Roman" w:cs="Times New Roman"/>
          <w:noProof/>
          <w:sz w:val="24"/>
          <w:szCs w:val="24"/>
          <w:lang w:val="en-GB" w:eastAsia="en-GB"/>
        </w:rPr>
        <w:drawing>
          <wp:inline distT="0" distB="0" distL="0" distR="0">
            <wp:extent cx="5727312" cy="4133850"/>
            <wp:effectExtent l="0" t="0" r="6985"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4136880"/>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8847CB">
        <w:rPr>
          <w:rFonts w:ascii="Times New Roman" w:hAnsi="Times New Roman" w:cs="Times New Roman"/>
          <w:noProof/>
          <w:sz w:val="24"/>
          <w:szCs w:val="24"/>
          <w:lang w:val="en-GB" w:eastAsia="en-GB"/>
        </w:rPr>
        <w:drawing>
          <wp:inline distT="0" distB="0" distL="0" distR="0">
            <wp:extent cx="5731510" cy="4716249"/>
            <wp:effectExtent l="0" t="0" r="2540" b="825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4716249"/>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200D37">
        <w:rPr>
          <w:rFonts w:ascii="Times New Roman" w:hAnsi="Times New Roman" w:cs="Times New Roman"/>
          <w:noProof/>
          <w:sz w:val="24"/>
          <w:szCs w:val="24"/>
          <w:lang w:val="en-GB" w:eastAsia="en-GB"/>
        </w:rPr>
        <w:drawing>
          <wp:inline distT="0" distB="0" distL="0" distR="0">
            <wp:extent cx="5730077" cy="4032250"/>
            <wp:effectExtent l="0" t="0" r="4445" b="635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4033258"/>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200D37">
        <w:rPr>
          <w:rFonts w:ascii="Times New Roman" w:hAnsi="Times New Roman" w:cs="Times New Roman"/>
          <w:noProof/>
          <w:sz w:val="24"/>
          <w:szCs w:val="24"/>
          <w:lang w:val="en-GB" w:eastAsia="en-GB"/>
        </w:rPr>
        <w:drawing>
          <wp:inline distT="0" distB="0" distL="0" distR="0">
            <wp:extent cx="5731510" cy="4797690"/>
            <wp:effectExtent l="0" t="0" r="2540" b="3175"/>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5731510" cy="4797690"/>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200D37">
        <w:rPr>
          <w:rFonts w:ascii="Times New Roman" w:hAnsi="Times New Roman" w:cs="Times New Roman"/>
          <w:noProof/>
          <w:sz w:val="24"/>
          <w:szCs w:val="24"/>
          <w:lang w:val="en-GB" w:eastAsia="en-GB"/>
        </w:rPr>
        <w:drawing>
          <wp:inline distT="0" distB="0" distL="0" distR="0">
            <wp:extent cx="5544324" cy="3753374"/>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544324" cy="3753374"/>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200D37">
        <w:rPr>
          <w:rFonts w:ascii="Times New Roman" w:hAnsi="Times New Roman" w:cs="Times New Roman"/>
          <w:noProof/>
          <w:sz w:val="24"/>
          <w:szCs w:val="24"/>
          <w:lang w:val="en-GB" w:eastAsia="en-GB"/>
        </w:rPr>
        <w:drawing>
          <wp:inline distT="0" distB="0" distL="0" distR="0">
            <wp:extent cx="5726681" cy="3282950"/>
            <wp:effectExtent l="0" t="0" r="762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31510" cy="3285719"/>
                    </a:xfrm>
                    <a:prstGeom prst="rect">
                      <a:avLst/>
                    </a:prstGeom>
                  </pic:spPr>
                </pic:pic>
              </a:graphicData>
            </a:graphic>
          </wp:inline>
        </w:drawing>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200D37">
        <w:rPr>
          <w:rFonts w:ascii="Times New Roman" w:hAnsi="Times New Roman" w:cs="Times New Roman"/>
          <w:noProof/>
          <w:sz w:val="24"/>
          <w:szCs w:val="24"/>
          <w:lang w:val="en-GB" w:eastAsia="en-GB"/>
        </w:rPr>
        <w:drawing>
          <wp:inline distT="0" distB="0" distL="0" distR="0">
            <wp:extent cx="5133975" cy="4610100"/>
            <wp:effectExtent l="0" t="0" r="9525"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134692" cy="4610744"/>
                    </a:xfrm>
                    <a:prstGeom prst="rect">
                      <a:avLst/>
                    </a:prstGeom>
                  </pic:spPr>
                </pic:pic>
              </a:graphicData>
            </a:graphic>
          </wp:inline>
        </w:drawing>
      </w:r>
    </w:p>
    <w:p w:rsidR="001C7F37" w:rsidRPr="00200D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200D37">
        <w:rPr>
          <w:rFonts w:ascii="Times New Roman" w:hAnsi="Times New Roman" w:cs="Times New Roman"/>
          <w:sz w:val="24"/>
          <w:szCs w:val="24"/>
          <w:lang w:val="en-US"/>
        </w:rPr>
        <w:t>Conclusion</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r w:rsidRPr="00200D37">
        <w:rPr>
          <w:rFonts w:ascii="Times New Roman" w:hAnsi="Times New Roman" w:cs="Times New Roman"/>
          <w:sz w:val="24"/>
          <w:szCs w:val="24"/>
          <w:lang w:val="en-US"/>
        </w:rPr>
        <w:t>Policy makers and scholars around the world increa</w:t>
      </w:r>
      <w:r>
        <w:rPr>
          <w:rFonts w:ascii="Times New Roman" w:hAnsi="Times New Roman" w:cs="Times New Roman"/>
          <w:sz w:val="24"/>
          <w:szCs w:val="24"/>
          <w:lang w:val="en-US"/>
        </w:rPr>
        <w:t xml:space="preserve">singly recognize the importance </w:t>
      </w:r>
      <w:r w:rsidRPr="00200D37">
        <w:rPr>
          <w:rFonts w:ascii="Times New Roman" w:hAnsi="Times New Roman" w:cs="Times New Roman"/>
          <w:sz w:val="24"/>
          <w:szCs w:val="24"/>
          <w:lang w:val="en-US"/>
        </w:rPr>
        <w:t>of entrepreneurship for job creation and economic growth. For this reason</w:t>
      </w:r>
      <w:r>
        <w:rPr>
          <w:rFonts w:ascii="Times New Roman" w:hAnsi="Times New Roman" w:cs="Times New Roman"/>
          <w:sz w:val="24"/>
          <w:szCs w:val="24"/>
          <w:lang w:val="en-US"/>
        </w:rPr>
        <w:t xml:space="preserve">, </w:t>
      </w:r>
      <w:r w:rsidRPr="00200D37">
        <w:rPr>
          <w:rFonts w:ascii="Times New Roman" w:hAnsi="Times New Roman" w:cs="Times New Roman"/>
          <w:sz w:val="24"/>
          <w:szCs w:val="24"/>
          <w:lang w:val="en-US"/>
        </w:rPr>
        <w:t>encouraging entrepreneurship is now general</w:t>
      </w:r>
      <w:r>
        <w:rPr>
          <w:rFonts w:ascii="Times New Roman" w:hAnsi="Times New Roman" w:cs="Times New Roman"/>
          <w:sz w:val="24"/>
          <w:szCs w:val="24"/>
          <w:lang w:val="en-US"/>
        </w:rPr>
        <w:t xml:space="preserve">ly considered a proper function </w:t>
      </w:r>
      <w:r w:rsidRPr="00200D37">
        <w:rPr>
          <w:rFonts w:ascii="Times New Roman" w:hAnsi="Times New Roman" w:cs="Times New Roman"/>
          <w:sz w:val="24"/>
          <w:szCs w:val="24"/>
          <w:lang w:val="en-US"/>
        </w:rPr>
        <w:t>of public policy. Acs and Szerb note that “any so</w:t>
      </w:r>
      <w:r>
        <w:rPr>
          <w:rFonts w:ascii="Times New Roman" w:hAnsi="Times New Roman" w:cs="Times New Roman"/>
          <w:sz w:val="24"/>
          <w:szCs w:val="24"/>
          <w:lang w:val="en-US"/>
        </w:rPr>
        <w:t xml:space="preserve">ciety interested in encouraging </w:t>
      </w:r>
      <w:r w:rsidRPr="00200D37">
        <w:rPr>
          <w:rFonts w:ascii="Times New Roman" w:hAnsi="Times New Roman" w:cs="Times New Roman"/>
          <w:sz w:val="24"/>
          <w:szCs w:val="24"/>
          <w:lang w:val="en-US"/>
        </w:rPr>
        <w:t>entrepreneurship must make it rewarding and ea</w:t>
      </w:r>
      <w:r>
        <w:rPr>
          <w:rFonts w:ascii="Times New Roman" w:hAnsi="Times New Roman" w:cs="Times New Roman"/>
          <w:sz w:val="24"/>
          <w:szCs w:val="24"/>
          <w:lang w:val="en-US"/>
        </w:rPr>
        <w:t xml:space="preserve">sy to do” (2007: 111). Policies </w:t>
      </w:r>
      <w:r w:rsidRPr="00200D37">
        <w:rPr>
          <w:rFonts w:ascii="Times New Roman" w:hAnsi="Times New Roman" w:cs="Times New Roman"/>
          <w:sz w:val="24"/>
          <w:szCs w:val="24"/>
          <w:lang w:val="en-US"/>
        </w:rPr>
        <w:t>encouraging entrepreneurship in practice of</w:t>
      </w:r>
      <w:r>
        <w:rPr>
          <w:rFonts w:ascii="Times New Roman" w:hAnsi="Times New Roman" w:cs="Times New Roman"/>
          <w:sz w:val="24"/>
          <w:szCs w:val="24"/>
          <w:lang w:val="en-US"/>
        </w:rPr>
        <w:t xml:space="preserve">ten seek to reduce the costs of </w:t>
      </w:r>
      <w:r w:rsidRPr="00200D37">
        <w:rPr>
          <w:rFonts w:ascii="Times New Roman" w:hAnsi="Times New Roman" w:cs="Times New Roman"/>
          <w:sz w:val="24"/>
          <w:szCs w:val="24"/>
          <w:lang w:val="en-US"/>
        </w:rPr>
        <w:t xml:space="preserve">entrepreneurship by intervening in the market </w:t>
      </w:r>
      <w:r>
        <w:rPr>
          <w:rFonts w:ascii="Times New Roman" w:hAnsi="Times New Roman" w:cs="Times New Roman"/>
          <w:sz w:val="24"/>
          <w:szCs w:val="24"/>
          <w:lang w:val="en-US"/>
        </w:rPr>
        <w:t xml:space="preserve">process, offering various sorts </w:t>
      </w:r>
      <w:r w:rsidRPr="00200D37">
        <w:rPr>
          <w:rFonts w:ascii="Times New Roman" w:hAnsi="Times New Roman" w:cs="Times New Roman"/>
          <w:sz w:val="24"/>
          <w:szCs w:val="24"/>
          <w:lang w:val="en-US"/>
        </w:rPr>
        <w:t>of subsidies to certain firms or industries. Whi</w:t>
      </w:r>
      <w:r>
        <w:rPr>
          <w:rFonts w:ascii="Times New Roman" w:hAnsi="Times New Roman" w:cs="Times New Roman"/>
          <w:sz w:val="24"/>
          <w:szCs w:val="24"/>
          <w:lang w:val="en-US"/>
        </w:rPr>
        <w:t xml:space="preserve">le there is mixed evidence that </w:t>
      </w:r>
      <w:r w:rsidRPr="00200D37">
        <w:rPr>
          <w:rFonts w:ascii="Times New Roman" w:hAnsi="Times New Roman" w:cs="Times New Roman"/>
          <w:sz w:val="24"/>
          <w:szCs w:val="24"/>
          <w:lang w:val="en-US"/>
        </w:rPr>
        <w:t>interventionist entrepreneurship policies provide economic</w:t>
      </w:r>
      <w:r>
        <w:rPr>
          <w:rFonts w:ascii="Times New Roman" w:hAnsi="Times New Roman" w:cs="Times New Roman"/>
          <w:sz w:val="24"/>
          <w:szCs w:val="24"/>
          <w:lang w:val="en-US"/>
        </w:rPr>
        <w:t xml:space="preserve"> benefits, the market distorting </w:t>
      </w:r>
      <w:r w:rsidRPr="00200D37">
        <w:rPr>
          <w:rFonts w:ascii="Times New Roman" w:hAnsi="Times New Roman" w:cs="Times New Roman"/>
          <w:sz w:val="24"/>
          <w:szCs w:val="24"/>
          <w:lang w:val="en-US"/>
        </w:rPr>
        <w:t>costs and unintended consequences of such policies are often ignored</w:t>
      </w:r>
      <w:r>
        <w:rPr>
          <w:rFonts w:ascii="Times New Roman" w:hAnsi="Times New Roman" w:cs="Times New Roman"/>
          <w:sz w:val="24"/>
          <w:szCs w:val="24"/>
          <w:lang w:val="en-US"/>
        </w:rPr>
        <w:t>…</w:t>
      </w:r>
    </w:p>
    <w:p w:rsidR="001C7F37" w:rsidRDefault="001C7F37" w:rsidP="001C7F37">
      <w:pPr>
        <w:autoSpaceDE w:val="0"/>
        <w:autoSpaceDN w:val="0"/>
        <w:adjustRightInd w:val="0"/>
        <w:spacing w:after="0" w:line="240" w:lineRule="auto"/>
        <w:jc w:val="both"/>
        <w:rPr>
          <w:rFonts w:ascii="Times New Roman" w:hAnsi="Times New Roman" w:cs="Times New Roman"/>
          <w:sz w:val="24"/>
          <w:szCs w:val="24"/>
          <w:lang w:val="en-US"/>
        </w:rPr>
      </w:pPr>
    </w:p>
    <w:p w:rsidR="009B039D" w:rsidRDefault="001C7F37" w:rsidP="009B039D">
      <w:pPr>
        <w:autoSpaceDE w:val="0"/>
        <w:autoSpaceDN w:val="0"/>
        <w:adjustRightInd w:val="0"/>
        <w:spacing w:after="0" w:line="240" w:lineRule="auto"/>
        <w:jc w:val="both"/>
        <w:rPr>
          <w:rFonts w:ascii="Times New Roman" w:hAnsi="Times New Roman" w:cs="Times New Roman"/>
          <w:sz w:val="24"/>
          <w:szCs w:val="24"/>
          <w:lang w:val="en-US"/>
        </w:rPr>
      </w:pPr>
      <w:r w:rsidRPr="00BB491F">
        <w:rPr>
          <w:rFonts w:ascii="Times New Roman" w:hAnsi="Times New Roman" w:cs="Times New Roman"/>
          <w:sz w:val="24"/>
          <w:szCs w:val="24"/>
          <w:lang w:val="en-US"/>
        </w:rPr>
        <w:t>This suggests that countries seeking to enco</w:t>
      </w:r>
      <w:r>
        <w:rPr>
          <w:rFonts w:ascii="Times New Roman" w:hAnsi="Times New Roman" w:cs="Times New Roman"/>
          <w:sz w:val="24"/>
          <w:szCs w:val="24"/>
          <w:lang w:val="en-US"/>
        </w:rPr>
        <w:t xml:space="preserve">urage more entrepreneurship and </w:t>
      </w:r>
      <w:r w:rsidRPr="00BB491F">
        <w:rPr>
          <w:rFonts w:ascii="Times New Roman" w:hAnsi="Times New Roman" w:cs="Times New Roman"/>
          <w:sz w:val="24"/>
          <w:szCs w:val="24"/>
          <w:lang w:val="en-US"/>
        </w:rPr>
        <w:t>innovation should consider increasing the deg</w:t>
      </w:r>
      <w:r>
        <w:rPr>
          <w:rFonts w:ascii="Times New Roman" w:hAnsi="Times New Roman" w:cs="Times New Roman"/>
          <w:sz w:val="24"/>
          <w:szCs w:val="24"/>
          <w:lang w:val="en-US"/>
        </w:rPr>
        <w:t xml:space="preserve">ree to which economic resources </w:t>
      </w:r>
      <w:r w:rsidRPr="00BB491F">
        <w:rPr>
          <w:rFonts w:ascii="Times New Roman" w:hAnsi="Times New Roman" w:cs="Times New Roman"/>
          <w:sz w:val="24"/>
          <w:szCs w:val="24"/>
          <w:lang w:val="en-US"/>
        </w:rPr>
        <w:t>are allocated through markets rather than the politic</w:t>
      </w:r>
      <w:r>
        <w:rPr>
          <w:rFonts w:ascii="Times New Roman" w:hAnsi="Times New Roman" w:cs="Times New Roman"/>
          <w:sz w:val="24"/>
          <w:szCs w:val="24"/>
          <w:lang w:val="en-US"/>
        </w:rPr>
        <w:t xml:space="preserve">al process, reducing regulatory </w:t>
      </w:r>
      <w:r w:rsidRPr="00BB491F">
        <w:rPr>
          <w:rFonts w:ascii="Times New Roman" w:hAnsi="Times New Roman" w:cs="Times New Roman"/>
          <w:sz w:val="24"/>
          <w:szCs w:val="24"/>
          <w:lang w:val="en-US"/>
        </w:rPr>
        <w:t>barriers to starting and running a business, lim</w:t>
      </w:r>
      <w:r>
        <w:rPr>
          <w:rFonts w:ascii="Times New Roman" w:hAnsi="Times New Roman" w:cs="Times New Roman"/>
          <w:sz w:val="24"/>
          <w:szCs w:val="24"/>
          <w:lang w:val="en-US"/>
        </w:rPr>
        <w:t xml:space="preserve">iting policy distortions of the </w:t>
      </w:r>
      <w:r w:rsidRPr="00BB491F">
        <w:rPr>
          <w:rFonts w:ascii="Times New Roman" w:hAnsi="Times New Roman" w:cs="Times New Roman"/>
          <w:sz w:val="24"/>
          <w:szCs w:val="24"/>
          <w:lang w:val="en-US"/>
        </w:rPr>
        <w:t>product and labor markets, and improving the protection of</w:t>
      </w:r>
      <w:r>
        <w:rPr>
          <w:rFonts w:ascii="Times New Roman" w:hAnsi="Times New Roman" w:cs="Times New Roman"/>
          <w:sz w:val="24"/>
          <w:szCs w:val="24"/>
          <w:lang w:val="en-US"/>
        </w:rPr>
        <w:t xml:space="preserve"> private property </w:t>
      </w:r>
      <w:r w:rsidRPr="00BB491F">
        <w:rPr>
          <w:rFonts w:ascii="Times New Roman" w:hAnsi="Times New Roman" w:cs="Times New Roman"/>
          <w:sz w:val="24"/>
          <w:szCs w:val="24"/>
          <w:lang w:val="en-US"/>
        </w:rPr>
        <w:t>and the even-handed enforcement of contracts</w:t>
      </w:r>
      <w:r>
        <w:rPr>
          <w:rFonts w:ascii="Times New Roman" w:hAnsi="Times New Roman" w:cs="Times New Roman"/>
          <w:sz w:val="24"/>
          <w:szCs w:val="24"/>
          <w:lang w:val="en-US"/>
        </w:rPr>
        <w:t xml:space="preserve">. Economic freedom provides the </w:t>
      </w:r>
      <w:r w:rsidRPr="00BB491F">
        <w:rPr>
          <w:rFonts w:ascii="Times New Roman" w:hAnsi="Times New Roman" w:cs="Times New Roman"/>
          <w:sz w:val="24"/>
          <w:szCs w:val="24"/>
          <w:lang w:val="en-US"/>
        </w:rPr>
        <w:t>institutional environment that encourages markets and rew</w:t>
      </w:r>
      <w:r>
        <w:rPr>
          <w:rFonts w:ascii="Times New Roman" w:hAnsi="Times New Roman" w:cs="Times New Roman"/>
          <w:sz w:val="24"/>
          <w:szCs w:val="24"/>
          <w:lang w:val="en-US"/>
        </w:rPr>
        <w:t xml:space="preserve">ards productive entrepreneurial </w:t>
      </w:r>
      <w:r w:rsidRPr="00BB491F">
        <w:rPr>
          <w:rFonts w:ascii="Times New Roman" w:hAnsi="Times New Roman" w:cs="Times New Roman"/>
          <w:sz w:val="24"/>
          <w:szCs w:val="24"/>
          <w:lang w:val="en-US"/>
        </w:rPr>
        <w:t xml:space="preserve">activity (Baumol, 1990; Holcombe, 1998; Sobel, 2008), serving as theantecedent for entrepreneurship and innovation (Bjørnskov and Foss, 2016). AsAcs and colleagues note, “economic institutions </w:t>
      </w:r>
      <w:r>
        <w:rPr>
          <w:rFonts w:ascii="Times New Roman" w:hAnsi="Times New Roman" w:cs="Times New Roman"/>
          <w:sz w:val="24"/>
          <w:szCs w:val="24"/>
          <w:lang w:val="en-US"/>
        </w:rPr>
        <w:t xml:space="preserve">… help to allocate resources to </w:t>
      </w:r>
      <w:r w:rsidRPr="00BB491F">
        <w:rPr>
          <w:rFonts w:ascii="Times New Roman" w:hAnsi="Times New Roman" w:cs="Times New Roman"/>
          <w:sz w:val="24"/>
          <w:szCs w:val="24"/>
          <w:lang w:val="en-US"/>
        </w:rPr>
        <w:t xml:space="preserve">their most efficient uses; they determine who gets </w:t>
      </w:r>
      <w:r>
        <w:rPr>
          <w:rFonts w:ascii="Times New Roman" w:hAnsi="Times New Roman" w:cs="Times New Roman"/>
          <w:sz w:val="24"/>
          <w:szCs w:val="24"/>
          <w:lang w:val="en-US"/>
        </w:rPr>
        <w:t xml:space="preserve">profits, revenues, and residual </w:t>
      </w:r>
      <w:r w:rsidRPr="00BB491F">
        <w:rPr>
          <w:rFonts w:ascii="Times New Roman" w:hAnsi="Times New Roman" w:cs="Times New Roman"/>
          <w:sz w:val="24"/>
          <w:szCs w:val="24"/>
          <w:lang w:val="en-US"/>
        </w:rPr>
        <w:t>rights of control … entrepreneurs, operating in product</w:t>
      </w:r>
      <w:r>
        <w:rPr>
          <w:rFonts w:ascii="Times New Roman" w:hAnsi="Times New Roman" w:cs="Times New Roman"/>
          <w:sz w:val="24"/>
          <w:szCs w:val="24"/>
          <w:lang w:val="en-US"/>
        </w:rPr>
        <w:t xml:space="preserve">ive institutional environments, </w:t>
      </w:r>
      <w:r w:rsidRPr="00BB491F">
        <w:rPr>
          <w:rFonts w:ascii="Times New Roman" w:hAnsi="Times New Roman" w:cs="Times New Roman"/>
          <w:sz w:val="24"/>
          <w:szCs w:val="24"/>
          <w:lang w:val="en-US"/>
        </w:rPr>
        <w:t>provide the transmission mechan</w:t>
      </w:r>
      <w:r>
        <w:rPr>
          <w:rFonts w:ascii="Times New Roman" w:hAnsi="Times New Roman" w:cs="Times New Roman"/>
          <w:sz w:val="24"/>
          <w:szCs w:val="24"/>
          <w:lang w:val="en-US"/>
        </w:rPr>
        <w:t xml:space="preserve">ism from innovation to economic </w:t>
      </w:r>
      <w:r w:rsidRPr="00BB491F">
        <w:rPr>
          <w:rFonts w:ascii="Times New Roman" w:hAnsi="Times New Roman" w:cs="Times New Roman"/>
          <w:sz w:val="24"/>
          <w:szCs w:val="24"/>
          <w:lang w:val="en-US"/>
        </w:rPr>
        <w:t>growth” (2018: 505)</w:t>
      </w:r>
      <w:r>
        <w:rPr>
          <w:rFonts w:ascii="Times New Roman" w:hAnsi="Times New Roman" w:cs="Times New Roman"/>
          <w:sz w:val="24"/>
          <w:szCs w:val="24"/>
          <w:lang w:val="en-US"/>
        </w:rPr>
        <w:t>…</w:t>
      </w:r>
    </w:p>
    <w:sectPr w:rsidR="009B039D" w:rsidSect="00170DCC">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Georgia">
    <w:panose1 w:val="02040502050405020303"/>
    <w:charset w:val="00"/>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504964"/>
    <w:multiLevelType w:val="multilevel"/>
    <w:tmpl w:val="78A84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B27641B"/>
    <w:multiLevelType w:val="multilevel"/>
    <w:tmpl w:val="63288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0D07530"/>
    <w:multiLevelType w:val="multilevel"/>
    <w:tmpl w:val="FD983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C3D558A"/>
    <w:multiLevelType w:val="multilevel"/>
    <w:tmpl w:val="A9245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353169F9"/>
    <w:multiLevelType w:val="multilevel"/>
    <w:tmpl w:val="774E8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0FC26BB"/>
    <w:multiLevelType w:val="multilevel"/>
    <w:tmpl w:val="02968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59B25B2"/>
    <w:multiLevelType w:val="multilevel"/>
    <w:tmpl w:val="AF049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34317BC"/>
    <w:multiLevelType w:val="multilevel"/>
    <w:tmpl w:val="7E6EB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74B4764C"/>
    <w:multiLevelType w:val="multilevel"/>
    <w:tmpl w:val="4C361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5F46CCB"/>
    <w:multiLevelType w:val="multilevel"/>
    <w:tmpl w:val="E7009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9"/>
  </w:num>
  <w:num w:numId="4">
    <w:abstractNumId w:val="5"/>
  </w:num>
  <w:num w:numId="5">
    <w:abstractNumId w:val="4"/>
  </w:num>
  <w:num w:numId="6">
    <w:abstractNumId w:val="6"/>
  </w:num>
  <w:num w:numId="7">
    <w:abstractNumId w:val="3"/>
  </w:num>
  <w:num w:numId="8">
    <w:abstractNumId w:val="8"/>
  </w:num>
  <w:num w:numId="9">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2"/>
  <w:hideSpellingErrors/>
  <w:proofState w:spelling="clean" w:grammar="clean"/>
  <w:defaultTabStop w:val="708"/>
  <w:hyphenationZone w:val="425"/>
  <w:characterSpacingControl w:val="doNotCompress"/>
  <w:compat/>
  <w:rsids>
    <w:rsidRoot w:val="00797E09"/>
    <w:rsid w:val="00001438"/>
    <w:rsid w:val="00003C84"/>
    <w:rsid w:val="00020BA4"/>
    <w:rsid w:val="00022F4A"/>
    <w:rsid w:val="00045344"/>
    <w:rsid w:val="0004590A"/>
    <w:rsid w:val="00053160"/>
    <w:rsid w:val="00064395"/>
    <w:rsid w:val="000777E3"/>
    <w:rsid w:val="000865A8"/>
    <w:rsid w:val="0009075E"/>
    <w:rsid w:val="00097B88"/>
    <w:rsid w:val="000A1A59"/>
    <w:rsid w:val="000C5BAF"/>
    <w:rsid w:val="000D48A6"/>
    <w:rsid w:val="000E463B"/>
    <w:rsid w:val="000F2523"/>
    <w:rsid w:val="00106298"/>
    <w:rsid w:val="00106C81"/>
    <w:rsid w:val="0011116D"/>
    <w:rsid w:val="00117045"/>
    <w:rsid w:val="001435F9"/>
    <w:rsid w:val="0015767F"/>
    <w:rsid w:val="00170DCC"/>
    <w:rsid w:val="00177DBB"/>
    <w:rsid w:val="00183AF7"/>
    <w:rsid w:val="00197FCC"/>
    <w:rsid w:val="001A0533"/>
    <w:rsid w:val="001A1F1D"/>
    <w:rsid w:val="001A5A7B"/>
    <w:rsid w:val="001C10B0"/>
    <w:rsid w:val="001C1FAD"/>
    <w:rsid w:val="001C50B4"/>
    <w:rsid w:val="001C7F37"/>
    <w:rsid w:val="001D0BA8"/>
    <w:rsid w:val="001D10E6"/>
    <w:rsid w:val="001E18DD"/>
    <w:rsid w:val="001E22E4"/>
    <w:rsid w:val="001E38E0"/>
    <w:rsid w:val="002050DB"/>
    <w:rsid w:val="002100F7"/>
    <w:rsid w:val="00231CDA"/>
    <w:rsid w:val="00233A7C"/>
    <w:rsid w:val="00234B60"/>
    <w:rsid w:val="00237C51"/>
    <w:rsid w:val="0024093E"/>
    <w:rsid w:val="00244993"/>
    <w:rsid w:val="00271495"/>
    <w:rsid w:val="00272446"/>
    <w:rsid w:val="00277102"/>
    <w:rsid w:val="00290C0D"/>
    <w:rsid w:val="0029573B"/>
    <w:rsid w:val="002A1392"/>
    <w:rsid w:val="002A170C"/>
    <w:rsid w:val="002A5339"/>
    <w:rsid w:val="002A65B6"/>
    <w:rsid w:val="002A7417"/>
    <w:rsid w:val="002C02E2"/>
    <w:rsid w:val="002D51F3"/>
    <w:rsid w:val="002E1D4D"/>
    <w:rsid w:val="002F5176"/>
    <w:rsid w:val="002F7D22"/>
    <w:rsid w:val="0031673B"/>
    <w:rsid w:val="00332505"/>
    <w:rsid w:val="003511B7"/>
    <w:rsid w:val="003763EC"/>
    <w:rsid w:val="00382378"/>
    <w:rsid w:val="00395911"/>
    <w:rsid w:val="003974FC"/>
    <w:rsid w:val="003A12EF"/>
    <w:rsid w:val="003B0B4C"/>
    <w:rsid w:val="003B36DC"/>
    <w:rsid w:val="003C0015"/>
    <w:rsid w:val="003C15C1"/>
    <w:rsid w:val="003D5506"/>
    <w:rsid w:val="003F4A71"/>
    <w:rsid w:val="00415913"/>
    <w:rsid w:val="00425C21"/>
    <w:rsid w:val="004343E8"/>
    <w:rsid w:val="004407BB"/>
    <w:rsid w:val="004661B8"/>
    <w:rsid w:val="0048360E"/>
    <w:rsid w:val="00497E25"/>
    <w:rsid w:val="004A6D82"/>
    <w:rsid w:val="004B402F"/>
    <w:rsid w:val="004B6975"/>
    <w:rsid w:val="004C4747"/>
    <w:rsid w:val="004C4876"/>
    <w:rsid w:val="004D1B07"/>
    <w:rsid w:val="004D3100"/>
    <w:rsid w:val="004D5328"/>
    <w:rsid w:val="004E1FF0"/>
    <w:rsid w:val="004E3C9D"/>
    <w:rsid w:val="004E719D"/>
    <w:rsid w:val="005173F8"/>
    <w:rsid w:val="00523824"/>
    <w:rsid w:val="005342C1"/>
    <w:rsid w:val="005365AD"/>
    <w:rsid w:val="00542C19"/>
    <w:rsid w:val="00544A66"/>
    <w:rsid w:val="00550AB2"/>
    <w:rsid w:val="00554672"/>
    <w:rsid w:val="00561D9E"/>
    <w:rsid w:val="005757DE"/>
    <w:rsid w:val="005823C2"/>
    <w:rsid w:val="005858A4"/>
    <w:rsid w:val="00592665"/>
    <w:rsid w:val="005C2B71"/>
    <w:rsid w:val="005C56B6"/>
    <w:rsid w:val="005C6D86"/>
    <w:rsid w:val="005D1DA4"/>
    <w:rsid w:val="005D3D8C"/>
    <w:rsid w:val="005D6436"/>
    <w:rsid w:val="005E44F6"/>
    <w:rsid w:val="005F3821"/>
    <w:rsid w:val="005F534D"/>
    <w:rsid w:val="0060357E"/>
    <w:rsid w:val="006052AE"/>
    <w:rsid w:val="00610E41"/>
    <w:rsid w:val="00616CD1"/>
    <w:rsid w:val="006344C3"/>
    <w:rsid w:val="0064727A"/>
    <w:rsid w:val="006521DC"/>
    <w:rsid w:val="00660781"/>
    <w:rsid w:val="006627A6"/>
    <w:rsid w:val="006639EE"/>
    <w:rsid w:val="006658FB"/>
    <w:rsid w:val="00673187"/>
    <w:rsid w:val="0067488C"/>
    <w:rsid w:val="006C3169"/>
    <w:rsid w:val="006E34CB"/>
    <w:rsid w:val="006F3018"/>
    <w:rsid w:val="007052F3"/>
    <w:rsid w:val="00717CED"/>
    <w:rsid w:val="007214C0"/>
    <w:rsid w:val="00723CD7"/>
    <w:rsid w:val="00725040"/>
    <w:rsid w:val="0072710E"/>
    <w:rsid w:val="00732791"/>
    <w:rsid w:val="00736A16"/>
    <w:rsid w:val="0076371D"/>
    <w:rsid w:val="00774A8A"/>
    <w:rsid w:val="007874D1"/>
    <w:rsid w:val="00797E09"/>
    <w:rsid w:val="007C223F"/>
    <w:rsid w:val="007C470B"/>
    <w:rsid w:val="007D67F3"/>
    <w:rsid w:val="007E42C8"/>
    <w:rsid w:val="007F2695"/>
    <w:rsid w:val="00801615"/>
    <w:rsid w:val="008107E8"/>
    <w:rsid w:val="00810DC1"/>
    <w:rsid w:val="00812D47"/>
    <w:rsid w:val="00831539"/>
    <w:rsid w:val="008322B9"/>
    <w:rsid w:val="00833E1A"/>
    <w:rsid w:val="00843537"/>
    <w:rsid w:val="0084509F"/>
    <w:rsid w:val="0085531B"/>
    <w:rsid w:val="00861328"/>
    <w:rsid w:val="008945E5"/>
    <w:rsid w:val="008B4E7E"/>
    <w:rsid w:val="008C0F36"/>
    <w:rsid w:val="008C1F3C"/>
    <w:rsid w:val="008D2E80"/>
    <w:rsid w:val="008E2A8A"/>
    <w:rsid w:val="008F062A"/>
    <w:rsid w:val="008F626B"/>
    <w:rsid w:val="00903335"/>
    <w:rsid w:val="00903D67"/>
    <w:rsid w:val="009121B0"/>
    <w:rsid w:val="009168B5"/>
    <w:rsid w:val="00921F0C"/>
    <w:rsid w:val="00922E26"/>
    <w:rsid w:val="00923697"/>
    <w:rsid w:val="0092532F"/>
    <w:rsid w:val="00927863"/>
    <w:rsid w:val="0093298A"/>
    <w:rsid w:val="009330BC"/>
    <w:rsid w:val="00944DEB"/>
    <w:rsid w:val="00953CB7"/>
    <w:rsid w:val="00954FE9"/>
    <w:rsid w:val="00966326"/>
    <w:rsid w:val="009703A5"/>
    <w:rsid w:val="00974F4A"/>
    <w:rsid w:val="009827AD"/>
    <w:rsid w:val="00994458"/>
    <w:rsid w:val="0099481E"/>
    <w:rsid w:val="009B039D"/>
    <w:rsid w:val="009B0981"/>
    <w:rsid w:val="009B15CD"/>
    <w:rsid w:val="009B7BCA"/>
    <w:rsid w:val="009C0D45"/>
    <w:rsid w:val="009C38F1"/>
    <w:rsid w:val="009D191D"/>
    <w:rsid w:val="009D580A"/>
    <w:rsid w:val="009E7178"/>
    <w:rsid w:val="00A159C6"/>
    <w:rsid w:val="00A303DD"/>
    <w:rsid w:val="00A376DF"/>
    <w:rsid w:val="00A40A99"/>
    <w:rsid w:val="00A44B1F"/>
    <w:rsid w:val="00A62FB8"/>
    <w:rsid w:val="00A70A60"/>
    <w:rsid w:val="00A80695"/>
    <w:rsid w:val="00A82F11"/>
    <w:rsid w:val="00A9730F"/>
    <w:rsid w:val="00AA1361"/>
    <w:rsid w:val="00AA194E"/>
    <w:rsid w:val="00AA7566"/>
    <w:rsid w:val="00AB2094"/>
    <w:rsid w:val="00AB4267"/>
    <w:rsid w:val="00AC2085"/>
    <w:rsid w:val="00AD0A69"/>
    <w:rsid w:val="00AD3143"/>
    <w:rsid w:val="00AE3AEA"/>
    <w:rsid w:val="00B0273B"/>
    <w:rsid w:val="00B044BF"/>
    <w:rsid w:val="00B148B1"/>
    <w:rsid w:val="00B31506"/>
    <w:rsid w:val="00B40549"/>
    <w:rsid w:val="00B42AF1"/>
    <w:rsid w:val="00B442F5"/>
    <w:rsid w:val="00B562AC"/>
    <w:rsid w:val="00B612A8"/>
    <w:rsid w:val="00B715FA"/>
    <w:rsid w:val="00B85479"/>
    <w:rsid w:val="00B85F44"/>
    <w:rsid w:val="00B87573"/>
    <w:rsid w:val="00B941C8"/>
    <w:rsid w:val="00B972F8"/>
    <w:rsid w:val="00B97CD8"/>
    <w:rsid w:val="00BA67EC"/>
    <w:rsid w:val="00BE01E4"/>
    <w:rsid w:val="00BE6609"/>
    <w:rsid w:val="00C06514"/>
    <w:rsid w:val="00C10146"/>
    <w:rsid w:val="00C12742"/>
    <w:rsid w:val="00C24670"/>
    <w:rsid w:val="00C30D20"/>
    <w:rsid w:val="00C31F18"/>
    <w:rsid w:val="00C34C56"/>
    <w:rsid w:val="00C350DC"/>
    <w:rsid w:val="00C527D6"/>
    <w:rsid w:val="00C53DA2"/>
    <w:rsid w:val="00C54275"/>
    <w:rsid w:val="00C56BCF"/>
    <w:rsid w:val="00C6252F"/>
    <w:rsid w:val="00C64EED"/>
    <w:rsid w:val="00C752D3"/>
    <w:rsid w:val="00CA7061"/>
    <w:rsid w:val="00CC2BE2"/>
    <w:rsid w:val="00CC4353"/>
    <w:rsid w:val="00CE7CDE"/>
    <w:rsid w:val="00D06006"/>
    <w:rsid w:val="00D11602"/>
    <w:rsid w:val="00D14C8F"/>
    <w:rsid w:val="00D15D17"/>
    <w:rsid w:val="00D263AE"/>
    <w:rsid w:val="00D37537"/>
    <w:rsid w:val="00D74D99"/>
    <w:rsid w:val="00D76AFA"/>
    <w:rsid w:val="00D95F69"/>
    <w:rsid w:val="00DA2215"/>
    <w:rsid w:val="00DB3051"/>
    <w:rsid w:val="00DB3BD2"/>
    <w:rsid w:val="00DB4B8B"/>
    <w:rsid w:val="00DE3C80"/>
    <w:rsid w:val="00E60407"/>
    <w:rsid w:val="00E6423A"/>
    <w:rsid w:val="00E771ED"/>
    <w:rsid w:val="00E86FB6"/>
    <w:rsid w:val="00EA3F85"/>
    <w:rsid w:val="00EC77F9"/>
    <w:rsid w:val="00EF1450"/>
    <w:rsid w:val="00EF576C"/>
    <w:rsid w:val="00F01646"/>
    <w:rsid w:val="00F1176B"/>
    <w:rsid w:val="00F17CB3"/>
    <w:rsid w:val="00F35D23"/>
    <w:rsid w:val="00F43A83"/>
    <w:rsid w:val="00F52642"/>
    <w:rsid w:val="00F54F54"/>
    <w:rsid w:val="00F60D76"/>
    <w:rsid w:val="00F640DE"/>
    <w:rsid w:val="00F76AF5"/>
    <w:rsid w:val="00FA15DA"/>
    <w:rsid w:val="00FA2137"/>
    <w:rsid w:val="00FB7D29"/>
    <w:rsid w:val="00FC37DB"/>
    <w:rsid w:val="00FD1ECA"/>
    <w:rsid w:val="00FD4A90"/>
    <w:rsid w:val="00FE56A9"/>
    <w:rsid w:val="00FF044F"/>
    <w:rsid w:val="00FF2201"/>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7E09"/>
    <w:rPr>
      <w:rFonts w:eastAsiaTheme="minorEastAsia"/>
      <w:lang w:eastAsia="es-ES"/>
    </w:rPr>
  </w:style>
  <w:style w:type="paragraph" w:styleId="Ttulo1">
    <w:name w:val="heading 1"/>
    <w:basedOn w:val="Normal"/>
    <w:next w:val="Normal"/>
    <w:link w:val="Ttulo1Car"/>
    <w:uiPriority w:val="9"/>
    <w:qFormat/>
    <w:rsid w:val="00B0273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B0273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tulo3">
    <w:name w:val="heading 3"/>
    <w:basedOn w:val="Normal"/>
    <w:next w:val="Normal"/>
    <w:link w:val="Ttulo3Car"/>
    <w:uiPriority w:val="9"/>
    <w:semiHidden/>
    <w:unhideWhenUsed/>
    <w:qFormat/>
    <w:rsid w:val="0085531B"/>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B0273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0273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0273B"/>
    <w:rPr>
      <w:rFonts w:ascii="Tahoma" w:eastAsiaTheme="minorEastAsia" w:hAnsi="Tahoma" w:cs="Tahoma"/>
      <w:sz w:val="16"/>
      <w:szCs w:val="16"/>
      <w:lang w:eastAsia="es-ES"/>
    </w:rPr>
  </w:style>
  <w:style w:type="character" w:customStyle="1" w:styleId="Ttulo1Car">
    <w:name w:val="Título 1 Car"/>
    <w:basedOn w:val="Fuentedeprrafopredeter"/>
    <w:link w:val="Ttulo1"/>
    <w:uiPriority w:val="9"/>
    <w:rsid w:val="00B0273B"/>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B0273B"/>
    <w:rPr>
      <w:rFonts w:ascii="Times New Roman" w:eastAsia="Times New Roman" w:hAnsi="Times New Roman" w:cs="Times New Roman"/>
      <w:b/>
      <w:bCs/>
      <w:sz w:val="36"/>
      <w:szCs w:val="36"/>
      <w:lang w:eastAsia="es-ES"/>
    </w:rPr>
  </w:style>
  <w:style w:type="character" w:customStyle="1" w:styleId="Ttulo4Car">
    <w:name w:val="Título 4 Car"/>
    <w:basedOn w:val="Fuentedeprrafopredeter"/>
    <w:link w:val="Ttulo4"/>
    <w:uiPriority w:val="9"/>
    <w:semiHidden/>
    <w:rsid w:val="00B0273B"/>
    <w:rPr>
      <w:rFonts w:asciiTheme="majorHAnsi" w:eastAsiaTheme="majorEastAsia" w:hAnsiTheme="majorHAnsi" w:cstheme="majorBidi"/>
      <w:b/>
      <w:bCs/>
      <w:i/>
      <w:iCs/>
      <w:color w:val="4F81BD" w:themeColor="accent1"/>
      <w:lang w:eastAsia="es-ES"/>
    </w:rPr>
  </w:style>
  <w:style w:type="paragraph" w:styleId="NormalWeb">
    <w:name w:val="Normal (Web)"/>
    <w:basedOn w:val="Normal"/>
    <w:uiPriority w:val="99"/>
    <w:unhideWhenUsed/>
    <w:rsid w:val="00B0273B"/>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unhideWhenUsed/>
    <w:rsid w:val="00B0273B"/>
    <w:rPr>
      <w:color w:val="0000FF"/>
      <w:u w:val="single"/>
    </w:rPr>
  </w:style>
  <w:style w:type="character" w:styleId="Textoennegrita">
    <w:name w:val="Strong"/>
    <w:basedOn w:val="Fuentedeprrafopredeter"/>
    <w:uiPriority w:val="22"/>
    <w:qFormat/>
    <w:rsid w:val="00B0273B"/>
    <w:rPr>
      <w:b/>
      <w:bCs/>
    </w:rPr>
  </w:style>
  <w:style w:type="character" w:styleId="nfasis">
    <w:name w:val="Emphasis"/>
    <w:basedOn w:val="Fuentedeprrafopredeter"/>
    <w:uiPriority w:val="20"/>
    <w:qFormat/>
    <w:rsid w:val="00B0273B"/>
    <w:rPr>
      <w:i/>
      <w:iCs/>
    </w:rPr>
  </w:style>
  <w:style w:type="paragraph" w:styleId="Prrafodelista">
    <w:name w:val="List Paragraph"/>
    <w:basedOn w:val="Normal"/>
    <w:uiPriority w:val="34"/>
    <w:qFormat/>
    <w:rsid w:val="00774A8A"/>
    <w:pPr>
      <w:ind w:left="720"/>
      <w:contextualSpacing/>
    </w:pPr>
  </w:style>
  <w:style w:type="paragraph" w:customStyle="1" w:styleId="yiv6099203543msonormal">
    <w:name w:val="yiv6099203543msonormal"/>
    <w:basedOn w:val="Normal"/>
    <w:rsid w:val="00B42AF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ory-bodyintroduction">
    <w:name w:val="story-body__introduction"/>
    <w:basedOn w:val="Normal"/>
    <w:rsid w:val="00B8757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dia-captiontext">
    <w:name w:val="media-caption__text"/>
    <w:basedOn w:val="Fuentedeprrafopredeter"/>
    <w:rsid w:val="00B87573"/>
  </w:style>
  <w:style w:type="character" w:customStyle="1" w:styleId="Ttulo3Car">
    <w:name w:val="Título 3 Car"/>
    <w:basedOn w:val="Fuentedeprrafopredeter"/>
    <w:link w:val="Ttulo3"/>
    <w:uiPriority w:val="9"/>
    <w:semiHidden/>
    <w:rsid w:val="0085531B"/>
    <w:rPr>
      <w:rFonts w:asciiTheme="majorHAnsi" w:eastAsiaTheme="majorEastAsia" w:hAnsiTheme="majorHAnsi" w:cstheme="majorBidi"/>
      <w:b/>
      <w:bCs/>
      <w:color w:val="4F81BD" w:themeColor="accent1"/>
      <w:lang w:eastAsia="es-ES"/>
    </w:rPr>
  </w:style>
  <w:style w:type="paragraph" w:customStyle="1" w:styleId="entradilla">
    <w:name w:val="entradilla"/>
    <w:basedOn w:val="Normal"/>
    <w:rsid w:val="0085531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author-name">
    <w:name w:val="tweetauthor-name"/>
    <w:basedOn w:val="Fuentedeprrafopredeter"/>
    <w:rsid w:val="001E18DD"/>
  </w:style>
  <w:style w:type="character" w:customStyle="1" w:styleId="tweetauthor-screenname">
    <w:name w:val="tweetauthor-screenname"/>
    <w:basedOn w:val="Fuentedeprrafopredeter"/>
    <w:rsid w:val="001E18DD"/>
  </w:style>
  <w:style w:type="paragraph" w:customStyle="1" w:styleId="tweet-text">
    <w:name w:val="tweet-text"/>
    <w:basedOn w:val="Normal"/>
    <w:rsid w:val="001E18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ce">
    <w:name w:val="mce"/>
    <w:basedOn w:val="Normal"/>
    <w:rsid w:val="001E18D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author-verifiedbadge">
    <w:name w:val="tweetauthor-verifiedbadge"/>
    <w:basedOn w:val="Fuentedeprrafopredeter"/>
    <w:rsid w:val="001E18DD"/>
  </w:style>
  <w:style w:type="character" w:customStyle="1" w:styleId="followbutton-bird">
    <w:name w:val="followbutton-bird"/>
    <w:basedOn w:val="Fuentedeprrafopredeter"/>
    <w:rsid w:val="001E18DD"/>
  </w:style>
  <w:style w:type="paragraph" w:customStyle="1" w:styleId="Subttulo1">
    <w:name w:val="Subtítulo1"/>
    <w:basedOn w:val="Normal"/>
    <w:rsid w:val="00903335"/>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7E09"/>
    <w:rPr>
      <w:rFonts w:eastAsiaTheme="minorEastAsia"/>
      <w:lang w:eastAsia="es-ES"/>
    </w:rPr>
  </w:style>
  <w:style w:type="paragraph" w:styleId="Ttulo1">
    <w:name w:val="heading 1"/>
    <w:basedOn w:val="Normal"/>
    <w:next w:val="Normal"/>
    <w:link w:val="Ttulo1Car"/>
    <w:uiPriority w:val="9"/>
    <w:qFormat/>
    <w:rsid w:val="00B0273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B0273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tulo3">
    <w:name w:val="heading 3"/>
    <w:basedOn w:val="Normal"/>
    <w:next w:val="Normal"/>
    <w:link w:val="Ttulo3Car"/>
    <w:uiPriority w:val="9"/>
    <w:semiHidden/>
    <w:unhideWhenUsed/>
    <w:qFormat/>
    <w:rsid w:val="0085531B"/>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B0273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0273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0273B"/>
    <w:rPr>
      <w:rFonts w:ascii="Tahoma" w:eastAsiaTheme="minorEastAsia" w:hAnsi="Tahoma" w:cs="Tahoma"/>
      <w:sz w:val="16"/>
      <w:szCs w:val="16"/>
      <w:lang w:eastAsia="es-ES"/>
    </w:rPr>
  </w:style>
  <w:style w:type="character" w:customStyle="1" w:styleId="Ttulo1Car">
    <w:name w:val="Título 1 Car"/>
    <w:basedOn w:val="Fuentedeprrafopredeter"/>
    <w:link w:val="Ttulo1"/>
    <w:uiPriority w:val="9"/>
    <w:rsid w:val="00B0273B"/>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B0273B"/>
    <w:rPr>
      <w:rFonts w:ascii="Times New Roman" w:eastAsia="Times New Roman" w:hAnsi="Times New Roman" w:cs="Times New Roman"/>
      <w:b/>
      <w:bCs/>
      <w:sz w:val="36"/>
      <w:szCs w:val="36"/>
      <w:lang w:eastAsia="es-ES"/>
    </w:rPr>
  </w:style>
  <w:style w:type="character" w:customStyle="1" w:styleId="Ttulo4Car">
    <w:name w:val="Título 4 Car"/>
    <w:basedOn w:val="Fuentedeprrafopredeter"/>
    <w:link w:val="Ttulo4"/>
    <w:uiPriority w:val="9"/>
    <w:semiHidden/>
    <w:rsid w:val="00B0273B"/>
    <w:rPr>
      <w:rFonts w:asciiTheme="majorHAnsi" w:eastAsiaTheme="majorEastAsia" w:hAnsiTheme="majorHAnsi" w:cstheme="majorBidi"/>
      <w:b/>
      <w:bCs/>
      <w:i/>
      <w:iCs/>
      <w:color w:val="4F81BD" w:themeColor="accent1"/>
      <w:lang w:eastAsia="es-ES"/>
    </w:rPr>
  </w:style>
  <w:style w:type="paragraph" w:styleId="NormalWeb">
    <w:name w:val="Normal (Web)"/>
    <w:basedOn w:val="Normal"/>
    <w:uiPriority w:val="99"/>
    <w:unhideWhenUsed/>
    <w:rsid w:val="00B0273B"/>
    <w:pPr>
      <w:spacing w:before="100" w:beforeAutospacing="1" w:after="100" w:afterAutospacing="1" w:line="240" w:lineRule="auto"/>
    </w:pPr>
    <w:rPr>
      <w:rFonts w:ascii="Times New Roman" w:eastAsia="Times New Roman" w:hAnsi="Times New Roman" w:cs="Times New Roman"/>
      <w:sz w:val="24"/>
      <w:szCs w:val="24"/>
    </w:rPr>
  </w:style>
  <w:style w:type="character" w:styleId="Hipervnculo">
    <w:name w:val="Hyperlink"/>
    <w:basedOn w:val="Fuentedeprrafopredeter"/>
    <w:uiPriority w:val="99"/>
    <w:unhideWhenUsed/>
    <w:rsid w:val="00B0273B"/>
    <w:rPr>
      <w:color w:val="0000FF"/>
      <w:u w:val="single"/>
    </w:rPr>
  </w:style>
  <w:style w:type="character" w:styleId="Textoennegrita">
    <w:name w:val="Strong"/>
    <w:basedOn w:val="Fuentedeprrafopredeter"/>
    <w:uiPriority w:val="22"/>
    <w:qFormat/>
    <w:rsid w:val="00B0273B"/>
    <w:rPr>
      <w:b/>
      <w:bCs/>
    </w:rPr>
  </w:style>
  <w:style w:type="character" w:styleId="nfasis">
    <w:name w:val="Emphasis"/>
    <w:basedOn w:val="Fuentedeprrafopredeter"/>
    <w:uiPriority w:val="20"/>
    <w:qFormat/>
    <w:rsid w:val="00B0273B"/>
    <w:rPr>
      <w:i/>
      <w:iCs/>
    </w:rPr>
  </w:style>
  <w:style w:type="paragraph" w:styleId="Prrafodelista">
    <w:name w:val="List Paragraph"/>
    <w:basedOn w:val="Normal"/>
    <w:uiPriority w:val="34"/>
    <w:qFormat/>
    <w:rsid w:val="00774A8A"/>
    <w:pPr>
      <w:ind w:left="720"/>
      <w:contextualSpacing/>
    </w:pPr>
  </w:style>
  <w:style w:type="paragraph" w:customStyle="1" w:styleId="yiv6099203543msonormal">
    <w:name w:val="yiv6099203543msonormal"/>
    <w:basedOn w:val="Normal"/>
    <w:rsid w:val="00B42AF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ory-bodyintroduction">
    <w:name w:val="story-body__introduction"/>
    <w:basedOn w:val="Normal"/>
    <w:rsid w:val="00B8757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dia-captiontext">
    <w:name w:val="media-caption__text"/>
    <w:basedOn w:val="Fuentedeprrafopredeter"/>
    <w:rsid w:val="00B87573"/>
  </w:style>
  <w:style w:type="character" w:customStyle="1" w:styleId="Ttulo3Car">
    <w:name w:val="Título 3 Car"/>
    <w:basedOn w:val="Fuentedeprrafopredeter"/>
    <w:link w:val="Ttulo3"/>
    <w:uiPriority w:val="9"/>
    <w:semiHidden/>
    <w:rsid w:val="0085531B"/>
    <w:rPr>
      <w:rFonts w:asciiTheme="majorHAnsi" w:eastAsiaTheme="majorEastAsia" w:hAnsiTheme="majorHAnsi" w:cstheme="majorBidi"/>
      <w:b/>
      <w:bCs/>
      <w:color w:val="4F81BD" w:themeColor="accent1"/>
      <w:lang w:eastAsia="es-ES"/>
    </w:rPr>
  </w:style>
  <w:style w:type="paragraph" w:customStyle="1" w:styleId="entradilla">
    <w:name w:val="entradilla"/>
    <w:basedOn w:val="Normal"/>
    <w:rsid w:val="0085531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author-name">
    <w:name w:val="tweetauthor-name"/>
    <w:basedOn w:val="Fuentedeprrafopredeter"/>
    <w:rsid w:val="001E18DD"/>
  </w:style>
  <w:style w:type="character" w:customStyle="1" w:styleId="tweetauthor-screenname">
    <w:name w:val="tweetauthor-screenname"/>
    <w:basedOn w:val="Fuentedeprrafopredeter"/>
    <w:rsid w:val="001E18DD"/>
  </w:style>
  <w:style w:type="paragraph" w:customStyle="1" w:styleId="tweet-text">
    <w:name w:val="tweet-text"/>
    <w:basedOn w:val="Normal"/>
    <w:rsid w:val="001E18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ce">
    <w:name w:val="mce"/>
    <w:basedOn w:val="Normal"/>
    <w:rsid w:val="001E18D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author-verifiedbadge">
    <w:name w:val="tweetauthor-verifiedbadge"/>
    <w:basedOn w:val="Fuentedeprrafopredeter"/>
    <w:rsid w:val="001E18DD"/>
  </w:style>
  <w:style w:type="character" w:customStyle="1" w:styleId="followbutton-bird">
    <w:name w:val="followbutton-bird"/>
    <w:basedOn w:val="Fuentedeprrafopredeter"/>
    <w:rsid w:val="001E18DD"/>
  </w:style>
  <w:style w:type="paragraph" w:customStyle="1" w:styleId="Subttulo1">
    <w:name w:val="Subtítulo1"/>
    <w:basedOn w:val="Normal"/>
    <w:rsid w:val="0090333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62312703">
      <w:bodyDiv w:val="1"/>
      <w:marLeft w:val="0"/>
      <w:marRight w:val="0"/>
      <w:marTop w:val="0"/>
      <w:marBottom w:val="0"/>
      <w:divBdr>
        <w:top w:val="none" w:sz="0" w:space="0" w:color="auto"/>
        <w:left w:val="none" w:sz="0" w:space="0" w:color="auto"/>
        <w:bottom w:val="none" w:sz="0" w:space="0" w:color="auto"/>
        <w:right w:val="none" w:sz="0" w:space="0" w:color="auto"/>
      </w:divBdr>
    </w:div>
    <w:div w:id="1692491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foreignaffairs.com/reviews/review-essay/fixing-finance" TargetMode="External"/><Relationship Id="rId21" Type="http://schemas.openxmlformats.org/officeDocument/2006/relationships/hyperlink" Target="https://elpais.com/economia/2019/07/04/actualidad/1562234175_739234.html?fbclid=IwAR0QT2DksNKdNaMwzxD2KzEBNaEH5JuIVi4BHLZO7wytu5Pqk-ZI64F-Hjg" TargetMode="External"/><Relationship Id="rId42" Type="http://schemas.openxmlformats.org/officeDocument/2006/relationships/image" Target="media/image24.png"/><Relationship Id="rId63" Type="http://schemas.openxmlformats.org/officeDocument/2006/relationships/image" Target="media/image43.jpeg"/><Relationship Id="rId84" Type="http://schemas.openxmlformats.org/officeDocument/2006/relationships/hyperlink" Target="https://foreignpolicy.com/2018/11/27/is-kabila-using-ethnic-violence-to-stay-in-power/" TargetMode="External"/><Relationship Id="rId138" Type="http://schemas.openxmlformats.org/officeDocument/2006/relationships/image" Target="media/image82.png"/><Relationship Id="rId159" Type="http://schemas.openxmlformats.org/officeDocument/2006/relationships/image" Target="media/image103.png"/><Relationship Id="rId170" Type="http://schemas.openxmlformats.org/officeDocument/2006/relationships/image" Target="media/image114.png"/><Relationship Id="rId191" Type="http://schemas.openxmlformats.org/officeDocument/2006/relationships/image" Target="media/image135.png"/><Relationship Id="rId205" Type="http://schemas.openxmlformats.org/officeDocument/2006/relationships/image" Target="media/image149.png"/><Relationship Id="rId107" Type="http://schemas.openxmlformats.org/officeDocument/2006/relationships/hyperlink" Target="https://en.wikipedia.org/wiki/Samuel_Slater" TargetMode="External"/><Relationship Id="rId11" Type="http://schemas.openxmlformats.org/officeDocument/2006/relationships/image" Target="media/image7.png"/><Relationship Id="rId32" Type="http://schemas.openxmlformats.org/officeDocument/2006/relationships/hyperlink" Target="https://retina.elpais.com/retina/2019/07/22/talento/1563784409_131384.html" TargetMode="External"/><Relationship Id="rId53" Type="http://schemas.openxmlformats.org/officeDocument/2006/relationships/image" Target="media/image33.jpeg"/><Relationship Id="rId74" Type="http://schemas.openxmlformats.org/officeDocument/2006/relationships/image" Target="media/image54.jpeg"/><Relationship Id="rId128" Type="http://schemas.openxmlformats.org/officeDocument/2006/relationships/hyperlink" Target="https://s.libertaddigital.com/2019/03/08/pareu3.jpg" TargetMode="External"/><Relationship Id="rId149" Type="http://schemas.openxmlformats.org/officeDocument/2006/relationships/image" Target="media/image93.png"/><Relationship Id="rId5" Type="http://schemas.openxmlformats.org/officeDocument/2006/relationships/image" Target="media/image1.png"/><Relationship Id="rId95" Type="http://schemas.openxmlformats.org/officeDocument/2006/relationships/image" Target="media/image62.jpeg"/><Relationship Id="rId160" Type="http://schemas.openxmlformats.org/officeDocument/2006/relationships/image" Target="media/image104.png"/><Relationship Id="rId181" Type="http://schemas.openxmlformats.org/officeDocument/2006/relationships/image" Target="media/image125.png"/><Relationship Id="rId216" Type="http://schemas.openxmlformats.org/officeDocument/2006/relationships/image" Target="media/image160.png"/><Relationship Id="rId211" Type="http://schemas.openxmlformats.org/officeDocument/2006/relationships/image" Target="media/image155.png"/><Relationship Id="rId22" Type="http://schemas.openxmlformats.org/officeDocument/2006/relationships/hyperlink" Target="https://elpais.com/economia/2019/07/04/actualidad/1562234175_739234.html?fbclid=IwAR0QT2DksNKdNaMwzxD2KzEBNaEH5JuIVi4BHLZO7wytu5Pqk-ZI64F-Hjg" TargetMode="External"/><Relationship Id="rId27" Type="http://schemas.openxmlformats.org/officeDocument/2006/relationships/hyperlink" Target="https://amzn.to/34xb1iW" TargetMode="External"/><Relationship Id="rId43" Type="http://schemas.openxmlformats.org/officeDocument/2006/relationships/hyperlink" Target="https://blogs.mediapart.fr/philippe-marliere/blog/" TargetMode="External"/><Relationship Id="rId48" Type="http://schemas.openxmlformats.org/officeDocument/2006/relationships/image" Target="media/image29.jpeg"/><Relationship Id="rId64" Type="http://schemas.openxmlformats.org/officeDocument/2006/relationships/image" Target="media/image44.png"/><Relationship Id="rId69" Type="http://schemas.openxmlformats.org/officeDocument/2006/relationships/image" Target="media/image49.jpeg"/><Relationship Id="rId113" Type="http://schemas.openxmlformats.org/officeDocument/2006/relationships/hyperlink" Target="https://es.weforum.org/agenda/2019/01/como-sobrevivir-y-prosperar-en-nuestra-epoca-de-incertidumbre/" TargetMode="External"/><Relationship Id="rId118" Type="http://schemas.openxmlformats.org/officeDocument/2006/relationships/hyperlink" Target="https://www.wilsoncenter.org/publication/are-political-parties-trouble" TargetMode="External"/><Relationship Id="rId134" Type="http://schemas.openxmlformats.org/officeDocument/2006/relationships/image" Target="media/image78.png"/><Relationship Id="rId139" Type="http://schemas.openxmlformats.org/officeDocument/2006/relationships/image" Target="media/image83.png"/><Relationship Id="rId80" Type="http://schemas.openxmlformats.org/officeDocument/2006/relationships/hyperlink" Target="https://reliefweb.int/sites/reliefweb.int/files/resources/Dupuy%2C%20Rustad-%20Trends%20in%20Armed%20Conflict%2C%201946%E2%80%932017%2C%20Conflict%20Trends%205-2018.pdf" TargetMode="External"/><Relationship Id="rId85" Type="http://schemas.openxmlformats.org/officeDocument/2006/relationships/image" Target="media/image60.png"/><Relationship Id="rId150" Type="http://schemas.openxmlformats.org/officeDocument/2006/relationships/image" Target="media/image94.png"/><Relationship Id="rId155" Type="http://schemas.openxmlformats.org/officeDocument/2006/relationships/image" Target="media/image99.png"/><Relationship Id="rId171" Type="http://schemas.openxmlformats.org/officeDocument/2006/relationships/image" Target="media/image115.png"/><Relationship Id="rId176" Type="http://schemas.openxmlformats.org/officeDocument/2006/relationships/image" Target="media/image120.png"/><Relationship Id="rId192" Type="http://schemas.openxmlformats.org/officeDocument/2006/relationships/image" Target="media/image136.png"/><Relationship Id="rId197" Type="http://schemas.openxmlformats.org/officeDocument/2006/relationships/image" Target="media/image141.png"/><Relationship Id="rId206" Type="http://schemas.openxmlformats.org/officeDocument/2006/relationships/image" Target="media/image150.png"/><Relationship Id="rId201" Type="http://schemas.openxmlformats.org/officeDocument/2006/relationships/image" Target="media/image145.png"/><Relationship Id="rId222" Type="http://schemas.openxmlformats.org/officeDocument/2006/relationships/theme" Target="theme/theme1.xml"/><Relationship Id="rId12" Type="http://schemas.openxmlformats.org/officeDocument/2006/relationships/image" Target="media/image8.png"/><Relationship Id="rId17" Type="http://schemas.openxmlformats.org/officeDocument/2006/relationships/hyperlink" Target="https://barcelona.reshapingwork.net/" TargetMode="External"/><Relationship Id="rId33" Type="http://schemas.openxmlformats.org/officeDocument/2006/relationships/image" Target="media/image16.jpeg"/><Relationship Id="rId38" Type="http://schemas.openxmlformats.org/officeDocument/2006/relationships/image" Target="media/image20.png"/><Relationship Id="rId59" Type="http://schemas.openxmlformats.org/officeDocument/2006/relationships/image" Target="media/image39.png"/><Relationship Id="rId103" Type="http://schemas.openxmlformats.org/officeDocument/2006/relationships/hyperlink" Target="https://www.weforum.org/agenda/2018/12/if-this-is-globalization-4-0-what-were-the-other-three/" TargetMode="External"/><Relationship Id="rId108" Type="http://schemas.openxmlformats.org/officeDocument/2006/relationships/hyperlink" Target="https://www.weforum.org/agenda/2018/12/if-this-is-globalization-4-0-what-were-the-other-three/" TargetMode="External"/><Relationship Id="rId124" Type="http://schemas.openxmlformats.org/officeDocument/2006/relationships/hyperlink" Target="https://s.libertaddigital.com/2019/03/08/pareu1.jpg" TargetMode="External"/><Relationship Id="rId129" Type="http://schemas.openxmlformats.org/officeDocument/2006/relationships/image" Target="media/image75.gif"/><Relationship Id="rId54" Type="http://schemas.openxmlformats.org/officeDocument/2006/relationships/image" Target="media/image34.png"/><Relationship Id="rId70" Type="http://schemas.openxmlformats.org/officeDocument/2006/relationships/image" Target="media/image50.jpeg"/><Relationship Id="rId75" Type="http://schemas.openxmlformats.org/officeDocument/2006/relationships/image" Target="media/image55.jpeg"/><Relationship Id="rId91" Type="http://schemas.openxmlformats.org/officeDocument/2006/relationships/hyperlink" Target="https://www.theguardian.com/world/2018/aug/09/brazil-sets-new-record-for-homicides-63880-deaths" TargetMode="External"/><Relationship Id="rId96" Type="http://schemas.openxmlformats.org/officeDocument/2006/relationships/image" Target="media/image63.png"/><Relationship Id="rId140" Type="http://schemas.openxmlformats.org/officeDocument/2006/relationships/image" Target="media/image84.png"/><Relationship Id="rId145" Type="http://schemas.openxmlformats.org/officeDocument/2006/relationships/image" Target="media/image89.png"/><Relationship Id="rId161" Type="http://schemas.openxmlformats.org/officeDocument/2006/relationships/image" Target="media/image105.png"/><Relationship Id="rId166" Type="http://schemas.openxmlformats.org/officeDocument/2006/relationships/image" Target="media/image110.png"/><Relationship Id="rId182" Type="http://schemas.openxmlformats.org/officeDocument/2006/relationships/image" Target="media/image126.png"/><Relationship Id="rId187" Type="http://schemas.openxmlformats.org/officeDocument/2006/relationships/image" Target="media/image131.png"/><Relationship Id="rId217" Type="http://schemas.openxmlformats.org/officeDocument/2006/relationships/image" Target="media/image161.png"/><Relationship Id="rId1" Type="http://schemas.openxmlformats.org/officeDocument/2006/relationships/numbering" Target="numbering.xml"/><Relationship Id="rId6" Type="http://schemas.openxmlformats.org/officeDocument/2006/relationships/image" Target="media/image2.jpeg"/><Relationship Id="rId212" Type="http://schemas.openxmlformats.org/officeDocument/2006/relationships/image" Target="media/image156.png"/><Relationship Id="rId23" Type="http://schemas.openxmlformats.org/officeDocument/2006/relationships/hyperlink" Target="https://www.epi.org/publication/top-ceos-make-300-times-more-than-workers-pay-growth-surpasses-market-gains-and-the-rest-of-the-0-1-percent/" TargetMode="External"/><Relationship Id="rId28" Type="http://schemas.openxmlformats.org/officeDocument/2006/relationships/image" Target="media/image14.jpeg"/><Relationship Id="rId49" Type="http://schemas.openxmlformats.org/officeDocument/2006/relationships/hyperlink" Target="http://www.realidadeconomica.com" TargetMode="External"/><Relationship Id="rId114" Type="http://schemas.openxmlformats.org/officeDocument/2006/relationships/hyperlink" Target="https://www.jstor.org/stable/20048274" TargetMode="External"/><Relationship Id="rId119" Type="http://schemas.openxmlformats.org/officeDocument/2006/relationships/hyperlink" Target="https://www.weforum.org/agenda/authors/robert-muggah" TargetMode="External"/><Relationship Id="rId44" Type="http://schemas.openxmlformats.org/officeDocument/2006/relationships/image" Target="media/image25.png"/><Relationship Id="rId60" Type="http://schemas.openxmlformats.org/officeDocument/2006/relationships/image" Target="media/image40.gif"/><Relationship Id="rId65" Type="http://schemas.openxmlformats.org/officeDocument/2006/relationships/image" Target="media/image45.jpeg"/><Relationship Id="rId81" Type="http://schemas.openxmlformats.org/officeDocument/2006/relationships/hyperlink" Target="https://www.icrc.org/en/document/roots-restraint-rules-war-and-how-influence-behaviour-conflict" TargetMode="External"/><Relationship Id="rId86" Type="http://schemas.openxmlformats.org/officeDocument/2006/relationships/hyperlink" Target="https://foreignpolicy.com/2018/09/21/the-coming-crime-wars/" TargetMode="External"/><Relationship Id="rId130" Type="http://schemas.openxmlformats.org/officeDocument/2006/relationships/hyperlink" Target="https://www.libremercado.com/2018-10-23/la-doble-factura-por-el-impuesto-a-los-servicios-digitales-que-pagaremos-todos-1276626907/" TargetMode="External"/><Relationship Id="rId135" Type="http://schemas.openxmlformats.org/officeDocument/2006/relationships/image" Target="media/image79.png"/><Relationship Id="rId151" Type="http://schemas.openxmlformats.org/officeDocument/2006/relationships/image" Target="media/image95.png"/><Relationship Id="rId156" Type="http://schemas.openxmlformats.org/officeDocument/2006/relationships/image" Target="media/image100.png"/><Relationship Id="rId177" Type="http://schemas.openxmlformats.org/officeDocument/2006/relationships/image" Target="media/image121.png"/><Relationship Id="rId198" Type="http://schemas.openxmlformats.org/officeDocument/2006/relationships/image" Target="media/image142.png"/><Relationship Id="rId172" Type="http://schemas.openxmlformats.org/officeDocument/2006/relationships/image" Target="media/image116.png"/><Relationship Id="rId193" Type="http://schemas.openxmlformats.org/officeDocument/2006/relationships/image" Target="media/image137.png"/><Relationship Id="rId202" Type="http://schemas.openxmlformats.org/officeDocument/2006/relationships/image" Target="media/image146.png"/><Relationship Id="rId207" Type="http://schemas.openxmlformats.org/officeDocument/2006/relationships/image" Target="media/image151.png"/><Relationship Id="rId223" Type="http://schemas.microsoft.com/office/2007/relationships/stylesWithEffects" Target="stylesWithEffects.xml"/><Relationship Id="rId13" Type="http://schemas.openxmlformats.org/officeDocument/2006/relationships/image" Target="media/image9.png"/><Relationship Id="rId18" Type="http://schemas.openxmlformats.org/officeDocument/2006/relationships/hyperlink" Target="https://www.oxfamintermon.org/es/que-hacemos/proyectos/desigualdad/salarios" TargetMode="External"/><Relationship Id="rId39" Type="http://schemas.openxmlformats.org/officeDocument/2006/relationships/image" Target="media/image21.png"/><Relationship Id="rId109" Type="http://schemas.openxmlformats.org/officeDocument/2006/relationships/hyperlink" Target="https://www.weforum.org/agenda/2018/12/if-this-is-globalization-4-0-what-were-the-other-three/" TargetMode="External"/><Relationship Id="rId34" Type="http://schemas.openxmlformats.org/officeDocument/2006/relationships/image" Target="media/image17.jpeg"/><Relationship Id="rId50" Type="http://schemas.openxmlformats.org/officeDocument/2006/relationships/image" Target="media/image30.jpeg"/><Relationship Id="rId55" Type="http://schemas.openxmlformats.org/officeDocument/2006/relationships/image" Target="media/image35.jpeg"/><Relationship Id="rId76" Type="http://schemas.openxmlformats.org/officeDocument/2006/relationships/image" Target="media/image56.jpeg"/><Relationship Id="rId97" Type="http://schemas.openxmlformats.org/officeDocument/2006/relationships/image" Target="media/image64.png"/><Relationship Id="rId104" Type="http://schemas.openxmlformats.org/officeDocument/2006/relationships/hyperlink" Target="https://www.youtube.com/watch?v=sS0iVqnsLq0" TargetMode="External"/><Relationship Id="rId120" Type="http://schemas.openxmlformats.org/officeDocument/2006/relationships/hyperlink" Target="https://www.weforum.org/agenda/authors/ian-goldin" TargetMode="External"/><Relationship Id="rId125" Type="http://schemas.openxmlformats.org/officeDocument/2006/relationships/image" Target="media/image73.png"/><Relationship Id="rId141" Type="http://schemas.openxmlformats.org/officeDocument/2006/relationships/image" Target="media/image85.png"/><Relationship Id="rId146" Type="http://schemas.openxmlformats.org/officeDocument/2006/relationships/image" Target="media/image90.png"/><Relationship Id="rId167" Type="http://schemas.openxmlformats.org/officeDocument/2006/relationships/image" Target="media/image111.png"/><Relationship Id="rId188" Type="http://schemas.openxmlformats.org/officeDocument/2006/relationships/image" Target="media/image132.png"/><Relationship Id="rId7" Type="http://schemas.openxmlformats.org/officeDocument/2006/relationships/image" Target="media/image3.png"/><Relationship Id="rId71" Type="http://schemas.openxmlformats.org/officeDocument/2006/relationships/image" Target="media/image51.jpeg"/><Relationship Id="rId92" Type="http://schemas.openxmlformats.org/officeDocument/2006/relationships/hyperlink" Target="https://www.weforum.org/agenda/authors/robert-muggah" TargetMode="External"/><Relationship Id="rId162" Type="http://schemas.openxmlformats.org/officeDocument/2006/relationships/image" Target="media/image106.png"/><Relationship Id="rId183" Type="http://schemas.openxmlformats.org/officeDocument/2006/relationships/image" Target="media/image127.png"/><Relationship Id="rId213" Type="http://schemas.openxmlformats.org/officeDocument/2006/relationships/image" Target="media/image157.png"/><Relationship Id="rId218" Type="http://schemas.openxmlformats.org/officeDocument/2006/relationships/image" Target="media/image162.png"/><Relationship Id="rId2" Type="http://schemas.openxmlformats.org/officeDocument/2006/relationships/styles" Target="styles.xml"/><Relationship Id="rId29" Type="http://schemas.openxmlformats.org/officeDocument/2006/relationships/image" Target="media/image15.jpeg"/><Relationship Id="rId24" Type="http://schemas.openxmlformats.org/officeDocument/2006/relationships/image" Target="media/image12.jpeg"/><Relationship Id="rId40" Type="http://schemas.openxmlformats.org/officeDocument/2006/relationships/image" Target="media/image22.png"/><Relationship Id="rId45" Type="http://schemas.openxmlformats.org/officeDocument/2006/relationships/image" Target="media/image26.jpeg"/><Relationship Id="rId66" Type="http://schemas.openxmlformats.org/officeDocument/2006/relationships/image" Target="media/image46.jpeg"/><Relationship Id="rId87" Type="http://schemas.openxmlformats.org/officeDocument/2006/relationships/hyperlink" Target="https://academic.oup.com/oep/article-abstract/56/4/563/2361902" TargetMode="External"/><Relationship Id="rId110" Type="http://schemas.openxmlformats.org/officeDocument/2006/relationships/hyperlink" Target="https://en.wikipedia.org/wiki/Comparative_advantage" TargetMode="External"/><Relationship Id="rId115" Type="http://schemas.openxmlformats.org/officeDocument/2006/relationships/hyperlink" Target="https://www.militarytimes.com/news/pentagon-congress/2018/11/14/price-tag-of-the-war-on-terror-will-top-6-trillion-soon/" TargetMode="External"/><Relationship Id="rId131" Type="http://schemas.openxmlformats.org/officeDocument/2006/relationships/hyperlink" Target="https://s.libertaddigital.com/2019/03/08/pareu4.jpg" TargetMode="External"/><Relationship Id="rId136" Type="http://schemas.openxmlformats.org/officeDocument/2006/relationships/image" Target="media/image80.png"/><Relationship Id="rId157" Type="http://schemas.openxmlformats.org/officeDocument/2006/relationships/image" Target="media/image101.png"/><Relationship Id="rId178" Type="http://schemas.openxmlformats.org/officeDocument/2006/relationships/image" Target="media/image122.png"/><Relationship Id="rId61" Type="http://schemas.openxmlformats.org/officeDocument/2006/relationships/image" Target="media/image41.jpeg"/><Relationship Id="rId82" Type="http://schemas.openxmlformats.org/officeDocument/2006/relationships/hyperlink" Target="https://foreignpolicy.com/2018/09/21/the-coming-crime-wars/" TargetMode="External"/><Relationship Id="rId152" Type="http://schemas.openxmlformats.org/officeDocument/2006/relationships/image" Target="media/image96.png"/><Relationship Id="rId173" Type="http://schemas.openxmlformats.org/officeDocument/2006/relationships/image" Target="media/image117.png"/><Relationship Id="rId194" Type="http://schemas.openxmlformats.org/officeDocument/2006/relationships/image" Target="media/image138.png"/><Relationship Id="rId199" Type="http://schemas.openxmlformats.org/officeDocument/2006/relationships/image" Target="media/image143.png"/><Relationship Id="rId203" Type="http://schemas.openxmlformats.org/officeDocument/2006/relationships/image" Target="media/image147.png"/><Relationship Id="rId208" Type="http://schemas.openxmlformats.org/officeDocument/2006/relationships/image" Target="media/image152.png"/><Relationship Id="rId19" Type="http://schemas.openxmlformats.org/officeDocument/2006/relationships/hyperlink" Target="https://www.oxfam.org/es/iguales/cinco-datos-escandalosos-sobre-la-desigualdad-extrema-global-y-como-combatirla" TargetMode="External"/><Relationship Id="rId14" Type="http://schemas.openxmlformats.org/officeDocument/2006/relationships/image" Target="media/image10.jpeg"/><Relationship Id="rId30" Type="http://schemas.openxmlformats.org/officeDocument/2006/relationships/hyperlink" Target="https://barcelona.reshapingwork.net/el-trabajo-ya-no-es-lo-que-era-el-mercado-laboral-digital-a-debate/" TargetMode="External"/><Relationship Id="rId35" Type="http://schemas.openxmlformats.org/officeDocument/2006/relationships/image" Target="media/image18.png"/><Relationship Id="rId56" Type="http://schemas.openxmlformats.org/officeDocument/2006/relationships/image" Target="media/image36.png"/><Relationship Id="rId77" Type="http://schemas.openxmlformats.org/officeDocument/2006/relationships/image" Target="media/image57.jpeg"/><Relationship Id="rId100" Type="http://schemas.openxmlformats.org/officeDocument/2006/relationships/image" Target="media/image67.png"/><Relationship Id="rId105" Type="http://schemas.openxmlformats.org/officeDocument/2006/relationships/hyperlink" Target="https://en.wikipedia.org/wiki/The_Great_Transformation_(book)" TargetMode="External"/><Relationship Id="rId126" Type="http://schemas.openxmlformats.org/officeDocument/2006/relationships/hyperlink" Target="https://s.libertaddigital.com/2019/03/08/pareu2.jpg" TargetMode="External"/><Relationship Id="rId147" Type="http://schemas.openxmlformats.org/officeDocument/2006/relationships/image" Target="media/image91.png"/><Relationship Id="rId168" Type="http://schemas.openxmlformats.org/officeDocument/2006/relationships/image" Target="media/image112.png"/><Relationship Id="rId8" Type="http://schemas.openxmlformats.org/officeDocument/2006/relationships/image" Target="media/image4.jpeg"/><Relationship Id="rId51" Type="http://schemas.openxmlformats.org/officeDocument/2006/relationships/image" Target="media/image31.jpeg"/><Relationship Id="rId72" Type="http://schemas.openxmlformats.org/officeDocument/2006/relationships/image" Target="media/image52.jpeg"/><Relationship Id="rId93" Type="http://schemas.openxmlformats.org/officeDocument/2006/relationships/hyperlink" Target="https://www.weforum.org/agenda/authors/clionadh-raleigh" TargetMode="External"/><Relationship Id="rId98" Type="http://schemas.openxmlformats.org/officeDocument/2006/relationships/image" Target="media/image65.png"/><Relationship Id="rId121" Type="http://schemas.openxmlformats.org/officeDocument/2006/relationships/image" Target="media/image70.jpeg"/><Relationship Id="rId142" Type="http://schemas.openxmlformats.org/officeDocument/2006/relationships/image" Target="media/image86.png"/><Relationship Id="rId163" Type="http://schemas.openxmlformats.org/officeDocument/2006/relationships/image" Target="media/image107.png"/><Relationship Id="rId184" Type="http://schemas.openxmlformats.org/officeDocument/2006/relationships/image" Target="media/image128.png"/><Relationship Id="rId189" Type="http://schemas.openxmlformats.org/officeDocument/2006/relationships/image" Target="media/image133.png"/><Relationship Id="rId219" Type="http://schemas.openxmlformats.org/officeDocument/2006/relationships/image" Target="media/image163.png"/><Relationship Id="rId3" Type="http://schemas.openxmlformats.org/officeDocument/2006/relationships/settings" Target="settings.xml"/><Relationship Id="rId214" Type="http://schemas.openxmlformats.org/officeDocument/2006/relationships/image" Target="media/image158.png"/><Relationship Id="rId25" Type="http://schemas.openxmlformats.org/officeDocument/2006/relationships/hyperlink" Target="https://www.forbes.com/sites/luisakroll/2018/03/06/forbes-billionaires-2018-meet-the-richest-people-on-the-planet/" TargetMode="External"/><Relationship Id="rId46" Type="http://schemas.openxmlformats.org/officeDocument/2006/relationships/image" Target="media/image27.png"/><Relationship Id="rId67" Type="http://schemas.openxmlformats.org/officeDocument/2006/relationships/image" Target="media/image47.jpeg"/><Relationship Id="rId116" Type="http://schemas.openxmlformats.org/officeDocument/2006/relationships/hyperlink" Target="https://www.foreignaffairs.com/articles/2018-09-13/crisis-next-time" TargetMode="External"/><Relationship Id="rId137" Type="http://schemas.openxmlformats.org/officeDocument/2006/relationships/image" Target="media/image81.png"/><Relationship Id="rId158" Type="http://schemas.openxmlformats.org/officeDocument/2006/relationships/image" Target="media/image102.png"/><Relationship Id="rId20" Type="http://schemas.openxmlformats.org/officeDocument/2006/relationships/image" Target="media/image11.jpeg"/><Relationship Id="rId41" Type="http://schemas.openxmlformats.org/officeDocument/2006/relationships/image" Target="media/image23.png"/><Relationship Id="rId62" Type="http://schemas.openxmlformats.org/officeDocument/2006/relationships/image" Target="media/image42.png"/><Relationship Id="rId83" Type="http://schemas.openxmlformats.org/officeDocument/2006/relationships/hyperlink" Target="https://en.wikipedia.org/wiki/Ituri_conflict" TargetMode="External"/><Relationship Id="rId88" Type="http://schemas.openxmlformats.org/officeDocument/2006/relationships/hyperlink" Target="https://www.wilsoncenter.org/sites/default/files/statefailureandstateweaknessinatimeofterror.pdf" TargetMode="External"/><Relationship Id="rId111" Type="http://schemas.openxmlformats.org/officeDocument/2006/relationships/hyperlink" Target="https://en.wikipedia.org/wiki/Extinction_Rebellion" TargetMode="External"/><Relationship Id="rId132" Type="http://schemas.openxmlformats.org/officeDocument/2006/relationships/image" Target="media/image76.png"/><Relationship Id="rId153" Type="http://schemas.openxmlformats.org/officeDocument/2006/relationships/image" Target="media/image97.png"/><Relationship Id="rId174" Type="http://schemas.openxmlformats.org/officeDocument/2006/relationships/image" Target="media/image118.png"/><Relationship Id="rId179" Type="http://schemas.openxmlformats.org/officeDocument/2006/relationships/image" Target="media/image123.png"/><Relationship Id="rId195" Type="http://schemas.openxmlformats.org/officeDocument/2006/relationships/image" Target="media/image139.png"/><Relationship Id="rId209" Type="http://schemas.openxmlformats.org/officeDocument/2006/relationships/image" Target="media/image153.png"/><Relationship Id="rId190" Type="http://schemas.openxmlformats.org/officeDocument/2006/relationships/image" Target="media/image134.png"/><Relationship Id="rId204" Type="http://schemas.openxmlformats.org/officeDocument/2006/relationships/image" Target="media/image148.png"/><Relationship Id="rId220" Type="http://schemas.openxmlformats.org/officeDocument/2006/relationships/image" Target="media/image164.png"/><Relationship Id="rId15" Type="http://schemas.openxmlformats.org/officeDocument/2006/relationships/hyperlink" Target="https://retina.elpais.com/tag/trabajo/a" TargetMode="External"/><Relationship Id="rId36" Type="http://schemas.openxmlformats.org/officeDocument/2006/relationships/hyperlink" Target="https://d500.epimg.net/descargables/2019/09/12/300a3f42844c84ab55d3e20068e79734.png" TargetMode="External"/><Relationship Id="rId57" Type="http://schemas.openxmlformats.org/officeDocument/2006/relationships/image" Target="media/image37.png"/><Relationship Id="rId106" Type="http://schemas.openxmlformats.org/officeDocument/2006/relationships/hyperlink" Target="https://en.wikipedia.org/wiki/TRIPS_Agreement" TargetMode="External"/><Relationship Id="rId127" Type="http://schemas.openxmlformats.org/officeDocument/2006/relationships/image" Target="media/image74.png"/><Relationship Id="rId10" Type="http://schemas.openxmlformats.org/officeDocument/2006/relationships/image" Target="media/image6.png"/><Relationship Id="rId31" Type="http://schemas.openxmlformats.org/officeDocument/2006/relationships/hyperlink" Target="https://workofthefuture.mit.edu/people/thomas-kochan" TargetMode="External"/><Relationship Id="rId52" Type="http://schemas.openxmlformats.org/officeDocument/2006/relationships/image" Target="media/image32.jpe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61.jpe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71.png"/><Relationship Id="rId143" Type="http://schemas.openxmlformats.org/officeDocument/2006/relationships/image" Target="media/image87.png"/><Relationship Id="rId148" Type="http://schemas.openxmlformats.org/officeDocument/2006/relationships/image" Target="media/image92.png"/><Relationship Id="rId164" Type="http://schemas.openxmlformats.org/officeDocument/2006/relationships/image" Target="media/image108.png"/><Relationship Id="rId169" Type="http://schemas.openxmlformats.org/officeDocument/2006/relationships/image" Target="media/image113.png"/><Relationship Id="rId185" Type="http://schemas.openxmlformats.org/officeDocument/2006/relationships/image" Target="media/image129.pn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24.png"/><Relationship Id="rId210" Type="http://schemas.openxmlformats.org/officeDocument/2006/relationships/image" Target="media/image154.png"/><Relationship Id="rId215" Type="http://schemas.openxmlformats.org/officeDocument/2006/relationships/image" Target="media/image159.png"/><Relationship Id="rId26" Type="http://schemas.openxmlformats.org/officeDocument/2006/relationships/image" Target="media/image13.jpeg"/><Relationship Id="rId47" Type="http://schemas.openxmlformats.org/officeDocument/2006/relationships/image" Target="media/image28.png"/><Relationship Id="rId68" Type="http://schemas.openxmlformats.org/officeDocument/2006/relationships/image" Target="media/image48.jpeg"/><Relationship Id="rId89" Type="http://schemas.openxmlformats.org/officeDocument/2006/relationships/hyperlink" Target="https://www.ncbi.nlm.nih.gov/pmc/articles/PMC1122271/" TargetMode="External"/><Relationship Id="rId112" Type="http://schemas.openxmlformats.org/officeDocument/2006/relationships/hyperlink" Target="https://www.weforum.org/agenda/authors/guy-standing" TargetMode="External"/><Relationship Id="rId133" Type="http://schemas.openxmlformats.org/officeDocument/2006/relationships/image" Target="media/image77.jpeg"/><Relationship Id="rId154" Type="http://schemas.openxmlformats.org/officeDocument/2006/relationships/image" Target="media/image98.png"/><Relationship Id="rId175" Type="http://schemas.openxmlformats.org/officeDocument/2006/relationships/image" Target="media/image119.png"/><Relationship Id="rId196" Type="http://schemas.openxmlformats.org/officeDocument/2006/relationships/image" Target="media/image140.png"/><Relationship Id="rId200" Type="http://schemas.openxmlformats.org/officeDocument/2006/relationships/image" Target="media/image144.png"/><Relationship Id="rId16" Type="http://schemas.openxmlformats.org/officeDocument/2006/relationships/hyperlink" Target="https://retina.elpais.com/retina/2019/05/30/talento/1559215183_454973.html" TargetMode="External"/><Relationship Id="rId221" Type="http://schemas.openxmlformats.org/officeDocument/2006/relationships/fontTable" Target="fontTable.xml"/><Relationship Id="rId37" Type="http://schemas.openxmlformats.org/officeDocument/2006/relationships/image" Target="media/image19.jpeg"/><Relationship Id="rId58" Type="http://schemas.openxmlformats.org/officeDocument/2006/relationships/image" Target="media/image38.png"/><Relationship Id="rId79" Type="http://schemas.openxmlformats.org/officeDocument/2006/relationships/image" Target="media/image59.jpeg"/><Relationship Id="rId102" Type="http://schemas.openxmlformats.org/officeDocument/2006/relationships/image" Target="media/image69.jpeg"/><Relationship Id="rId123" Type="http://schemas.openxmlformats.org/officeDocument/2006/relationships/image" Target="media/image72.jpeg"/><Relationship Id="rId144" Type="http://schemas.openxmlformats.org/officeDocument/2006/relationships/image" Target="media/image88.png"/><Relationship Id="rId90" Type="http://schemas.openxmlformats.org/officeDocument/2006/relationships/hyperlink" Target="https://www.weforum.org/agenda/2017/01/these-are-the-most-fragile-cities-in-the-world-and-this-is-what-we-ve-learned-from-them/" TargetMode="External"/><Relationship Id="rId165" Type="http://schemas.openxmlformats.org/officeDocument/2006/relationships/image" Target="media/image109.png"/><Relationship Id="rId186" Type="http://schemas.openxmlformats.org/officeDocument/2006/relationships/image" Target="media/image13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183</Pages>
  <Words>126844</Words>
  <Characters>723014</Characters>
  <Application>Microsoft Office Word</Application>
  <DocSecurity>0</DocSecurity>
  <Lines>6025</Lines>
  <Paragraphs>1696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848162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2020-01-05T11:19:00Z</dcterms:created>
  <dcterms:modified xsi:type="dcterms:W3CDTF">2020-04-14T19:48:00Z</dcterms:modified>
</cp:coreProperties>
</file>