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0FC9" w:rsidRDefault="00CC6881" w:rsidP="001E0FC9">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w:t>
      </w:r>
      <w:r w:rsidR="001E0FC9" w:rsidRPr="001E0FC9">
        <w:rPr>
          <w:rFonts w:ascii="Times New Roman" w:hAnsi="Times New Roman" w:cs="Times New Roman"/>
          <w:b/>
          <w:sz w:val="24"/>
          <w:szCs w:val="24"/>
        </w:rPr>
        <w:t xml:space="preserve"> Los muros “invisibles” que (aún)</w:t>
      </w:r>
      <w:r w:rsidR="001E0FC9">
        <w:rPr>
          <w:rFonts w:ascii="Times New Roman" w:hAnsi="Times New Roman" w:cs="Times New Roman"/>
          <w:b/>
          <w:sz w:val="24"/>
          <w:szCs w:val="24"/>
        </w:rPr>
        <w:t xml:space="preserve"> dividen a la Unión Europea (</w:t>
      </w:r>
      <w:r w:rsidR="001E0FC9" w:rsidRPr="001E0FC9">
        <w:rPr>
          <w:rFonts w:ascii="Times New Roman" w:hAnsi="Times New Roman" w:cs="Times New Roman"/>
          <w:b/>
          <w:sz w:val="24"/>
          <w:szCs w:val="24"/>
        </w:rPr>
        <w:t>30 años</w:t>
      </w:r>
      <w:r w:rsidR="001E0FC9">
        <w:rPr>
          <w:rFonts w:ascii="Times New Roman" w:hAnsi="Times New Roman" w:cs="Times New Roman"/>
          <w:b/>
          <w:sz w:val="24"/>
          <w:szCs w:val="24"/>
        </w:rPr>
        <w:t xml:space="preserve"> después</w:t>
      </w:r>
      <w:r w:rsidR="001E0FC9" w:rsidRPr="001E0FC9">
        <w:rPr>
          <w:rFonts w:ascii="Times New Roman" w:hAnsi="Times New Roman" w:cs="Times New Roman"/>
          <w:b/>
          <w:sz w:val="24"/>
          <w:szCs w:val="24"/>
        </w:rPr>
        <w:t xml:space="preserve"> de la caída del Muro de Berlín)</w:t>
      </w:r>
    </w:p>
    <w:p w:rsidR="001E0FC9" w:rsidRPr="001E0FC9" w:rsidRDefault="001E0FC9" w:rsidP="001E0FC9">
      <w:pPr>
        <w:spacing w:line="240" w:lineRule="auto"/>
        <w:jc w:val="both"/>
        <w:rPr>
          <w:rFonts w:ascii="Times New Roman" w:hAnsi="Times New Roman" w:cs="Times New Roman"/>
          <w:b/>
          <w:sz w:val="24"/>
          <w:szCs w:val="24"/>
        </w:rPr>
      </w:pPr>
      <w:r>
        <w:rPr>
          <w:noProof/>
        </w:rPr>
        <w:drawing>
          <wp:inline distT="0" distB="0" distL="0" distR="0">
            <wp:extent cx="5731510" cy="2494445"/>
            <wp:effectExtent l="0" t="0" r="2540" b="1270"/>
            <wp:docPr id="1" name="Imagen 1" descr="Image result for fotos de la caida de muro del b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 result for fotos de la caida de muro del berli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1510" cy="2494445"/>
                    </a:xfrm>
                    <a:prstGeom prst="rect">
                      <a:avLst/>
                    </a:prstGeom>
                    <a:noFill/>
                    <a:ln>
                      <a:noFill/>
                    </a:ln>
                  </pic:spPr>
                </pic:pic>
              </a:graphicData>
            </a:graphic>
          </wp:inline>
        </w:drawing>
      </w:r>
    </w:p>
    <w:p w:rsidR="001E0FC9" w:rsidRPr="00FA2B28" w:rsidRDefault="001E0FC9" w:rsidP="001E0FC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FA2B28">
        <w:rPr>
          <w:rFonts w:ascii="Times New Roman" w:hAnsi="Times New Roman" w:cs="Times New Roman"/>
          <w:b/>
          <w:sz w:val="24"/>
          <w:szCs w:val="24"/>
        </w:rPr>
        <w:t>Introducción: Alemania</w:t>
      </w:r>
      <w:r>
        <w:rPr>
          <w:rFonts w:ascii="Times New Roman" w:hAnsi="Times New Roman" w:cs="Times New Roman"/>
          <w:b/>
          <w:sz w:val="24"/>
          <w:szCs w:val="24"/>
        </w:rPr>
        <w:t>,</w:t>
      </w:r>
      <w:r w:rsidRPr="00FA2B28">
        <w:rPr>
          <w:rFonts w:ascii="Times New Roman" w:hAnsi="Times New Roman" w:cs="Times New Roman"/>
          <w:b/>
          <w:sz w:val="24"/>
          <w:szCs w:val="24"/>
        </w:rPr>
        <w:t xml:space="preserve"> como </w:t>
      </w:r>
      <w:r>
        <w:rPr>
          <w:rFonts w:ascii="Times New Roman" w:hAnsi="Times New Roman" w:cs="Times New Roman"/>
          <w:b/>
          <w:sz w:val="24"/>
          <w:szCs w:val="24"/>
        </w:rPr>
        <w:t>“</w:t>
      </w:r>
      <w:r w:rsidRPr="00FA2B28">
        <w:rPr>
          <w:rFonts w:ascii="Times New Roman" w:hAnsi="Times New Roman" w:cs="Times New Roman"/>
          <w:b/>
          <w:sz w:val="24"/>
          <w:szCs w:val="24"/>
        </w:rPr>
        <w:t>metáfora</w:t>
      </w:r>
      <w:r>
        <w:rPr>
          <w:rFonts w:ascii="Times New Roman" w:hAnsi="Times New Roman" w:cs="Times New Roman"/>
          <w:b/>
          <w:sz w:val="24"/>
          <w:szCs w:val="24"/>
        </w:rPr>
        <w:t>” de una Unión Europa inconclusa</w:t>
      </w:r>
      <w:r w:rsidRPr="00FA2B28">
        <w:rPr>
          <w:rFonts w:ascii="Times New Roman" w:hAnsi="Times New Roman" w:cs="Times New Roman"/>
          <w:b/>
          <w:sz w:val="24"/>
          <w:szCs w:val="24"/>
        </w:rPr>
        <w:t xml:space="preserve">  </w:t>
      </w:r>
    </w:p>
    <w:p w:rsidR="001E0FC9" w:rsidRPr="00FA2B28" w:rsidRDefault="001E0FC9" w:rsidP="001E0FC9">
      <w:pPr>
        <w:spacing w:line="240" w:lineRule="auto"/>
        <w:jc w:val="both"/>
        <w:rPr>
          <w:rFonts w:ascii="Times New Roman" w:hAnsi="Times New Roman" w:cs="Times New Roman"/>
          <w:sz w:val="24"/>
          <w:szCs w:val="24"/>
        </w:rPr>
      </w:pPr>
      <w:r w:rsidRPr="00FA2B28">
        <w:rPr>
          <w:rFonts w:ascii="Times New Roman" w:hAnsi="Times New Roman" w:cs="Times New Roman"/>
          <w:sz w:val="24"/>
          <w:szCs w:val="24"/>
        </w:rPr>
        <w:t xml:space="preserve">- </w:t>
      </w:r>
      <w:r w:rsidRPr="00FA2B28">
        <w:rPr>
          <w:rFonts w:ascii="Times New Roman" w:hAnsi="Times New Roman" w:cs="Times New Roman"/>
          <w:sz w:val="24"/>
          <w:szCs w:val="24"/>
          <w:u w:val="single"/>
        </w:rPr>
        <w:t>30 años de la caída del Muro de Berlín: el muro invisible que todavía divide Alemania</w:t>
      </w:r>
      <w:r w:rsidRPr="00FA2B28">
        <w:rPr>
          <w:rFonts w:ascii="Times New Roman" w:hAnsi="Times New Roman" w:cs="Times New Roman"/>
          <w:sz w:val="24"/>
          <w:szCs w:val="24"/>
        </w:rPr>
        <w:t xml:space="preserve"> (BBCMundo - </w:t>
      </w:r>
      <w:r w:rsidRPr="00FA2B28">
        <w:rPr>
          <w:rFonts w:ascii="Times New Roman" w:hAnsi="Times New Roman" w:cs="Times New Roman"/>
          <w:b/>
          <w:sz w:val="24"/>
          <w:szCs w:val="24"/>
        </w:rPr>
        <w:t>8/11/19</w:t>
      </w:r>
      <w:r w:rsidRPr="00FA2B28">
        <w:rPr>
          <w:rFonts w:ascii="Times New Roman" w:hAnsi="Times New Roman" w:cs="Times New Roman"/>
          <w:sz w:val="24"/>
          <w:szCs w:val="24"/>
        </w:rPr>
        <w:t>)</w:t>
      </w:r>
    </w:p>
    <w:p w:rsidR="001E0FC9" w:rsidRPr="00FA2B28" w:rsidRDefault="001E0FC9" w:rsidP="001E0FC9">
      <w:pPr>
        <w:spacing w:line="240" w:lineRule="auto"/>
        <w:jc w:val="both"/>
        <w:rPr>
          <w:rFonts w:ascii="Times New Roman" w:hAnsi="Times New Roman" w:cs="Times New Roman"/>
          <w:sz w:val="24"/>
          <w:szCs w:val="24"/>
        </w:rPr>
      </w:pPr>
      <w:r w:rsidRPr="00FA2B28">
        <w:rPr>
          <w:rFonts w:ascii="Times New Roman" w:hAnsi="Times New Roman" w:cs="Times New Roman"/>
          <w:sz w:val="24"/>
          <w:szCs w:val="24"/>
        </w:rPr>
        <w:t>(Por Norberto Paredes, enviado especial a Alemania)</w:t>
      </w:r>
    </w:p>
    <w:p w:rsidR="001E0FC9" w:rsidRPr="00FA2B28" w:rsidRDefault="001E0FC9" w:rsidP="001E0FC9">
      <w:pPr>
        <w:spacing w:line="240" w:lineRule="auto"/>
        <w:jc w:val="both"/>
        <w:rPr>
          <w:rFonts w:ascii="Times New Roman" w:hAnsi="Times New Roman" w:cs="Times New Roman"/>
          <w:sz w:val="24"/>
          <w:szCs w:val="24"/>
        </w:rPr>
      </w:pPr>
      <w:r w:rsidRPr="00FA2B28">
        <w:rPr>
          <w:rFonts w:ascii="Times New Roman" w:hAnsi="Times New Roman" w:cs="Times New Roman"/>
          <w:noProof/>
          <w:sz w:val="24"/>
          <w:szCs w:val="24"/>
        </w:rPr>
        <w:drawing>
          <wp:inline distT="0" distB="0" distL="0" distR="0">
            <wp:extent cx="5732473" cy="2940050"/>
            <wp:effectExtent l="0" t="0" r="1905" b="0"/>
            <wp:docPr id="20" name="Imagen 20" descr="Ilustración Alemania divid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ustración Alemania dividid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2939556"/>
                    </a:xfrm>
                    <a:prstGeom prst="rect">
                      <a:avLst/>
                    </a:prstGeom>
                    <a:noFill/>
                    <a:ln>
                      <a:noFill/>
                    </a:ln>
                  </pic:spPr>
                </pic:pic>
              </a:graphicData>
            </a:graphic>
          </wp:inline>
        </w:drawing>
      </w:r>
    </w:p>
    <w:p w:rsidR="001E0FC9" w:rsidRPr="001E0FC9" w:rsidRDefault="001E0FC9" w:rsidP="001E0FC9">
      <w:pPr>
        <w:pStyle w:val="story-bodyintroduction"/>
        <w:shd w:val="clear" w:color="auto" w:fill="FFFFFF"/>
        <w:spacing w:before="420" w:beforeAutospacing="0" w:after="0" w:afterAutospacing="0"/>
        <w:jc w:val="both"/>
        <w:textAlignment w:val="baseline"/>
        <w:rPr>
          <w:b/>
          <w:bCs/>
        </w:rPr>
      </w:pPr>
      <w:r w:rsidRPr="001E0FC9">
        <w:rPr>
          <w:bCs/>
        </w:rPr>
        <w:t>La noche del 9 de noviembre de 1989, Andrea estaba con su familia en la sala de su pequeña casa en Hamburgo cuando de pronto sonó el teléfono</w:t>
      </w:r>
      <w:r>
        <w:rPr>
          <w:b/>
          <w:bCs/>
        </w:rPr>
        <w:t xml:space="preserve">. </w:t>
      </w:r>
      <w:r w:rsidRPr="00FA2B28">
        <w:t>Su mamá se apresuró a responder la llamada y, luego de un silencio que pa</w:t>
      </w:r>
      <w:r>
        <w:t>reció eterno, dijo lentamente: “Prendan la televisión”</w:t>
      </w:r>
      <w:r w:rsidRPr="00FA2B28">
        <w:t>.</w:t>
      </w:r>
      <w:r>
        <w:t xml:space="preserve"> </w:t>
      </w:r>
      <w:r w:rsidRPr="00FA2B28">
        <w:t>Siguiendo la orden de su esposa, Gert Fisher tomó el control remoto y, un par de segundos después de haber encendido la TV, </w:t>
      </w:r>
      <w:r w:rsidRPr="001E0FC9">
        <w:rPr>
          <w:rStyle w:val="Textoennegrita"/>
          <w:b w:val="0"/>
          <w:bdr w:val="none" w:sz="0" w:space="0" w:color="auto" w:frame="1"/>
        </w:rPr>
        <w:t>se derrumbó en el suelo y rompió a llorar</w:t>
      </w:r>
      <w:r w:rsidRPr="00FA2B28">
        <w:t>.</w:t>
      </w:r>
      <w:r>
        <w:t xml:space="preserve"> </w:t>
      </w:r>
      <w:r w:rsidRPr="00FA2B28">
        <w:t xml:space="preserve">Andrea, que en ese entonces tenía solamente 13 años, recuerda que luego de escuchar la noticia de la caída del Muro de Berlín, le surgieron unas ganas incontrolables de tomar un tren con destino a la </w:t>
      </w:r>
      <w:r w:rsidRPr="00FA2B28">
        <w:lastRenderedPageBreak/>
        <w:t>capital alemana par</w:t>
      </w:r>
      <w:r>
        <w:t>a vivir ese momento histórico. “</w:t>
      </w:r>
      <w:r w:rsidRPr="00FA2B28">
        <w:t xml:space="preserve">Era muy joven y tenía un </w:t>
      </w:r>
      <w:r>
        <w:t>espíritu libre y revolucionario”</w:t>
      </w:r>
      <w:r w:rsidRPr="00FA2B28">
        <w:t>, explica con emoción.</w:t>
      </w:r>
    </w:p>
    <w:p w:rsidR="001E0FC9" w:rsidRDefault="001E0FC9" w:rsidP="001E0FC9">
      <w:pPr>
        <w:pStyle w:val="NormalWeb"/>
        <w:shd w:val="clear" w:color="auto" w:fill="FFFFFF"/>
        <w:spacing w:before="0" w:beforeAutospacing="0" w:after="0" w:afterAutospacing="0"/>
        <w:jc w:val="both"/>
        <w:textAlignment w:val="baseline"/>
        <w:rPr>
          <w:rStyle w:val="Textoennegrita"/>
          <w:bdr w:val="none" w:sz="0" w:space="0" w:color="auto" w:frame="1"/>
        </w:rPr>
      </w:pPr>
    </w:p>
    <w:p w:rsidR="001E0FC9" w:rsidRDefault="001E0FC9" w:rsidP="001E0FC9">
      <w:pPr>
        <w:pStyle w:val="NormalWeb"/>
        <w:shd w:val="clear" w:color="auto" w:fill="FFFFFF"/>
        <w:spacing w:before="0" w:beforeAutospacing="0" w:after="0" w:afterAutospacing="0"/>
        <w:jc w:val="both"/>
        <w:textAlignment w:val="baseline"/>
      </w:pPr>
      <w:r w:rsidRPr="001E0FC9">
        <w:rPr>
          <w:rStyle w:val="Textoennegrita"/>
          <w:b w:val="0"/>
          <w:bdr w:val="none" w:sz="0" w:space="0" w:color="auto" w:frame="1"/>
        </w:rPr>
        <w:t>El muro de la vergüenza</w:t>
      </w:r>
      <w:r w:rsidRPr="00FA2B28">
        <w:t>, como se le conocía en gran parte de Occidente, o de protección antifascista, como lo llamaba el gobierno de la República Democrática Alemana (RDA) fue posiblemente el símbolo más conocido de la división del país, que luego de su reunificación se ha convertido en el motor económico europeo.</w:t>
      </w:r>
    </w:p>
    <w:p w:rsidR="001E0FC9" w:rsidRPr="00FA2B28" w:rsidRDefault="001E0FC9" w:rsidP="001E0FC9">
      <w:pPr>
        <w:pStyle w:val="NormalWeb"/>
        <w:shd w:val="clear" w:color="auto" w:fill="FFFFFF"/>
        <w:spacing w:before="0" w:beforeAutospacing="0" w:after="0" w:afterAutospacing="0"/>
        <w:jc w:val="both"/>
        <w:textAlignment w:val="baseline"/>
      </w:pPr>
    </w:p>
    <w:p w:rsidR="001E0FC9" w:rsidRPr="001E0FC9" w:rsidRDefault="001E0FC9" w:rsidP="001E0FC9">
      <w:pPr>
        <w:spacing w:line="240" w:lineRule="auto"/>
        <w:jc w:val="both"/>
        <w:rPr>
          <w:rFonts w:ascii="Times New Roman" w:hAnsi="Times New Roman" w:cs="Times New Roman"/>
          <w:sz w:val="24"/>
          <w:szCs w:val="24"/>
          <w:shd w:val="clear" w:color="auto" w:fill="FFFFFF"/>
        </w:rPr>
      </w:pPr>
      <w:r w:rsidRPr="00FA2B28">
        <w:rPr>
          <w:rFonts w:ascii="Times New Roman" w:hAnsi="Times New Roman" w:cs="Times New Roman"/>
          <w:sz w:val="24"/>
          <w:szCs w:val="24"/>
          <w:shd w:val="clear" w:color="auto" w:fill="FFFFFF"/>
        </w:rPr>
        <w:t>Tras la II Guerra Mundial, Alemania y su capital, Berlín, quedaron divididas en cuatro zonas controladas cada una por una de las potencias ganadoras de la contienda: la URSS, Reino Unido, Francia y Estados Unidos.</w:t>
      </w:r>
      <w:r>
        <w:rPr>
          <w:rFonts w:ascii="Times New Roman" w:hAnsi="Times New Roman" w:cs="Times New Roman"/>
          <w:sz w:val="24"/>
          <w:szCs w:val="24"/>
          <w:shd w:val="clear" w:color="auto" w:fill="FFFFFF"/>
        </w:rPr>
        <w:t xml:space="preserve"> </w:t>
      </w:r>
      <w:r w:rsidRPr="001E0FC9">
        <w:rPr>
          <w:rFonts w:ascii="Times New Roman" w:hAnsi="Times New Roman" w:cs="Times New Roman"/>
          <w:sz w:val="24"/>
          <w:szCs w:val="24"/>
        </w:rPr>
        <w:t>Más tarde, las potencias occidentales decidieron integrar sus respectivas zonas, y en 1949 nació, en el oeste, la República Federal de Alemania, mientras que en el este surgió la RDA, que más tarde iniciaría la construcción de un Muro en Berlín que dividió la ciudad en dos.</w:t>
      </w:r>
    </w:p>
    <w:p w:rsidR="001E0FC9" w:rsidRDefault="001E0FC9" w:rsidP="001E0FC9">
      <w:pPr>
        <w:pStyle w:val="NormalWeb"/>
        <w:shd w:val="clear" w:color="auto" w:fill="FFFFFF"/>
        <w:spacing w:before="0" w:beforeAutospacing="0" w:after="0" w:afterAutospacing="0"/>
        <w:jc w:val="both"/>
        <w:textAlignment w:val="baseline"/>
      </w:pPr>
      <w:r w:rsidRPr="00FA2B28">
        <w:t>Pero hoy, exactamente 30 años después de su caída, </w:t>
      </w:r>
      <w:r w:rsidRPr="001E0FC9">
        <w:rPr>
          <w:rStyle w:val="Textoennegrita"/>
          <w:b w:val="0"/>
          <w:bdr w:val="none" w:sz="0" w:space="0" w:color="auto" w:frame="1"/>
        </w:rPr>
        <w:t>el impacto económico y social dejado por la división del país</w:t>
      </w:r>
      <w:r w:rsidRPr="00FA2B28">
        <w:t> se subestima por completo.</w:t>
      </w:r>
      <w:r>
        <w:t xml:space="preserve"> </w:t>
      </w:r>
      <w:r w:rsidRPr="00FA2B28">
        <w:t>Y muchos alemanes sienten todavía la presencia de </w:t>
      </w:r>
      <w:r w:rsidRPr="001E0FC9">
        <w:rPr>
          <w:rStyle w:val="Textoennegrita"/>
          <w:b w:val="0"/>
          <w:bdr w:val="none" w:sz="0" w:space="0" w:color="auto" w:frame="1"/>
        </w:rPr>
        <w:t>un muro invisible</w:t>
      </w:r>
      <w:r w:rsidRPr="00FA2B28">
        <w:t> que según ellos, aún divide al país.</w:t>
      </w:r>
    </w:p>
    <w:p w:rsidR="001E0FC9" w:rsidRPr="00FA2B28" w:rsidRDefault="001E0FC9" w:rsidP="001E0FC9">
      <w:pPr>
        <w:pStyle w:val="NormalWeb"/>
        <w:shd w:val="clear" w:color="auto" w:fill="FFFFFF"/>
        <w:spacing w:before="0" w:beforeAutospacing="0" w:after="0" w:afterAutospacing="0"/>
        <w:jc w:val="both"/>
        <w:textAlignment w:val="baseline"/>
      </w:pPr>
    </w:p>
    <w:p w:rsidR="001E0FC9" w:rsidRPr="00FA2B28" w:rsidRDefault="00304271" w:rsidP="001E0F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E0FC9" w:rsidRPr="00FA2B28">
        <w:rPr>
          <w:rFonts w:ascii="Times New Roman" w:hAnsi="Times New Roman" w:cs="Times New Roman"/>
          <w:noProof/>
          <w:sz w:val="24"/>
          <w:szCs w:val="24"/>
          <w:bdr w:val="none" w:sz="0" w:space="0" w:color="auto" w:frame="1"/>
        </w:rPr>
        <w:drawing>
          <wp:inline distT="0" distB="0" distL="0" distR="0">
            <wp:extent cx="4013200" cy="5499100"/>
            <wp:effectExtent l="0" t="0" r="6350" b="6350"/>
            <wp:docPr id="22" name="Imagen 22" descr="Un muro invis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 muro invisibl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13200" cy="5499100"/>
                    </a:xfrm>
                    <a:prstGeom prst="rect">
                      <a:avLst/>
                    </a:prstGeom>
                    <a:noFill/>
                    <a:ln>
                      <a:noFill/>
                    </a:ln>
                  </pic:spPr>
                </pic:pic>
              </a:graphicData>
            </a:graphic>
          </wp:inline>
        </w:drawing>
      </w:r>
    </w:p>
    <w:p w:rsidR="001E0FC9" w:rsidRPr="00FA2B28" w:rsidRDefault="001E0FC9" w:rsidP="001E0FC9">
      <w:pPr>
        <w:pStyle w:val="Ttulo2"/>
        <w:shd w:val="clear" w:color="auto" w:fill="FFFFFF"/>
        <w:spacing w:before="480" w:beforeAutospacing="0" w:after="0" w:afterAutospacing="0"/>
        <w:jc w:val="both"/>
        <w:textAlignment w:val="baseline"/>
        <w:rPr>
          <w:sz w:val="24"/>
          <w:szCs w:val="24"/>
        </w:rPr>
      </w:pPr>
      <w:r w:rsidRPr="00FA2B28">
        <w:rPr>
          <w:sz w:val="24"/>
          <w:szCs w:val="24"/>
        </w:rPr>
        <w:lastRenderedPageBreak/>
        <w:t>En busca de más oportunidades</w:t>
      </w:r>
    </w:p>
    <w:p w:rsidR="001E0FC9" w:rsidRPr="00FA2B28" w:rsidRDefault="001E0FC9" w:rsidP="00214103">
      <w:pPr>
        <w:pStyle w:val="NormalWeb"/>
        <w:shd w:val="clear" w:color="auto" w:fill="FFFFFF"/>
        <w:spacing w:before="270" w:beforeAutospacing="0" w:after="0" w:afterAutospacing="0"/>
        <w:jc w:val="both"/>
        <w:textAlignment w:val="baseline"/>
      </w:pPr>
      <w:r w:rsidRPr="00FA2B28">
        <w:t>En una piscina local de Reinbek, un suburbio de Hamburgo a unos 40 minutos del centro de la ciudad, Christine Ludwig, nacida y criada en las afueras de Leipzig, en el este de Alemania, decidió mudarse al oeste 5 años después de la caída del Mu</w:t>
      </w:r>
      <w:r w:rsidR="00214103">
        <w:t>ro. “</w:t>
      </w:r>
      <w:r w:rsidRPr="00FA2B28">
        <w:t>Al principio, todo el mundo quería venirse, pero yo tenía dudas, tenía mi apar</w:t>
      </w:r>
      <w:r w:rsidR="00214103">
        <w:t>tamento y mi trabajo en Leipzig”</w:t>
      </w:r>
      <w:r w:rsidRPr="00FA2B28">
        <w:t>, recuerda.</w:t>
      </w:r>
      <w:r w:rsidR="00214103">
        <w:t xml:space="preserve"> “</w:t>
      </w:r>
      <w:r w:rsidRPr="00FA2B28">
        <w:t>Varios amigos se fueron a Múnich, otros a Frankfurt; pero </w:t>
      </w:r>
      <w:r w:rsidRPr="00214103">
        <w:rPr>
          <w:rStyle w:val="Textoennegrita"/>
          <w:b w:val="0"/>
          <w:bdr w:val="none" w:sz="0" w:space="0" w:color="auto" w:frame="1"/>
        </w:rPr>
        <w:t>yo escogí Hamburgo porque mi mamá estaba aquí</w:t>
      </w:r>
      <w:r w:rsidR="00214103">
        <w:t>”</w:t>
      </w:r>
      <w:r w:rsidRPr="00FA2B28">
        <w:t>.</w:t>
      </w:r>
    </w:p>
    <w:p w:rsidR="001E0FC9" w:rsidRDefault="001E0FC9" w:rsidP="001E0FC9">
      <w:pPr>
        <w:pStyle w:val="NormalWeb"/>
        <w:shd w:val="clear" w:color="auto" w:fill="FFFFFF"/>
        <w:spacing w:before="0" w:beforeAutospacing="0" w:after="0" w:afterAutospacing="0"/>
        <w:jc w:val="both"/>
        <w:textAlignment w:val="baseline"/>
        <w:rPr>
          <w:rFonts w:eastAsiaTheme="minorEastAsia"/>
        </w:rPr>
      </w:pPr>
    </w:p>
    <w:p w:rsidR="001E0FC9" w:rsidRPr="00FA2B28" w:rsidRDefault="001E0FC9" w:rsidP="001E0FC9">
      <w:pPr>
        <w:pStyle w:val="NormalWeb"/>
        <w:shd w:val="clear" w:color="auto" w:fill="FFFFFF"/>
        <w:spacing w:before="0" w:beforeAutospacing="0" w:after="0" w:afterAutospacing="0"/>
        <w:jc w:val="both"/>
        <w:textAlignment w:val="baseline"/>
      </w:pPr>
      <w:r w:rsidRPr="00FA2B28">
        <w:t>Desde la reunificación del país, cerca de</w:t>
      </w:r>
      <w:r w:rsidRPr="00FA2B28">
        <w:rPr>
          <w:rStyle w:val="Textoennegrita"/>
          <w:bdr w:val="none" w:sz="0" w:space="0" w:color="auto" w:frame="1"/>
        </w:rPr>
        <w:t> </w:t>
      </w:r>
      <w:r w:rsidRPr="00214103">
        <w:rPr>
          <w:rStyle w:val="Textoennegrita"/>
          <w:b w:val="0"/>
          <w:bdr w:val="none" w:sz="0" w:space="0" w:color="auto" w:frame="1"/>
        </w:rPr>
        <w:t>3.700.000 alemanes han abandonado el Este</w:t>
      </w:r>
      <w:r w:rsidRPr="00FA2B28">
        <w:t>; unos con el fin de reencontrarse con sus familiares, pero la mayoría lo ha hecho buscando las</w:t>
      </w:r>
      <w:r w:rsidRPr="00FA2B28">
        <w:rPr>
          <w:rStyle w:val="Textoennegrita"/>
          <w:bdr w:val="none" w:sz="0" w:space="0" w:color="auto" w:frame="1"/>
        </w:rPr>
        <w:t> </w:t>
      </w:r>
      <w:r w:rsidRPr="00214103">
        <w:rPr>
          <w:rStyle w:val="Textoennegrita"/>
          <w:b w:val="0"/>
          <w:bdr w:val="none" w:sz="0" w:space="0" w:color="auto" w:frame="1"/>
        </w:rPr>
        <w:t>oportunidades profesionales, económicas y sociales</w:t>
      </w:r>
      <w:r w:rsidRPr="00FA2B28">
        <w:t> que ofrecen las grandes metrópolis ubicadas en la antigua Alemania Occidental. Esta cifra representa casi una cuarta parte de la población de la antigua República Democrática Alemana.</w:t>
      </w:r>
    </w:p>
    <w:p w:rsidR="001E0FC9" w:rsidRPr="00FA2B28" w:rsidRDefault="001E0FC9" w:rsidP="00214103">
      <w:pPr>
        <w:pStyle w:val="NormalWeb"/>
        <w:shd w:val="clear" w:color="auto" w:fill="FFFFFF"/>
        <w:spacing w:before="270" w:beforeAutospacing="0" w:after="0" w:afterAutospacing="0"/>
        <w:jc w:val="both"/>
        <w:textAlignment w:val="baseline"/>
      </w:pPr>
      <w:r w:rsidRPr="00FA2B28">
        <w:t>Ludwig recuerda cómo la gente hacía comentarios sobre su acento.</w:t>
      </w:r>
      <w:r w:rsidR="00214103">
        <w:t xml:space="preserve"> “</w:t>
      </w:r>
      <w:r w:rsidRPr="00FA2B28">
        <w:t>Apenas abría l</w:t>
      </w:r>
      <w:r w:rsidR="00214103">
        <w:t>a boca, la gente me preguntaba “</w:t>
      </w:r>
      <w:r w:rsidRPr="00FA2B28">
        <w:t>¿Eres</w:t>
      </w:r>
      <w:r w:rsidR="00214103">
        <w:t xml:space="preserve"> de Dresde?”, yo simplemente respondía: “no, de Leipzig””</w:t>
      </w:r>
      <w:r w:rsidRPr="00FA2B28">
        <w:t>, explica con pena la señora que este m</w:t>
      </w:r>
      <w:r w:rsidR="00214103">
        <w:t>es celebrará su 70 cumpleaños. “</w:t>
      </w:r>
      <w:r w:rsidRPr="00FA2B28">
        <w:t>No sé cómo puedes adaptarte a Hamburgo. </w:t>
      </w:r>
      <w:r w:rsidRPr="00214103">
        <w:rPr>
          <w:rStyle w:val="Textoennegrita"/>
          <w:b w:val="0"/>
          <w:bdr w:val="none" w:sz="0" w:space="0" w:color="auto" w:frame="1"/>
        </w:rPr>
        <w:t>Somos tan fríos</w:t>
      </w:r>
      <w:r w:rsidR="00214103">
        <w:t>”</w:t>
      </w:r>
      <w:r w:rsidRPr="00FA2B28">
        <w:t>, le decían frecuentemente.</w:t>
      </w:r>
      <w:r w:rsidR="00214103">
        <w:t xml:space="preserve"> </w:t>
      </w:r>
      <w:r w:rsidRPr="00FA2B28">
        <w:t>Con casi 200.000 migrantes, Hamburgo destaca como destino. Ninguna otra urbe recibió a tantas personas del Este como esta ciudad industrial que alberga el mayor puerto del país, el tercero de Europa y </w:t>
      </w:r>
      <w:r w:rsidRPr="00214103">
        <w:rPr>
          <w:rStyle w:val="Textoennegrita"/>
          <w:b w:val="0"/>
          <w:bdr w:val="none" w:sz="0" w:space="0" w:color="auto" w:frame="1"/>
        </w:rPr>
        <w:t>uno de los más importantes del mundo</w:t>
      </w:r>
      <w:r w:rsidRPr="00FA2B28">
        <w:t>.</w:t>
      </w:r>
    </w:p>
    <w:p w:rsidR="001E0FC9" w:rsidRPr="00FA2B28" w:rsidRDefault="001E0FC9" w:rsidP="00214103">
      <w:pPr>
        <w:pStyle w:val="NormalWeb"/>
        <w:shd w:val="clear" w:color="auto" w:fill="FFFFFF"/>
        <w:spacing w:before="270" w:beforeAutospacing="0" w:after="0" w:afterAutospacing="0"/>
        <w:jc w:val="both"/>
        <w:textAlignment w:val="baseline"/>
      </w:pPr>
      <w:r w:rsidRPr="00FA2B28">
        <w:t>Lo único que Ludwig lamenta de la caída del Muro es que no c</w:t>
      </w:r>
      <w:r w:rsidR="00214103">
        <w:t>ayera 10 años antes. “</w:t>
      </w:r>
      <w:r w:rsidRPr="00FA2B28">
        <w:t>Cuando llegué aquí ya tenía 45 años. Si hubiera tenido 35, habría podido hacer algo di</w:t>
      </w:r>
      <w:r w:rsidR="00214103">
        <w:t xml:space="preserve">ferente con mi vida profesional”. </w:t>
      </w:r>
      <w:r w:rsidRPr="00FA2B28">
        <w:t>Desde su llegada a la región, la industria re</w:t>
      </w:r>
      <w:r w:rsidR="00214103">
        <w:t>staurantera ha sido su pasión. “</w:t>
      </w:r>
      <w:r w:rsidRPr="00FA2B28">
        <w:t>A los dos días, ya había conseguido un trabajo en un Pizza Hut local. Y desde hace 15 años trabajo en la cocina de esta piscina local. </w:t>
      </w:r>
      <w:r w:rsidRPr="00214103">
        <w:rPr>
          <w:rStyle w:val="Textoennegrita"/>
          <w:b w:val="0"/>
          <w:bdr w:val="none" w:sz="0" w:space="0" w:color="auto" w:frame="1"/>
        </w:rPr>
        <w:t>Los del Este somos gente muy trabajadora</w:t>
      </w:r>
      <w:r w:rsidR="00214103">
        <w:t>”</w:t>
      </w:r>
      <w:r w:rsidRPr="00FA2B28">
        <w:t>, afirma con una gran sonrisa mientras le sirve un pretzel a un cliente empapado de agua.</w:t>
      </w:r>
    </w:p>
    <w:p w:rsidR="001E0FC9" w:rsidRPr="00FA2B28" w:rsidRDefault="001E0FC9" w:rsidP="001E0FC9">
      <w:pPr>
        <w:pStyle w:val="NormalWeb"/>
        <w:shd w:val="clear" w:color="auto" w:fill="FFFFFF"/>
        <w:spacing w:before="0" w:beforeAutospacing="0" w:after="0" w:afterAutospacing="0"/>
        <w:jc w:val="both"/>
        <w:textAlignment w:val="baseline"/>
      </w:pPr>
    </w:p>
    <w:p w:rsidR="001E0FC9" w:rsidRDefault="00214103" w:rsidP="001E0FC9">
      <w:pPr>
        <w:pStyle w:val="NormalWeb"/>
        <w:shd w:val="clear" w:color="auto" w:fill="FFFFFF"/>
        <w:spacing w:before="0" w:beforeAutospacing="0" w:after="0" w:afterAutospacing="0"/>
        <w:jc w:val="both"/>
        <w:textAlignment w:val="baseline"/>
      </w:pPr>
      <w:r>
        <w:t>“</w:t>
      </w:r>
      <w:r w:rsidR="001E0FC9" w:rsidRPr="00FA2B28">
        <w:t>Cuando llegué a Hamburgo ya tenía una idea de cómo sería la vida aquí, había visitado la ciudad un par de veces. Sabía sobre todas las cosas buenas que me esperaban, pero</w:t>
      </w:r>
      <w:r w:rsidR="001E0FC9" w:rsidRPr="00FA2B28">
        <w:rPr>
          <w:rStyle w:val="Textoennegrita"/>
          <w:bdr w:val="none" w:sz="0" w:space="0" w:color="auto" w:frame="1"/>
        </w:rPr>
        <w:t> </w:t>
      </w:r>
      <w:r w:rsidR="001E0FC9" w:rsidRPr="00214103">
        <w:rPr>
          <w:rStyle w:val="Textoennegrita"/>
          <w:b w:val="0"/>
          <w:bdr w:val="none" w:sz="0" w:space="0" w:color="auto" w:frame="1"/>
        </w:rPr>
        <w:t>nunca nadie me habló de las malas</w:t>
      </w:r>
      <w:r>
        <w:t>”</w:t>
      </w:r>
      <w:r w:rsidR="001E0FC9" w:rsidRPr="00FA2B28">
        <w:t>, confiesa con los ojos aguados.</w:t>
      </w:r>
      <w:r>
        <w:t xml:space="preserve"> </w:t>
      </w:r>
      <w:r w:rsidR="001E0FC9" w:rsidRPr="00FA2B28">
        <w:t xml:space="preserve">Ella considera que la sociedad en el Oeste es más individualista, mientras que en el este la gente se preocupa más por el prójimo. </w:t>
      </w:r>
      <w:r>
        <w:rPr>
          <w:b/>
        </w:rPr>
        <w:t>“</w:t>
      </w:r>
      <w:r w:rsidR="001E0FC9" w:rsidRPr="00214103">
        <w:rPr>
          <w:rStyle w:val="Textoennegrita"/>
          <w:b w:val="0"/>
          <w:bdr w:val="none" w:sz="0" w:space="0" w:color="auto" w:frame="1"/>
        </w:rPr>
        <w:t>Me sentí aislada al principio</w:t>
      </w:r>
      <w:r w:rsidR="001E0FC9" w:rsidRPr="00FA2B28">
        <w:t>, siento que el sistema capitalista p</w:t>
      </w:r>
      <w:r>
        <w:t>romueve el egoísmo y la soledad”</w:t>
      </w:r>
      <w:r w:rsidR="001E0FC9" w:rsidRPr="00FA2B28">
        <w:t>.</w:t>
      </w:r>
    </w:p>
    <w:p w:rsidR="001E0FC9" w:rsidRDefault="001E0FC9" w:rsidP="001E0FC9">
      <w:pPr>
        <w:pStyle w:val="NormalWeb"/>
        <w:shd w:val="clear" w:color="auto" w:fill="FFFFFF"/>
        <w:spacing w:before="0" w:beforeAutospacing="0" w:after="0" w:afterAutospacing="0"/>
        <w:jc w:val="both"/>
        <w:textAlignment w:val="baseline"/>
      </w:pPr>
    </w:p>
    <w:p w:rsidR="001E0FC9" w:rsidRPr="00BC339A" w:rsidRDefault="001E0FC9" w:rsidP="001E0FC9">
      <w:pPr>
        <w:pStyle w:val="NormalWeb"/>
        <w:shd w:val="clear" w:color="auto" w:fill="FFFFFF"/>
        <w:spacing w:before="0" w:beforeAutospacing="0" w:after="0" w:afterAutospacing="0"/>
        <w:jc w:val="both"/>
        <w:textAlignment w:val="baseline"/>
        <w:rPr>
          <w:b/>
        </w:rPr>
      </w:pPr>
      <w:r w:rsidRPr="00BC339A">
        <w:rPr>
          <w:b/>
        </w:rPr>
        <w:t>Alemanes de segunda clase</w:t>
      </w:r>
    </w:p>
    <w:p w:rsidR="001E0FC9" w:rsidRPr="00FA2B28" w:rsidRDefault="001E0FC9" w:rsidP="001E0FC9">
      <w:pPr>
        <w:pStyle w:val="NormalWeb"/>
        <w:shd w:val="clear" w:color="auto" w:fill="FFFFFF"/>
        <w:spacing w:before="270" w:beforeAutospacing="0" w:after="0" w:afterAutospacing="0"/>
        <w:jc w:val="both"/>
        <w:textAlignment w:val="baseline"/>
      </w:pPr>
      <w:r w:rsidRPr="00FA2B28">
        <w:t>Más allá de las desigualdades económicas y sociales, Dalia Marin, profesora de economía en la Universidad de Múnich e investigadora del Centro de Investigación en Economía y Política (</w:t>
      </w:r>
      <w:r w:rsidR="00214103">
        <w:t>CEPR), habla de una diferencia “mental”</w:t>
      </w:r>
      <w:r w:rsidRPr="00FA2B28">
        <w:t xml:space="preserve"> entre los alemanes orientales y occidentales.</w:t>
      </w:r>
    </w:p>
    <w:p w:rsidR="001E0FC9" w:rsidRPr="00FA2B28" w:rsidRDefault="00214103" w:rsidP="001E0FC9">
      <w:pPr>
        <w:pStyle w:val="NormalWeb"/>
        <w:shd w:val="clear" w:color="auto" w:fill="FFFFFF"/>
        <w:spacing w:before="270" w:beforeAutospacing="0" w:after="0" w:afterAutospacing="0"/>
        <w:jc w:val="both"/>
        <w:textAlignment w:val="baseline"/>
      </w:pPr>
      <w:r>
        <w:t>“</w:t>
      </w:r>
      <w:r w:rsidR="001E0FC9" w:rsidRPr="00FA2B28">
        <w:t>Después de la reunificación, Alemania Oriental perdió su competitividad en el mercado de exportaciones hacia países de Europa del Este, debido a las reformas realizadas por el gobierno de ese entonces que impuso salarios más altos, sin un incentivo para aumentar la productividad. Esto hizo que muchas empresas quebraran y como consecuencia los alemanes del Este sentían como que no tenían ca</w:t>
      </w:r>
      <w:r>
        <w:t>bida en una economía de mercado”</w:t>
      </w:r>
      <w:r w:rsidR="001E0FC9" w:rsidRPr="00FA2B28">
        <w:t>.</w:t>
      </w:r>
    </w:p>
    <w:p w:rsidR="001E0FC9" w:rsidRDefault="001E0FC9" w:rsidP="001E0FC9">
      <w:pPr>
        <w:pStyle w:val="NormalWeb"/>
        <w:shd w:val="clear" w:color="auto" w:fill="FFFFFF"/>
        <w:spacing w:before="0" w:beforeAutospacing="0" w:after="0" w:afterAutospacing="0"/>
        <w:jc w:val="both"/>
        <w:textAlignment w:val="baseline"/>
      </w:pPr>
    </w:p>
    <w:p w:rsidR="001E0FC9" w:rsidRDefault="001E0FC9" w:rsidP="00214103">
      <w:pPr>
        <w:pStyle w:val="NormalWeb"/>
        <w:shd w:val="clear" w:color="auto" w:fill="FFFFFF"/>
        <w:spacing w:before="0" w:beforeAutospacing="0" w:after="0" w:afterAutospacing="0"/>
        <w:jc w:val="both"/>
        <w:textAlignment w:val="baseline"/>
      </w:pPr>
      <w:r w:rsidRPr="00FA2B28">
        <w:lastRenderedPageBreak/>
        <w:t>Según la economista, que vivió en Berlín tras la caída del Muro, los alemanes occidentales </w:t>
      </w:r>
      <w:r w:rsidRPr="00214103">
        <w:rPr>
          <w:rStyle w:val="Textoennegrita"/>
          <w:b w:val="0"/>
          <w:bdr w:val="none" w:sz="0" w:space="0" w:color="auto" w:frame="1"/>
        </w:rPr>
        <w:t>tampoco fueron particularmente amables</w:t>
      </w:r>
      <w:r w:rsidRPr="00FA2B28">
        <w:t> con sus compatriotas del Este.</w:t>
      </w:r>
      <w:r w:rsidR="00214103">
        <w:t xml:space="preserve"> “</w:t>
      </w:r>
      <w:r w:rsidRPr="00FA2B28">
        <w:t>Los trataban con inferioridad, se comportaban como imperialistas y </w:t>
      </w:r>
      <w:r w:rsidRPr="00214103">
        <w:rPr>
          <w:rStyle w:val="Textoennegrita"/>
          <w:b w:val="0"/>
          <w:bdr w:val="none" w:sz="0" w:space="0" w:color="auto" w:frame="1"/>
        </w:rPr>
        <w:t>los miraban de arriba a abajo</w:t>
      </w:r>
      <w:r w:rsidRPr="00FA2B28">
        <w:rPr>
          <w:rStyle w:val="Textoennegrita"/>
          <w:bdr w:val="none" w:sz="0" w:space="0" w:color="auto" w:frame="1"/>
        </w:rPr>
        <w:t> </w:t>
      </w:r>
      <w:r w:rsidRPr="00FA2B28">
        <w:t>porque los del Este no e</w:t>
      </w:r>
      <w:r w:rsidR="00214103">
        <w:t xml:space="preserve">ran tan sofisticados como ellos”. </w:t>
      </w:r>
      <w:r w:rsidRPr="00FA2B28">
        <w:t>Y 30 años de</w:t>
      </w:r>
      <w:r w:rsidR="00214103">
        <w:t>spués, muchos alemanes del este “</w:t>
      </w:r>
      <w:r w:rsidRPr="00FA2B28">
        <w:t>parecen no haber superado ese sentimi</w:t>
      </w:r>
      <w:r w:rsidR="00214103">
        <w:t>ento de impotencia y de desidia”</w:t>
      </w:r>
      <w:r w:rsidRPr="00FA2B28">
        <w:t>, explica Marin.</w:t>
      </w:r>
    </w:p>
    <w:p w:rsidR="001E0FC9" w:rsidRPr="00FA2B28" w:rsidRDefault="001E0FC9" w:rsidP="00214103">
      <w:pPr>
        <w:pStyle w:val="NormalWeb"/>
        <w:shd w:val="clear" w:color="auto" w:fill="FFFFFF"/>
        <w:spacing w:before="270" w:beforeAutospacing="0" w:after="0" w:afterAutospacing="0"/>
        <w:jc w:val="both"/>
        <w:textAlignment w:val="baseline"/>
      </w:pPr>
      <w:r w:rsidRPr="00FA2B28">
        <w:t>Para Marin, la economía de las regiones que conforman el este del país está estancada desde hace aproximadamente 25 año</w:t>
      </w:r>
      <w:r w:rsidR="00214103">
        <w:t xml:space="preserve">s. </w:t>
      </w:r>
      <w:r w:rsidRPr="00FA2B28">
        <w:t>Entre 1991 y 1996, el ingreso per cápita en el este de Alemania aumentó del 42% al 67% de los ingresos de Alemania Occidental.</w:t>
      </w:r>
      <w:r w:rsidRPr="00FA2B28">
        <w:rPr>
          <w:rStyle w:val="Textoennegrita"/>
          <w:bdr w:val="none" w:sz="0" w:space="0" w:color="auto" w:frame="1"/>
        </w:rPr>
        <w:t> </w:t>
      </w:r>
      <w:r w:rsidRPr="00214103">
        <w:rPr>
          <w:rStyle w:val="Textoennegrita"/>
          <w:b w:val="0"/>
          <w:bdr w:val="none" w:sz="0" w:space="0" w:color="auto" w:frame="1"/>
        </w:rPr>
        <w:t>Pero en los 20 años posteriores, esta cifra llegó solamente al 74%</w:t>
      </w:r>
      <w:r w:rsidRPr="00214103">
        <w:rPr>
          <w:b/>
        </w:rPr>
        <w:t>.</w:t>
      </w:r>
    </w:p>
    <w:p w:rsidR="001E0FC9" w:rsidRPr="00FA2B28" w:rsidRDefault="00214103" w:rsidP="001E0FC9">
      <w:pPr>
        <w:pStyle w:val="NormalWeb"/>
        <w:shd w:val="clear" w:color="auto" w:fill="FFFFFF"/>
        <w:spacing w:before="270" w:beforeAutospacing="0" w:after="0" w:afterAutospacing="0"/>
        <w:jc w:val="both"/>
        <w:textAlignment w:val="baseline"/>
      </w:pPr>
      <w:r>
        <w:t>“</w:t>
      </w:r>
      <w:r w:rsidR="001E0FC9" w:rsidRPr="00FA2B28">
        <w:t>El crecimiento que se vio al principio fue desencadenado por dos factores: primero el sector público en Alemania Oriental aumentó y llegó al mismo nivel que en Alemania Occidental y sus salarios también subieron exponencialmente; y segundo, toda la gente que abandonó el este. Ambas acciones empujaron hacia arriba el ingre</w:t>
      </w:r>
      <w:r>
        <w:t>so per cápita de la antigua RDA”</w:t>
      </w:r>
      <w:r w:rsidR="001E0FC9" w:rsidRPr="00FA2B28">
        <w:t>, explica la economista.</w:t>
      </w:r>
    </w:p>
    <w:p w:rsidR="001E0FC9" w:rsidRDefault="001E0FC9" w:rsidP="00214103">
      <w:pPr>
        <w:pStyle w:val="NormalWeb"/>
        <w:shd w:val="clear" w:color="auto" w:fill="FFFFFF"/>
        <w:spacing w:before="270" w:beforeAutospacing="0" w:after="0" w:afterAutospacing="0"/>
        <w:jc w:val="both"/>
        <w:textAlignment w:val="baseline"/>
      </w:pPr>
      <w:r w:rsidRPr="00FA2B28">
        <w:t>Y en las calles de Dresde, la capital de Sajoni</w:t>
      </w:r>
      <w:r w:rsidR="00214103">
        <w:t>a, se siente ese estancamiento. “</w:t>
      </w:r>
      <w:r w:rsidRPr="00FA2B28">
        <w:t>Si te has paseado por Múnich y por Hamburgo, se te hace evidente saber </w:t>
      </w:r>
      <w:r w:rsidRPr="00214103">
        <w:rPr>
          <w:rStyle w:val="Textoennegrita"/>
          <w:b w:val="0"/>
          <w:bdr w:val="none" w:sz="0" w:space="0" w:color="auto" w:frame="1"/>
        </w:rPr>
        <w:t>dónde hay más dinero</w:t>
      </w:r>
      <w:r w:rsidRPr="00FA2B28">
        <w:t xml:space="preserve"> y dónde se vive </w:t>
      </w:r>
      <w:r w:rsidR="00214103">
        <w:t>mejor”</w:t>
      </w:r>
      <w:r w:rsidRPr="00FA2B28">
        <w:t>, apunta Stephan Müller, oriundo de Meissen, una pequeña población a 25 kilómetros de Dresde.</w:t>
      </w:r>
      <w:r w:rsidR="00214103">
        <w:t xml:space="preserve"> </w:t>
      </w:r>
      <w:r w:rsidRPr="00FA2B28">
        <w:t>Müller nació en 1981 en el seno de una familia humilde de Alemania Oriental y recuerda con desdén su época como estudiante de enfermería en Hannover, la capital del estado de Baja Sa</w:t>
      </w:r>
      <w:r w:rsidR="00214103">
        <w:t>jonia en el noroeste del país. “</w:t>
      </w:r>
      <w:r w:rsidRPr="00FA2B28">
        <w:t>La gente no me tomaba en serio, </w:t>
      </w:r>
      <w:r w:rsidRPr="00214103">
        <w:rPr>
          <w:bCs/>
          <w:bdr w:val="none" w:sz="0" w:space="0" w:color="auto" w:frame="1"/>
        </w:rPr>
        <w:t>se burlaban de mi acento y de mi dialecto alto sajón</w:t>
      </w:r>
      <w:r w:rsidRPr="00FA2B28">
        <w:t>, en rea</w:t>
      </w:r>
      <w:r w:rsidR="00214103">
        <w:t>lidad nunca me sentí bienvenido”</w:t>
      </w:r>
      <w:r w:rsidRPr="00FA2B28">
        <w:t>.</w:t>
      </w:r>
    </w:p>
    <w:p w:rsidR="001E0FC9"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p>
    <w:p w:rsidR="001E0FC9" w:rsidRPr="00FA2B28"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b/>
          <w:bCs/>
          <w:sz w:val="24"/>
          <w:szCs w:val="24"/>
        </w:rPr>
        <w:t>Brecha económica</w:t>
      </w:r>
    </w:p>
    <w:p w:rsidR="00214103" w:rsidRDefault="001E0FC9" w:rsidP="001E0FC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t>Pero lo que más le chocó a Müller tras su llegada al oeste del país fue el poder adquisitiv</w:t>
      </w:r>
      <w:r w:rsidR="00214103">
        <w:rPr>
          <w:rFonts w:ascii="Times New Roman" w:eastAsia="Times New Roman" w:hAnsi="Times New Roman" w:cs="Times New Roman"/>
          <w:sz w:val="24"/>
          <w:szCs w:val="24"/>
        </w:rPr>
        <w:t>o de los alemanes occidentales. “</w:t>
      </w:r>
      <w:r w:rsidRPr="00FA2B28">
        <w:rPr>
          <w:rFonts w:ascii="Times New Roman" w:eastAsia="Times New Roman" w:hAnsi="Times New Roman" w:cs="Times New Roman"/>
          <w:sz w:val="24"/>
          <w:szCs w:val="24"/>
        </w:rPr>
        <w:t>Tenían un estilo de vida muy diferente a nosotros. Mis compañeros de clase occidentales vivían solos en sus ap</w:t>
      </w:r>
      <w:r w:rsidR="00214103">
        <w:rPr>
          <w:rFonts w:ascii="Times New Roman" w:eastAsia="Times New Roman" w:hAnsi="Times New Roman" w:cs="Times New Roman"/>
          <w:sz w:val="24"/>
          <w:szCs w:val="24"/>
        </w:rPr>
        <w:t>artamentos, yo les preguntaba: “¿Cómo puedes costeártelo?”</w:t>
      </w:r>
      <w:r w:rsidRPr="00FA2B28">
        <w:rPr>
          <w:rFonts w:ascii="Times New Roman" w:eastAsia="Times New Roman" w:hAnsi="Times New Roman" w:cs="Times New Roman"/>
          <w:sz w:val="24"/>
          <w:szCs w:val="24"/>
        </w:rPr>
        <w:t xml:space="preserve"> y ellos simplem</w:t>
      </w:r>
      <w:r w:rsidR="00214103">
        <w:rPr>
          <w:rFonts w:ascii="Times New Roman" w:eastAsia="Times New Roman" w:hAnsi="Times New Roman" w:cs="Times New Roman"/>
          <w:sz w:val="24"/>
          <w:szCs w:val="24"/>
        </w:rPr>
        <w:t>ente respondían: “Ah, pertenece a mis padres”</w:t>
      </w:r>
      <w:r w:rsidRPr="00FA2B28">
        <w:rPr>
          <w:rFonts w:ascii="Times New Roman" w:eastAsia="Times New Roman" w:hAnsi="Times New Roman" w:cs="Times New Roman"/>
          <w:sz w:val="24"/>
          <w:szCs w:val="24"/>
        </w:rPr>
        <w:t>. Luego, me quedaba pensando: ¿cómo es posible que puedan tener más de una propiedad? </w:t>
      </w:r>
      <w:r w:rsidRPr="00214103">
        <w:rPr>
          <w:rFonts w:ascii="Times New Roman" w:eastAsia="Times New Roman" w:hAnsi="Times New Roman" w:cs="Times New Roman"/>
          <w:bCs/>
          <w:sz w:val="24"/>
          <w:szCs w:val="24"/>
          <w:bdr w:val="none" w:sz="0" w:space="0" w:color="auto" w:frame="1"/>
        </w:rPr>
        <w:t>Nunca en mi vida</w:t>
      </w:r>
      <w:r w:rsidRPr="00FA2B28">
        <w:rPr>
          <w:rFonts w:ascii="Times New Roman" w:eastAsia="Times New Roman" w:hAnsi="Times New Roman" w:cs="Times New Roman"/>
          <w:b/>
          <w:bCs/>
          <w:sz w:val="24"/>
          <w:szCs w:val="24"/>
          <w:bdr w:val="none" w:sz="0" w:space="0" w:color="auto" w:frame="1"/>
        </w:rPr>
        <w:t> </w:t>
      </w:r>
      <w:r w:rsidRPr="00FA2B28">
        <w:rPr>
          <w:rFonts w:ascii="Times New Roman" w:eastAsia="Times New Roman" w:hAnsi="Times New Roman" w:cs="Times New Roman"/>
          <w:sz w:val="24"/>
          <w:szCs w:val="24"/>
        </w:rPr>
        <w:t>había conocido a alguien que tuviera dos vivien</w:t>
      </w:r>
      <w:r w:rsidR="00214103">
        <w:rPr>
          <w:rFonts w:ascii="Times New Roman" w:eastAsia="Times New Roman" w:hAnsi="Times New Roman" w:cs="Times New Roman"/>
          <w:sz w:val="24"/>
          <w:szCs w:val="24"/>
        </w:rPr>
        <w:t xml:space="preserve">das, ni en Meissen ni en Dresde”. </w:t>
      </w:r>
    </w:p>
    <w:p w:rsidR="00214103" w:rsidRDefault="001E0FC9" w:rsidP="001E0FC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t xml:space="preserve">Y aunque la situación ha mejorado, algunas </w:t>
      </w:r>
      <w:r w:rsidR="00214103">
        <w:rPr>
          <w:rFonts w:ascii="Times New Roman" w:eastAsia="Times New Roman" w:hAnsi="Times New Roman" w:cs="Times New Roman"/>
          <w:sz w:val="24"/>
          <w:szCs w:val="24"/>
        </w:rPr>
        <w:t>diferencias son aún palpables. “</w:t>
      </w:r>
      <w:r w:rsidRPr="00FA2B28">
        <w:rPr>
          <w:rFonts w:ascii="Times New Roman" w:eastAsia="Times New Roman" w:hAnsi="Times New Roman" w:cs="Times New Roman"/>
          <w:sz w:val="24"/>
          <w:szCs w:val="24"/>
        </w:rPr>
        <w:t>En las calles del oeste se ven carros de lujo por doquier, ac</w:t>
      </w:r>
      <w:r w:rsidR="00214103">
        <w:rPr>
          <w:rFonts w:ascii="Times New Roman" w:eastAsia="Times New Roman" w:hAnsi="Times New Roman" w:cs="Times New Roman"/>
          <w:sz w:val="24"/>
          <w:szCs w:val="24"/>
        </w:rPr>
        <w:t>á en Dresde todo es más modesto”</w:t>
      </w:r>
      <w:r w:rsidRPr="00FA2B28">
        <w:rPr>
          <w:rFonts w:ascii="Times New Roman" w:eastAsia="Times New Roman" w:hAnsi="Times New Roman" w:cs="Times New Roman"/>
          <w:sz w:val="24"/>
          <w:szCs w:val="24"/>
        </w:rPr>
        <w:t xml:space="preserve">, explica el trabajador </w:t>
      </w:r>
      <w:r w:rsidR="00214103">
        <w:rPr>
          <w:rFonts w:ascii="Times New Roman" w:eastAsia="Times New Roman" w:hAnsi="Times New Roman" w:cs="Times New Roman"/>
          <w:sz w:val="24"/>
          <w:szCs w:val="24"/>
        </w:rPr>
        <w:t xml:space="preserve">social que ahora tiene 38 años. </w:t>
      </w:r>
    </w:p>
    <w:p w:rsidR="001E0FC9" w:rsidRPr="00FA2B28" w:rsidRDefault="001E0FC9" w:rsidP="001E0FC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t>A pesar de que la brecha económica se ha acortado desde la reunificación, aún existen disparidades entre las regiones que conformaban Alemania Occidental y las que integraban la RDA: el ingreso medio mensual de un trabajador en el oeste es de 3.330 euros, mientras que en el este es de 2.690.</w:t>
      </w:r>
    </w:p>
    <w:p w:rsidR="001E0FC9"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p>
    <w:p w:rsidR="001E0FC9" w:rsidRPr="00FA2B28"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t>Y la gran mayoría de</w:t>
      </w:r>
      <w:r w:rsidRPr="00FA2B28">
        <w:rPr>
          <w:rFonts w:ascii="Times New Roman" w:eastAsia="Times New Roman" w:hAnsi="Times New Roman" w:cs="Times New Roman"/>
          <w:b/>
          <w:bCs/>
          <w:sz w:val="24"/>
          <w:szCs w:val="24"/>
          <w:bdr w:val="none" w:sz="0" w:space="0" w:color="auto" w:frame="1"/>
        </w:rPr>
        <w:t> </w:t>
      </w:r>
      <w:r w:rsidRPr="00214103">
        <w:rPr>
          <w:rFonts w:ascii="Times New Roman" w:eastAsia="Times New Roman" w:hAnsi="Times New Roman" w:cs="Times New Roman"/>
          <w:bCs/>
          <w:sz w:val="24"/>
          <w:szCs w:val="24"/>
          <w:bdr w:val="none" w:sz="0" w:space="0" w:color="auto" w:frame="1"/>
        </w:rPr>
        <w:t>las grandes empresas alemanas tienen su sede en el oeste</w:t>
      </w:r>
      <w:r w:rsidRPr="00FA2B28">
        <w:rPr>
          <w:rFonts w:ascii="Times New Roman" w:eastAsia="Times New Roman" w:hAnsi="Times New Roman" w:cs="Times New Roman"/>
          <w:b/>
          <w:bCs/>
          <w:sz w:val="24"/>
          <w:szCs w:val="24"/>
          <w:bdr w:val="none" w:sz="0" w:space="0" w:color="auto" w:frame="1"/>
        </w:rPr>
        <w:t> </w:t>
      </w:r>
      <w:r w:rsidRPr="00FA2B28">
        <w:rPr>
          <w:rFonts w:ascii="Times New Roman" w:eastAsia="Times New Roman" w:hAnsi="Times New Roman" w:cs="Times New Roman"/>
          <w:sz w:val="24"/>
          <w:szCs w:val="24"/>
        </w:rPr>
        <w:t>del país.</w:t>
      </w:r>
    </w:p>
    <w:p w:rsidR="001E0FC9" w:rsidRPr="00FA2B28" w:rsidRDefault="001E0FC9" w:rsidP="001E0FC9">
      <w:pPr>
        <w:spacing w:after="0" w:line="240" w:lineRule="auto"/>
        <w:jc w:val="both"/>
        <w:rPr>
          <w:rFonts w:ascii="Times New Roman" w:eastAsia="Times New Roman" w:hAnsi="Times New Roman" w:cs="Times New Roman"/>
          <w:sz w:val="24"/>
          <w:szCs w:val="24"/>
        </w:rPr>
      </w:pPr>
      <w:r w:rsidRPr="00FA2B28">
        <w:rPr>
          <w:rFonts w:ascii="Times New Roman" w:eastAsia="Times New Roman" w:hAnsi="Times New Roman" w:cs="Times New Roman"/>
          <w:noProof/>
          <w:sz w:val="24"/>
          <w:szCs w:val="24"/>
          <w:bdr w:val="none" w:sz="0" w:space="0" w:color="auto" w:frame="1"/>
        </w:rPr>
        <w:lastRenderedPageBreak/>
        <w:drawing>
          <wp:inline distT="0" distB="0" distL="0" distR="0">
            <wp:extent cx="5670550" cy="5143500"/>
            <wp:effectExtent l="0" t="0" r="6350" b="0"/>
            <wp:docPr id="23" name="Imagen 23" descr="Gráfico empre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empresa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70550" cy="5143500"/>
                    </a:xfrm>
                    <a:prstGeom prst="rect">
                      <a:avLst/>
                    </a:prstGeom>
                    <a:noFill/>
                    <a:ln>
                      <a:noFill/>
                    </a:ln>
                  </pic:spPr>
                </pic:pic>
              </a:graphicData>
            </a:graphic>
          </wp:inline>
        </w:drawing>
      </w:r>
    </w:p>
    <w:p w:rsidR="001E0FC9"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p>
    <w:p w:rsidR="001E0FC9" w:rsidRPr="0015617F"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t>Según el </w:t>
      </w:r>
      <w:r w:rsidRPr="00FA2B28">
        <w:rPr>
          <w:rFonts w:ascii="Times New Roman" w:eastAsia="Times New Roman" w:hAnsi="Times New Roman" w:cs="Times New Roman"/>
          <w:i/>
          <w:iCs/>
          <w:sz w:val="24"/>
          <w:szCs w:val="24"/>
          <w:bdr w:val="none" w:sz="0" w:space="0" w:color="auto" w:frame="1"/>
        </w:rPr>
        <w:t>ranking </w:t>
      </w:r>
      <w:r w:rsidRPr="00FA2B28">
        <w:rPr>
          <w:rFonts w:ascii="Times New Roman" w:eastAsia="Times New Roman" w:hAnsi="Times New Roman" w:cs="Times New Roman"/>
          <w:sz w:val="24"/>
          <w:szCs w:val="24"/>
        </w:rPr>
        <w:t>de las empresas de capital abierto más grandes del mundo, publicado por la revista Forbes este año, 47 de las 50 mayores empresas alemanas tienen su sede en Alemania Occidental. Solamente tres de ellas se encuentran en el es</w:t>
      </w:r>
      <w:r w:rsidR="0015617F">
        <w:rPr>
          <w:rFonts w:ascii="Times New Roman" w:eastAsia="Times New Roman" w:hAnsi="Times New Roman" w:cs="Times New Roman"/>
          <w:sz w:val="24"/>
          <w:szCs w:val="24"/>
        </w:rPr>
        <w:t xml:space="preserve">te; pero en Berlín, la capital. </w:t>
      </w:r>
      <w:r w:rsidRPr="00FA2B28">
        <w:rPr>
          <w:rFonts w:ascii="Times New Roman" w:eastAsia="Times New Roman" w:hAnsi="Times New Roman" w:cs="Times New Roman"/>
          <w:sz w:val="24"/>
          <w:szCs w:val="24"/>
        </w:rPr>
        <w:t>Esta puede ser una de las razones por las que </w:t>
      </w:r>
      <w:r w:rsidRPr="0015617F">
        <w:rPr>
          <w:rFonts w:ascii="Times New Roman" w:eastAsia="Times New Roman" w:hAnsi="Times New Roman" w:cs="Times New Roman"/>
          <w:bCs/>
          <w:sz w:val="24"/>
          <w:szCs w:val="24"/>
          <w:bdr w:val="none" w:sz="0" w:space="0" w:color="auto" w:frame="1"/>
        </w:rPr>
        <w:t>la población del oriente de Alemania parece estar en caída libre</w:t>
      </w:r>
      <w:r w:rsidRPr="0015617F">
        <w:rPr>
          <w:rFonts w:ascii="Times New Roman" w:eastAsia="Times New Roman" w:hAnsi="Times New Roman" w:cs="Times New Roman"/>
          <w:sz w:val="24"/>
          <w:szCs w:val="24"/>
        </w:rPr>
        <w:t>.</w:t>
      </w:r>
    </w:p>
    <w:p w:rsidR="001E0FC9" w:rsidRPr="00FA2B28" w:rsidRDefault="001E0FC9" w:rsidP="0015617F">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t>De acuerdo con las cifras del Instituto de Investigaciones Económicas de Múnich, cerca de 13,6 millones de personas viven actualmente en el antiguo territorio de la República Democrática Alemana, la misma cantidad d</w:t>
      </w:r>
      <w:r w:rsidR="0015617F">
        <w:rPr>
          <w:rFonts w:ascii="Times New Roman" w:eastAsia="Times New Roman" w:hAnsi="Times New Roman" w:cs="Times New Roman"/>
          <w:sz w:val="24"/>
          <w:szCs w:val="24"/>
        </w:rPr>
        <w:t xml:space="preserve">e habitantes que hace 114 años. </w:t>
      </w:r>
      <w:r w:rsidRPr="00FA2B28">
        <w:rPr>
          <w:rFonts w:ascii="Times New Roman" w:eastAsia="Times New Roman" w:hAnsi="Times New Roman" w:cs="Times New Roman"/>
          <w:sz w:val="24"/>
          <w:szCs w:val="24"/>
        </w:rPr>
        <w:t>En aquel entonces, Alemania Occidental tenía 32,6 millones de personas, pero </w:t>
      </w:r>
      <w:r w:rsidRPr="0015617F">
        <w:rPr>
          <w:rFonts w:ascii="Times New Roman" w:eastAsia="Times New Roman" w:hAnsi="Times New Roman" w:cs="Times New Roman"/>
          <w:bCs/>
          <w:sz w:val="24"/>
          <w:szCs w:val="24"/>
          <w:bdr w:val="none" w:sz="0" w:space="0" w:color="auto" w:frame="1"/>
        </w:rPr>
        <w:t>contrariamente al oriente del país, su población se ha más que duplicado</w:t>
      </w:r>
      <w:r w:rsidRPr="00FA2B28">
        <w:rPr>
          <w:rFonts w:ascii="Times New Roman" w:eastAsia="Times New Roman" w:hAnsi="Times New Roman" w:cs="Times New Roman"/>
          <w:sz w:val="24"/>
          <w:szCs w:val="24"/>
        </w:rPr>
        <w:t> y se estima que llegue a 68,3 millones a finales de este año.</w:t>
      </w:r>
    </w:p>
    <w:p w:rsidR="001E0FC9" w:rsidRPr="00FA2B28" w:rsidRDefault="0015617F" w:rsidP="001E0FC9">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1E0FC9" w:rsidRPr="00FA2B28">
        <w:rPr>
          <w:rFonts w:ascii="Times New Roman" w:eastAsia="Times New Roman" w:hAnsi="Times New Roman" w:cs="Times New Roman"/>
          <w:sz w:val="24"/>
          <w:szCs w:val="24"/>
        </w:rPr>
        <w:t>Mucha gente se va al oeste buscando mejores empleos. Aquí en el este hay mucho trabajo, pero la mayoría como plomeros, conductores de camiones, cocineros, etc., si quieres un buen trabajo como arquitecto o como periodista, tienes más oportunid</w:t>
      </w:r>
      <w:r>
        <w:rPr>
          <w:rFonts w:ascii="Times New Roman" w:eastAsia="Times New Roman" w:hAnsi="Times New Roman" w:cs="Times New Roman"/>
          <w:sz w:val="24"/>
          <w:szCs w:val="24"/>
        </w:rPr>
        <w:t>ades de conseguirlo en el oeste”</w:t>
      </w:r>
      <w:r w:rsidR="001E0FC9" w:rsidRPr="00FA2B28">
        <w:rPr>
          <w:rFonts w:ascii="Times New Roman" w:eastAsia="Times New Roman" w:hAnsi="Times New Roman" w:cs="Times New Roman"/>
          <w:sz w:val="24"/>
          <w:szCs w:val="24"/>
        </w:rPr>
        <w:t>, asegura Danielle Schönfeld en un café en Dresde, una de las ciudades más importantes del este del país.</w:t>
      </w:r>
    </w:p>
    <w:p w:rsidR="001E0FC9" w:rsidRDefault="001E0FC9" w:rsidP="001E0FC9">
      <w:pPr>
        <w:shd w:val="clear" w:color="auto" w:fill="FFFFFF"/>
        <w:spacing w:after="0" w:line="240" w:lineRule="auto"/>
        <w:jc w:val="both"/>
        <w:textAlignment w:val="baseline"/>
        <w:rPr>
          <w:rFonts w:ascii="Times New Roman" w:eastAsia="Times New Roman" w:hAnsi="Times New Roman" w:cs="Times New Roman"/>
          <w:sz w:val="24"/>
          <w:szCs w:val="24"/>
        </w:rPr>
      </w:pPr>
    </w:p>
    <w:p w:rsidR="001E0FC9" w:rsidRPr="0015617F" w:rsidRDefault="001E0FC9" w:rsidP="0015617F">
      <w:pPr>
        <w:shd w:val="clear" w:color="auto" w:fill="FFFFFF"/>
        <w:spacing w:after="0" w:line="240" w:lineRule="auto"/>
        <w:jc w:val="both"/>
        <w:textAlignment w:val="baseline"/>
        <w:rPr>
          <w:rFonts w:ascii="Times New Roman" w:eastAsia="Times New Roman" w:hAnsi="Times New Roman" w:cs="Times New Roman"/>
          <w:sz w:val="24"/>
          <w:szCs w:val="24"/>
        </w:rPr>
      </w:pPr>
      <w:r w:rsidRPr="00FA2B28">
        <w:rPr>
          <w:rFonts w:ascii="Times New Roman" w:eastAsia="Times New Roman" w:hAnsi="Times New Roman" w:cs="Times New Roman"/>
          <w:sz w:val="24"/>
          <w:szCs w:val="24"/>
        </w:rPr>
        <w:lastRenderedPageBreak/>
        <w:t>Dresde es una de las pocas urbes en el este de Alemania cuya población </w:t>
      </w:r>
      <w:r w:rsidRPr="0015617F">
        <w:rPr>
          <w:rFonts w:ascii="Times New Roman" w:eastAsia="Times New Roman" w:hAnsi="Times New Roman" w:cs="Times New Roman"/>
          <w:bCs/>
          <w:sz w:val="24"/>
          <w:szCs w:val="24"/>
          <w:bdr w:val="none" w:sz="0" w:space="0" w:color="auto" w:frame="1"/>
        </w:rPr>
        <w:t>sigue emigrando al oeste</w:t>
      </w:r>
      <w:r w:rsidRPr="00FA2B28">
        <w:rPr>
          <w:rFonts w:ascii="Times New Roman" w:eastAsia="Times New Roman" w:hAnsi="Times New Roman" w:cs="Times New Roman"/>
          <w:sz w:val="24"/>
          <w:szCs w:val="24"/>
        </w:rPr>
        <w:t>, 30 año</w:t>
      </w:r>
      <w:r w:rsidR="0015617F">
        <w:rPr>
          <w:rFonts w:ascii="Times New Roman" w:eastAsia="Times New Roman" w:hAnsi="Times New Roman" w:cs="Times New Roman"/>
          <w:sz w:val="24"/>
          <w:szCs w:val="24"/>
        </w:rPr>
        <w:t xml:space="preserve">s después de la caída del Muro. </w:t>
      </w:r>
      <w:r w:rsidR="0015617F" w:rsidRPr="0015617F">
        <w:rPr>
          <w:rFonts w:ascii="Times New Roman" w:hAnsi="Times New Roman" w:cs="Times New Roman"/>
          <w:sz w:val="24"/>
          <w:szCs w:val="24"/>
        </w:rPr>
        <w:t>“</w:t>
      </w:r>
      <w:r w:rsidRPr="0015617F">
        <w:rPr>
          <w:rFonts w:ascii="Times New Roman" w:hAnsi="Times New Roman" w:cs="Times New Roman"/>
          <w:sz w:val="24"/>
          <w:szCs w:val="24"/>
        </w:rPr>
        <w:t>Aquí hay calidad de vida, contamos con un buen sistema de transporte público, es tranquila y relativamente barata, pero si quieres desarrollar una exitosa carrera profesional, </w:t>
      </w:r>
      <w:r w:rsidRPr="0015617F">
        <w:rPr>
          <w:rStyle w:val="Textoennegrita"/>
          <w:rFonts w:ascii="Times New Roman" w:hAnsi="Times New Roman" w:cs="Times New Roman"/>
          <w:b w:val="0"/>
          <w:sz w:val="24"/>
          <w:szCs w:val="24"/>
          <w:bdr w:val="none" w:sz="0" w:space="0" w:color="auto" w:frame="1"/>
        </w:rPr>
        <w:t>es mejor ir a otro lado</w:t>
      </w:r>
      <w:r w:rsidR="0015617F" w:rsidRPr="0015617F">
        <w:rPr>
          <w:rFonts w:ascii="Times New Roman" w:hAnsi="Times New Roman" w:cs="Times New Roman"/>
          <w:sz w:val="24"/>
          <w:szCs w:val="24"/>
        </w:rPr>
        <w:t>”</w:t>
      </w:r>
      <w:r w:rsidRPr="0015617F">
        <w:rPr>
          <w:rFonts w:ascii="Times New Roman" w:hAnsi="Times New Roman" w:cs="Times New Roman"/>
          <w:b/>
          <w:sz w:val="24"/>
          <w:szCs w:val="24"/>
        </w:rPr>
        <w:t>.</w:t>
      </w:r>
    </w:p>
    <w:p w:rsidR="001E0FC9" w:rsidRPr="00FA2B28" w:rsidRDefault="001E0FC9" w:rsidP="001E0FC9">
      <w:pPr>
        <w:pStyle w:val="NormalWeb"/>
        <w:shd w:val="clear" w:color="auto" w:fill="FFFFFF"/>
        <w:spacing w:before="0" w:beforeAutospacing="0" w:after="0" w:afterAutospacing="0"/>
        <w:jc w:val="both"/>
        <w:textAlignment w:val="baseline"/>
      </w:pPr>
    </w:p>
    <w:p w:rsidR="001E0FC9" w:rsidRDefault="001E0FC9" w:rsidP="0015617F">
      <w:pPr>
        <w:pStyle w:val="NormalWeb"/>
        <w:shd w:val="clear" w:color="auto" w:fill="FFFFFF"/>
        <w:spacing w:before="0" w:beforeAutospacing="0" w:after="0" w:afterAutospacing="0"/>
        <w:jc w:val="both"/>
        <w:textAlignment w:val="baseline"/>
      </w:pPr>
      <w:r w:rsidRPr="00FA2B28">
        <w:t>Schönfeld siempre quiso ser periodista, pero hoy trabaja como </w:t>
      </w:r>
      <w:r w:rsidRPr="00FA2B28">
        <w:rPr>
          <w:i/>
          <w:iCs/>
          <w:bdr w:val="none" w:sz="0" w:space="0" w:color="auto" w:frame="1"/>
        </w:rPr>
        <w:t>coach</w:t>
      </w:r>
      <w:r w:rsidRPr="00FA2B28">
        <w:t> para cambiar vidas, un trabajo que ella misma califica como normal, con un salario normal. Trabaja alrededor de 21 horas</w:t>
      </w:r>
      <w:r w:rsidR="0015617F">
        <w:t xml:space="preserve"> por semana y gana 1.200 euros. “</w:t>
      </w:r>
      <w:r w:rsidRPr="00FA2B28">
        <w:t>No está mal. Pago 600 euros en renta por un apartamento gra</w:t>
      </w:r>
      <w:r w:rsidR="0015617F">
        <w:t>nde que comparto con 4 personas”</w:t>
      </w:r>
      <w:r w:rsidRPr="00FA2B28">
        <w:t>.</w:t>
      </w:r>
    </w:p>
    <w:p w:rsidR="001E0FC9" w:rsidRPr="00FA2B28" w:rsidRDefault="001E0FC9" w:rsidP="001E0FC9">
      <w:pPr>
        <w:pStyle w:val="NormalWeb"/>
        <w:shd w:val="clear" w:color="auto" w:fill="FFFFFF"/>
        <w:spacing w:before="270" w:beforeAutospacing="0" w:after="0" w:afterAutospacing="0"/>
        <w:jc w:val="both"/>
        <w:textAlignment w:val="baseline"/>
        <w:rPr>
          <w:b/>
        </w:rPr>
      </w:pPr>
      <w:r w:rsidRPr="00FA2B28">
        <w:rPr>
          <w:b/>
        </w:rPr>
        <w:t>Una fuga de cerebros por más de medio siglo</w:t>
      </w:r>
    </w:p>
    <w:p w:rsidR="001E0FC9" w:rsidRPr="00FA2B28" w:rsidRDefault="001E0FC9" w:rsidP="001E0FC9">
      <w:pPr>
        <w:pStyle w:val="NormalWeb"/>
        <w:shd w:val="clear" w:color="auto" w:fill="FFFFFF"/>
        <w:spacing w:before="270" w:beforeAutospacing="0" w:after="0" w:afterAutospacing="0"/>
        <w:jc w:val="both"/>
        <w:textAlignment w:val="baseline"/>
      </w:pPr>
      <w:r w:rsidRPr="00FA2B28">
        <w:t>A pesar de las disparidades económicas visibles en la nación teutona, Christian Hirte, comisionado del gobierno para el este de Alemania, considera que el plan de las autoridades de fusionar las economías de Alemania Oriental y Occidental ha sido exitoso.</w:t>
      </w:r>
    </w:p>
    <w:p w:rsidR="001E0FC9" w:rsidRDefault="001E0FC9" w:rsidP="001E0FC9">
      <w:pPr>
        <w:pStyle w:val="NormalWeb"/>
        <w:shd w:val="clear" w:color="auto" w:fill="FFFFFF"/>
        <w:spacing w:before="0" w:beforeAutospacing="0" w:after="0" w:afterAutospacing="0"/>
        <w:jc w:val="both"/>
        <w:textAlignment w:val="baseline"/>
      </w:pPr>
    </w:p>
    <w:p w:rsidR="001E0FC9" w:rsidRPr="00FA2B28" w:rsidRDefault="0015617F" w:rsidP="001E0FC9">
      <w:pPr>
        <w:pStyle w:val="NormalWeb"/>
        <w:shd w:val="clear" w:color="auto" w:fill="FFFFFF"/>
        <w:spacing w:before="0" w:beforeAutospacing="0" w:after="0" w:afterAutospacing="0"/>
        <w:jc w:val="both"/>
        <w:textAlignment w:val="baseline"/>
      </w:pPr>
      <w:r>
        <w:t>“</w:t>
      </w:r>
      <w:r w:rsidR="001E0FC9" w:rsidRPr="00FA2B28">
        <w:t>Tuvimos un comienzo muy difícil en los 90. El 50% de las personas en el este perdieron sus empleos porque su industria no estaba en la capacidad de competir en una economía de mercado. Pero el gobierno puede atribuirse muchos logros, por ejemplo, actualmente</w:t>
      </w:r>
      <w:r w:rsidR="001E0FC9" w:rsidRPr="00FA2B28">
        <w:rPr>
          <w:rStyle w:val="Textoennegrita"/>
          <w:bdr w:val="none" w:sz="0" w:space="0" w:color="auto" w:frame="1"/>
        </w:rPr>
        <w:t> </w:t>
      </w:r>
      <w:r w:rsidR="001E0FC9" w:rsidRPr="0015617F">
        <w:rPr>
          <w:rStyle w:val="Textoennegrita"/>
          <w:b w:val="0"/>
          <w:bdr w:val="none" w:sz="0" w:space="0" w:color="auto" w:frame="1"/>
        </w:rPr>
        <w:t>la población en el Este tiene una esperanza de vida más alta</w:t>
      </w:r>
      <w:r w:rsidR="001E0FC9" w:rsidRPr="00FA2B28">
        <w:t> que en l</w:t>
      </w:r>
      <w:r>
        <w:t>a antigua República Democrática”</w:t>
      </w:r>
      <w:r w:rsidR="001E0FC9" w:rsidRPr="00FA2B28">
        <w:t>.</w:t>
      </w:r>
    </w:p>
    <w:p w:rsidR="001E0FC9" w:rsidRPr="00FA2B28" w:rsidRDefault="001E0FC9" w:rsidP="0015617F">
      <w:pPr>
        <w:pStyle w:val="NormalWeb"/>
        <w:shd w:val="clear" w:color="auto" w:fill="FFFFFF"/>
        <w:spacing w:before="270" w:beforeAutospacing="0" w:after="0" w:afterAutospacing="0"/>
        <w:jc w:val="both"/>
        <w:textAlignment w:val="baseline"/>
      </w:pPr>
      <w:r w:rsidRPr="00FA2B28">
        <w:t>Hirte apunta que la RDA construyó el muro porque muchos jóvenes con educación y motivación, así como muchas empresas se mudaron del este al oeste. Y cuando el muro cayó, millones de personas continuaron migra</w:t>
      </w:r>
      <w:r w:rsidR="0015617F">
        <w:t xml:space="preserve">ndo en busca de una vida mejor. </w:t>
      </w:r>
      <w:r w:rsidR="0015617F">
        <w:rPr>
          <w:b/>
        </w:rPr>
        <w:t>“</w:t>
      </w:r>
      <w:r w:rsidRPr="0015617F">
        <w:rPr>
          <w:rStyle w:val="Textoennegrita"/>
          <w:b w:val="0"/>
          <w:bdr w:val="none" w:sz="0" w:space="0" w:color="auto" w:frame="1"/>
        </w:rPr>
        <w:t>Toda esta gente falta en el Este</w:t>
      </w:r>
      <w:r w:rsidRPr="00FA2B28">
        <w:t>. El problema hoy es que ha existido una f</w:t>
      </w:r>
      <w:r w:rsidR="0015617F">
        <w:t>uga de cerebros durante décadas”</w:t>
      </w:r>
      <w:r w:rsidRPr="00FA2B28">
        <w:t>, asegura el funcionario.</w:t>
      </w:r>
    </w:p>
    <w:p w:rsidR="001E0FC9" w:rsidRPr="00FA2B28" w:rsidRDefault="001E0FC9" w:rsidP="001E0FC9">
      <w:pPr>
        <w:pStyle w:val="NormalWeb"/>
        <w:shd w:val="clear" w:color="auto" w:fill="FFFFFF"/>
        <w:spacing w:before="270" w:beforeAutospacing="0" w:after="0" w:afterAutospacing="0"/>
        <w:jc w:val="both"/>
        <w:textAlignment w:val="baseline"/>
      </w:pPr>
      <w:r w:rsidRPr="00FA2B28">
        <w:t>Aunque las estadísticas dicen lo contrario, el comisionado del gobierno insiste en que Dresde es una ciudad que exp</w:t>
      </w:r>
      <w:r w:rsidR="0015617F">
        <w:t xml:space="preserve">erimenta un fuerte crecimiento. </w:t>
      </w:r>
      <w:r w:rsidRPr="00FA2B28">
        <w:t>Peter Krause, científico social del Instituto Alemán de Investigación Económica con sede en Berlín, coincide en que hubo avances en la reestructuración de la fuerza laboral en el este, pero reconoce que aún existe mucha tensión.</w:t>
      </w:r>
    </w:p>
    <w:p w:rsidR="001E0FC9" w:rsidRDefault="001E0FC9" w:rsidP="001E0FC9">
      <w:pPr>
        <w:pStyle w:val="NormalWeb"/>
        <w:shd w:val="clear" w:color="auto" w:fill="FFFFFF"/>
        <w:spacing w:before="0" w:beforeAutospacing="0" w:after="0" w:afterAutospacing="0"/>
        <w:jc w:val="both"/>
        <w:textAlignment w:val="baseline"/>
      </w:pPr>
    </w:p>
    <w:p w:rsidR="001E0FC9" w:rsidRPr="00FA2B28" w:rsidRDefault="0015617F" w:rsidP="001E0FC9">
      <w:pPr>
        <w:pStyle w:val="NormalWeb"/>
        <w:shd w:val="clear" w:color="auto" w:fill="FFFFFF"/>
        <w:spacing w:before="0" w:beforeAutospacing="0" w:after="0" w:afterAutospacing="0"/>
        <w:jc w:val="both"/>
        <w:textAlignment w:val="baseline"/>
      </w:pPr>
      <w:r>
        <w:t>“</w:t>
      </w:r>
      <w:r w:rsidR="001E0FC9" w:rsidRPr="00FA2B28">
        <w:t>Actualmente hay un nivel de vida comparable en el este y en el oeste de Alemania, sin embargo, es cierto que hay </w:t>
      </w:r>
      <w:r w:rsidR="001E0FC9" w:rsidRPr="0015617F">
        <w:rPr>
          <w:rStyle w:val="Textoennegrita"/>
          <w:b w:val="0"/>
          <w:bdr w:val="none" w:sz="0" w:space="0" w:color="auto" w:frame="1"/>
        </w:rPr>
        <w:t>un mayor riesgo de caer en la pobreza</w:t>
      </w:r>
      <w:r w:rsidR="001E0FC9" w:rsidRPr="00FA2B28">
        <w:rPr>
          <w:rStyle w:val="Textoennegrita"/>
          <w:bdr w:val="none" w:sz="0" w:space="0" w:color="auto" w:frame="1"/>
        </w:rPr>
        <w:t> </w:t>
      </w:r>
      <w:r w:rsidR="001E0FC9" w:rsidRPr="00FA2B28">
        <w:t>de ingresos y los sa</w:t>
      </w:r>
      <w:r>
        <w:t xml:space="preserve">larios son más bajos en el este”. </w:t>
      </w:r>
      <w:r w:rsidR="001E0FC9" w:rsidRPr="00FA2B28">
        <w:t>El sociólogo afirma que en los últimos 10 años las diferencias han disminuido, pero advierte que el gobierno debería poner más cuidado a la</w:t>
      </w:r>
      <w:r w:rsidR="001E0FC9" w:rsidRPr="00FA2B28">
        <w:rPr>
          <w:rStyle w:val="Textoennegrita"/>
          <w:bdr w:val="none" w:sz="0" w:space="0" w:color="auto" w:frame="1"/>
        </w:rPr>
        <w:t> </w:t>
      </w:r>
      <w:r w:rsidR="001E0FC9" w:rsidRPr="0015617F">
        <w:rPr>
          <w:rStyle w:val="Textoennegrita"/>
          <w:b w:val="0"/>
          <w:bdr w:val="none" w:sz="0" w:space="0" w:color="auto" w:frame="1"/>
        </w:rPr>
        <w:t>creciente desigualdad</w:t>
      </w:r>
      <w:r w:rsidR="001E0FC9" w:rsidRPr="00FA2B28">
        <w:t> en Alemania.</w:t>
      </w:r>
    </w:p>
    <w:p w:rsidR="001E0FC9" w:rsidRPr="00FA2B28" w:rsidRDefault="001E0FC9" w:rsidP="001E0FC9">
      <w:pPr>
        <w:pStyle w:val="NormalWeb"/>
        <w:shd w:val="clear" w:color="auto" w:fill="FFFFFF"/>
        <w:spacing w:before="0" w:beforeAutospacing="0" w:after="0" w:afterAutospacing="0"/>
        <w:jc w:val="both"/>
        <w:textAlignment w:val="baseline"/>
      </w:pPr>
    </w:p>
    <w:p w:rsidR="001E0FC9" w:rsidRPr="00FA2B28" w:rsidRDefault="001E0FC9" w:rsidP="001E0FC9">
      <w:pPr>
        <w:pStyle w:val="NormalWeb"/>
        <w:shd w:val="clear" w:color="auto" w:fill="FFFFFF"/>
        <w:spacing w:before="0" w:beforeAutospacing="0" w:after="0" w:afterAutospacing="0"/>
        <w:jc w:val="both"/>
        <w:textAlignment w:val="baseline"/>
      </w:pPr>
      <w:r w:rsidRPr="00FA2B28">
        <w:t xml:space="preserve">Igualmente justifica las disparidades económicas regionales argumentando diferencias estructurales. </w:t>
      </w:r>
      <w:r w:rsidR="0015617F">
        <w:rPr>
          <w:b/>
        </w:rPr>
        <w:t>“</w:t>
      </w:r>
      <w:r w:rsidRPr="0015617F">
        <w:rPr>
          <w:rStyle w:val="Textoennegrita"/>
          <w:b w:val="0"/>
          <w:bdr w:val="none" w:sz="0" w:space="0" w:color="auto" w:frame="1"/>
        </w:rPr>
        <w:t>El este de Alemania es mucho más rural</w:t>
      </w:r>
      <w:r w:rsidRPr="00FA2B28">
        <w:rPr>
          <w:rStyle w:val="Textoennegrita"/>
          <w:bdr w:val="none" w:sz="0" w:space="0" w:color="auto" w:frame="1"/>
        </w:rPr>
        <w:t> </w:t>
      </w:r>
      <w:r w:rsidRPr="00FA2B28">
        <w:t>que el oeste. Afuera de Berlín, estamos hablando de casi un 70% de la población viviendo en zonas rurales. Mien</w:t>
      </w:r>
      <w:r w:rsidR="0015617F">
        <w:t>tras que el oeste es más urbano”</w:t>
      </w:r>
      <w:r w:rsidRPr="00FA2B28">
        <w:t>.</w:t>
      </w:r>
    </w:p>
    <w:p w:rsidR="001E0FC9" w:rsidRPr="00FA2B28" w:rsidRDefault="001E0FC9" w:rsidP="001E0FC9">
      <w:pPr>
        <w:pStyle w:val="NormalWeb"/>
        <w:shd w:val="clear" w:color="auto" w:fill="FFFFFF"/>
        <w:spacing w:before="270" w:beforeAutospacing="0" w:after="0" w:afterAutospacing="0"/>
        <w:jc w:val="both"/>
        <w:textAlignment w:val="baseline"/>
      </w:pPr>
      <w:r w:rsidRPr="00FA2B28">
        <w:t xml:space="preserve">Asimismo, Krause considera que los salarios son más altos en </w:t>
      </w:r>
      <w:r w:rsidR="0015617F">
        <w:t>el oeste “</w:t>
      </w:r>
      <w:r w:rsidRPr="00FA2B28">
        <w:t>porque a</w:t>
      </w:r>
      <w:r w:rsidR="0015617F">
        <w:t>llí hay gente mejor cualificada”. “</w:t>
      </w:r>
      <w:r w:rsidRPr="00FA2B28">
        <w:t>No quiero decir que todo está bien, todavía tenemos grandes problemas especialmente relaci</w:t>
      </w:r>
      <w:r w:rsidR="0015617F">
        <w:t>onados con el nivel de ingresos”</w:t>
      </w:r>
      <w:r w:rsidRPr="00FA2B28">
        <w:t>, afirma el hombre nacido y criado en la región de Baden-Wurtemberg, en el oeste de Alemania.</w:t>
      </w:r>
    </w:p>
    <w:p w:rsidR="001E0FC9" w:rsidRDefault="001E0FC9" w:rsidP="001E0FC9">
      <w:pPr>
        <w:pStyle w:val="NormalWeb"/>
        <w:shd w:val="clear" w:color="auto" w:fill="FFFFFF"/>
        <w:spacing w:before="0" w:beforeAutospacing="0" w:after="0" w:afterAutospacing="0"/>
        <w:jc w:val="both"/>
        <w:textAlignment w:val="baseline"/>
      </w:pPr>
    </w:p>
    <w:p w:rsidR="001E0FC9" w:rsidRDefault="001E0FC9" w:rsidP="001E0FC9">
      <w:pPr>
        <w:pStyle w:val="NormalWeb"/>
        <w:shd w:val="clear" w:color="auto" w:fill="FFFFFF"/>
        <w:spacing w:before="0" w:beforeAutospacing="0" w:after="0" w:afterAutospacing="0"/>
        <w:jc w:val="both"/>
        <w:textAlignment w:val="baseline"/>
      </w:pPr>
      <w:r w:rsidRPr="00FA2B28">
        <w:lastRenderedPageBreak/>
        <w:t>De hecho, los alemanes occidentales </w:t>
      </w:r>
      <w:r w:rsidRPr="0015617F">
        <w:rPr>
          <w:rStyle w:val="Textoennegrita"/>
          <w:b w:val="0"/>
          <w:bdr w:val="none" w:sz="0" w:space="0" w:color="auto" w:frame="1"/>
        </w:rPr>
        <w:t>también dominan las altas esferas educativas del país</w:t>
      </w:r>
      <w:r w:rsidRPr="00FA2B28">
        <w:t>. La totalidad de los rectores y rectoras de las universidades alemanas nacieron en la República Federal, un dato que sorprende tanto a nacionales como a</w:t>
      </w:r>
      <w:r w:rsidR="0015617F">
        <w:t xml:space="preserve"> extranjeros. “</w:t>
      </w:r>
      <w:r w:rsidRPr="00FA2B28">
        <w:t>No solamente los rectores, en realidad la mayoría de los prof</w:t>
      </w:r>
      <w:r w:rsidR="0015617F">
        <w:t>esores también vienen del Oeste”</w:t>
      </w:r>
      <w:r w:rsidRPr="00FA2B28">
        <w:t>, replica Dalia Marin escandalizada.</w:t>
      </w:r>
    </w:p>
    <w:p w:rsidR="001E0FC9" w:rsidRDefault="001E0FC9" w:rsidP="001E0FC9">
      <w:pPr>
        <w:pStyle w:val="NormalWeb"/>
        <w:shd w:val="clear" w:color="auto" w:fill="FFFFFF"/>
        <w:spacing w:before="0" w:beforeAutospacing="0" w:after="0" w:afterAutospacing="0"/>
        <w:jc w:val="both"/>
        <w:textAlignment w:val="baseline"/>
      </w:pPr>
    </w:p>
    <w:p w:rsidR="001E0FC9" w:rsidRPr="00FA2B28" w:rsidRDefault="001E0FC9" w:rsidP="001E0FC9">
      <w:pPr>
        <w:pStyle w:val="NormalWeb"/>
        <w:shd w:val="clear" w:color="auto" w:fill="FFFFFF"/>
        <w:spacing w:before="0" w:beforeAutospacing="0" w:after="0" w:afterAutospacing="0"/>
        <w:jc w:val="both"/>
        <w:textAlignment w:val="baseline"/>
        <w:rPr>
          <w:b/>
        </w:rPr>
      </w:pPr>
      <w:r w:rsidRPr="00FA2B28">
        <w:rPr>
          <w:b/>
        </w:rPr>
        <w:t>Dresde, un bastión electoral de la extrema derecha</w:t>
      </w:r>
    </w:p>
    <w:p w:rsidR="001E0FC9" w:rsidRPr="00FA2B28" w:rsidRDefault="00304271" w:rsidP="001E0F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E0FC9" w:rsidRPr="00FA2B28">
        <w:rPr>
          <w:rFonts w:ascii="Times New Roman" w:hAnsi="Times New Roman" w:cs="Times New Roman"/>
          <w:noProof/>
          <w:sz w:val="24"/>
          <w:szCs w:val="24"/>
          <w:bdr w:val="none" w:sz="0" w:space="0" w:color="auto" w:frame="1"/>
        </w:rPr>
        <w:drawing>
          <wp:inline distT="0" distB="0" distL="0" distR="0">
            <wp:extent cx="4406900" cy="5645150"/>
            <wp:effectExtent l="0" t="0" r="0" b="0"/>
            <wp:docPr id="24" name="Imagen 24" descr="Mapa electoral de Ale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a electoral de Aleman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06900" cy="5645150"/>
                    </a:xfrm>
                    <a:prstGeom prst="rect">
                      <a:avLst/>
                    </a:prstGeom>
                    <a:noFill/>
                    <a:ln>
                      <a:noFill/>
                    </a:ln>
                  </pic:spPr>
                </pic:pic>
              </a:graphicData>
            </a:graphic>
          </wp:inline>
        </w:drawing>
      </w:r>
    </w:p>
    <w:p w:rsidR="001E0FC9" w:rsidRPr="00FA2B28" w:rsidRDefault="001E0FC9" w:rsidP="0015617F">
      <w:pPr>
        <w:pStyle w:val="NormalWeb"/>
        <w:shd w:val="clear" w:color="auto" w:fill="FFFFFF"/>
        <w:spacing w:before="270" w:beforeAutospacing="0" w:after="0" w:afterAutospacing="0"/>
        <w:jc w:val="both"/>
        <w:textAlignment w:val="baseline"/>
      </w:pPr>
      <w:r w:rsidRPr="00FA2B28">
        <w:t>Un porcentaje importante de la población sajona dice sentirse abandonada y decepcionada de tantas promesas incumplidas de los pa</w:t>
      </w:r>
      <w:r w:rsidR="0015617F">
        <w:t xml:space="preserve">rtidos políticos tradicionales. </w:t>
      </w:r>
      <w:r w:rsidRPr="00FA2B28">
        <w:t>Dalia Marin cree que esta es una de las razones por las que Dresde se ha convertido en </w:t>
      </w:r>
      <w:r w:rsidRPr="0015617F">
        <w:rPr>
          <w:rStyle w:val="Textoennegrita"/>
          <w:b w:val="0"/>
          <w:bdr w:val="none" w:sz="0" w:space="0" w:color="auto" w:frame="1"/>
        </w:rPr>
        <w:t>un bastión electoral del partido de extrema derecha</w:t>
      </w:r>
      <w:r w:rsidRPr="00FA2B28">
        <w:t xml:space="preserve"> Alternative für Deutschland (AfD), o Alternativa para Alemania en </w:t>
      </w:r>
      <w:r w:rsidR="0015617F">
        <w:t>español. “</w:t>
      </w:r>
      <w:r w:rsidRPr="00FA2B28">
        <w:t>Ellos le prometen a la gente que van a hacer de esto una tierra</w:t>
      </w:r>
      <w:r w:rsidR="0015617F">
        <w:t xml:space="preserve"> santa, que todo volverá a ser “tan bueno como era antes”, por supuesto todo es mentira”</w:t>
      </w:r>
      <w:r w:rsidRPr="00FA2B28">
        <w:t>.</w:t>
      </w:r>
    </w:p>
    <w:p w:rsidR="001E0FC9" w:rsidRPr="00FA2B28" w:rsidRDefault="001E0FC9" w:rsidP="001E0FC9">
      <w:pPr>
        <w:pStyle w:val="NormalWeb"/>
        <w:shd w:val="clear" w:color="auto" w:fill="FFFFFF"/>
        <w:spacing w:before="270" w:beforeAutospacing="0" w:after="0" w:afterAutospacing="0"/>
        <w:jc w:val="both"/>
        <w:textAlignment w:val="baseline"/>
      </w:pPr>
      <w:r w:rsidRPr="00FA2B28">
        <w:t>No obstante, para el vicepresidente del partido AfD, Georg Pazderski, la gente está molesta porque el proceso de reunifi</w:t>
      </w:r>
      <w:r w:rsidR="0015617F">
        <w:t>cación aún no se ha completado. “</w:t>
      </w:r>
      <w:r w:rsidRPr="00FA2B28">
        <w:t xml:space="preserve">Si hablas con los alemanes del </w:t>
      </w:r>
      <w:r w:rsidRPr="00FA2B28">
        <w:lastRenderedPageBreak/>
        <w:t>este, te darás cuenta de que no se sienten con las mismas oportunidades que en el oeste del país. Sus condiciones de vida son un poc</w:t>
      </w:r>
      <w:r w:rsidR="0015617F">
        <w:t>o peores y sus salarios también”</w:t>
      </w:r>
      <w:r w:rsidRPr="00FA2B28">
        <w:t>.</w:t>
      </w:r>
    </w:p>
    <w:p w:rsidR="001E0FC9" w:rsidRDefault="001E0FC9" w:rsidP="001E0FC9">
      <w:pPr>
        <w:pStyle w:val="NormalWeb"/>
        <w:shd w:val="clear" w:color="auto" w:fill="FFFFFF"/>
        <w:spacing w:before="0" w:beforeAutospacing="0" w:after="0" w:afterAutospacing="0"/>
        <w:jc w:val="both"/>
        <w:textAlignment w:val="baseline"/>
      </w:pPr>
    </w:p>
    <w:p w:rsidR="001E0FC9" w:rsidRPr="00FA2B28" w:rsidRDefault="0015617F" w:rsidP="0015617F">
      <w:pPr>
        <w:pStyle w:val="NormalWeb"/>
        <w:shd w:val="clear" w:color="auto" w:fill="FFFFFF"/>
        <w:spacing w:before="0" w:beforeAutospacing="0" w:after="0" w:afterAutospacing="0"/>
        <w:jc w:val="both"/>
        <w:textAlignment w:val="baseline"/>
      </w:pPr>
      <w:r>
        <w:t>“</w:t>
      </w:r>
      <w:r w:rsidR="001E0FC9" w:rsidRPr="00FA2B28">
        <w:t>En AfD, tenemos propuestas claras: </w:t>
      </w:r>
      <w:r w:rsidR="001E0FC9" w:rsidRPr="0015617F">
        <w:rPr>
          <w:rStyle w:val="Textoennegrita"/>
          <w:b w:val="0"/>
          <w:bdr w:val="none" w:sz="0" w:space="0" w:color="auto" w:frame="1"/>
        </w:rPr>
        <w:t>deshacernos del euro, de la burocracia de la Unión Europea</w:t>
      </w:r>
      <w:r w:rsidR="001E0FC9" w:rsidRPr="0015617F">
        <w:rPr>
          <w:b/>
        </w:rPr>
        <w:t>,</w:t>
      </w:r>
      <w:r w:rsidR="001E0FC9" w:rsidRPr="00FA2B28">
        <w:t xml:space="preserve"> y sobre todo queremos frenar la inmigración masiva q</w:t>
      </w:r>
      <w:r>
        <w:t>ue ha traído pobreza a Alemania”</w:t>
      </w:r>
      <w:r w:rsidR="001E0FC9" w:rsidRPr="00FA2B28">
        <w:t xml:space="preserve">, afirma Pazderski a </w:t>
      </w:r>
      <w:r>
        <w:t>BBC Mundo. “</w:t>
      </w:r>
      <w:r w:rsidR="001E0FC9" w:rsidRPr="00FA2B28">
        <w:t>Desde 2017 hemos recibido más de 2 millones de inmigrantes quienes en su mayoría se aprovechan de nuestro generoso sistema social, lo que significa que no queda mucho para los alemanes. La gente ve cómo la delincuencia ha aumentado, ve en lo que se han convertido ciudades como Colonia y Düsseldorf. Los alemanes en el este ven las noticias y se dicen, 'no queremos eso aq</w:t>
      </w:r>
      <w:r>
        <w:t>uí': por eso votan por nosotros”</w:t>
      </w:r>
      <w:r w:rsidR="001E0FC9" w:rsidRPr="00FA2B28">
        <w:t>.</w:t>
      </w:r>
    </w:p>
    <w:p w:rsidR="001E0FC9" w:rsidRPr="00FA2B28" w:rsidRDefault="001E0FC9" w:rsidP="001E0FC9">
      <w:pPr>
        <w:pStyle w:val="NormalWeb"/>
        <w:shd w:val="clear" w:color="auto" w:fill="FFFFFF"/>
        <w:spacing w:before="270" w:beforeAutospacing="0" w:after="0" w:afterAutospacing="0"/>
        <w:jc w:val="both"/>
        <w:textAlignment w:val="baseline"/>
      </w:pPr>
      <w:r w:rsidRPr="00FA2B28">
        <w:t>Contrariamente a esa afirmación, un informe de la Oficina Federal de Investigación Criminal de Alemania, publicado a principios de este año, muestra que la tasa de criminalidad alemana sigue bajando. En 2018, el país registró 5,56 millones de delitos, un descenso de 3,6% con respecto al año anterior.</w:t>
      </w:r>
    </w:p>
    <w:p w:rsidR="001E0FC9" w:rsidRDefault="001E0FC9" w:rsidP="001E0FC9">
      <w:pPr>
        <w:pStyle w:val="NormalWeb"/>
        <w:shd w:val="clear" w:color="auto" w:fill="FFFFFF"/>
        <w:spacing w:before="0" w:beforeAutospacing="0" w:after="0" w:afterAutospacing="0"/>
        <w:jc w:val="both"/>
        <w:textAlignment w:val="baseline"/>
      </w:pPr>
    </w:p>
    <w:p w:rsidR="001E0FC9" w:rsidRDefault="001E0FC9" w:rsidP="0015617F">
      <w:pPr>
        <w:pStyle w:val="NormalWeb"/>
        <w:shd w:val="clear" w:color="auto" w:fill="FFFFFF"/>
        <w:spacing w:before="0" w:beforeAutospacing="0" w:after="0" w:afterAutospacing="0"/>
        <w:jc w:val="both"/>
        <w:textAlignment w:val="baseline"/>
      </w:pPr>
      <w:r w:rsidRPr="00FA2B28">
        <w:t>Lo que sí es cierto es que </w:t>
      </w:r>
      <w:r w:rsidRPr="0015617F">
        <w:rPr>
          <w:rStyle w:val="Textoennegrita"/>
          <w:b w:val="0"/>
          <w:bdr w:val="none" w:sz="0" w:space="0" w:color="auto" w:frame="1"/>
        </w:rPr>
        <w:t>el este de Alemania es mucho menos multicultural</w:t>
      </w:r>
      <w:r w:rsidRPr="00FA2B28">
        <w:rPr>
          <w:rStyle w:val="Textoennegrita"/>
          <w:bdr w:val="none" w:sz="0" w:space="0" w:color="auto" w:frame="1"/>
        </w:rPr>
        <w:t> </w:t>
      </w:r>
      <w:r w:rsidR="0015617F">
        <w:t xml:space="preserve">y multirracial que el oeste. </w:t>
      </w:r>
      <w:r w:rsidRPr="00BC339A">
        <w:t>Según la Oficina Federal de Estadística de Alemania, el porcentaje de la población de origen extranjero alcanzaba un 25,5% en 2018, mientras que en el este la cifra es de solamente un 6,8%, si se e</w:t>
      </w:r>
      <w:r w:rsidR="0015617F">
        <w:t>xcluye Berlín. “</w:t>
      </w:r>
      <w:r w:rsidRPr="00BC339A">
        <w:t>Es humano tenerle miedo a lo desconocido y los partidos de extrema derecha tienden aprovecharse</w:t>
      </w:r>
      <w:r w:rsidR="0015617F">
        <w:t xml:space="preserve"> de eso para mentirle al pueblo”</w:t>
      </w:r>
      <w:r w:rsidRPr="00BC339A">
        <w:t>, opina Danielle Schönfeld.</w:t>
      </w:r>
    </w:p>
    <w:p w:rsidR="0015617F" w:rsidRDefault="0015617F" w:rsidP="001E0FC9">
      <w:pPr>
        <w:pStyle w:val="NormalWeb"/>
        <w:shd w:val="clear" w:color="auto" w:fill="FFFFFF"/>
        <w:spacing w:before="0" w:beforeAutospacing="0" w:after="0" w:afterAutospacing="0"/>
        <w:jc w:val="both"/>
        <w:textAlignment w:val="baseline"/>
      </w:pPr>
    </w:p>
    <w:p w:rsidR="001E0FC9" w:rsidRPr="00BC339A" w:rsidRDefault="001E0FC9" w:rsidP="001E0FC9">
      <w:pPr>
        <w:pStyle w:val="NormalWeb"/>
        <w:shd w:val="clear" w:color="auto" w:fill="FFFFFF"/>
        <w:spacing w:before="0" w:beforeAutospacing="0" w:after="0" w:afterAutospacing="0"/>
        <w:jc w:val="both"/>
        <w:textAlignment w:val="baseline"/>
      </w:pPr>
      <w:r w:rsidRPr="00BC339A">
        <w:t>Durante cuatro años, la sajona estuvo en una relación sentimental con un refugiado sirio y explica cómo </w:t>
      </w:r>
      <w:r w:rsidRPr="0015617F">
        <w:rPr>
          <w:rStyle w:val="Textoennegrita"/>
          <w:b w:val="0"/>
          <w:bdr w:val="none" w:sz="0" w:space="0" w:color="auto" w:frame="1"/>
        </w:rPr>
        <w:t>sintió en carne propia la xenofobia</w:t>
      </w:r>
      <w:r w:rsidRPr="00BC339A">
        <w:rPr>
          <w:rStyle w:val="Textoennegrita"/>
          <w:bdr w:val="none" w:sz="0" w:space="0" w:color="auto" w:frame="1"/>
        </w:rPr>
        <w:t> </w:t>
      </w:r>
      <w:r w:rsidRPr="00BC339A">
        <w:t>y la isla</w:t>
      </w:r>
      <w:r w:rsidR="0015617F">
        <w:t>mofobia que se vive en Dresde. “</w:t>
      </w:r>
      <w:r w:rsidRPr="00BC339A">
        <w:t>Siempre se le quedaban vie</w:t>
      </w:r>
      <w:r w:rsidR="0015617F">
        <w:t>ndo como si fuera un terrorista”</w:t>
      </w:r>
      <w:r w:rsidRPr="00BC339A">
        <w:t>, afirma.</w:t>
      </w:r>
    </w:p>
    <w:p w:rsidR="001E0FC9" w:rsidRPr="00BC339A" w:rsidRDefault="001E0FC9" w:rsidP="0015617F">
      <w:pPr>
        <w:pStyle w:val="NormalWeb"/>
        <w:shd w:val="clear" w:color="auto" w:fill="FFFFFF"/>
        <w:spacing w:before="270" w:beforeAutospacing="0" w:after="0" w:afterAutospacing="0"/>
        <w:jc w:val="both"/>
        <w:textAlignment w:val="baseline"/>
      </w:pPr>
      <w:r w:rsidRPr="00BC339A">
        <w:t>Recientemente los concejal</w:t>
      </w:r>
      <w:r w:rsidR="0015617F">
        <w:t>es de la ciudad declararon una “emergencia nazi”</w:t>
      </w:r>
      <w:r w:rsidRPr="00BC339A">
        <w:t>, para que las autoridades ayuden a las víctimas de la violencia de extrema derecha y protejan a las minorías.</w:t>
      </w:r>
      <w:r w:rsidR="0015617F">
        <w:t xml:space="preserve"> </w:t>
      </w:r>
      <w:r w:rsidRPr="00BC339A">
        <w:t>La capital de Sajonia también es conocida por ser </w:t>
      </w:r>
      <w:r w:rsidRPr="0015617F">
        <w:rPr>
          <w:rStyle w:val="Textoennegrita"/>
          <w:b w:val="0"/>
          <w:bdr w:val="none" w:sz="0" w:space="0" w:color="auto" w:frame="1"/>
        </w:rPr>
        <w:t>donde nació el movimiento antiislamista Pegida</w:t>
      </w:r>
      <w:r w:rsidRPr="00BC339A">
        <w:rPr>
          <w:rStyle w:val="Textoennegrita"/>
          <w:bdr w:val="none" w:sz="0" w:space="0" w:color="auto" w:frame="1"/>
        </w:rPr>
        <w:t> </w:t>
      </w:r>
      <w:r w:rsidRPr="00BC339A">
        <w:t>(Patrióticos europeos contra la islamización de Occidente).</w:t>
      </w:r>
    </w:p>
    <w:p w:rsidR="001E0FC9" w:rsidRPr="00BC339A" w:rsidRDefault="001E0FC9" w:rsidP="001E0FC9">
      <w:pPr>
        <w:pStyle w:val="NormalWeb"/>
        <w:shd w:val="clear" w:color="auto" w:fill="FFFFFF"/>
        <w:spacing w:before="270" w:beforeAutospacing="0" w:after="0" w:afterAutospacing="0"/>
        <w:jc w:val="both"/>
        <w:textAlignment w:val="baseline"/>
      </w:pPr>
      <w:r w:rsidRPr="00BC339A">
        <w:t>Por esto y por muchas otras razones, Schönfeld piensa frecuentemente en mudarse al</w:t>
      </w:r>
      <w:r w:rsidR="0015617F">
        <w:t xml:space="preserve"> oeste del país o a Dinamarca. “Odio Dresde”, bromea. “</w:t>
      </w:r>
      <w:r w:rsidRPr="00BC339A">
        <w:t xml:space="preserve">En realidad </w:t>
      </w:r>
      <w:r w:rsidR="0015617F">
        <w:t>no hay nada que me inspire aquí”</w:t>
      </w:r>
      <w:r w:rsidRPr="00BC339A">
        <w:t>, agrega con un tono más serio.</w:t>
      </w:r>
    </w:p>
    <w:p w:rsidR="001E0FC9" w:rsidRDefault="001E0FC9" w:rsidP="001E0FC9">
      <w:pPr>
        <w:pStyle w:val="NormalWeb"/>
        <w:shd w:val="clear" w:color="auto" w:fill="FFFFFF"/>
        <w:spacing w:before="0" w:beforeAutospacing="0" w:after="0" w:afterAutospacing="0"/>
        <w:jc w:val="both"/>
        <w:textAlignment w:val="baseline"/>
      </w:pPr>
    </w:p>
    <w:p w:rsidR="001E0FC9" w:rsidRPr="00BC339A" w:rsidRDefault="001E0FC9" w:rsidP="001E0FC9">
      <w:pPr>
        <w:pStyle w:val="NormalWeb"/>
        <w:shd w:val="clear" w:color="auto" w:fill="FFFFFF"/>
        <w:spacing w:before="0" w:beforeAutospacing="0" w:after="0" w:afterAutospacing="0"/>
        <w:jc w:val="both"/>
        <w:textAlignment w:val="baseline"/>
      </w:pPr>
      <w:r w:rsidRPr="00BC339A">
        <w:t>Dalia Marin cree que las disparidades no van a mejorar hasta que los políticos entiendan que la única manera de hacer que la región florezca es </w:t>
      </w:r>
      <w:r w:rsidRPr="009E2019">
        <w:rPr>
          <w:rStyle w:val="Textoennegrita"/>
          <w:b w:val="0"/>
          <w:bdr w:val="none" w:sz="0" w:space="0" w:color="auto" w:frame="1"/>
        </w:rPr>
        <w:t>ofreciéndole incentivos fiscales a las empresas </w:t>
      </w:r>
      <w:r w:rsidRPr="00BC339A">
        <w:t>para que se instalen en el Este.</w:t>
      </w:r>
    </w:p>
    <w:p w:rsidR="001E0FC9" w:rsidRPr="00BC339A" w:rsidRDefault="001E0FC9" w:rsidP="001E0FC9">
      <w:pPr>
        <w:pStyle w:val="NormalWeb"/>
        <w:shd w:val="clear" w:color="auto" w:fill="FFFFFF"/>
        <w:spacing w:before="270" w:beforeAutospacing="0" w:after="0" w:afterAutospacing="0"/>
        <w:jc w:val="both"/>
        <w:textAlignment w:val="baseline"/>
      </w:pPr>
      <w:r w:rsidRPr="00BC339A">
        <w:t>Schönfeld, por su parte, considera que las autoridades estaban demasiado ocupadas intentando reconstruir fachadas, que durante más de 20 años no se dieron cuenta de que detrás de ellas aún quedaban diferencias económicas y sociales por resolver.</w:t>
      </w:r>
    </w:p>
    <w:p w:rsidR="001E0FC9" w:rsidRDefault="001E0FC9" w:rsidP="001E0FC9">
      <w:pPr>
        <w:pStyle w:val="NormalWeb"/>
        <w:shd w:val="clear" w:color="auto" w:fill="FFFFFF"/>
        <w:spacing w:before="0" w:beforeAutospacing="0" w:after="0" w:afterAutospacing="0"/>
        <w:jc w:val="both"/>
        <w:textAlignment w:val="baseline"/>
      </w:pPr>
    </w:p>
    <w:p w:rsidR="001E0FC9" w:rsidRDefault="001E0FC9" w:rsidP="001E0FC9">
      <w:pPr>
        <w:pStyle w:val="NormalWeb"/>
        <w:shd w:val="clear" w:color="auto" w:fill="FFFFFF"/>
        <w:spacing w:before="0" w:beforeAutospacing="0" w:after="0" w:afterAutospacing="0"/>
        <w:jc w:val="both"/>
        <w:textAlignment w:val="baseline"/>
      </w:pPr>
      <w:r w:rsidRPr="00BC339A">
        <w:t>Y mientras tanto,</w:t>
      </w:r>
      <w:r w:rsidRPr="00BC339A">
        <w:rPr>
          <w:rStyle w:val="Textoennegrita"/>
          <w:bdr w:val="none" w:sz="0" w:space="0" w:color="auto" w:frame="1"/>
        </w:rPr>
        <w:t> </w:t>
      </w:r>
      <w:r w:rsidRPr="009E2019">
        <w:rPr>
          <w:rStyle w:val="Textoennegrita"/>
          <w:b w:val="0"/>
          <w:bdr w:val="none" w:sz="0" w:space="0" w:color="auto" w:frame="1"/>
        </w:rPr>
        <w:t>la famosa promesa hecha por el excanciller Helmut Kohl</w:t>
      </w:r>
      <w:r w:rsidRPr="00BC339A">
        <w:t> en 1990 cuand</w:t>
      </w:r>
      <w:r w:rsidR="009E2019">
        <w:t>o le garantizó a los del Este “paisajes florecientes”</w:t>
      </w:r>
      <w:r w:rsidRPr="00BC339A">
        <w:t xml:space="preserve"> tras la reunificación con el Oeste, aún queda por cumplirse, casi tres décadas más tarde.</w:t>
      </w:r>
    </w:p>
    <w:p w:rsidR="004D78C9" w:rsidRDefault="004D78C9" w:rsidP="001E0FC9">
      <w:pPr>
        <w:pStyle w:val="NormalWeb"/>
        <w:shd w:val="clear" w:color="auto" w:fill="FFFFFF"/>
        <w:spacing w:before="0" w:beforeAutospacing="0" w:after="0" w:afterAutospacing="0"/>
        <w:jc w:val="both"/>
        <w:textAlignment w:val="baseline"/>
      </w:pPr>
    </w:p>
    <w:p w:rsidR="004D78C9" w:rsidRDefault="004D78C9" w:rsidP="001E0FC9">
      <w:pPr>
        <w:pStyle w:val="NormalWeb"/>
        <w:shd w:val="clear" w:color="auto" w:fill="FFFFFF"/>
        <w:spacing w:before="0" w:beforeAutospacing="0" w:after="0" w:afterAutospacing="0"/>
        <w:jc w:val="both"/>
        <w:textAlignment w:val="baseline"/>
      </w:pPr>
    </w:p>
    <w:p w:rsidR="004D78C9" w:rsidRPr="004D78C9" w:rsidRDefault="004D144E" w:rsidP="001E0FC9">
      <w:pPr>
        <w:pStyle w:val="NormalWeb"/>
        <w:shd w:val="clear" w:color="auto" w:fill="FFFFFF"/>
        <w:spacing w:before="0" w:beforeAutospacing="0" w:after="0" w:afterAutospacing="0"/>
        <w:jc w:val="both"/>
        <w:textAlignment w:val="baseline"/>
        <w:rPr>
          <w:b/>
        </w:rPr>
      </w:pPr>
      <w:r>
        <w:rPr>
          <w:b/>
        </w:rPr>
        <w:lastRenderedPageBreak/>
        <w:t>La</w:t>
      </w:r>
      <w:r w:rsidR="00304271">
        <w:rPr>
          <w:b/>
        </w:rPr>
        <w:t>s</w:t>
      </w:r>
      <w:r>
        <w:rPr>
          <w:b/>
        </w:rPr>
        <w:t xml:space="preserve"> asignaturas pendientes de la reunificación</w:t>
      </w:r>
    </w:p>
    <w:p w:rsidR="001E0FC9" w:rsidRDefault="001E0FC9" w:rsidP="001E0FC9">
      <w:pPr>
        <w:pStyle w:val="NormalWeb"/>
        <w:shd w:val="clear" w:color="auto" w:fill="FFFFFF"/>
        <w:spacing w:before="0" w:beforeAutospacing="0" w:after="0" w:afterAutospacing="0"/>
        <w:jc w:val="both"/>
        <w:textAlignment w:val="baseline"/>
      </w:pPr>
    </w:p>
    <w:p w:rsidR="004D78C9" w:rsidRDefault="004D78C9" w:rsidP="001E0FC9">
      <w:pPr>
        <w:pStyle w:val="NormalWeb"/>
        <w:shd w:val="clear" w:color="auto" w:fill="FFFFFF"/>
        <w:spacing w:before="0" w:beforeAutospacing="0" w:after="0" w:afterAutospacing="0"/>
        <w:jc w:val="both"/>
        <w:textAlignment w:val="baseline"/>
      </w:pPr>
      <w:r w:rsidRPr="004D78C9">
        <w:t>Tres décadas después de la caída del Muro de Berlín los efectos de este acontecimiento todavía son visibles en Alemania y en Europa. Fue el triunfo del modelo democrático, sí, pero también fue una lucha de poder en la que hubo vencedores y vencidos dentro y fuera de Alemania.</w:t>
      </w:r>
    </w:p>
    <w:p w:rsidR="004D78C9" w:rsidRDefault="004D78C9" w:rsidP="004D78C9">
      <w:pPr>
        <w:pStyle w:val="NormalWeb"/>
        <w:shd w:val="clear" w:color="auto" w:fill="FFFFFF"/>
        <w:spacing w:after="0"/>
        <w:jc w:val="both"/>
        <w:textAlignment w:val="baseline"/>
      </w:pPr>
      <w:r>
        <w:t xml:space="preserve">Tras la caída del Muro dio comienzo un complejo proceso de unificación política, social y económica. Entre 1989 y septiembre de 1990 convivieron dos Gobiernos, uno en la República Federal y otro en la República Democrática, además de dos partidos democristianos y dos socialistas que funcionaban independientemente. Dos documentos son clave para comprender cómo se produjo el proceso de reunificación política: el Tratado 2+4, entre las dos Alemanias y las cuatro potencias ocupantes, y los Diez Puntos presentados por Helmut Kohl. En ellos se apuntaban una serie de medidas para llegar a la unificación y fueron un guion para la transición democrática de la RDA. </w:t>
      </w:r>
    </w:p>
    <w:p w:rsidR="004D78C9" w:rsidRDefault="004D78C9" w:rsidP="004D78C9">
      <w:pPr>
        <w:pStyle w:val="NormalWeb"/>
        <w:shd w:val="clear" w:color="auto" w:fill="FFFFFF"/>
        <w:spacing w:after="0"/>
        <w:jc w:val="both"/>
        <w:textAlignment w:val="baseline"/>
      </w:pPr>
      <w:r>
        <w:t xml:space="preserve">Las negociaciones comenzaron con la creación de una mesa redonda con representación de las principales fuerzas políticas a ambos lados. Existía a nivel social una clara voluntad de facilitar la unificación de la administración y sus cuerpos. La élite política de la República Democrática Alemana, que presentaba la mayor oposición a la unificación, fue apartada con la abolición del artículo 1 de la Constitución de la RDA, que aseguraba la hegemonía del Partido Socialista Unificado, tras votar así los miembros de Volkskammer en diciembre de 1989. Tras esta decisión, dimitirían su secretario general, Egon Krenz, y los miembros del Politburó. Muchos de ellos, incluidos Honecker y Krenz, serían juzgados por crímenes derivados de su ejercicio y cumplirían condenas de cárcel. </w:t>
      </w:r>
    </w:p>
    <w:p w:rsidR="004D78C9" w:rsidRDefault="004D78C9" w:rsidP="004D78C9">
      <w:pPr>
        <w:pStyle w:val="NormalWeb"/>
        <w:shd w:val="clear" w:color="auto" w:fill="FFFFFF"/>
        <w:spacing w:after="0"/>
        <w:jc w:val="both"/>
        <w:textAlignment w:val="baseline"/>
      </w:pPr>
      <w:r>
        <w:t>En esta mesa se acordó la creación de estructuras confederales, se valoró e</w:t>
      </w:r>
      <w:r w:rsidR="004D144E">
        <w:t>laborar una nueva Constitución -</w:t>
      </w:r>
      <w:r>
        <w:t xml:space="preserve">aunque finalmente se terminaría modificando la de la República Federal de 1949 amparando la unión </w:t>
      </w:r>
      <w:r w:rsidR="004D144E">
        <w:t>territorial bajo el artículo 23-</w:t>
      </w:r>
      <w:r>
        <w:t xml:space="preserve"> y se acordaron elecciones para dar lugar a un Gobierno de responsabilidad nacional. Así, se convocaron las primeras elecciones parlamentarias de Alemania del Este en marzo de 1990, que irían seguidas de elecciones generales en todo el país en diciembre de ese año. Esas primeras elecciones las ganaría Alianza para Alemania, una coalición encabezada por los democristianos de Kohl, seguidos de los dos partidos socialistas: ganaron las fuerzas en favor de la unificación.</w:t>
      </w:r>
    </w:p>
    <w:p w:rsidR="004D78C9" w:rsidRDefault="004D78C9" w:rsidP="004D78C9">
      <w:pPr>
        <w:pStyle w:val="NormalWeb"/>
        <w:shd w:val="clear" w:color="auto" w:fill="FFFFFF"/>
        <w:spacing w:after="0"/>
        <w:jc w:val="both"/>
        <w:textAlignment w:val="baseline"/>
      </w:pPr>
      <w:r>
        <w:t>La delicada situación del Este, en pleno colapso, y la victoria de las fuerzas “unionistas” y en concreto de los democristianos, en marzo y en diciembre, hicieron prevalecer la estrategia de los 10 puntos de Helmut Kohl, que incluía el fin del monopolio del Partido Socialista Unificado en el Este, la colaboración institucional, cultural, industrial, ecológica y económica, la creación de fondos para fortalecer las infraestructuras comunes y avanzar hacia la unión monetaria y política.</w:t>
      </w:r>
    </w:p>
    <w:p w:rsidR="004D78C9" w:rsidRDefault="004D78C9" w:rsidP="004D78C9">
      <w:pPr>
        <w:pStyle w:val="NormalWeb"/>
        <w:shd w:val="clear" w:color="auto" w:fill="FFFFFF"/>
        <w:spacing w:after="0"/>
        <w:jc w:val="both"/>
        <w:textAlignment w:val="baseline"/>
      </w:pPr>
      <w:r>
        <w:t>El Parlamento de la República Federal pasó de tener 519 escaños a 662 para incluir la representación de los nuevos estados federales del Este en las elecciones de diciembre de 1990. Como ocurrió con la gran mayoría de instituciones de la RDA, el Volkskammer, su cámara baja, terminó por desaparecer. Por su parte, la cámara alta de la Aleman</w:t>
      </w:r>
      <w:r w:rsidR="007E52DD">
        <w:t>ia Occidental, el Bundesrat (o “Consejo Federal”</w:t>
      </w:r>
      <w:r>
        <w:t xml:space="preserve">), pasó a incluir a los seis estados del Este: Sajonia, Sajonia-Anhalt, Turingia, Mecklenburg-Pomerania, Brandeburgo y Berlín. En el Tratado de unificación firmado en 1990 se acordó que la capital fuera Berlín, por lo que en los siguientes </w:t>
      </w:r>
      <w:r>
        <w:lastRenderedPageBreak/>
        <w:t xml:space="preserve">años fueron trasladándose de Bonn a esta ciudad las principales instituciones políticas y administrativas federales. </w:t>
      </w:r>
    </w:p>
    <w:p w:rsidR="004D78C9" w:rsidRDefault="004D78C9" w:rsidP="004D78C9">
      <w:pPr>
        <w:pStyle w:val="NormalWeb"/>
        <w:shd w:val="clear" w:color="auto" w:fill="FFFFFF"/>
        <w:spacing w:after="0"/>
        <w:jc w:val="both"/>
        <w:textAlignment w:val="baseline"/>
      </w:pPr>
      <w:r>
        <w:t xml:space="preserve">Al proceso político le acompañó otro económico. La caída del Muro de Berlín se produjo en un contexto de aceptación de los preceptos neoliberales del Consenso de Washington, que cantaba las alabanzas de la economía de mercado y rechazaba la intervención estatal en la economía. La materialización de este paradigma en el caso de la reunificación alemana es indudable Con la caída del Muro y tras las elecciones de marzo de 1990, hubo que hacer algo con los activos económicos en manos del Estado de la RDA. Industrias, edificaciones, capital físico, </w:t>
      </w:r>
      <w:r w:rsidR="007E52DD">
        <w:t>las plantillas de trabajadores…</w:t>
      </w:r>
      <w:r>
        <w:t xml:space="preserve"> Para esta gestión se creó la Treuhandanstalt, un organismo autónomo pero dependiente del Gobierno y encargado de liberalizar estos activos. </w:t>
      </w:r>
    </w:p>
    <w:p w:rsidR="004D78C9" w:rsidRDefault="004D78C9" w:rsidP="004D78C9">
      <w:pPr>
        <w:pStyle w:val="NormalWeb"/>
        <w:shd w:val="clear" w:color="auto" w:fill="FFFFFF"/>
        <w:spacing w:after="0"/>
        <w:jc w:val="both"/>
        <w:textAlignment w:val="baseline"/>
      </w:pPr>
      <w:r>
        <w:t xml:space="preserve">En sus primeros años, la Treuhandanstalt fue vista como la esperanza de la economía del Este y la articuladora de nuevas oportunidades y crecimiento. Con un rumbo claro pero sin información suficiente ni precedentes, su personal se puso manos a la obra vendiendo activos industriales de sus vecinos del Este. Este giro de volante tuvo consecuencias en el tejido económico existente: una industria que llevaba varios años estancada y que poco podía hacer para competir con la del Oeste, y una población no podía hacer frente a la inversión de capital que suponía la compra de estas empresas, que quedaron en muchos casos en manos de empresarios de la República Federal. </w:t>
      </w:r>
    </w:p>
    <w:p w:rsidR="004D78C9" w:rsidRDefault="004D78C9" w:rsidP="004D78C9">
      <w:pPr>
        <w:pStyle w:val="NormalWeb"/>
        <w:shd w:val="clear" w:color="auto" w:fill="FFFFFF"/>
        <w:spacing w:after="0"/>
        <w:jc w:val="both"/>
        <w:textAlignment w:val="baseline"/>
      </w:pPr>
      <w:r>
        <w:t xml:space="preserve">Con todo, muchos de estos empresarios no querían hacerse con las empresas orientales, porque a la inversión inicial le seguían otras tantas para modernizar las plantillas y el capital físico, e incluso en muchas era precisa una reconversión total. Algunos incluso las compraban a bajo precio para hundirlas y hacer desaparecer una posible competencia. Pocas empresas sobrevivieron, y menos aún en manos de ciudadanos del Este. Los que llegaban a obtenerlas desconocían la gestión de una empresa capitalista y carecían del capital para mantenerla a flote. Asimismo, la atracción por los productos “capitalistas” llevó a que los ciudadanos de la RDA dejaran de comprar productos propios, lo que agravó aún más la situación de la zona oriental. </w:t>
      </w:r>
    </w:p>
    <w:p w:rsidR="004D78C9" w:rsidRDefault="004D78C9" w:rsidP="004D78C9">
      <w:pPr>
        <w:pStyle w:val="NormalWeb"/>
        <w:shd w:val="clear" w:color="auto" w:fill="FFFFFF"/>
        <w:spacing w:after="0"/>
        <w:jc w:val="both"/>
        <w:textAlignment w:val="baseline"/>
      </w:pPr>
      <w:r>
        <w:t xml:space="preserve">Quizá por la incuestionable aceptación del libre mercado no se propusieron medidas intermedias como sociedades cooperativas o una batería de dinero público previo a la venta hasta bastante más tarde. Ante el drama humano que supusieron muchas de estas medidas de privatización acelerada, el director de la Treuhandanstalt en sus primeros momentos, Detlev Rohwedderse, terminó inclinándose por la segunda opción: primero inyección de dinero público y después venta en el mercado. Esa tendencia no se llegó a materializar, porque Rohwedderse fue asesinado por el grupo terrorista comunista Fracción del Ejército Rojo en el que sería uno de sus últimos atentados. </w:t>
      </w:r>
    </w:p>
    <w:p w:rsidR="004D78C9" w:rsidRDefault="004D78C9" w:rsidP="004D78C9">
      <w:pPr>
        <w:pStyle w:val="NormalWeb"/>
        <w:shd w:val="clear" w:color="auto" w:fill="FFFFFF"/>
        <w:spacing w:after="0"/>
        <w:jc w:val="both"/>
        <w:textAlignment w:val="baseline"/>
      </w:pPr>
      <w:r>
        <w:t xml:space="preserve">Rohwedderse fue sustituido por Birgit Breuel, quien apostaba firmemente por la rápida liberalización con el objetivo de evitar una mayor desaceleración de la economía. El Gobierno de Helmut Kohl tomó además la decisión de establecer un tipo de cambio 1:1 entre el marco del Este y del Oeste, desaconsejada por el Banco Central alemán y muchos asesores económicos del Gobierno por la consecuencias que podría tener sobre los tipos de interés y la inflación. Esta medida obedecía a la voluntad de acelerar la unión monetaria, pero tuvo consecuencias negativas sobre la competitividad de Alemania Oriental. </w:t>
      </w:r>
    </w:p>
    <w:p w:rsidR="004D78C9" w:rsidRDefault="004D78C9" w:rsidP="004D78C9">
      <w:pPr>
        <w:pStyle w:val="NormalWeb"/>
        <w:shd w:val="clear" w:color="auto" w:fill="FFFFFF"/>
        <w:spacing w:after="0"/>
        <w:jc w:val="both"/>
        <w:textAlignment w:val="baseline"/>
      </w:pPr>
      <w:r>
        <w:t xml:space="preserve">Las consecuencias de la reunificación económica todavía resuenan en la actualidad. Por un lado, los ciudadanos del Este sintieron que fueron comprados y vendidos desde y para el </w:t>
      </w:r>
      <w:r>
        <w:lastRenderedPageBreak/>
        <w:t xml:space="preserve">Oeste, y que tuvieron que adaptarse casi por completo al sistema político, económico y social occidental: una reunificación que terminó en anexión. La falta de oportunidades derivada de la desaceleración forzó a muchos jóvenes a migrar a la “otra Alemania” con el consecuente envejecimiento de su población; la desigualdad y el paro se abrieron paso en el este. No mucho después de la unificación comenzó a surgir entre los jóvenes del Este una suerte nostalgia, la Ostalgie, que se explica no tanto por añoranzas del sistema anterior como por ser una reivindicación de una identidad que quedó sepultada bajo los escombros del Muro. </w:t>
      </w:r>
    </w:p>
    <w:p w:rsidR="004D78C9" w:rsidRDefault="004D78C9" w:rsidP="004D78C9">
      <w:pPr>
        <w:pStyle w:val="NormalWeb"/>
        <w:shd w:val="clear" w:color="auto" w:fill="FFFFFF"/>
        <w:spacing w:after="0"/>
        <w:jc w:val="both"/>
        <w:textAlignment w:val="baseline"/>
      </w:pPr>
      <w:r>
        <w:t xml:space="preserve">Por otro lado, los alemanes occidentales sintieron que sus esfuerzos fiscales caían en saco roto y no entendían cómo tanta inversión llevaba a nada, e interpretaban esta desilusión como ingratitud. Se estima que los primeros en veinte años tras la reunificación, 1,3 billones de euros habían pasado en forma de ayudas y subsidios del oeste al este. Aunque esta cifra es discutida: Alemania Oriental se tuvo que occidentalizar y cambió profundamente su sistema productivo y político, por lo que esta inyección de dinero no sería tanto una transferencia asistencial sino el coste de reunificar y construir un nuevo Estado. </w:t>
      </w:r>
    </w:p>
    <w:p w:rsidR="004D78C9" w:rsidRDefault="004D144E" w:rsidP="004D78C9">
      <w:pPr>
        <w:pStyle w:val="NormalWeb"/>
        <w:shd w:val="clear" w:color="auto" w:fill="FFFFFF"/>
        <w:spacing w:after="0"/>
        <w:jc w:val="both"/>
        <w:textAlignment w:val="baseline"/>
      </w:pPr>
      <w:r>
        <w:t>(Fuente</w:t>
      </w:r>
      <w:r w:rsidR="004D78C9">
        <w:t>: “Wossis, el delicado matrimonio alemán”, Inés Lucía en El Orden Mundial, 2017</w:t>
      </w:r>
      <w:r>
        <w:t>)</w:t>
      </w:r>
    </w:p>
    <w:p w:rsidR="004D78C9" w:rsidRPr="00784574" w:rsidRDefault="004D78C9" w:rsidP="004D78C9">
      <w:pPr>
        <w:pStyle w:val="NormalWeb"/>
        <w:shd w:val="clear" w:color="auto" w:fill="FFFFFF"/>
        <w:spacing w:after="0"/>
        <w:jc w:val="both"/>
        <w:textAlignment w:val="baseline"/>
        <w:rPr>
          <w:b/>
        </w:rPr>
      </w:pPr>
      <w:r w:rsidRPr="00784574">
        <w:rPr>
          <w:b/>
        </w:rPr>
        <w:t>Fantasmas del Muro</w:t>
      </w:r>
    </w:p>
    <w:p w:rsidR="004D78C9" w:rsidRDefault="004D78C9" w:rsidP="004D78C9">
      <w:pPr>
        <w:pStyle w:val="NormalWeb"/>
        <w:shd w:val="clear" w:color="auto" w:fill="FFFFFF"/>
        <w:spacing w:after="0"/>
        <w:jc w:val="both"/>
        <w:textAlignment w:val="baseline"/>
      </w:pPr>
      <w:r>
        <w:t>La geopolítica mundial ha cambiado mucho desde aquel 9 de noviembre, pero hay lecturas de la actualidad que no tendrían sentido sin reconocer el peso de los eventos que rodearon a la caída del Muro. Dentro de la Unión Europea, los discursos de líderes euroescépticos como Nigel Farage, Matteo Salvini o Marine Le Pen están cargados de recelo frente a la centralidad y el poderío de la Alemania reunificada en el contexto europeo. Durante los años de la crisis, también la izquierda ha adoptado un discurso crítico ante la innegable influencia de la ortodoxia alemana en</w:t>
      </w:r>
      <w:r w:rsidR="004D144E">
        <w:t xml:space="preserve"> las políticas de austeridad.  </w:t>
      </w:r>
    </w:p>
    <w:p w:rsidR="004D78C9" w:rsidRDefault="004D78C9" w:rsidP="004D78C9">
      <w:pPr>
        <w:pStyle w:val="NormalWeb"/>
        <w:shd w:val="clear" w:color="auto" w:fill="FFFFFF"/>
        <w:spacing w:after="0"/>
        <w:jc w:val="both"/>
        <w:textAlignment w:val="baseline"/>
      </w:pPr>
      <w:r>
        <w:t xml:space="preserve">Las relaciones entre Berlín y Moscú están también salpicadas por el recuerdo de 1989. Mientras en Alemania Gorbachov es visto como un héroe que posibilitó la reunificación y el triunfo de la democracia, en Rusia fue un líder débil que se dejó vencer y engañar y permitió que se destruyera una </w:t>
      </w:r>
      <w:r w:rsidR="004D144E">
        <w:t>potencia mundial en pocos años.</w:t>
      </w:r>
    </w:p>
    <w:p w:rsidR="004D78C9" w:rsidRDefault="004D78C9" w:rsidP="004D78C9">
      <w:pPr>
        <w:pStyle w:val="NormalWeb"/>
        <w:shd w:val="clear" w:color="auto" w:fill="FFFFFF"/>
        <w:spacing w:after="0"/>
        <w:jc w:val="both"/>
        <w:textAlignment w:val="baseline"/>
      </w:pPr>
      <w:r>
        <w:t xml:space="preserve">Alemania no sería el motor económico que es hoy de haberse mantenido dividida, pero muchas decisiones tomadas durante la reunificación se han traducido en un descontento que perdura hoy: en 2019, el 57% de los alemanes del Este se sienten ciudadanos de segunda. Y en gran medida quienes han sabido capitalizar este descontento han sido las fuerzas de extrema derecha. Alternativa para Alemania tiene más respaldo en la antigua Alemania Oriental, y sorprende ver en manifestaciones convocadas por el grupo xenófobo Pegida (Patriotas Europeos contra la Islamización de Occidente) a jóvenes sosteniendo pancartas que rezan “Nosotros somos el pueblo”, el mismo eslogan que utilizaron sus padres para reclamar la apertura de fronteras y la libre circulación. </w:t>
      </w:r>
    </w:p>
    <w:p w:rsidR="004D78C9" w:rsidRDefault="004D78C9" w:rsidP="004D78C9">
      <w:pPr>
        <w:pStyle w:val="NormalWeb"/>
        <w:shd w:val="clear" w:color="auto" w:fill="FFFFFF"/>
        <w:spacing w:after="0"/>
        <w:jc w:val="both"/>
        <w:textAlignment w:val="baseline"/>
      </w:pPr>
      <w:r>
        <w:t>Este 2019 se celebró en Sopron el aniversario del Picnic Paneuropeo con el primer ministro húngaro Viktor Orbán como anfitrión. Junto con la canciller Merkel y otros mandatarios, se recordaron los acontecimientos de ese día y se celebró el fin del Muro que dividía a las dos Europas y el triunfo de la democracia. Sin embargo, las verjas ya no están para frenar la salida sino para parar la entrada y el picnic está, es</w:t>
      </w:r>
      <w:r w:rsidR="004D144E">
        <w:t xml:space="preserve">ta vez, en el lado “correcto”. </w:t>
      </w:r>
    </w:p>
    <w:p w:rsidR="004D144E" w:rsidRDefault="004D144E" w:rsidP="001E0FC9">
      <w:pPr>
        <w:pStyle w:val="NormalWeb"/>
        <w:shd w:val="clear" w:color="auto" w:fill="FFFFFF"/>
        <w:spacing w:before="0" w:beforeAutospacing="0" w:after="0" w:afterAutospacing="0"/>
        <w:jc w:val="both"/>
        <w:textAlignment w:val="baseline"/>
      </w:pPr>
      <w:r>
        <w:t>(Fuente</w:t>
      </w:r>
      <w:r w:rsidR="004D78C9">
        <w:t>: “El complejo legado de la canciller Merkel”, Inés Lucía en El Orden Mundial, 2019</w:t>
      </w:r>
      <w:r>
        <w:t>)</w:t>
      </w:r>
    </w:p>
    <w:p w:rsidR="00784574" w:rsidRDefault="00784574" w:rsidP="00784574">
      <w:pPr>
        <w:pStyle w:val="NormalWeb"/>
        <w:shd w:val="clear" w:color="auto" w:fill="FFFFFF"/>
        <w:spacing w:after="0"/>
        <w:jc w:val="both"/>
        <w:textAlignment w:val="baseline"/>
        <w:rPr>
          <w:b/>
          <w:color w:val="1A1A1A"/>
        </w:rPr>
      </w:pPr>
      <w:r>
        <w:rPr>
          <w:b/>
          <w:color w:val="1A1A1A"/>
        </w:rPr>
        <w:lastRenderedPageBreak/>
        <w:t xml:space="preserve">30 años, y </w:t>
      </w:r>
      <w:r w:rsidRPr="00784574">
        <w:rPr>
          <w:b/>
          <w:color w:val="1A1A1A"/>
        </w:rPr>
        <w:t>340.000 millones de euros</w:t>
      </w:r>
      <w:r w:rsidR="00E95E6A">
        <w:rPr>
          <w:b/>
          <w:color w:val="1A1A1A"/>
        </w:rPr>
        <w:t>,</w:t>
      </w:r>
      <w:r w:rsidRPr="00784574">
        <w:rPr>
          <w:b/>
          <w:color w:val="1A1A1A"/>
        </w:rPr>
        <w:t xml:space="preserve"> después</w:t>
      </w:r>
    </w:p>
    <w:p w:rsidR="006326B4" w:rsidRPr="009957A1" w:rsidRDefault="006326B4" w:rsidP="006326B4">
      <w:pPr>
        <w:pStyle w:val="NormalWeb"/>
        <w:shd w:val="clear" w:color="auto" w:fill="FFFFFF"/>
        <w:spacing w:after="0"/>
        <w:jc w:val="both"/>
        <w:textAlignment w:val="baseline"/>
        <w:rPr>
          <w:color w:val="1A1A1A"/>
        </w:rPr>
      </w:pPr>
      <w:r>
        <w:rPr>
          <w:color w:val="1A1A1A"/>
        </w:rPr>
        <w:t xml:space="preserve">- </w:t>
      </w:r>
      <w:r w:rsidRPr="009F03CC">
        <w:rPr>
          <w:color w:val="1A1A1A"/>
          <w:u w:val="single"/>
        </w:rPr>
        <w:t>Merkel retira el impuesto que nació tras la caída del Muro tres décadas y 340.000 millones después</w:t>
      </w:r>
      <w:r>
        <w:rPr>
          <w:color w:val="1A1A1A"/>
        </w:rPr>
        <w:t xml:space="preserve"> (El Español - </w:t>
      </w:r>
      <w:r w:rsidRPr="009F03CC">
        <w:rPr>
          <w:b/>
          <w:color w:val="1A1A1A"/>
        </w:rPr>
        <w:t>18/11/19</w:t>
      </w:r>
      <w:r>
        <w:rPr>
          <w:color w:val="1A1A1A"/>
        </w:rPr>
        <w:t>)</w:t>
      </w:r>
    </w:p>
    <w:p w:rsidR="006326B4" w:rsidRPr="009957A1" w:rsidRDefault="006326B4" w:rsidP="006326B4">
      <w:pPr>
        <w:pStyle w:val="NormalWeb"/>
        <w:shd w:val="clear" w:color="auto" w:fill="FFFFFF"/>
        <w:spacing w:after="0"/>
        <w:jc w:val="both"/>
        <w:textAlignment w:val="baseline"/>
        <w:rPr>
          <w:color w:val="1A1A1A"/>
        </w:rPr>
      </w:pPr>
      <w:r>
        <w:rPr>
          <w:color w:val="1A1A1A"/>
        </w:rPr>
        <w:t>(Por Clara Palma Hermann</w:t>
      </w:r>
      <w:r w:rsidRPr="009957A1">
        <w:rPr>
          <w:color w:val="1A1A1A"/>
        </w:rPr>
        <w:t>)</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El Parlamento alemán ha fijado para el primero de enero de 2021 la fecha de caducidad del impuesto de solidaridad, introducido hace 28 años para apoyar la reunificación del país, cuyas regiones del Este, en las que sin embargo no se espera un gran impacto por la decisión, siguen a la zaga del Oes</w:t>
      </w:r>
      <w:r>
        <w:rPr>
          <w:color w:val="1A1A1A"/>
        </w:rPr>
        <w:t>te por problemas estructurales.</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Dicho gravamen -un 5,5 % del impuesto sobre la renta y de sociedades- pretendía en sus orígenes sufragar los gastos extraordinarios ocasionados por la reunificación. Ahora, según decidió esta semana el Bundestag, el 90% de los contribuyentes alemanes con menos ingresos dejarán de pagar esta tasa, mientras que las empresas seguirán abonándolo como parte del impuesto de soc</w:t>
      </w:r>
      <w:r>
        <w:rPr>
          <w:color w:val="1A1A1A"/>
        </w:rPr>
        <w:t>iedades.</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Con todo, el Ministerio de Finanzas prevé que la eliminación parcial del impuesto conlleve para las arcas públicas una pérdida de 10.900 millones de euros. La correlación entre lo recaudado en las últimas décadas y las cantidades invertidas realmente en el Este alemán es difícil de establecer, por lo que el impuesto ha sid</w:t>
      </w:r>
      <w:r>
        <w:rPr>
          <w:color w:val="1A1A1A"/>
        </w:rPr>
        <w:t>o blanco de numerosas críticas.</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Según fuentes del Ministerio de Finanzas, entre 1991 y 2010 el impuesto de solidaridad ha proporcionado a las arcas públicas 340.000 millones de euros. A través de este mecanismo de redistribución</w:t>
      </w:r>
      <w:r>
        <w:rPr>
          <w:color w:val="1A1A1A"/>
        </w:rPr>
        <w:t xml:space="preserve"> extraordinario, conocido como “pacto de solidaridad”</w:t>
      </w:r>
      <w:r w:rsidRPr="009957A1">
        <w:rPr>
          <w:color w:val="1A1A1A"/>
        </w:rPr>
        <w:t>, han fluido hacia el Este 200.000 millones en este periodo, aunque el coste total de la</w:t>
      </w:r>
      <w:r>
        <w:rPr>
          <w:color w:val="1A1A1A"/>
        </w:rPr>
        <w:t xml:space="preserve"> reunificación sea más elevado.</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En los últimos años, con el aumento de los salarios y la disminución gradual de las ayudas para el Este, la diferencia entre ingresos y gastos se ha disparado. Así, en 2019 el estado ingresó 19.400 millones de euros gracias al impuesto de solidaridad, pero sólo destinó unos 1.800 millones en inversiones extraordinarias p</w:t>
      </w:r>
      <w:r>
        <w:rPr>
          <w:color w:val="1A1A1A"/>
        </w:rPr>
        <w:t>ara el Este.</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El ministro de Finanzas, el socialdemócrata Olaf Scholz, destacó que la eliminación del impuesto pone de relieve el éxito de la reunificación, enfatizando sin embargo la necesidad de</w:t>
      </w:r>
      <w:r>
        <w:rPr>
          <w:color w:val="1A1A1A"/>
        </w:rPr>
        <w:t xml:space="preserve"> que la “solidaridad” continúe.</w:t>
      </w:r>
    </w:p>
    <w:p w:rsidR="006326B4" w:rsidRDefault="006326B4" w:rsidP="006326B4">
      <w:pPr>
        <w:pStyle w:val="NormalWeb"/>
        <w:shd w:val="clear" w:color="auto" w:fill="FFFFFF"/>
        <w:spacing w:after="0"/>
        <w:jc w:val="both"/>
        <w:textAlignment w:val="baseline"/>
        <w:rPr>
          <w:color w:val="1A1A1A"/>
        </w:rPr>
      </w:pPr>
      <w:r w:rsidRPr="009957A1">
        <w:rPr>
          <w:color w:val="1A1A1A"/>
        </w:rPr>
        <w:t>El partido liberal FDP anunció que recurriría al Tribunal Constitucional puesto que la tasa no es compatible con la Constitución alemana, al no estar justificada por una circunstancia extraordinaria. Los Verdes y los izquierdistas de Die Linke, por otro lado, incidieron en la necesidad de una reforma general del impuesto sobre la renta, criticando que de lo contrario se sigue beneficiando a aquello</w:t>
      </w:r>
      <w:r>
        <w:rPr>
          <w:color w:val="1A1A1A"/>
        </w:rPr>
        <w:t>s que disponen de más ingresos.</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Desde que en 2005 se aprobara la desaparición progresiva del mecanismo de redistribución extraordinario para las regiones del Este, éstas se han ido pre</w:t>
      </w:r>
      <w:r>
        <w:rPr>
          <w:color w:val="1A1A1A"/>
        </w:rPr>
        <w:t>parando para ser tratadas como “</w:t>
      </w:r>
      <w:r w:rsidRPr="009957A1">
        <w:rPr>
          <w:color w:val="1A1A1A"/>
        </w:rPr>
        <w:t>Län</w:t>
      </w:r>
      <w:r>
        <w:rPr>
          <w:color w:val="1A1A1A"/>
        </w:rPr>
        <w:t>der” normales a partir de 2020.</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 xml:space="preserve">A día de hoy, sus presupuestos son mayoritariamente sostenibles, explica Kristina van Deuverden, del Instituto Alemán de Investigación Económica. Por ello, la eliminación del </w:t>
      </w:r>
      <w:r w:rsidRPr="009957A1">
        <w:rPr>
          <w:color w:val="1A1A1A"/>
        </w:rPr>
        <w:lastRenderedPageBreak/>
        <w:t>impuesto no va a tener impacto en sus finanzas, asegura la economista en decl</w:t>
      </w:r>
      <w:r>
        <w:rPr>
          <w:color w:val="1A1A1A"/>
        </w:rPr>
        <w:t>araciones a Efe, apuntando que “los retos están en otro lugar”.</w:t>
      </w:r>
    </w:p>
    <w:p w:rsidR="006326B4" w:rsidRDefault="006326B4" w:rsidP="006326B4">
      <w:pPr>
        <w:pStyle w:val="NormalWeb"/>
        <w:shd w:val="clear" w:color="auto" w:fill="FFFFFF"/>
        <w:spacing w:after="0"/>
        <w:jc w:val="both"/>
        <w:textAlignment w:val="baseline"/>
        <w:rPr>
          <w:color w:val="1A1A1A"/>
        </w:rPr>
      </w:pPr>
      <w:r w:rsidRPr="009957A1">
        <w:rPr>
          <w:color w:val="1A1A1A"/>
        </w:rPr>
        <w:t xml:space="preserve">Por una parte, la estructura demográfica del Este -marcada por el envejecimiento y la emigración- es causa de que </w:t>
      </w:r>
      <w:r>
        <w:rPr>
          <w:color w:val="1A1A1A"/>
        </w:rPr>
        <w:t>la recaudación fiscal de estos “Länder”</w:t>
      </w:r>
      <w:r w:rsidRPr="009957A1">
        <w:rPr>
          <w:color w:val="1A1A1A"/>
        </w:rPr>
        <w:t xml:space="preserve"> se haya quedado en el 60% de la media alemana, desigualdad que se verá compensada por el momento por los mecanismos de redistribución ordinarios. </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Sin embargo, la experta en finanzas públicas dibuja un escenario pesimista, dado que en las próximas décadas el crecimiento demográfico será negativo. Con ello, los "Länder" del Este no sólo recaudarán menos impuestos, sino que a menor población también les corresponderán pa</w:t>
      </w:r>
      <w:r>
        <w:rPr>
          <w:color w:val="1A1A1A"/>
        </w:rPr>
        <w:t>rtidas presupuestarias menores.</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El PIB per cápita en el Este, que tras la reunific</w:t>
      </w:r>
      <w:r w:rsidR="009852CF">
        <w:rPr>
          <w:color w:val="1A1A1A"/>
        </w:rPr>
        <w:t>ación suponía sólo un tercio de</w:t>
      </w:r>
      <w:r w:rsidRPr="009957A1">
        <w:rPr>
          <w:color w:val="1A1A1A"/>
        </w:rPr>
        <w:t xml:space="preserve"> las regiones del Oeste, se ha estancado desde hace años en el 70% de la media federal. Aunque 30 años después el tejido empresarial se ha recuperado -como prueba una tasa de paro sólo un 2% mayor que en el Oeste- ninguna compañía oriental se encuentra en el top 30 represen</w:t>
      </w:r>
      <w:r>
        <w:rPr>
          <w:color w:val="1A1A1A"/>
        </w:rPr>
        <w:t>tado en el índice bursátil Dax.</w:t>
      </w:r>
    </w:p>
    <w:p w:rsidR="006326B4" w:rsidRPr="009957A1" w:rsidRDefault="006326B4" w:rsidP="006326B4">
      <w:pPr>
        <w:pStyle w:val="NormalWeb"/>
        <w:shd w:val="clear" w:color="auto" w:fill="FFFFFF"/>
        <w:spacing w:after="0"/>
        <w:jc w:val="both"/>
        <w:textAlignment w:val="baseline"/>
        <w:rPr>
          <w:color w:val="1A1A1A"/>
        </w:rPr>
      </w:pPr>
      <w:r w:rsidRPr="009957A1">
        <w:rPr>
          <w:color w:val="1A1A1A"/>
        </w:rPr>
        <w:t>En gran medida, la desigualdad en los indicadores económicos se debe también a que en el Este predominan las zonas rurales, en general son mucho menos productivas. Para Van Deuverden, sin embargo, esta debilidad estructural sólo puede ser acometida desde la persp</w:t>
      </w:r>
      <w:r>
        <w:rPr>
          <w:color w:val="1A1A1A"/>
        </w:rPr>
        <w:t>ectiva de la política regional.</w:t>
      </w:r>
    </w:p>
    <w:p w:rsidR="006326B4" w:rsidRDefault="006326B4" w:rsidP="006326B4">
      <w:pPr>
        <w:pStyle w:val="NormalWeb"/>
        <w:shd w:val="clear" w:color="auto" w:fill="FFFFFF"/>
        <w:spacing w:after="0"/>
        <w:jc w:val="both"/>
        <w:textAlignment w:val="baseline"/>
        <w:rPr>
          <w:color w:val="1A1A1A"/>
        </w:rPr>
      </w:pPr>
      <w:r>
        <w:rPr>
          <w:color w:val="1A1A1A"/>
        </w:rPr>
        <w:t>“</w:t>
      </w:r>
      <w:r w:rsidRPr="009957A1">
        <w:rPr>
          <w:color w:val="1A1A1A"/>
        </w:rPr>
        <w:t xml:space="preserve">Ya no es el momento en el que el estado deba intervenir con grandes inversiones en </w:t>
      </w:r>
      <w:r>
        <w:rPr>
          <w:color w:val="1A1A1A"/>
        </w:rPr>
        <w:t>infraestructura como en los 90”,</w:t>
      </w:r>
      <w:r w:rsidRPr="009957A1">
        <w:rPr>
          <w:color w:val="1A1A1A"/>
        </w:rPr>
        <w:t xml:space="preserve"> argumenta, incidiendo sin embargo en la importancia de destinar fondos </w:t>
      </w:r>
      <w:r>
        <w:rPr>
          <w:color w:val="1A1A1A"/>
        </w:rPr>
        <w:t>a recursos como la red digital.</w:t>
      </w:r>
      <w:r w:rsidR="008D39CE">
        <w:rPr>
          <w:color w:val="1A1A1A"/>
        </w:rPr>
        <w:t xml:space="preserve"> </w:t>
      </w:r>
      <w:r>
        <w:rPr>
          <w:color w:val="1A1A1A"/>
        </w:rPr>
        <w:t>“</w:t>
      </w:r>
      <w:r w:rsidRPr="009957A1">
        <w:rPr>
          <w:color w:val="1A1A1A"/>
        </w:rPr>
        <w:t xml:space="preserve">No se trata de concentrarse sólo en el Este, sino en todas aquellas regiones estructuralmente débiles. Por suerte, a día de </w:t>
      </w:r>
      <w:r>
        <w:rPr>
          <w:color w:val="1A1A1A"/>
        </w:rPr>
        <w:t>hoy hemos llegado a este punto”,</w:t>
      </w:r>
      <w:r w:rsidRPr="009957A1">
        <w:rPr>
          <w:color w:val="1A1A1A"/>
        </w:rPr>
        <w:t xml:space="preserve"> remacha.</w:t>
      </w:r>
    </w:p>
    <w:p w:rsidR="006326B4" w:rsidRDefault="007E52DD" w:rsidP="001E0FC9">
      <w:pPr>
        <w:pStyle w:val="NormalWeb"/>
        <w:shd w:val="clear" w:color="auto" w:fill="FFFFFF"/>
        <w:spacing w:before="0" w:beforeAutospacing="0" w:after="0" w:afterAutospacing="0"/>
        <w:jc w:val="both"/>
        <w:textAlignment w:val="baseline"/>
        <w:rPr>
          <w:b/>
        </w:rPr>
      </w:pPr>
      <w:r>
        <w:rPr>
          <w:b/>
        </w:rPr>
        <w:t>Si esto pasa con “nos”, qué no pasará con “vos”</w:t>
      </w:r>
    </w:p>
    <w:p w:rsidR="007E52DD" w:rsidRDefault="007E52DD" w:rsidP="001E0FC9">
      <w:pPr>
        <w:pStyle w:val="NormalWeb"/>
        <w:shd w:val="clear" w:color="auto" w:fill="FFFFFF"/>
        <w:spacing w:before="0" w:beforeAutospacing="0" w:after="0" w:afterAutospacing="0"/>
        <w:jc w:val="both"/>
        <w:textAlignment w:val="baseline"/>
        <w:rPr>
          <w:b/>
        </w:rPr>
      </w:pPr>
    </w:p>
    <w:p w:rsidR="00F849C3" w:rsidRPr="008D39CE" w:rsidRDefault="007E52DD" w:rsidP="001E0FC9">
      <w:pPr>
        <w:pStyle w:val="NormalWeb"/>
        <w:shd w:val="clear" w:color="auto" w:fill="FFFFFF"/>
        <w:spacing w:before="0" w:beforeAutospacing="0" w:after="0" w:afterAutospacing="0"/>
        <w:jc w:val="both"/>
        <w:textAlignment w:val="baseline"/>
        <w:rPr>
          <w:b/>
        </w:rPr>
      </w:pPr>
      <w:r w:rsidRPr="008D39CE">
        <w:rPr>
          <w:b/>
        </w:rPr>
        <w:t>Si los alemanes, con</w:t>
      </w:r>
      <w:r w:rsidR="005059DE">
        <w:rPr>
          <w:b/>
        </w:rPr>
        <w:t xml:space="preserve"> toda su formación, cultura del trabajo</w:t>
      </w:r>
      <w:r w:rsidRPr="008D39CE">
        <w:rPr>
          <w:b/>
        </w:rPr>
        <w:t>, espíritu</w:t>
      </w:r>
      <w:r w:rsidR="005059DE">
        <w:rPr>
          <w:b/>
        </w:rPr>
        <w:t xml:space="preserve"> de sacrificio, </w:t>
      </w:r>
      <w:r w:rsidR="001B69A3">
        <w:rPr>
          <w:b/>
        </w:rPr>
        <w:t xml:space="preserve">disciplina, austeridad, </w:t>
      </w:r>
      <w:r w:rsidR="005059DE">
        <w:rPr>
          <w:b/>
        </w:rPr>
        <w:t>unidad idiomática, moralidad religiosa</w:t>
      </w:r>
      <w:r w:rsidR="00F849C3" w:rsidRPr="008D39CE">
        <w:rPr>
          <w:b/>
        </w:rPr>
        <w:t xml:space="preserve">, </w:t>
      </w:r>
      <w:r w:rsidRPr="008D39CE">
        <w:rPr>
          <w:b/>
        </w:rPr>
        <w:t>no lograron después de 30 años</w:t>
      </w:r>
      <w:r w:rsidR="00F972B4">
        <w:rPr>
          <w:b/>
        </w:rPr>
        <w:t>, y</w:t>
      </w:r>
      <w:r w:rsidR="00F849C3" w:rsidRPr="008D39CE">
        <w:rPr>
          <w:b/>
        </w:rPr>
        <w:t xml:space="preserve"> una inversión de 340.000 millones de euros, la “integración” deseada, dentro de su propio territorio, qué se puede esperar que ocurra con los demás países miembro de la Unión Europea (entre sí y dentro de</w:t>
      </w:r>
      <w:r w:rsidR="000E5CF4">
        <w:rPr>
          <w:b/>
        </w:rPr>
        <w:t xml:space="preserve"> cada uno de </w:t>
      </w:r>
      <w:r w:rsidR="00F849C3" w:rsidRPr="008D39CE">
        <w:rPr>
          <w:b/>
        </w:rPr>
        <w:t xml:space="preserve"> ellos).</w:t>
      </w:r>
      <w:r w:rsidR="00F972B4">
        <w:rPr>
          <w:b/>
        </w:rPr>
        <w:t xml:space="preserve"> </w:t>
      </w:r>
    </w:p>
    <w:p w:rsidR="00F849C3" w:rsidRPr="008D39CE" w:rsidRDefault="00F849C3" w:rsidP="001E0FC9">
      <w:pPr>
        <w:pStyle w:val="NormalWeb"/>
        <w:shd w:val="clear" w:color="auto" w:fill="FFFFFF"/>
        <w:spacing w:before="0" w:beforeAutospacing="0" w:after="0" w:afterAutospacing="0"/>
        <w:jc w:val="both"/>
        <w:textAlignment w:val="baseline"/>
        <w:rPr>
          <w:b/>
        </w:rPr>
      </w:pPr>
    </w:p>
    <w:p w:rsidR="008D39CE" w:rsidRDefault="00F849C3" w:rsidP="001E0FC9">
      <w:pPr>
        <w:pStyle w:val="NormalWeb"/>
        <w:shd w:val="clear" w:color="auto" w:fill="FFFFFF"/>
        <w:spacing w:before="0" w:beforeAutospacing="0" w:after="0" w:afterAutospacing="0"/>
        <w:jc w:val="both"/>
        <w:textAlignment w:val="baseline"/>
        <w:rPr>
          <w:b/>
        </w:rPr>
      </w:pPr>
      <w:r w:rsidRPr="008D39CE">
        <w:rPr>
          <w:b/>
        </w:rPr>
        <w:t>Diferencias muy nota</w:t>
      </w:r>
      <w:r w:rsidR="008D39CE" w:rsidRPr="008D39CE">
        <w:rPr>
          <w:b/>
        </w:rPr>
        <w:t>bles de nivel educativo, idioma</w:t>
      </w:r>
      <w:r w:rsidRPr="008D39CE">
        <w:rPr>
          <w:b/>
        </w:rPr>
        <w:t>, religión,</w:t>
      </w:r>
      <w:r w:rsidR="008D39CE" w:rsidRPr="008D39CE">
        <w:rPr>
          <w:b/>
        </w:rPr>
        <w:t xml:space="preserve"> historia, cultura,</w:t>
      </w:r>
      <w:r w:rsidR="00F972B4">
        <w:rPr>
          <w:b/>
        </w:rPr>
        <w:t xml:space="preserve"> regionalismo,</w:t>
      </w:r>
      <w:r w:rsidR="008D39CE" w:rsidRPr="008D39CE">
        <w:rPr>
          <w:b/>
        </w:rPr>
        <w:t xml:space="preserve"> desarrollo económico, gobernabilidad, división de poderes, seguridad jurídica,</w:t>
      </w:r>
      <w:r w:rsidR="00F972B4">
        <w:rPr>
          <w:b/>
        </w:rPr>
        <w:t xml:space="preserve"> </w:t>
      </w:r>
      <w:r w:rsidR="00304271">
        <w:rPr>
          <w:b/>
        </w:rPr>
        <w:t>cultura</w:t>
      </w:r>
      <w:r w:rsidR="008D39CE" w:rsidRPr="008D39CE">
        <w:rPr>
          <w:b/>
        </w:rPr>
        <w:t xml:space="preserve"> de trabajo, </w:t>
      </w:r>
      <w:r w:rsidR="00304271">
        <w:rPr>
          <w:b/>
        </w:rPr>
        <w:t>espíritu</w:t>
      </w:r>
      <w:r w:rsidRPr="008D39CE">
        <w:rPr>
          <w:b/>
        </w:rPr>
        <w:t xml:space="preserve"> de servicio,</w:t>
      </w:r>
      <w:r w:rsidR="008D39CE" w:rsidRPr="008D39CE">
        <w:rPr>
          <w:b/>
        </w:rPr>
        <w:t xml:space="preserve"> y un largo etcétera, hacen complejo, lento, costoso,</w:t>
      </w:r>
      <w:r w:rsidR="00F972B4">
        <w:rPr>
          <w:b/>
        </w:rPr>
        <w:t xml:space="preserve"> incierto, y muchas</w:t>
      </w:r>
      <w:r w:rsidR="008D39CE" w:rsidRPr="008D39CE">
        <w:rPr>
          <w:b/>
        </w:rPr>
        <w:t xml:space="preserve"> veces frustrante, el proceso de integración entre los países miembro de la Unión Europea. </w:t>
      </w:r>
    </w:p>
    <w:p w:rsidR="00F972B4" w:rsidRDefault="00F972B4" w:rsidP="001E0FC9">
      <w:pPr>
        <w:pStyle w:val="NormalWeb"/>
        <w:shd w:val="clear" w:color="auto" w:fill="FFFFFF"/>
        <w:spacing w:before="0" w:beforeAutospacing="0" w:after="0" w:afterAutospacing="0"/>
        <w:jc w:val="both"/>
        <w:textAlignment w:val="baseline"/>
        <w:rPr>
          <w:b/>
        </w:rPr>
      </w:pPr>
    </w:p>
    <w:p w:rsidR="006D44BF" w:rsidRDefault="00F972B4" w:rsidP="001E0FC9">
      <w:pPr>
        <w:pStyle w:val="NormalWeb"/>
        <w:shd w:val="clear" w:color="auto" w:fill="FFFFFF"/>
        <w:spacing w:before="0" w:beforeAutospacing="0" w:after="0" w:afterAutospacing="0"/>
        <w:jc w:val="both"/>
        <w:textAlignment w:val="baseline"/>
        <w:rPr>
          <w:b/>
        </w:rPr>
      </w:pPr>
      <w:r>
        <w:rPr>
          <w:b/>
        </w:rPr>
        <w:t>Esto, sin olvidar</w:t>
      </w:r>
      <w:r w:rsidR="001B69A3">
        <w:rPr>
          <w:b/>
        </w:rPr>
        <w:t xml:space="preserve"> las fracturas interiores en el nivel</w:t>
      </w:r>
      <w:r>
        <w:rPr>
          <w:b/>
        </w:rPr>
        <w:t xml:space="preserve"> de desarrollo</w:t>
      </w:r>
      <w:r w:rsidR="00E95E6A">
        <w:rPr>
          <w:b/>
        </w:rPr>
        <w:t xml:space="preserve"> económico, distribución de los ingresos</w:t>
      </w:r>
      <w:r>
        <w:rPr>
          <w:b/>
        </w:rPr>
        <w:t>, conflictividad social, desempleo,</w:t>
      </w:r>
      <w:r w:rsidR="006D44BF">
        <w:rPr>
          <w:b/>
        </w:rPr>
        <w:t xml:space="preserve"> marginalidad,</w:t>
      </w:r>
      <w:r>
        <w:rPr>
          <w:b/>
        </w:rPr>
        <w:t xml:space="preserve"> seguridad,</w:t>
      </w:r>
      <w:r w:rsidR="006D44BF">
        <w:rPr>
          <w:b/>
        </w:rPr>
        <w:t xml:space="preserve"> criminalidad, tráfico de drogas, prostitución, clandestinidad, inmigración ilegal, </w:t>
      </w:r>
      <w:r w:rsidR="006D44BF" w:rsidRPr="008D39CE">
        <w:rPr>
          <w:b/>
        </w:rPr>
        <w:t>y un largo etcétera</w:t>
      </w:r>
      <w:r w:rsidR="006D44BF">
        <w:rPr>
          <w:b/>
        </w:rPr>
        <w:t xml:space="preserve">, que complican aún más (si cabe), la vertebración dentro de los países miembro, </w:t>
      </w:r>
      <w:r w:rsidR="00901757">
        <w:rPr>
          <w:b/>
        </w:rPr>
        <w:t>y de la propia UE</w:t>
      </w:r>
      <w:r w:rsidR="006D44BF">
        <w:rPr>
          <w:b/>
        </w:rPr>
        <w:t xml:space="preserve">. </w:t>
      </w:r>
      <w:r w:rsidR="00901757">
        <w:rPr>
          <w:b/>
        </w:rPr>
        <w:t>Estos son los “muros” invisibles</w:t>
      </w:r>
      <w:r w:rsidR="00E95E6A">
        <w:rPr>
          <w:b/>
        </w:rPr>
        <w:t>, pero evidentes,</w:t>
      </w:r>
      <w:r w:rsidR="00901757">
        <w:rPr>
          <w:b/>
        </w:rPr>
        <w:t xml:space="preserve"> que aún dividen a la Unión Europea. </w:t>
      </w:r>
    </w:p>
    <w:p w:rsidR="00F972B4" w:rsidRPr="008D39CE" w:rsidRDefault="00F972B4" w:rsidP="001E0FC9">
      <w:pPr>
        <w:pStyle w:val="NormalWeb"/>
        <w:shd w:val="clear" w:color="auto" w:fill="FFFFFF"/>
        <w:spacing w:before="0" w:beforeAutospacing="0" w:after="0" w:afterAutospacing="0"/>
        <w:jc w:val="both"/>
        <w:textAlignment w:val="baseline"/>
        <w:rPr>
          <w:b/>
        </w:rPr>
      </w:pPr>
      <w:r>
        <w:rPr>
          <w:b/>
        </w:rPr>
        <w:lastRenderedPageBreak/>
        <w:t xml:space="preserve">  </w:t>
      </w:r>
    </w:p>
    <w:p w:rsidR="009E2019" w:rsidRPr="006D44BF" w:rsidRDefault="009E2019" w:rsidP="001E0FC9">
      <w:pPr>
        <w:pStyle w:val="NormalWeb"/>
        <w:shd w:val="clear" w:color="auto" w:fill="FFFFFF"/>
        <w:spacing w:before="0" w:beforeAutospacing="0" w:after="0" w:afterAutospacing="0"/>
        <w:jc w:val="both"/>
        <w:textAlignment w:val="baseline"/>
        <w:rPr>
          <w:b/>
        </w:rPr>
      </w:pPr>
      <w:r w:rsidRPr="009E2019">
        <w:rPr>
          <w:b/>
        </w:rPr>
        <w:t xml:space="preserve">- </w:t>
      </w:r>
      <w:r>
        <w:rPr>
          <w:b/>
        </w:rPr>
        <w:t>“No go zones”</w:t>
      </w:r>
      <w:r w:rsidRPr="009E2019">
        <w:rPr>
          <w:b/>
        </w:rPr>
        <w:t>, los territorios prohibidos de Europa</w:t>
      </w:r>
    </w:p>
    <w:p w:rsidR="009E2019" w:rsidRDefault="009E2019" w:rsidP="001E0FC9">
      <w:pPr>
        <w:pStyle w:val="NormalWeb"/>
        <w:shd w:val="clear" w:color="auto" w:fill="FFFFFF"/>
        <w:spacing w:before="0" w:beforeAutospacing="0" w:after="0" w:afterAutospacing="0"/>
        <w:jc w:val="both"/>
        <w:textAlignment w:val="baseline"/>
        <w:rPr>
          <w:b/>
        </w:rPr>
      </w:pPr>
    </w:p>
    <w:p w:rsidR="009E2019" w:rsidRDefault="009E2019" w:rsidP="001E0FC9">
      <w:pPr>
        <w:pStyle w:val="NormalWeb"/>
        <w:shd w:val="clear" w:color="auto" w:fill="FFFFFF"/>
        <w:spacing w:before="0" w:beforeAutospacing="0" w:after="0" w:afterAutospacing="0"/>
        <w:jc w:val="both"/>
        <w:textAlignment w:val="baseline"/>
        <w:rPr>
          <w:b/>
        </w:rPr>
      </w:pPr>
      <w:r>
        <w:rPr>
          <w:noProof/>
        </w:rPr>
        <w:drawing>
          <wp:inline distT="0" distB="0" distL="0" distR="0">
            <wp:extent cx="5727700" cy="2590800"/>
            <wp:effectExtent l="0" t="0" r="6350" b="0"/>
            <wp:docPr id="2" name="Imagen 2" descr="https://img.kaloo.ga/thumb?url=http%3A%2F%2Fgaceta.es%2Fwp-content%2Fuploads%2Fmole.jpg&amp;md5val=d8341ce243ebec1f36269dd9fdaf0de5&amp;key=6458ebd792637716db718894d6eb567612436cf4&amp;method=fill&amp;size=522x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kaloo.ga/thumb?url=http%3A%2F%2Fgaceta.es%2Fwp-content%2Fuploads%2Fmole.jpg&amp;md5val=d8341ce243ebec1f36269dd9fdaf0de5&amp;key=6458ebd792637716db718894d6eb567612436cf4&amp;method=fill&amp;size=522x2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2590800"/>
                    </a:xfrm>
                    <a:prstGeom prst="rect">
                      <a:avLst/>
                    </a:prstGeom>
                    <a:noFill/>
                    <a:ln>
                      <a:noFill/>
                    </a:ln>
                  </pic:spPr>
                </pic:pic>
              </a:graphicData>
            </a:graphic>
          </wp:inline>
        </w:drawing>
      </w:r>
    </w:p>
    <w:p w:rsidR="009E2019" w:rsidRDefault="009E2019" w:rsidP="001E0FC9">
      <w:pPr>
        <w:pStyle w:val="NormalWeb"/>
        <w:shd w:val="clear" w:color="auto" w:fill="FFFFFF"/>
        <w:spacing w:before="0" w:beforeAutospacing="0" w:after="0" w:afterAutospacing="0"/>
        <w:jc w:val="both"/>
        <w:textAlignment w:val="baseline"/>
        <w:rPr>
          <w:b/>
        </w:rPr>
      </w:pPr>
    </w:p>
    <w:p w:rsidR="009E2019" w:rsidRDefault="009E2019" w:rsidP="001E0FC9">
      <w:pPr>
        <w:pStyle w:val="NormalWeb"/>
        <w:shd w:val="clear" w:color="auto" w:fill="FFFFFF"/>
        <w:spacing w:before="0" w:beforeAutospacing="0" w:after="0" w:afterAutospacing="0"/>
        <w:jc w:val="both"/>
        <w:textAlignment w:val="baseline"/>
      </w:pPr>
      <w:r>
        <w:t>Son las célebres “no go zones”</w:t>
      </w:r>
      <w:r w:rsidRPr="009E2019">
        <w:t>, barrios, a veces pueblos o ciudades enteras, donde no entra la policía, donde las ambulancias se niegan a internarse sin escolta, donde, en la práctica, la ley general no se aplica. Hace unos meses, el alcalde de París amenazó con querellarse con la cadena norteamericana Fox por un reportaje sobre las banlieues en las que se hacían afirmaciones en este sentido. Y, sí, es probable que el periodista exagerase en tal o cual detalle de la presencia de las autoridades y, sí, es posible que alguna vez la policía, armada hasta los dientes, haya entrado en la población tachada de no go zones. En Francia tienen un eufemístico nombre oficial: ZUS, Zonas Urbanas Sensibles.</w:t>
      </w:r>
    </w:p>
    <w:p w:rsidR="009E2019" w:rsidRPr="004B63EC" w:rsidRDefault="009E2019" w:rsidP="009E2019">
      <w:pPr>
        <w:pStyle w:val="NormalWeb"/>
        <w:shd w:val="clear" w:color="auto" w:fill="FFFFFF"/>
        <w:spacing w:after="0"/>
        <w:jc w:val="both"/>
        <w:textAlignment w:val="baseline"/>
        <w:rPr>
          <w:u w:val="single"/>
        </w:rPr>
      </w:pPr>
      <w:r>
        <w:t xml:space="preserve">(La Gaceta - </w:t>
      </w:r>
      <w:r w:rsidRPr="004B63EC">
        <w:rPr>
          <w:b/>
        </w:rPr>
        <w:t>27/3/16</w:t>
      </w:r>
      <w:r>
        <w:t xml:space="preserve">) </w:t>
      </w:r>
      <w:r w:rsidRPr="004B63EC">
        <w:rPr>
          <w:u w:val="single"/>
        </w:rPr>
        <w:t>Donde no hay</w:t>
      </w:r>
      <w:r w:rsidR="004B63EC">
        <w:rPr>
          <w:u w:val="single"/>
        </w:rPr>
        <w:t xml:space="preserve"> ley</w:t>
      </w:r>
      <w:r w:rsidRPr="004B63EC">
        <w:rPr>
          <w:u w:val="single"/>
        </w:rPr>
        <w:t xml:space="preserve"> que valga</w:t>
      </w:r>
    </w:p>
    <w:p w:rsidR="009E2019" w:rsidRDefault="009E2019" w:rsidP="009E2019">
      <w:pPr>
        <w:pStyle w:val="NormalWeb"/>
        <w:shd w:val="clear" w:color="auto" w:fill="FFFFFF"/>
        <w:spacing w:after="0"/>
        <w:jc w:val="both"/>
        <w:textAlignment w:val="baseline"/>
      </w:pPr>
      <w:r>
        <w:t>Porque las no go zones no solo existen, sino que proliferan. En el caso francés, todos recordamos las terribles imágenes de la revuelta de las banlieues, cuando las ciudades dormitorio en torno a París vivieron una semana de motines, incendios y vandalismo generalizado que dieron a Nicolas Sarkozy una popu</w:t>
      </w:r>
      <w:r w:rsidR="004B63EC">
        <w:t>laridad inusitada al denominar “racaille”</w:t>
      </w:r>
      <w:r>
        <w:t>, chusma, a los amotinados. Pero es que, por lo demás, los testimonios son abrumadores.</w:t>
      </w:r>
    </w:p>
    <w:p w:rsidR="009E2019" w:rsidRDefault="009E2019" w:rsidP="009E2019">
      <w:pPr>
        <w:pStyle w:val="NormalWeb"/>
        <w:shd w:val="clear" w:color="auto" w:fill="FFFFFF"/>
        <w:spacing w:after="0"/>
        <w:jc w:val="both"/>
        <w:textAlignment w:val="baseline"/>
      </w:pPr>
      <w:r>
        <w:t xml:space="preserve">El prestigioso islamista Fabrice Balanche, de la Universidad de Lyon, admitió recientemente </w:t>
      </w:r>
      <w:r w:rsidR="004B63EC">
        <w:t>en Radio Télévision Suisse que “</w:t>
      </w:r>
      <w:r>
        <w:t>en Francia hay zonas como Roubaix, como el norte de Marsella, donde la policía no pone un pie, donde la autoridad del Estado brilla por su ausencia, donde se h</w:t>
      </w:r>
      <w:r w:rsidR="004B63EC">
        <w:t>an creado miniestados islámicos”</w:t>
      </w:r>
      <w:r>
        <w:t>. El escritor y periodista de origen argelino Éric Zemmour va más allá en dec</w:t>
      </w:r>
      <w:r w:rsidR="004B63EC">
        <w:t>laraciones a la cadena BFM TV: “</w:t>
      </w:r>
      <w:r>
        <w:t>Hay lugares en Francia hoy, especialmente en los suburbios, donde uno no está realmente en Francia. Los salafíes están islamizando algunos barrios y ciudades-dormitorio. En estos barrios, lo que hay no es Fra</w:t>
      </w:r>
      <w:r w:rsidR="004B63EC">
        <w:t>ncia, es una república islámica”</w:t>
      </w:r>
      <w:r>
        <w:t>.</w:t>
      </w:r>
    </w:p>
    <w:p w:rsidR="009E2019" w:rsidRDefault="009E2019" w:rsidP="009E2019">
      <w:pPr>
        <w:pStyle w:val="NormalWeb"/>
        <w:shd w:val="clear" w:color="auto" w:fill="FFFFFF"/>
        <w:spacing w:after="0"/>
        <w:jc w:val="both"/>
        <w:textAlignment w:val="baseline"/>
      </w:pPr>
      <w:r>
        <w:t>Incluso el alcalde socialista de Amiens, Gilles Demailly, se ha referido al distrito de Fafet-Bro</w:t>
      </w:r>
      <w:r w:rsidR="004B63EC">
        <w:t>ssolette de su ciudad como una “no-go zone” donde “</w:t>
      </w:r>
      <w:r>
        <w:t>es imposible que te traigan una piz</w:t>
      </w:r>
      <w:r w:rsidR="004B63EC">
        <w:t>za a casa o que venga un médico”</w:t>
      </w:r>
      <w:r>
        <w:t>. Marsella está a no mucho de convert</w:t>
      </w:r>
      <w:r w:rsidR="004B63EC">
        <w:t>irse en la primera gran ciudad “prohibida”</w:t>
      </w:r>
      <w:r>
        <w:t xml:space="preserve"> en este sentido, como demostró el Gobierno al desplegar un verdadero ejército de antidisturbios para enfrentarse a bandas musulmanes rivales. Las </w:t>
      </w:r>
      <w:r>
        <w:lastRenderedPageBreak/>
        <w:t>noticias que llegaban del suceso usaban el lenguaje b</w:t>
      </w:r>
      <w:r w:rsidR="004B63EC">
        <w:t>élico, hablaban de territorios “reconquistados”, de “frente”</w:t>
      </w:r>
      <w:r>
        <w:t>.</w:t>
      </w:r>
    </w:p>
    <w:p w:rsidR="009E2019" w:rsidRDefault="009E2019" w:rsidP="009E2019">
      <w:pPr>
        <w:pStyle w:val="NormalWeb"/>
        <w:shd w:val="clear" w:color="auto" w:fill="FFFFFF"/>
        <w:spacing w:after="0"/>
        <w:jc w:val="both"/>
        <w:textAlignment w:val="baseline"/>
      </w:pPr>
      <w:r>
        <w:t>Seine-Saint-Denis, donde se produjo ayer la megarredada policial que se saldó con la muerte de dos terroristas implicados en los ataques del pasado viernes, está dividido en 40 distritos administrativos, 36 de los cuales figuran en la lista oficial de ZUS del Gobierno francés.</w:t>
      </w:r>
    </w:p>
    <w:p w:rsidR="009E2019" w:rsidRDefault="009E2019" w:rsidP="009E2019">
      <w:pPr>
        <w:pStyle w:val="NormalWeb"/>
        <w:shd w:val="clear" w:color="auto" w:fill="FFFFFF"/>
        <w:spacing w:after="0"/>
        <w:jc w:val="both"/>
        <w:textAlignment w:val="baseline"/>
      </w:pPr>
      <w:r>
        <w:t>En Suecia, paraíso de la multiculturalidad, abundan estas zonas. Amplias áreas residenciales se están convirtiendo en enclaves donde la ley sueca no pinta nada, controlados por extensos clanes familiares. Uno de los más famosos es el gueto de inmigrantes de Rosengård, en Malmö, la segunda ciudad de Suecia, donde este verano tuvo que entrar la policía para mediar en un tiroteo entre dos bandas. Jacob Ekström, agente de policía local, declaró a</w:t>
      </w:r>
      <w:r w:rsidR="004B63EC">
        <w:t>l diario danés Den Korte Avis: “</w:t>
      </w:r>
      <w:r>
        <w:t>Estamos perdiendo el control. El último banco que había aquí cerró después de que entrara un cohete. La farmacia la han asaltado tantas veces que ha tenido que echar el cierre. También se ha ido la aseguradora. La policía, las ambulancias y los bomberos son siempre reci</w:t>
      </w:r>
      <w:r w:rsidR="004B63EC">
        <w:t>bidos a pedradas”</w:t>
      </w:r>
      <w:r>
        <w:t xml:space="preserve">. </w:t>
      </w:r>
    </w:p>
    <w:p w:rsidR="009E2019" w:rsidRDefault="009E2019" w:rsidP="009E2019">
      <w:pPr>
        <w:pStyle w:val="NormalWeb"/>
        <w:shd w:val="clear" w:color="auto" w:fill="FFFFFF"/>
        <w:spacing w:after="0"/>
        <w:jc w:val="both"/>
        <w:textAlignment w:val="baseline"/>
      </w:pPr>
      <w:r>
        <w:t>Pese a las censuras oficiales, la Policía Nacional se hartó de tanto ocultismo el verano pasado y redactó un in</w:t>
      </w:r>
      <w:r w:rsidR="004B63EC">
        <w:t>forme con un listado de las 55 “no-go zones”</w:t>
      </w:r>
      <w:r>
        <w:t xml:space="preserve"> que </w:t>
      </w:r>
      <w:r w:rsidR="004B63EC">
        <w:t>existen en 22 ciudades suecas. “</w:t>
      </w:r>
      <w:r>
        <w:t xml:space="preserve">Son áreas </w:t>
      </w:r>
      <w:r w:rsidR="004B63EC">
        <w:t>donde la ley sueca ya no existe”</w:t>
      </w:r>
      <w:r>
        <w:t>, resume el periodista Lars Korsell.</w:t>
      </w:r>
    </w:p>
    <w:p w:rsidR="009E2019" w:rsidRDefault="009E2019" w:rsidP="009E2019">
      <w:pPr>
        <w:pStyle w:val="NormalWeb"/>
        <w:shd w:val="clear" w:color="auto" w:fill="FFFFFF"/>
        <w:spacing w:after="0"/>
        <w:jc w:val="both"/>
        <w:textAlignment w:val="baseline"/>
      </w:pPr>
      <w:r>
        <w:t>Alemania presumía de carecer de estos horrores, pero su tiempo de gracia podría haber terminado, al decir del semanario Der Spiegel. Niveles cada vez mayor de violencia criminal por parte de inmigrantes de Oriente Medio y los Balcanes están convirtiendo barrios de la ci</w:t>
      </w:r>
      <w:r w:rsidR="004B63EC">
        <w:t>udad industrial de Duisberg en “pueblos sin ley”</w:t>
      </w:r>
      <w:r>
        <w:t xml:space="preserve">, según un informe confidencial de la policía a que ha tenido acceso el semanario. El informe, elaborado en la sede de la policía del Land más poblado de Alemania, Renania-Westfalia, advierte que el Gobierno está perdiendo el control y que la capacidad de la </w:t>
      </w:r>
      <w:r w:rsidR="004B63EC">
        <w:t>policía para mantener el orden “</w:t>
      </w:r>
      <w:r>
        <w:t>no p</w:t>
      </w:r>
      <w:r w:rsidR="004B63EC">
        <w:t>uede garantizarse a largo plazo”</w:t>
      </w:r>
      <w:r>
        <w:t>.</w:t>
      </w:r>
    </w:p>
    <w:p w:rsidR="009E2019" w:rsidRDefault="004B63EC" w:rsidP="009E2019">
      <w:pPr>
        <w:pStyle w:val="NormalWeb"/>
        <w:shd w:val="clear" w:color="auto" w:fill="FFFFFF"/>
        <w:spacing w:after="0"/>
        <w:jc w:val="both"/>
        <w:textAlignment w:val="baseline"/>
      </w:pPr>
      <w:r>
        <w:t>Sostiene Der Spiegel: “</w:t>
      </w:r>
      <w:r w:rsidR="009E2019">
        <w:t>Hay distritos donde bandas de inmigrantes se han hecho con trenes enteros de metro para su uso personal. Se intimida y silencia a los re</w:t>
      </w:r>
      <w:r>
        <w:t>sidentes y comerciantes nativos”</w:t>
      </w:r>
      <w:r w:rsidR="009E2019">
        <w:t>. Uno entiende que la llegada de un millón de inmigrantes más este año</w:t>
      </w:r>
      <w:r>
        <w:t>,</w:t>
      </w:r>
      <w:r w:rsidR="009E2019">
        <w:t xml:space="preserve"> procedentes del Tercer Mundo no entusiasme al votante alemán y que haya puesto en un grave aprieto político a su canciller, Angela Merkel. Alemania es el país con mayor población inmigrante y el segundo en población musulmana.</w:t>
      </w:r>
    </w:p>
    <w:p w:rsidR="009E2019" w:rsidRDefault="009E2019" w:rsidP="009E2019">
      <w:pPr>
        <w:pStyle w:val="NormalWeb"/>
        <w:shd w:val="clear" w:color="auto" w:fill="FFFFFF"/>
        <w:spacing w:after="0"/>
        <w:jc w:val="both"/>
        <w:textAlignment w:val="baseline"/>
      </w:pPr>
      <w:r>
        <w:t xml:space="preserve">También en Gran Bretaña amplias </w:t>
      </w:r>
      <w:r w:rsidR="004B63EC">
        <w:t>zonas se están convirtiendo en “ciudades prohibidas”</w:t>
      </w:r>
      <w:r>
        <w:t xml:space="preserve"> para la policía porque las comunidades de origen extraeuropeo operan sus propios sistemas de justicia, según fuente</w:t>
      </w:r>
      <w:r w:rsidR="004B63EC">
        <w:t>s de la policía. El auge de la “justicia comunitaria”</w:t>
      </w:r>
      <w:r>
        <w:t xml:space="preserve"> hace que delitos graves como homicidios o violaciones no se denuncien. Los crímenes de honor, la mutilación genital y la violencia doméstica son crímenes que rara vez llegan siquiera a </w:t>
      </w:r>
      <w:r w:rsidR="004B63EC">
        <w:t>conocimiento</w:t>
      </w:r>
      <w:r>
        <w:t xml:space="preserve"> de la policía. </w:t>
      </w:r>
    </w:p>
    <w:p w:rsidR="009E2019" w:rsidRDefault="009E2019" w:rsidP="009E2019">
      <w:pPr>
        <w:pStyle w:val="NormalWeb"/>
        <w:shd w:val="clear" w:color="auto" w:fill="FFFFFF"/>
        <w:spacing w:after="0"/>
        <w:jc w:val="both"/>
        <w:textAlignment w:val="baseline"/>
      </w:pPr>
      <w:r>
        <w:t>Según fuentes policiales en declaraciones a</w:t>
      </w:r>
      <w:r w:rsidR="004B63EC">
        <w:t>l diario británico Daily Mail, “</w:t>
      </w:r>
      <w:r>
        <w:t xml:space="preserve">hay algunas comunidades nacidas bajo otros cielos que no recurren nunca a la policía. Me resisto a especificar de qué comunidades hablo, pero son culturas que prefieren llevar a cabo ellos mismos sus propias tareas policiales. Hay ciudades en las Midlands donde la policía </w:t>
      </w:r>
      <w:r w:rsidR="004B63EC">
        <w:t>nunca va porque nunca la llaman”</w:t>
      </w:r>
      <w:r>
        <w:t>.</w:t>
      </w:r>
    </w:p>
    <w:p w:rsidR="009E2019" w:rsidRPr="004B63EC" w:rsidRDefault="007172CE" w:rsidP="009E2019">
      <w:pPr>
        <w:pStyle w:val="NormalWeb"/>
        <w:shd w:val="clear" w:color="auto" w:fill="FFFFFF"/>
        <w:spacing w:after="0"/>
        <w:jc w:val="both"/>
        <w:textAlignment w:val="baseline"/>
      </w:pPr>
      <w:r>
        <w:lastRenderedPageBreak/>
        <w:t xml:space="preserve">(disidencias.net/xiomara - </w:t>
      </w:r>
      <w:r w:rsidRPr="007172CE">
        <w:rPr>
          <w:b/>
        </w:rPr>
        <w:t>23/4/18</w:t>
      </w:r>
      <w:r>
        <w:t>)</w:t>
      </w:r>
      <w:r w:rsidR="004B63EC">
        <w:t xml:space="preserve"> </w:t>
      </w:r>
      <w:r w:rsidR="009E2019" w:rsidRPr="007172CE">
        <w:rPr>
          <w:u w:val="single"/>
        </w:rPr>
        <w:t>Las zonas donde la ley islámica campa a sus anchas y las fuerzas de la ley ya no tienen autoridad, son las llamadas NO-GO Zones (Zonas No-Vayas / No-Ir).</w:t>
      </w:r>
    </w:p>
    <w:p w:rsidR="009E2019" w:rsidRDefault="009E2019" w:rsidP="009E2019">
      <w:pPr>
        <w:pStyle w:val="NormalWeb"/>
        <w:shd w:val="clear" w:color="auto" w:fill="FFFFFF"/>
        <w:spacing w:after="0"/>
        <w:jc w:val="both"/>
        <w:textAlignment w:val="baseline"/>
      </w:pPr>
      <w:r>
        <w:t>La policía ha perdido el control de esos barrios y no puede garantizar la seguridad dentro de los mismos, denunciando que los crímenes quedan impunes: intimidación, extorsiones, vejaciones, abusos sexuales</w:t>
      </w:r>
      <w:r w:rsidR="007172CE">
        <w:t>, robos, ataques con violencia…</w:t>
      </w:r>
    </w:p>
    <w:p w:rsidR="009E2019" w:rsidRDefault="009E2019" w:rsidP="009E2019">
      <w:pPr>
        <w:pStyle w:val="NormalWeb"/>
        <w:shd w:val="clear" w:color="auto" w:fill="FFFFFF"/>
        <w:spacing w:after="0"/>
        <w:jc w:val="both"/>
        <w:textAlignment w:val="baseline"/>
      </w:pPr>
      <w:r>
        <w:t xml:space="preserve">Estas zonas están dominadas por mafias y, en consecuencia, los delincuentes más jóvenes están siendo presa fácil para los captadores del Estado Islámico. Su población no busca adaptarse al país en el que se encuentra, sino que el país se adapte a ellos, mientras se están nutriendo de la </w:t>
      </w:r>
      <w:r w:rsidR="007172CE">
        <w:t>sharía, engendrando yihadistas.</w:t>
      </w:r>
    </w:p>
    <w:p w:rsidR="009E2019" w:rsidRDefault="009E2019" w:rsidP="009E2019">
      <w:pPr>
        <w:pStyle w:val="NormalWeb"/>
        <w:shd w:val="clear" w:color="auto" w:fill="FFFFFF"/>
        <w:spacing w:after="0"/>
        <w:jc w:val="both"/>
        <w:textAlignment w:val="baseline"/>
      </w:pPr>
      <w:r>
        <w:t>Se han convertido en algo tan común que Laty Corporation ha creado una aplicación de móvil para ubic</w:t>
      </w:r>
      <w:r w:rsidR="007172CE">
        <w:t>arlas cuando vas por la ciudad.</w:t>
      </w:r>
    </w:p>
    <w:p w:rsidR="009E2019" w:rsidRDefault="009E2019" w:rsidP="009E2019">
      <w:pPr>
        <w:pStyle w:val="NormalWeb"/>
        <w:shd w:val="clear" w:color="auto" w:fill="FFFFFF"/>
        <w:spacing w:after="0"/>
        <w:jc w:val="both"/>
        <w:textAlignment w:val="baseline"/>
      </w:pPr>
      <w:r>
        <w:t>Alemania</w:t>
      </w:r>
    </w:p>
    <w:p w:rsidR="009E2019" w:rsidRDefault="009E2019" w:rsidP="009E2019">
      <w:pPr>
        <w:pStyle w:val="NormalWeb"/>
        <w:shd w:val="clear" w:color="auto" w:fill="FFFFFF"/>
        <w:spacing w:after="0"/>
        <w:jc w:val="both"/>
        <w:textAlignment w:val="baseline"/>
      </w:pPr>
      <w:r>
        <w:t>Desde que en 2014 apareciera, en la ciudad de Wuppertal, una brigada parapolicial llamada Shariah Police, la ley Shar</w:t>
      </w:r>
      <w:r w:rsidR="009852CF">
        <w:t>í</w:t>
      </w:r>
      <w:r>
        <w:t>a se ha establecido en multitud de barrios de Hamburgo, Berlín, Turingia… Estas patrullas acosan e insultan a aquellos que ven bebiendo alcohol, escuchando música desenfadada, parejas que pasean de la mano, homosexuales, mujeres vestidas de formas que</w:t>
      </w:r>
      <w:r w:rsidR="007172CE">
        <w:t xml:space="preserve"> ellos consideran inapropiadas…</w:t>
      </w:r>
    </w:p>
    <w:p w:rsidR="009E2019" w:rsidRDefault="009E2019" w:rsidP="009E2019">
      <w:pPr>
        <w:pStyle w:val="NormalWeb"/>
        <w:shd w:val="clear" w:color="auto" w:fill="FFFFFF"/>
        <w:spacing w:after="0"/>
        <w:jc w:val="both"/>
        <w:textAlignment w:val="baseline"/>
      </w:pPr>
      <w:r>
        <w:t>Se sitúan alrededor de bares y discotecas, en piscinas públicas e instalaciones deportivas, en terrazas de verano… Centran sus actividades en las calles donde abunda población musulmana, y r</w:t>
      </w:r>
      <w:r w:rsidR="004B63EC">
        <w:t>eparten octavillas prometiendo “limpiar la sórdida vida”</w:t>
      </w:r>
      <w:r>
        <w:t xml:space="preserve"> de dichas zonas. El líder que comenzó este movimiento -el converso Sven Lau- actualmente está sometido a proceso penal por apoyar a ISIS, como recl</w:t>
      </w:r>
      <w:r w:rsidR="007172CE">
        <w:t>utador de jóvenes combatientes.</w:t>
      </w:r>
    </w:p>
    <w:p w:rsidR="009E2019" w:rsidRDefault="009E2019" w:rsidP="009E2019">
      <w:pPr>
        <w:pStyle w:val="NormalWeb"/>
        <w:shd w:val="clear" w:color="auto" w:fill="FFFFFF"/>
        <w:spacing w:after="0"/>
        <w:jc w:val="both"/>
        <w:textAlignment w:val="baseline"/>
      </w:pPr>
      <w:r>
        <w:t xml:space="preserve">En Berlín, en mayo de 2017, surge también la policía de los salafistas chechenos o “Policía de la moral”. Amenazan, llegando a la violencia para disuadir a los inmigrantes chechenos de integrarse en la sociedad alemana. También promueven la creación de un sistema jurídico paralelo, </w:t>
      </w:r>
      <w:r w:rsidR="007172CE">
        <w:t>de corte islámico, en Alemania.</w:t>
      </w:r>
    </w:p>
    <w:p w:rsidR="009E2019" w:rsidRDefault="009E2019" w:rsidP="009E2019">
      <w:pPr>
        <w:pStyle w:val="NormalWeb"/>
        <w:shd w:val="clear" w:color="auto" w:fill="FFFFFF"/>
        <w:spacing w:after="0"/>
        <w:jc w:val="both"/>
        <w:textAlignment w:val="baseline"/>
      </w:pPr>
      <w:r>
        <w:t>Para darse a conocer difundieron un video mostrando a un hombre encapuchado que apuntaba a la cámara, con una pistola y lanzando advertencias en checheno… El video surgió después de q le robaran el móvil a una joven chechena y difundieran imágenes en las q aparecía desnuda. La familia accedió a resolver el problema enviando a la mujer a Chechenia, donde la matarían para recuperar el honor. La policía alemana intervino justo antes de que la muchacha embarcara en el avión. Esto convirtió el problema en comunitario, y ahora es deber de cualquier hombre checheno encontrarla y castigarla. La muchacha se encuentra a la espera de hacerse la cirugía estética</w:t>
      </w:r>
      <w:r w:rsidR="007172CE">
        <w:t xml:space="preserve"> para evitar que la encuentren.</w:t>
      </w:r>
    </w:p>
    <w:p w:rsidR="009E2019" w:rsidRDefault="009E2019" w:rsidP="009E2019">
      <w:pPr>
        <w:pStyle w:val="NormalWeb"/>
        <w:shd w:val="clear" w:color="auto" w:fill="FFFFFF"/>
        <w:spacing w:after="0"/>
        <w:jc w:val="both"/>
        <w:textAlignment w:val="baseline"/>
      </w:pPr>
      <w:r>
        <w:t>En Alemania viven</w:t>
      </w:r>
      <w:r w:rsidR="004B63EC">
        <w:t xml:space="preserve"> alrededor de 60.</w:t>
      </w:r>
      <w:r w:rsidR="007172CE">
        <w:t>000 chechenos…</w:t>
      </w:r>
    </w:p>
    <w:p w:rsidR="009E2019" w:rsidRDefault="009E2019" w:rsidP="009E2019">
      <w:pPr>
        <w:pStyle w:val="NormalWeb"/>
        <w:shd w:val="clear" w:color="auto" w:fill="FFFFFF"/>
        <w:spacing w:after="0"/>
        <w:jc w:val="both"/>
        <w:textAlignment w:val="baseline"/>
      </w:pPr>
      <w:r>
        <w:t>La policía denuncia que no dispone de los efectivos ni los medios para frenar esto. De hecho, han llegado a temer por sus vidas cuando han de intervenir en e</w:t>
      </w:r>
      <w:r w:rsidR="007172CE">
        <w:t>stos lugares. Unos ejemplos:</w:t>
      </w:r>
    </w:p>
    <w:p w:rsidR="009E2019" w:rsidRDefault="009E2019" w:rsidP="009E2019">
      <w:pPr>
        <w:pStyle w:val="NormalWeb"/>
        <w:shd w:val="clear" w:color="auto" w:fill="FFFFFF"/>
        <w:spacing w:after="0"/>
        <w:jc w:val="both"/>
        <w:textAlignment w:val="baseline"/>
      </w:pPr>
      <w:r>
        <w:lastRenderedPageBreak/>
        <w:t>En el barrio Marxloh de Duisburg el 29 de junio, una multitud de inmigrantes libaneses atacó a dos policías que intentaban detener a dos hombres por fumar cannabis en una acera pública. En cuestión de minutos, los oficiales estaban rodeados por más de 100 hombres que trataron de impedir que los arrestos se llevaran a cabo. Se necesitaron diez coches patrulla y decenas de refuerzos policiales pa</w:t>
      </w:r>
      <w:r w:rsidR="004B63EC">
        <w:t>ra “rescatar”</w:t>
      </w:r>
      <w:r>
        <w:t xml:space="preserve"> a los dos oficiales.</w:t>
      </w:r>
    </w:p>
    <w:p w:rsidR="009E2019" w:rsidRDefault="009E2019" w:rsidP="009E2019">
      <w:pPr>
        <w:pStyle w:val="NormalWeb"/>
        <w:shd w:val="clear" w:color="auto" w:fill="FFFFFF"/>
        <w:spacing w:after="0"/>
        <w:jc w:val="both"/>
        <w:textAlignment w:val="baseline"/>
      </w:pPr>
      <w:r>
        <w:t>En enero de 2014 en Hannover, un joven kurdo de 26 años, q había sido detenido por robo, saltó por la ventana del séptimo piso de un juzgado, en un intento de huida. Fue trasladado al hospital, pero falleció. Entonces, un grupo de kurdos registró el hospital y el juzgado, atacando e hiriendo a 24 policías y varios paramédicos. En el juicio, el tribunal dictó sentencia suspendida… Previamente el juez había pactado con los acusados lo que impidió que la policía declarase. Muchos conjeturaron q el juez tenía miedo a represalias hacia su familia por parte de los acusados.</w:t>
      </w:r>
    </w:p>
    <w:p w:rsidR="009E2019" w:rsidRDefault="009E2019" w:rsidP="009E2019">
      <w:pPr>
        <w:pStyle w:val="NormalWeb"/>
        <w:shd w:val="clear" w:color="auto" w:fill="FFFFFF"/>
        <w:spacing w:after="0"/>
        <w:jc w:val="both"/>
        <w:textAlignment w:val="baseline"/>
      </w:pPr>
      <w:r>
        <w:t>En Naumburgo, una turba de sirios rodeo a una patrulla de policía que acababa de requisar el permiso de conducir a Ahmed A., de 21 años. La policía logro llegar a la comisaria, q fue saqueada por la misma turba.</w:t>
      </w:r>
    </w:p>
    <w:p w:rsidR="009E2019" w:rsidRDefault="009E2019" w:rsidP="009E2019">
      <w:pPr>
        <w:pStyle w:val="NormalWeb"/>
        <w:shd w:val="clear" w:color="auto" w:fill="FFFFFF"/>
        <w:spacing w:after="0"/>
        <w:jc w:val="both"/>
        <w:textAlignment w:val="baseline"/>
      </w:pPr>
      <w:r>
        <w:t>En Bremen, han tenido que equipar a la policía con “máscaras anti saliva” después de que algunos detenidos les escupieran en un intento por infectarles con Hepatitis C u otras enfermedades contagiosas. A Westfalia, s</w:t>
      </w:r>
      <w:r w:rsidR="007172CE">
        <w:t>ólo acuden en coches blindados.</w:t>
      </w:r>
    </w:p>
    <w:p w:rsidR="009E2019" w:rsidRDefault="009E2019" w:rsidP="009E2019">
      <w:pPr>
        <w:pStyle w:val="NormalWeb"/>
        <w:shd w:val="clear" w:color="auto" w:fill="FFFFFF"/>
        <w:spacing w:after="0"/>
        <w:jc w:val="both"/>
        <w:textAlignment w:val="baseline"/>
      </w:pPr>
      <w:r>
        <w:t>Bernhard Witthaut, comisario, declaró que el número d</w:t>
      </w:r>
      <w:r w:rsidR="007172CE">
        <w:t>e zonas No-Go están aumentando:</w:t>
      </w:r>
    </w:p>
    <w:p w:rsidR="009E2019" w:rsidRDefault="009E2019" w:rsidP="009E2019">
      <w:pPr>
        <w:pStyle w:val="NormalWeb"/>
        <w:shd w:val="clear" w:color="auto" w:fill="FFFFFF"/>
        <w:spacing w:after="0"/>
        <w:jc w:val="both"/>
        <w:textAlignment w:val="baseline"/>
      </w:pPr>
      <w:r>
        <w:t>“Todos los comisarios de policía y del interior lo negarán. Pero, por supuesto, sabemos dónde podemos ir con el coche de la policía…La razón es que nuestros colegas ya no pueden sentirse seguros allí ni con 2 coches, y temen convertirse ellos mismos en víctimas de un crimen. Sabemos que estas áreas existen. Pero en estas áreas los crímenes no son denunciados. Los resuelven ellos mismos. Sólo en el peor de los casos, no alertan al respecto. El poder del estado está completamente fuera de estas zonas”.</w:t>
      </w:r>
    </w:p>
    <w:p w:rsidR="009E2019" w:rsidRDefault="009E2019" w:rsidP="009E2019">
      <w:pPr>
        <w:pStyle w:val="NormalWeb"/>
        <w:shd w:val="clear" w:color="auto" w:fill="FFFFFF"/>
        <w:spacing w:after="0"/>
        <w:jc w:val="both"/>
        <w:textAlignment w:val="baseline"/>
      </w:pPr>
      <w:r>
        <w:t>La revista alemana Der Spiegel, habla de distritos donde las bandas de inmigrantes se han hecho con trene</w:t>
      </w:r>
      <w:r w:rsidR="007172CE">
        <w:t>s enteros para su uso personal.</w:t>
      </w:r>
    </w:p>
    <w:p w:rsidR="009E2019" w:rsidRDefault="009E2019" w:rsidP="009E2019">
      <w:pPr>
        <w:pStyle w:val="NormalWeb"/>
        <w:shd w:val="clear" w:color="auto" w:fill="FFFFFF"/>
        <w:spacing w:after="0"/>
        <w:jc w:val="both"/>
        <w:textAlignment w:val="baseline"/>
      </w:pPr>
      <w:r>
        <w:t>La BKA (Oficina Federal de Investigación Criminal) denunció 36.755 ataques verbales y físicos, e incluso asesinatos, contra la policía alemana en 2016, estableciendo una relación entre el aumento de inmigrantes musulmanes y el aumento de la violencia, llegando a un 70% más con respecto al año anterior en algunas zonas.</w:t>
      </w:r>
    </w:p>
    <w:p w:rsidR="009E2019" w:rsidRDefault="009E2019" w:rsidP="009E2019">
      <w:pPr>
        <w:pStyle w:val="NormalWeb"/>
        <w:shd w:val="clear" w:color="auto" w:fill="FFFFFF"/>
        <w:spacing w:after="0"/>
        <w:jc w:val="both"/>
        <w:textAlignment w:val="baseline"/>
      </w:pPr>
      <w:r>
        <w:t>También se calcula que hay más de 500 juzgados informales de la Sharia actuando, por lo que muchos musulmanes están eludiendo a conciencia los tribunales alemanes.</w:t>
      </w:r>
    </w:p>
    <w:p w:rsidR="009E2019" w:rsidRDefault="009E2019" w:rsidP="009E2019">
      <w:pPr>
        <w:pStyle w:val="NormalWeb"/>
        <w:shd w:val="clear" w:color="auto" w:fill="FFFFFF"/>
        <w:spacing w:after="0"/>
        <w:jc w:val="both"/>
        <w:textAlignment w:val="baseline"/>
      </w:pPr>
      <w:r>
        <w:t>Alegan hacerlo porque Alemania no reconoce sus costumbres, tales como la poligamia (se calcula que un tercio de los varones musulmanes que viven en Neukölln tienes dos o más esposas) o los matrimonios con menores (en Julio de 2016 el Ministerio del Interior alemán reveló tener constancia de unos 1.475 menores casados, de los cuales 361 tenían menos de 14 años). Lo cual es discutible teniendo en cuenta precedentes de sentencia como el de marzo de 2004, cuando el tribunal de Coblenza reconoció a la segunda mujer de un iraquí, que vivía en Alemania, el derecho a quedarse permanentemente en el país, dado que ya llevaban 5 años de matrimonio polígamo y era injusto pedirle q</w:t>
      </w:r>
      <w:r w:rsidR="004B63EC">
        <w:t>ue</w:t>
      </w:r>
      <w:r>
        <w:t xml:space="preserve"> volviese a Irak. O en mayo de 2016, cuando el </w:t>
      </w:r>
      <w:r>
        <w:lastRenderedPageBreak/>
        <w:t>tribunal de apelaciones de Bamberg reconoció el matrimonio de una niña siria de 15 años con su primo de 21, sentenciando que era válido porque se había contraído en Siria; legalizando de facto los matrimonios infan</w:t>
      </w:r>
      <w:r w:rsidR="007172CE">
        <w:t>tiles de la sharia en Alemania.</w:t>
      </w:r>
    </w:p>
    <w:p w:rsidR="009E2019" w:rsidRDefault="009E2019" w:rsidP="009E2019">
      <w:pPr>
        <w:pStyle w:val="NormalWeb"/>
        <w:shd w:val="clear" w:color="auto" w:fill="FFFFFF"/>
        <w:spacing w:after="0"/>
        <w:jc w:val="both"/>
        <w:textAlignment w:val="baseline"/>
      </w:pPr>
      <w:r>
        <w:t xml:space="preserve">En octubre de 2017, la Inteligencia alemana hablaba de que hay más de unos 10.000 salafistas (justifican la Yihad) y en torno a los 1.800 yihadistas en el país. Lo que significa un crecimiento del 64% con respecto al año anterior, habiendo bajado la edad de radicalización media de 20 a 18 años. Atribuyen estas cifras a las escuelas de las zonas No-Go, donde se enseña la Sharia desde primaria, sin control gubernamental. Wolfgang Trusheim, jefe de la policía de Frankfurt, ya alertó sobre </w:t>
      </w:r>
      <w:r w:rsidR="004B63EC">
        <w:t>los que llaman “Hate children” -</w:t>
      </w:r>
      <w:r>
        <w:t xml:space="preserve"> los niños del odio, (en algunos patios de recreo de colegios islámicos, se usa la expresió</w:t>
      </w:r>
      <w:r w:rsidR="007172CE">
        <w:t>n “tú, judío” como un insulto).</w:t>
      </w:r>
    </w:p>
    <w:p w:rsidR="009E2019" w:rsidRDefault="009E2019" w:rsidP="009E2019">
      <w:pPr>
        <w:pStyle w:val="NormalWeb"/>
        <w:shd w:val="clear" w:color="auto" w:fill="FFFFFF"/>
        <w:spacing w:after="0"/>
        <w:jc w:val="both"/>
        <w:textAlignment w:val="baseline"/>
      </w:pPr>
      <w:r>
        <w:t>En 2010, la jueza alemana de menores, Kirsten Heisig, denunció en su libro “El fin de la paciencia” lo q estaba ocurriendo en estas zonas, tomando como ejemplo el barrio de Neukölln, en Berlín, popularmente conocido como “Problemkieze”, en el que conviven 139 etnias diferentes y el 95% de los niños escolarizados no ha</w:t>
      </w:r>
      <w:r w:rsidR="007172CE">
        <w:t>blan alemán como lengua nativa.</w:t>
      </w:r>
    </w:p>
    <w:p w:rsidR="009E2019" w:rsidRDefault="009E2019" w:rsidP="009E2019">
      <w:pPr>
        <w:pStyle w:val="NormalWeb"/>
        <w:shd w:val="clear" w:color="auto" w:fill="FFFFFF"/>
        <w:spacing w:after="0"/>
        <w:jc w:val="both"/>
        <w:textAlignment w:val="baseline"/>
      </w:pPr>
      <w:r>
        <w:t>Hablaba también de que las familias de las NO-GO Zones tienen hasta 19 hijos (algunas mujeres aún están siendo madres cuando empiezan a tener nietos), cobrando ayudas ec</w:t>
      </w:r>
      <w:r w:rsidR="007172CE">
        <w:t>onómicas por cada uno de ellos.</w:t>
      </w:r>
    </w:p>
    <w:p w:rsidR="009E2019" w:rsidRDefault="009E2019" w:rsidP="009E2019">
      <w:pPr>
        <w:pStyle w:val="NormalWeb"/>
        <w:shd w:val="clear" w:color="auto" w:fill="FFFFFF"/>
        <w:spacing w:after="0"/>
        <w:jc w:val="both"/>
        <w:textAlignment w:val="baseline"/>
      </w:pPr>
      <w:r>
        <w:t>Algunos trabajadores sociales y paramédicos han denunciado haber encontrado casos de abandono de niños al no poder percibir una ayuda económica por ellos, o no poder costear los gastos médicos del mismo; para después descubrir que ni siquiera son hijos de las familias en cuestión, sino que han sido secuestrados en centros de refugiados, en su paso por distintos centros de Europa, para así acceder a mejores subvenciones p</w:t>
      </w:r>
      <w:r w:rsidR="007172CE">
        <w:t>or ser la familia más numerosa.</w:t>
      </w:r>
    </w:p>
    <w:p w:rsidR="009E2019" w:rsidRDefault="009E2019" w:rsidP="009E2019">
      <w:pPr>
        <w:pStyle w:val="NormalWeb"/>
        <w:shd w:val="clear" w:color="auto" w:fill="FFFFFF"/>
        <w:spacing w:after="0"/>
        <w:jc w:val="both"/>
        <w:textAlignment w:val="baseline"/>
      </w:pPr>
      <w:r>
        <w:t>El mismo día de la publicación de su libro, se suicidó: “Los jóvenes turcos y árabes no están interesados en los valores ni en las leyes alemanas. Son indiferentes al sistema. Quiero que las jóvenes generaciones de alemanes tengan las o</w:t>
      </w:r>
      <w:r w:rsidR="007172CE">
        <w:t>portunidades que he tenido yo”.</w:t>
      </w:r>
    </w:p>
    <w:p w:rsidR="009E2019" w:rsidRDefault="009E2019" w:rsidP="009E2019">
      <w:pPr>
        <w:pStyle w:val="NormalWeb"/>
        <w:shd w:val="clear" w:color="auto" w:fill="FFFFFF"/>
        <w:spacing w:after="0"/>
        <w:jc w:val="both"/>
        <w:textAlignment w:val="baseline"/>
      </w:pPr>
      <w:r>
        <w:t>Reino Unido</w:t>
      </w:r>
    </w:p>
    <w:p w:rsidR="009E2019" w:rsidRDefault="009E2019" w:rsidP="009E2019">
      <w:pPr>
        <w:pStyle w:val="NormalWeb"/>
        <w:shd w:val="clear" w:color="auto" w:fill="FFFFFF"/>
        <w:spacing w:after="0"/>
        <w:jc w:val="both"/>
        <w:textAlignment w:val="baseline"/>
      </w:pPr>
      <w:r>
        <w:t>En Reino Unido, los Need4Khilafah (antes conocidos como Al-Muhajiroun, después Islam4UK) marcan sus z</w:t>
      </w:r>
      <w:r w:rsidR="004B63EC">
        <w:t>onas con advertencias del tipo “</w:t>
      </w:r>
      <w:r>
        <w:t xml:space="preserve">Usted está entrando a una zona controlada por la Sharia, aquí la </w:t>
      </w:r>
      <w:r w:rsidR="004B63EC">
        <w:t>ley islámica debe ser observada”</w:t>
      </w:r>
      <w:r>
        <w:t>.</w:t>
      </w:r>
    </w:p>
    <w:p w:rsidR="009E2019" w:rsidRDefault="009E2019" w:rsidP="009E2019">
      <w:pPr>
        <w:pStyle w:val="NormalWeb"/>
        <w:shd w:val="clear" w:color="auto" w:fill="FFFFFF"/>
        <w:spacing w:after="0"/>
        <w:jc w:val="both"/>
        <w:textAlignment w:val="baseline"/>
      </w:pPr>
      <w:r>
        <w:t>Anjem Choudary, paquistaní nacido en Inglaterra, líder de este movimiento, y uno de los clérigos musulmanes más infl</w:t>
      </w:r>
      <w:r w:rsidR="004B63EC">
        <w:t>uyentes, aseguró que pretenden “</w:t>
      </w:r>
      <w:r>
        <w:t>poner las semillas para un</w:t>
      </w:r>
      <w:r w:rsidR="004B63EC">
        <w:t xml:space="preserve"> emirato islámico a largo plazo”</w:t>
      </w:r>
      <w:r>
        <w:t>. Choudary declaró que dentro de muy poco “toda Gran Bretaña será musulmana. Nosotros podemos tener varias mujeres. Algún amigo ha llegado a tener veintiún hijos. Vuestra sociedad se despuebla porque sólo deseáis tener un hijo o un perro. Dentro de pocas</w:t>
      </w:r>
      <w:r w:rsidR="007172CE">
        <w:t xml:space="preserve"> generaciones seremos mayoría”.</w:t>
      </w:r>
    </w:p>
    <w:p w:rsidR="009E2019" w:rsidRDefault="009E2019" w:rsidP="009E2019">
      <w:pPr>
        <w:pStyle w:val="NormalWeb"/>
        <w:shd w:val="clear" w:color="auto" w:fill="FFFFFF"/>
        <w:spacing w:after="0"/>
        <w:jc w:val="both"/>
        <w:textAlignment w:val="baseline"/>
      </w:pPr>
      <w:r>
        <w:t>Este mismo personaje, que amenazó con denunciar a España al Tribunal de Estrasburgo por celebrar la Semana Santa, tiene el pasaporte retirado por su apoyo al Estado Islámico. Justifica los atentados del 11S y el 7J, así como el atentado contra Charlie Hebdo, son antisemitas y consideran a los</w:t>
      </w:r>
      <w:r w:rsidR="007172CE">
        <w:t xml:space="preserve"> cristianos el enemigo.</w:t>
      </w:r>
    </w:p>
    <w:p w:rsidR="009E2019" w:rsidRDefault="009E2019" w:rsidP="009E2019">
      <w:pPr>
        <w:pStyle w:val="NormalWeb"/>
        <w:shd w:val="clear" w:color="auto" w:fill="FFFFFF"/>
        <w:spacing w:after="0"/>
        <w:jc w:val="both"/>
        <w:textAlignment w:val="baseline"/>
      </w:pPr>
      <w:r>
        <w:lastRenderedPageBreak/>
        <w:t>Ya en 2011, las autoridades tuvieron que prohibir a los llamados “Musulmanes Contra las Cruzadas”, que propugnaban la creación de emiratos al margen de la ley en 12 ciudades (Birmingham, Bradford, Derby, Leeds, Leicester, Liverpool, Luton, Manchester, Sheffield, Dewsbury) y distritos (Tower Hamle</w:t>
      </w:r>
      <w:r w:rsidR="007172CE">
        <w:t>ts, Waltham Forest) en Londres.</w:t>
      </w:r>
    </w:p>
    <w:p w:rsidR="009E2019" w:rsidRDefault="009E2019" w:rsidP="009E2019">
      <w:pPr>
        <w:pStyle w:val="NormalWeb"/>
        <w:shd w:val="clear" w:color="auto" w:fill="FFFFFF"/>
        <w:spacing w:after="0"/>
        <w:jc w:val="both"/>
        <w:textAlignment w:val="baseline"/>
      </w:pPr>
      <w:r>
        <w:t>Ese mismo año, los británicos autóctonos ya eran minoría en Londres, cuando sólo el 44.9% de los londinenses se identificaban como “British White” en el censo, con un 37% de habitantes no nacido en Reino Unido. Los blancos británicos estaban también por debajo del 50% en Leicester, Luton y Slough. En Birmingham el 22% de sus ciudadanos son musulmanes, superando el 70%</w:t>
      </w:r>
      <w:r w:rsidR="00B805CC">
        <w:t xml:space="preserve"> en</w:t>
      </w:r>
      <w:r>
        <w:t xml:space="preserve"> algunos de los barrios periféricos como Washwood, Bordesley o Sparbrook (el 50% de los mismos se han convertido al islam). El barrio Alum Rock es conoc</w:t>
      </w:r>
      <w:r w:rsidR="007172CE">
        <w:t>ido como “el pequeño Pakistán”.</w:t>
      </w:r>
    </w:p>
    <w:p w:rsidR="009E2019" w:rsidRDefault="009E2019" w:rsidP="009E2019">
      <w:pPr>
        <w:pStyle w:val="NormalWeb"/>
        <w:shd w:val="clear" w:color="auto" w:fill="FFFFFF"/>
        <w:spacing w:after="0"/>
        <w:jc w:val="both"/>
        <w:textAlignment w:val="baseline"/>
      </w:pPr>
      <w:r>
        <w:t>Estas cifras aumentan cada año pues las costumbres islámicas, más los matrimonios polígamos hacen que su natalidad supere rápidamente a la nativa. Concretamente, Birmingham, ha sido la zona cero para la “Operación Caballo de Troya”, un programa de los supremacistas de la sharia, para islamizar las escuelas públicas. Un clérigo británico de la zona, le preguntó a un inmigrante que por qué había elegido Birmingham para vivir. Le contestó que “todo el mundo lo sabe. Birmingham es el mejor lugar de Eur</w:t>
      </w:r>
      <w:r w:rsidR="007172CE">
        <w:t>opa para los musulmanes puros”.</w:t>
      </w:r>
    </w:p>
    <w:p w:rsidR="009E2019" w:rsidRDefault="009E2019" w:rsidP="009E2019">
      <w:pPr>
        <w:pStyle w:val="NormalWeb"/>
        <w:shd w:val="clear" w:color="auto" w:fill="FFFFFF"/>
        <w:spacing w:after="0"/>
        <w:jc w:val="both"/>
        <w:textAlignment w:val="baseline"/>
      </w:pPr>
      <w:r>
        <w:t>A diferencia de otros países europeos, en Gran Bretaña la sharia está amparada por la Ley de Arbitraje de 1996, que permite la solución de disputas bajo otro sistema legal, por lo que el Consejo de la Sharia Islámica tiene tribunales en las principales ciudades de mayoría musulmana como Londres, Birmingham, Manchester, Róterdam y Bradford. El más anti</w:t>
      </w:r>
      <w:r w:rsidR="007172CE">
        <w:t>guo e importante, el de Leyton.</w:t>
      </w:r>
    </w:p>
    <w:p w:rsidR="009E2019" w:rsidRDefault="009E2019" w:rsidP="009E2019">
      <w:pPr>
        <w:pStyle w:val="NormalWeb"/>
        <w:shd w:val="clear" w:color="auto" w:fill="FFFFFF"/>
        <w:spacing w:after="0"/>
        <w:jc w:val="both"/>
        <w:textAlignment w:val="baseline"/>
      </w:pPr>
      <w:r>
        <w:t>Se estima que existen alrededor de 85 de estos tribunales en todo Reino Unido.</w:t>
      </w:r>
    </w:p>
    <w:p w:rsidR="009E2019" w:rsidRDefault="009E2019" w:rsidP="009E2019">
      <w:pPr>
        <w:pStyle w:val="NormalWeb"/>
        <w:shd w:val="clear" w:color="auto" w:fill="FFFFFF"/>
        <w:spacing w:after="0"/>
        <w:jc w:val="both"/>
        <w:textAlignment w:val="baseline"/>
      </w:pPr>
      <w:r>
        <w:t>Estas comunidades tienen sus propias escuelas, líderes, templos… todos vinculados o controlados por grupos como Islamic Forum of Europe (IFE), cuyo creador, Jamaat-e-Islami Chowdhury Mueen-Uddin, fue condenado a muerte por Crímenes de guerra en Bangladés. El objetivo de este grupo es i</w:t>
      </w:r>
      <w:r w:rsidR="007172CE">
        <w:t>mponer un “Califato” en Europa.</w:t>
      </w:r>
    </w:p>
    <w:p w:rsidR="009E2019" w:rsidRDefault="009E2019" w:rsidP="009E2019">
      <w:pPr>
        <w:pStyle w:val="NormalWeb"/>
        <w:shd w:val="clear" w:color="auto" w:fill="FFFFFF"/>
        <w:spacing w:after="0"/>
        <w:jc w:val="both"/>
        <w:textAlignment w:val="baseline"/>
      </w:pPr>
      <w:r>
        <w:t>El historiador Bernard Lewis advertía ya en 2004: “Europa será islámica al final de este siglo”. No dijo que habría una mayoría de musulmanes, no… dijo que Europa sería islámica.</w:t>
      </w:r>
    </w:p>
    <w:p w:rsidR="009E2019" w:rsidRDefault="009E2019" w:rsidP="009E2019">
      <w:pPr>
        <w:pStyle w:val="NormalWeb"/>
        <w:shd w:val="clear" w:color="auto" w:fill="FFFFFF"/>
        <w:spacing w:after="0"/>
        <w:jc w:val="both"/>
        <w:textAlignment w:val="baseline"/>
      </w:pPr>
      <w:r>
        <w:t>En barrios como Newham o Tower Hamlets, incluso los nombres de las calles están escritos en bengalí. De hecho, en 2015, el ex alcalde de Tower Hamlets, Lutfur Rahman, fue cesado, acusado de prácticas ilegales y corrupción bajo el dominio de IFE. Durante su mandato, la totalidad del gabinete estuvo formado por musulmanes de Bangladesh. Desviaban las subvenciones públicas al IFE y otros grupos como Osmani Trust, cuyo director daba discursos del tipo: “Nuestro objetivo es crear el verdadero creyente, para luego movilizarle en la “dawah” (predicación), “hisbah” (cumplimiento de la l</w:t>
      </w:r>
      <w:r w:rsidR="007172CE">
        <w:t>ey islámica) y la “yihad”.</w:t>
      </w:r>
    </w:p>
    <w:p w:rsidR="009E2019" w:rsidRDefault="009E2019" w:rsidP="009E2019">
      <w:pPr>
        <w:pStyle w:val="NormalWeb"/>
        <w:shd w:val="clear" w:color="auto" w:fill="FFFFFF"/>
        <w:spacing w:after="0"/>
        <w:jc w:val="both"/>
        <w:textAlignment w:val="baseline"/>
      </w:pPr>
      <w:r>
        <w:t>El movimiento yihadista en estas zonas es evidente para todos, menos para el gobierno. Por ejemplo, la mezquita East London, en Whitechapel, acoge a invitados como Abdullah Hasan, quien describe a los judíos como “adoradores del diab</w:t>
      </w:r>
      <w:r w:rsidR="007172CE">
        <w:t>lo” y elogia a Osama Bin Laden.</w:t>
      </w:r>
    </w:p>
    <w:p w:rsidR="009E2019" w:rsidRDefault="009E2019" w:rsidP="009E2019">
      <w:pPr>
        <w:pStyle w:val="NormalWeb"/>
        <w:shd w:val="clear" w:color="auto" w:fill="FFFFFF"/>
        <w:spacing w:after="0"/>
        <w:jc w:val="both"/>
        <w:textAlignment w:val="baseline"/>
      </w:pPr>
      <w:r>
        <w:lastRenderedPageBreak/>
        <w:t>Allí mismo, en la escuela Madani Islamic School, en Myrdle Street, están imponiendo el niqab como un</w:t>
      </w:r>
      <w:r w:rsidR="007172CE">
        <w:t>iforme a partir de los 11 años.</w:t>
      </w:r>
    </w:p>
    <w:p w:rsidR="009E2019" w:rsidRDefault="009E2019" w:rsidP="009E2019">
      <w:pPr>
        <w:pStyle w:val="NormalWeb"/>
        <w:shd w:val="clear" w:color="auto" w:fill="FFFFFF"/>
        <w:spacing w:after="0"/>
        <w:jc w:val="both"/>
        <w:textAlignment w:val="baseline"/>
      </w:pPr>
      <w:r>
        <w:t>Este mismo templo, también gestiona la escuela London East Academy, un centro de secundaria sólo para varones, con directivos como Gulam Robbani, que dirigió la campaña del alcalde cesado Rahman, o Abdul Qayyum, imán de la mezquita y signatario de la Declaración de Estambul, documento que aboga por atacar a las comunidades judías y a las t</w:t>
      </w:r>
      <w:r w:rsidR="007172CE">
        <w:t>ropas británicas.</w:t>
      </w:r>
    </w:p>
    <w:p w:rsidR="009E2019" w:rsidRDefault="009E2019" w:rsidP="009E2019">
      <w:pPr>
        <w:pStyle w:val="NormalWeb"/>
        <w:shd w:val="clear" w:color="auto" w:fill="FFFFFF"/>
        <w:spacing w:after="0"/>
        <w:jc w:val="both"/>
        <w:textAlignment w:val="baseline"/>
      </w:pPr>
      <w:r>
        <w:t>A 20 minutos a pie, se encuentra Bethnal Green Acadamy, donde 8 estudiantes, de 15 y 16 años, trataron de unirse al Estado Islámico, y 4 lo consiguieron. La policía dice no encontrar evidencias de radicalización en el centro, pero el responsable de orientación del mismo, Tasif Zaman, expresa abiertamente su apoyo a Babar Ahmad, condenado por terrorismo, y a Shaker</w:t>
      </w:r>
      <w:r w:rsidR="007172CE">
        <w:t xml:space="preserve"> Aamer, reclutador de Al Qaeda.</w:t>
      </w:r>
    </w:p>
    <w:p w:rsidR="009E2019" w:rsidRDefault="009E2019" w:rsidP="009E2019">
      <w:pPr>
        <w:pStyle w:val="NormalWeb"/>
        <w:shd w:val="clear" w:color="auto" w:fill="FFFFFF"/>
        <w:spacing w:after="0"/>
        <w:jc w:val="both"/>
        <w:textAlignment w:val="baseline"/>
      </w:pPr>
      <w:r>
        <w:t>Por otra parte, el coordinador de eventos de la academia es también responsable de Red Leaf, un grupo islámico que da cobijo a extremistas de Tablig</w:t>
      </w:r>
      <w:r w:rsidR="007172CE">
        <w:t>h o de los Hermanos Musulmanes.</w:t>
      </w:r>
    </w:p>
    <w:p w:rsidR="009E2019" w:rsidRDefault="009E2019" w:rsidP="009E2019">
      <w:pPr>
        <w:pStyle w:val="NormalWeb"/>
        <w:shd w:val="clear" w:color="auto" w:fill="FFFFFF"/>
        <w:spacing w:after="0"/>
        <w:jc w:val="both"/>
        <w:textAlignment w:val="baseline"/>
      </w:pPr>
      <w:r>
        <w:t>En lo único que gobierno y fuerzas de seguridad se ponen de acuerdo con el ciudadano es en que, donde domina la sharia, se crean grupo de crimen organizado ante los que la policía poco puede hacer, lo que provocado una migración masiva de los británicos nativos de las zona</w:t>
      </w:r>
      <w:r w:rsidR="007172CE">
        <w:t>s conocida como “White flight”.</w:t>
      </w:r>
    </w:p>
    <w:p w:rsidR="009E2019" w:rsidRDefault="009E2019" w:rsidP="009E2019">
      <w:pPr>
        <w:pStyle w:val="NormalWeb"/>
        <w:shd w:val="clear" w:color="auto" w:fill="FFFFFF"/>
        <w:spacing w:after="0"/>
        <w:jc w:val="both"/>
        <w:textAlignment w:val="baseline"/>
      </w:pPr>
      <w:r>
        <w:t>Algunos agentes admiten que hay zonas musulmanas donde piden permiso a los líderes de las co</w:t>
      </w:r>
      <w:r w:rsidR="007172CE">
        <w:t>munidades para poder patrullar.</w:t>
      </w:r>
    </w:p>
    <w:p w:rsidR="009E2019" w:rsidRDefault="009E2019" w:rsidP="009E2019">
      <w:pPr>
        <w:pStyle w:val="NormalWeb"/>
        <w:shd w:val="clear" w:color="auto" w:fill="FFFFFF"/>
        <w:spacing w:after="0"/>
        <w:jc w:val="both"/>
        <w:textAlignment w:val="baseline"/>
      </w:pPr>
      <w:r>
        <w:t>Dinamarca</w:t>
      </w:r>
    </w:p>
    <w:p w:rsidR="009E2019" w:rsidRDefault="009E2019" w:rsidP="009E2019">
      <w:pPr>
        <w:pStyle w:val="NormalWeb"/>
        <w:shd w:val="clear" w:color="auto" w:fill="FFFFFF"/>
        <w:spacing w:after="0"/>
        <w:jc w:val="both"/>
        <w:textAlignment w:val="baseline"/>
      </w:pPr>
      <w:r>
        <w:t>En Dinamarca nace en 2011, el grupo islamista Kaldet til islam (llamada al islam), que declaró unilateralmente suburbios y distritos como Tingbjerg y Norrebo zonas bajo la vigilancia de la ley i</w:t>
      </w:r>
      <w:r w:rsidR="004B63EC">
        <w:t>slámica con carteles que rezan “</w:t>
      </w:r>
      <w:r>
        <w:t>Está entrando e</w:t>
      </w:r>
      <w:r w:rsidR="00C13914">
        <w:t>n zona controlada por la Shari</w:t>
      </w:r>
      <w:r w:rsidR="004B63EC">
        <w:t>a”</w:t>
      </w:r>
      <w:r>
        <w:t xml:space="preserve">. Así como el grupo fundamentalista islámico, Ahlu Sunah Wa Jammah, que patrulla en Copenhague con ideas del tipo: “si alguien ve </w:t>
      </w:r>
      <w:r w:rsidR="003176A0">
        <w:t>cómo</w:t>
      </w:r>
      <w:r>
        <w:t xml:space="preserve"> le cortan las manos a un ladrón, se abstendrá de cometer el mismo delito”.</w:t>
      </w:r>
    </w:p>
    <w:p w:rsidR="009E2019" w:rsidRDefault="009E2019" w:rsidP="009E2019">
      <w:pPr>
        <w:pStyle w:val="NormalWeb"/>
        <w:shd w:val="clear" w:color="auto" w:fill="FFFFFF"/>
        <w:spacing w:after="0"/>
        <w:jc w:val="both"/>
        <w:textAlignment w:val="baseline"/>
      </w:pPr>
      <w:r>
        <w:t xml:space="preserve">Otras zonas como Brondy Strand y Odense han sido reconocidas por el Parlamento danés como zonas bajo control </w:t>
      </w:r>
      <w:r w:rsidR="00C13914">
        <w:t>musulmán</w:t>
      </w:r>
      <w:r>
        <w:t>. El informe oficial hablaba d</w:t>
      </w:r>
      <w:r w:rsidR="00C13914">
        <w:t>e 31 guetos regidos por la shari</w:t>
      </w:r>
      <w:r>
        <w:t xml:space="preserve">a a finales de 2016, cuando el ministro de inmigración </w:t>
      </w:r>
      <w:r w:rsidR="00C13914">
        <w:t>danés</w:t>
      </w:r>
      <w:r>
        <w:t>, Inger Stojberg, confesaba: “la integración en Dinamarca ha fallado”.</w:t>
      </w:r>
    </w:p>
    <w:p w:rsidR="009E2019" w:rsidRDefault="009E2019" w:rsidP="009E2019">
      <w:pPr>
        <w:pStyle w:val="NormalWeb"/>
        <w:shd w:val="clear" w:color="auto" w:fill="FFFFFF"/>
        <w:spacing w:after="0"/>
        <w:jc w:val="both"/>
        <w:textAlignment w:val="baseline"/>
      </w:pPr>
      <w:r>
        <w:t>En septiembre de 2017, el primer ministro danés, Lars Lokke Rasmussen advirtió del riesgo de las NO-GO Zones, convirtiéndose en el primer político de rel</w:t>
      </w:r>
      <w:r w:rsidR="007172CE">
        <w:t>evancia en admitir el problema:</w:t>
      </w:r>
    </w:p>
    <w:p w:rsidR="009E2019" w:rsidRDefault="009E2019" w:rsidP="009E2019">
      <w:pPr>
        <w:pStyle w:val="NormalWeb"/>
        <w:shd w:val="clear" w:color="auto" w:fill="FFFFFF"/>
        <w:spacing w:after="0"/>
        <w:jc w:val="both"/>
        <w:textAlignment w:val="baseline"/>
      </w:pPr>
      <w:r>
        <w:t>“Hay que ser realistas con la situación. Hay áreas con diferentes reglas, donde bandas musulmanas controlan todo y la policía no puede trabajar. No puedo dejar q eso ocurra. Hemos intentado todo lo posible para que se integren, pero no lo hemos conseguido. Es hora de mostrarnos más contundentes”</w:t>
      </w:r>
      <w:r w:rsidR="007172CE">
        <w:t>.</w:t>
      </w:r>
    </w:p>
    <w:p w:rsidR="009E2019" w:rsidRDefault="009E2019" w:rsidP="009E2019">
      <w:pPr>
        <w:pStyle w:val="NormalWeb"/>
        <w:shd w:val="clear" w:color="auto" w:fill="FFFFFF"/>
        <w:spacing w:after="0"/>
        <w:jc w:val="both"/>
        <w:textAlignment w:val="baseline"/>
      </w:pPr>
      <w:r>
        <w:lastRenderedPageBreak/>
        <w:t>El propio parlamento aprobó una resolución, en febrero, afirmando que los daneses no deben convertirse en minorías en sus propias comunidades, c</w:t>
      </w:r>
      <w:r w:rsidR="007172CE">
        <w:t>omo ya ocurre en algunas zonas.</w:t>
      </w:r>
    </w:p>
    <w:p w:rsidR="009E2019" w:rsidRDefault="009E2019" w:rsidP="009E2019">
      <w:pPr>
        <w:pStyle w:val="NormalWeb"/>
        <w:shd w:val="clear" w:color="auto" w:fill="FFFFFF"/>
        <w:spacing w:after="0"/>
        <w:jc w:val="both"/>
        <w:textAlignment w:val="baseline"/>
      </w:pPr>
      <w:r>
        <w:t xml:space="preserve">Así mismo, Martin Henriksen, encargado del comité Políticas de Inmigración e Integración, ha dicho: “Debemos controlar todas las fronteras, incluidas las que tenemos con Suecia. No podemos permitir que ocurra lo q está ocurriendo en nuestro país vecino. No </w:t>
      </w:r>
      <w:r w:rsidR="007172CE">
        <w:t>queremos islamistas radicales”.</w:t>
      </w:r>
    </w:p>
    <w:p w:rsidR="009E2019" w:rsidRDefault="009E2019" w:rsidP="009E2019">
      <w:pPr>
        <w:pStyle w:val="NormalWeb"/>
        <w:shd w:val="clear" w:color="auto" w:fill="FFFFFF"/>
        <w:spacing w:after="0"/>
        <w:jc w:val="both"/>
        <w:textAlignment w:val="baseline"/>
      </w:pPr>
      <w:r>
        <w:t>En 2016, los estudios de desempleo daneses mostraban q el 84% de las familias que dependen completamente d</w:t>
      </w:r>
      <w:r w:rsidR="007172CE">
        <w:t>el estado viven en NO-GO Zones.</w:t>
      </w:r>
    </w:p>
    <w:p w:rsidR="009E2019" w:rsidRDefault="009E2019" w:rsidP="009E2019">
      <w:pPr>
        <w:pStyle w:val="NormalWeb"/>
        <w:shd w:val="clear" w:color="auto" w:fill="FFFFFF"/>
        <w:spacing w:after="0"/>
        <w:jc w:val="both"/>
        <w:textAlignment w:val="baseline"/>
      </w:pPr>
      <w:r>
        <w:t>Para los que entendéis inglés, en este video subtitulado podéis ver a los jefes de policía de distritos de Suecia y Dinam</w:t>
      </w:r>
      <w:r w:rsidR="007172CE">
        <w:t>arca denunciando lo que ocurre.</w:t>
      </w:r>
    </w:p>
    <w:p w:rsidR="009E2019" w:rsidRDefault="009E2019" w:rsidP="009E2019">
      <w:pPr>
        <w:pStyle w:val="NormalWeb"/>
        <w:shd w:val="clear" w:color="auto" w:fill="FFFFFF"/>
        <w:spacing w:after="0"/>
        <w:jc w:val="both"/>
        <w:textAlignment w:val="baseline"/>
      </w:pPr>
      <w:r>
        <w:t>Países Bajos</w:t>
      </w:r>
    </w:p>
    <w:p w:rsidR="009E2019" w:rsidRDefault="009E2019" w:rsidP="009E2019">
      <w:pPr>
        <w:pStyle w:val="NormalWeb"/>
        <w:shd w:val="clear" w:color="auto" w:fill="FFFFFF"/>
        <w:spacing w:after="0"/>
        <w:jc w:val="both"/>
        <w:textAlignment w:val="baseline"/>
      </w:pPr>
      <w:r>
        <w:t xml:space="preserve">En 2015, los tribunales obligaron al gobierno de los Países Bajos a publicar </w:t>
      </w:r>
      <w:r w:rsidR="007172CE">
        <w:t>la lista de las 40 NO-GO Zones.</w:t>
      </w:r>
    </w:p>
    <w:p w:rsidR="009E2019" w:rsidRPr="004B63EC" w:rsidRDefault="00C13914" w:rsidP="009E2019">
      <w:pPr>
        <w:pStyle w:val="NormalWeb"/>
        <w:shd w:val="clear" w:color="auto" w:fill="FFFFFF"/>
        <w:spacing w:after="0"/>
        <w:jc w:val="both"/>
        <w:textAlignment w:val="baseline"/>
      </w:pPr>
      <w:r>
        <w:t>El área de Kolenkit, en Á</w:t>
      </w:r>
      <w:r w:rsidR="009E2019">
        <w:t xml:space="preserve">msterdam, figura como la más problemática de todas. Seguida por Pendrecht, Ourde Noorden y Bloemhof (las 3 en Rotterdam). El puesto número 5 es para Ondiep en Utrecht. </w:t>
      </w:r>
      <w:r w:rsidRPr="004B63EC">
        <w:t>Después</w:t>
      </w:r>
      <w:r w:rsidR="009E2019" w:rsidRPr="004B63EC">
        <w:t xml:space="preserve"> irían Rivierenwijk (Deventer), Spangen (Rotterdam), Oude Westen (Rotterdam) Heechterp / Schieringen (Leeuwar</w:t>
      </w:r>
      <w:r w:rsidR="007172CE" w:rsidRPr="004B63EC">
        <w:t>den) y Noord-Oost (Maastricht).</w:t>
      </w:r>
    </w:p>
    <w:p w:rsidR="009E2019" w:rsidRDefault="009E2019" w:rsidP="009E2019">
      <w:pPr>
        <w:pStyle w:val="NormalWeb"/>
        <w:shd w:val="clear" w:color="auto" w:fill="FFFFFF"/>
        <w:spacing w:after="0"/>
        <w:jc w:val="both"/>
        <w:textAlignment w:val="baseline"/>
      </w:pPr>
      <w:r>
        <w:t>En 2017 se empezó a hablar de que el problema se había extendido a otras zonas como Nijmegen y Veldhoven, aunque oficialm</w:t>
      </w:r>
      <w:r w:rsidR="007172CE">
        <w:t>ente no están en la lista… aún.</w:t>
      </w:r>
    </w:p>
    <w:p w:rsidR="009E2019" w:rsidRDefault="009E2019" w:rsidP="009E2019">
      <w:pPr>
        <w:pStyle w:val="NormalWeb"/>
        <w:shd w:val="clear" w:color="auto" w:fill="FFFFFF"/>
        <w:spacing w:after="0"/>
        <w:jc w:val="both"/>
        <w:textAlignment w:val="baseline"/>
      </w:pPr>
      <w:r>
        <w:t xml:space="preserve">La cadena de televisión pública holandesa NOS, ya advirtió de que Países Bajos se había convertido en uno de los mayores proveedores de yihadistas en Europa, denunciando que la mayoría se había </w:t>
      </w:r>
      <w:r w:rsidR="007172CE">
        <w:t>unido al grupo Jabhat al-Nusra.</w:t>
      </w:r>
    </w:p>
    <w:p w:rsidR="009E2019" w:rsidRDefault="009E2019" w:rsidP="009E2019">
      <w:pPr>
        <w:pStyle w:val="NormalWeb"/>
        <w:shd w:val="clear" w:color="auto" w:fill="FFFFFF"/>
        <w:spacing w:after="0"/>
        <w:jc w:val="both"/>
        <w:textAlignment w:val="baseline"/>
      </w:pPr>
      <w:r>
        <w:t>En La Haya, ha habido 3 manifestaciones a favor de ISIS (2014, 2015, 2016). Allí hay una zona a la que ya llaman “El Triángulo de la Sharia”.</w:t>
      </w:r>
    </w:p>
    <w:p w:rsidR="007172CE" w:rsidRDefault="009E2019" w:rsidP="009E2019">
      <w:pPr>
        <w:pStyle w:val="NormalWeb"/>
        <w:shd w:val="clear" w:color="auto" w:fill="FFFFFF"/>
        <w:spacing w:after="0"/>
        <w:jc w:val="both"/>
        <w:textAlignment w:val="baseline"/>
      </w:pPr>
      <w:r>
        <w:t>Un dato significativo en todo esto es que se estima que la población musulmana en Países Bajos ronda el 6%, pero si hablamos de población presa, las cifras hablan del 20% en prisiones para adultos y 26% en centros de menores. Datos sacados irónicamente del Instituto para una Sociedad Abierta de George Soros.</w:t>
      </w:r>
    </w:p>
    <w:p w:rsidR="009E2019" w:rsidRDefault="009E2019" w:rsidP="009E2019">
      <w:pPr>
        <w:pStyle w:val="NormalWeb"/>
        <w:shd w:val="clear" w:color="auto" w:fill="FFFFFF"/>
        <w:spacing w:after="0"/>
        <w:jc w:val="both"/>
        <w:textAlignment w:val="baseline"/>
      </w:pPr>
      <w:r>
        <w:t>Otro distrito, mayoritariamente musulmán, el de Schilderswijk, se está haciendo famoso en YouTube. Como los delincuentes pueden actuar con impunidad, se permiten incluso subir los v</w:t>
      </w:r>
      <w:r w:rsidR="007172CE">
        <w:t>ideos de sus crímenes a la web.</w:t>
      </w:r>
    </w:p>
    <w:p w:rsidR="009E2019" w:rsidRDefault="009E2019" w:rsidP="009E2019">
      <w:pPr>
        <w:pStyle w:val="NormalWeb"/>
        <w:shd w:val="clear" w:color="auto" w:fill="FFFFFF"/>
        <w:spacing w:after="0"/>
        <w:jc w:val="both"/>
        <w:textAlignment w:val="baseline"/>
      </w:pPr>
      <w:r>
        <w:t>Los habitantes no-musulmanes de estas zonas se enfrentan a problemas de convivencia diaria desde el hecho de q</w:t>
      </w:r>
      <w:r w:rsidR="00C602D9">
        <w:t>ue</w:t>
      </w:r>
      <w:r>
        <w:t xml:space="preserve"> les prohíban pasear a sus perros porque para los musulmanes son animales impuros, hasta el temor de una mujer a salir</w:t>
      </w:r>
      <w:r w:rsidR="007172CE">
        <w:t xml:space="preserve"> sola porque puede ser violada.</w:t>
      </w:r>
    </w:p>
    <w:p w:rsidR="003176A0" w:rsidRDefault="003176A0" w:rsidP="009E2019">
      <w:pPr>
        <w:pStyle w:val="NormalWeb"/>
        <w:shd w:val="clear" w:color="auto" w:fill="FFFFFF"/>
        <w:spacing w:after="0"/>
        <w:jc w:val="both"/>
        <w:textAlignment w:val="baseline"/>
      </w:pPr>
    </w:p>
    <w:p w:rsidR="003176A0" w:rsidRDefault="003176A0" w:rsidP="009E2019">
      <w:pPr>
        <w:pStyle w:val="NormalWeb"/>
        <w:shd w:val="clear" w:color="auto" w:fill="FFFFFF"/>
        <w:spacing w:after="0"/>
        <w:jc w:val="both"/>
        <w:textAlignment w:val="baseline"/>
      </w:pPr>
    </w:p>
    <w:p w:rsidR="009E2019" w:rsidRDefault="009E2019" w:rsidP="009E2019">
      <w:pPr>
        <w:pStyle w:val="NormalWeb"/>
        <w:shd w:val="clear" w:color="auto" w:fill="FFFFFF"/>
        <w:spacing w:after="0"/>
        <w:jc w:val="both"/>
        <w:textAlignment w:val="baseline"/>
      </w:pPr>
      <w:r>
        <w:lastRenderedPageBreak/>
        <w:t>Bélgica</w:t>
      </w:r>
    </w:p>
    <w:p w:rsidR="009E2019" w:rsidRDefault="009E2019" w:rsidP="009E2019">
      <w:pPr>
        <w:pStyle w:val="NormalWeb"/>
        <w:shd w:val="clear" w:color="auto" w:fill="FFFFFF"/>
        <w:spacing w:after="0"/>
        <w:jc w:val="both"/>
        <w:textAlignment w:val="baseline"/>
      </w:pPr>
      <w:r>
        <w:t>Bélgica tiene su propio récord como país de la zona occidental europea que más yihadistas produce per cápita. Se habla de que hay unos 260 belgas combatiendo en el Estado Islámico. Si ponemos esta cifra en proporción a la población, sería como si hubiera</w:t>
      </w:r>
      <w:r w:rsidR="007172CE">
        <w:t xml:space="preserve"> más de 100.000 españoles allí.</w:t>
      </w:r>
    </w:p>
    <w:p w:rsidR="009E2019" w:rsidRDefault="009E2019" w:rsidP="009E2019">
      <w:pPr>
        <w:pStyle w:val="NormalWeb"/>
        <w:shd w:val="clear" w:color="auto" w:fill="FFFFFF"/>
        <w:spacing w:after="0"/>
        <w:jc w:val="both"/>
        <w:textAlignment w:val="baseline"/>
      </w:pPr>
      <w:r>
        <w:t>El mejor ejemplo de zona No-Go, cuna europea de yihadistas es, sin duda, Molenbeek, situado en el centro de Bruselas, a menos de 20 minutos caminando de la turística Grand-Place. El propio primer ministro belga, Charles Michel, dijo: “Casi siempre que hay un atentado terrorista, está vinculado a Molenbeek”. Así mismo, su ministro del interior, Jan Jambon, fue más explícito, diciendo que las autoridades no “tienen control sobre Molenbeek”, se “está haciendo famosa como la ce</w:t>
      </w:r>
      <w:r w:rsidR="007172CE">
        <w:t>ntral del yihadismo en Europa”.</w:t>
      </w:r>
    </w:p>
    <w:p w:rsidR="009E2019" w:rsidRDefault="009E2019" w:rsidP="009E2019">
      <w:pPr>
        <w:pStyle w:val="NormalWeb"/>
        <w:shd w:val="clear" w:color="auto" w:fill="FFFFFF"/>
        <w:spacing w:after="0"/>
        <w:jc w:val="both"/>
        <w:textAlignment w:val="baseline"/>
      </w:pPr>
      <w:r>
        <w:t>Y es que los 9 autores de los atentados de Paris, en noviembre de 2015, tenían conexiones con este barrio, como Salah Abdeslam, que creció en él. Los atentados con bombas, de marzo de 2016, en el aeropuerto y el metro de Bélgica, fueron planeados allí. Las pistolas que se usaron en el ataque a Charlie Hebdo, se obtuvieron en Molenbeek. Ayou El Khazzani, que intentó hacer una masacre en el tren Thalys en</w:t>
      </w:r>
      <w:r w:rsidR="007172CE">
        <w:t xml:space="preserve"> agosto de 2015, salió de allí…</w:t>
      </w:r>
    </w:p>
    <w:p w:rsidR="009E2019" w:rsidRDefault="009E2019" w:rsidP="009E2019">
      <w:pPr>
        <w:pStyle w:val="NormalWeb"/>
        <w:shd w:val="clear" w:color="auto" w:fill="FFFFFF"/>
        <w:spacing w:after="0"/>
        <w:jc w:val="both"/>
        <w:textAlignment w:val="baseline"/>
      </w:pPr>
      <w:r>
        <w:t>Algunos habitantes han querido denunciar cuando saben de alguien que se está radicalizando, pero la forma de actuar de la justicia en casos previos les disuade, como fue el caso de Geraldine, que denunció a la policía que su hijo Anis se estaba radicalizando y pretendía irse a Siria. Los magistrados dictaminaron que era un adulto y no podían detenerle si quería irse. Una semana después, Geraldine recibía un mensaje de texto del Estado Islámico, en el que la felicitaban porque su hijo se había convertido en un mártir que había muert</w:t>
      </w:r>
      <w:r w:rsidR="007172CE">
        <w:t>o luchando contra los infieles.</w:t>
      </w:r>
    </w:p>
    <w:p w:rsidR="009E2019" w:rsidRDefault="009E2019" w:rsidP="009E2019">
      <w:pPr>
        <w:pStyle w:val="NormalWeb"/>
        <w:shd w:val="clear" w:color="auto" w:fill="FFFFFF"/>
        <w:spacing w:after="0"/>
        <w:jc w:val="both"/>
        <w:textAlignment w:val="baseline"/>
      </w:pPr>
      <w:r>
        <w:t>En julio de 2015, Khalid Zerkani, marroquí con nacionalidad belga, fue condenado a 12 años de prisión por incitación a la radicalización y a la delincuencia en Bruselas. Vecinos de Molenbeek aseguraron que enseñaba a los chavales que cualquier delito contra los infieles estaba bien visto a los ojos de Alá. Se le relacionó con la mafia tunecina, la cual ofrece pagos de más de 300€ por persona reclutada para la Yihad. Los mismos vecinos afirman que esos fondos provienen d</w:t>
      </w:r>
      <w:r w:rsidR="007172CE">
        <w:t>e “un país muy rico del golfo”.</w:t>
      </w:r>
    </w:p>
    <w:p w:rsidR="009E2019" w:rsidRDefault="009E2019" w:rsidP="009E2019">
      <w:pPr>
        <w:pStyle w:val="NormalWeb"/>
        <w:shd w:val="clear" w:color="auto" w:fill="FFFFFF"/>
        <w:spacing w:after="0"/>
        <w:jc w:val="both"/>
        <w:textAlignment w:val="baseline"/>
      </w:pPr>
      <w:r>
        <w:t>Allí, al igual que en Reino Unido, surgió un movimiento llamado Shariah4Belgium (sharia para Bélgica). En 2015, un líder de este grupo, Fouad Belkacem, dijo mientras era detenido por incitación a la violencia terrorista: “Si queréis ir al infierno, es vuestro problema, pero vamos a vivir como queremos”. Fue condenado a 12 años de prisión.</w:t>
      </w:r>
    </w:p>
    <w:p w:rsidR="009E2019" w:rsidRDefault="009E2019" w:rsidP="009E2019">
      <w:pPr>
        <w:pStyle w:val="NormalWeb"/>
        <w:shd w:val="clear" w:color="auto" w:fill="FFFFFF"/>
        <w:spacing w:after="0"/>
        <w:jc w:val="both"/>
        <w:textAlignment w:val="baseline"/>
      </w:pPr>
      <w:r>
        <w:t>Esta organización, surgida del movimiento salafista en la zona, fue catalogada de organización terrorista que recluta y radicaliza a la juventud. Abogan por la pena de muerte para los homosexuales, el fin de la democracia y la implementación de la ley sharia en toda Bélgica. De los más de 400 belgas que han viajado a encontrarse con el Estado Islámico, la mayoría tien</w:t>
      </w:r>
      <w:r w:rsidR="007172CE">
        <w:t>en vínculos con Sharia4Belgium.</w:t>
      </w:r>
    </w:p>
    <w:p w:rsidR="009E2019" w:rsidRDefault="009E2019" w:rsidP="009E2019">
      <w:pPr>
        <w:pStyle w:val="NormalWeb"/>
        <w:shd w:val="clear" w:color="auto" w:fill="FFFFFF"/>
        <w:spacing w:after="0"/>
        <w:jc w:val="both"/>
        <w:textAlignment w:val="baseline"/>
      </w:pPr>
      <w:r>
        <w:t>Bélgica cuenta con un 20% de población musulmana</w:t>
      </w:r>
      <w:r w:rsidR="007172CE">
        <w:t>, pero en Molenbeek es del 80%.</w:t>
      </w:r>
    </w:p>
    <w:p w:rsidR="009E2019" w:rsidRDefault="009E2019" w:rsidP="009E2019">
      <w:pPr>
        <w:pStyle w:val="NormalWeb"/>
        <w:shd w:val="clear" w:color="auto" w:fill="FFFFFF"/>
        <w:spacing w:after="0"/>
        <w:jc w:val="both"/>
        <w:textAlignment w:val="baseline"/>
      </w:pPr>
      <w:r>
        <w:t xml:space="preserve">Si sumamos que el 50% de los nacimientos ya suceden en el seno de familias musulmanas, con el promedio de conversión de 1.200 personas al año, y </w:t>
      </w:r>
      <w:r w:rsidR="00C602D9">
        <w:t>con una tasa de fertilidad de 1,</w:t>
      </w:r>
      <w:r>
        <w:t xml:space="preserve">38 </w:t>
      </w:r>
      <w:r>
        <w:lastRenderedPageBreak/>
        <w:t>(lo necesario para garantizar la</w:t>
      </w:r>
      <w:r w:rsidR="00C602D9">
        <w:t xml:space="preserve"> supervivencia de una raza es 2,</w:t>
      </w:r>
      <w:r>
        <w:t>1) ¿cuánto calculáis que falta</w:t>
      </w:r>
      <w:r w:rsidR="007172CE">
        <w:t xml:space="preserve"> para que sea un país musulmán?</w:t>
      </w:r>
    </w:p>
    <w:p w:rsidR="009E2019" w:rsidRDefault="009E2019" w:rsidP="009E2019">
      <w:pPr>
        <w:pStyle w:val="NormalWeb"/>
        <w:shd w:val="clear" w:color="auto" w:fill="FFFFFF"/>
        <w:spacing w:after="0"/>
        <w:jc w:val="both"/>
        <w:textAlignment w:val="baseline"/>
      </w:pPr>
      <w:r>
        <w:t>En la propia capital, desde 2001, Mohamed es, con diferencia, el nombre más común en los registros de nacimientos (en Reino Unido lo es desde antes de esa fecha), quedando menos de un</w:t>
      </w:r>
      <w:r w:rsidR="007172CE">
        <w:t xml:space="preserve"> 25% de población nativa belga.</w:t>
      </w:r>
    </w:p>
    <w:p w:rsidR="009E2019" w:rsidRDefault="009E2019" w:rsidP="009E2019">
      <w:pPr>
        <w:pStyle w:val="NormalWeb"/>
        <w:shd w:val="clear" w:color="auto" w:fill="FFFFFF"/>
        <w:spacing w:after="0"/>
        <w:jc w:val="both"/>
        <w:textAlignment w:val="baseline"/>
      </w:pPr>
      <w:r>
        <w:t xml:space="preserve">Bruselas ve el aumento de mezquitas clandestinas (43 de ellas han sido reconocidas por el ministro del interior, Philippe Courard) y de los imanes ilegales (se estima que un 15% de ellos lo </w:t>
      </w:r>
      <w:r w:rsidR="007172CE">
        <w:t>son) pero mira para otra parte.</w:t>
      </w:r>
    </w:p>
    <w:p w:rsidR="009E2019" w:rsidRDefault="009E2019" w:rsidP="009E2019">
      <w:pPr>
        <w:pStyle w:val="NormalWeb"/>
        <w:shd w:val="clear" w:color="auto" w:fill="FFFFFF"/>
        <w:spacing w:after="0"/>
        <w:jc w:val="both"/>
        <w:textAlignment w:val="baseline"/>
      </w:pPr>
      <w:r>
        <w:t>Otro dato importante en todo esto es que en Bélgica, hasta 2006, cualquiera podía comprar un arma sin permiso de ningún tipo. En ese momento, se impusieron las licencias de armas con carácter retroactivo, pero mucha gente ni se molestó, dando como resultado más de 100.000 armas sin registrar. Por ello, Bélgica tenía la reputación de “el mercado alternativo para las armas ilegales”, por lo que no es de extrañar que los terroristas planeen sus ataques allí: Consiguen las armas fácilmente y, gracias al Acuerdo de Schengen, pueden moverse libremente por las fronteras de hasta 28 países. Llegar a Paris desde M</w:t>
      </w:r>
      <w:r w:rsidR="007172CE">
        <w:t>olenbeek, son 2 horas de coche.</w:t>
      </w:r>
    </w:p>
    <w:p w:rsidR="009E2019" w:rsidRDefault="009E2019" w:rsidP="009E2019">
      <w:pPr>
        <w:pStyle w:val="NormalWeb"/>
        <w:shd w:val="clear" w:color="auto" w:fill="FFFFFF"/>
        <w:spacing w:after="0"/>
        <w:jc w:val="both"/>
        <w:textAlignment w:val="baseline"/>
      </w:pPr>
      <w:r>
        <w:t>En 2016, la cadena de televisión RTL emitió un documental en el que ponía a prueba la seguridad belga en distintas localizaciones. Lograron entrar en el Palacio de Justicia con 600g de una sustancia idéntica a explosivo real. También se unieron a un grupo de turistas en el Parlamento Europeo, pasando por los detectores de metales una bomba de imitación y un detonador. Los eurodiputados estaban allí mismo. Se escabulleron de la guía, montaron y prepararon el dispositivo en el baño, y volvieron con el grupo sin que na</w:t>
      </w:r>
      <w:r w:rsidR="007172CE">
        <w:t>die hubiera notado su ausencia.</w:t>
      </w:r>
    </w:p>
    <w:p w:rsidR="009E2019" w:rsidRDefault="009E2019" w:rsidP="009E2019">
      <w:pPr>
        <w:pStyle w:val="NormalWeb"/>
        <w:shd w:val="clear" w:color="auto" w:fill="FFFFFF"/>
        <w:spacing w:after="0"/>
        <w:jc w:val="both"/>
        <w:textAlignment w:val="baseline"/>
      </w:pPr>
      <w:r>
        <w:t>Las fuerzas de seguridad belgas también han sido muy criticadas. Concretamente, los múltiples pero fallidos intentos de arrestar a Salah Abdeslam, en los 4 meses que paseo libremente por B</w:t>
      </w:r>
      <w:r w:rsidR="007172CE">
        <w:t>ruselas, tras atentar en Paris.</w:t>
      </w:r>
    </w:p>
    <w:p w:rsidR="009E2019" w:rsidRDefault="009E2019" w:rsidP="009E2019">
      <w:pPr>
        <w:pStyle w:val="NormalWeb"/>
        <w:shd w:val="clear" w:color="auto" w:fill="FFFFFF"/>
        <w:spacing w:after="0"/>
        <w:jc w:val="both"/>
        <w:textAlignment w:val="baseline"/>
      </w:pPr>
      <w:r>
        <w:t>Francia</w:t>
      </w:r>
    </w:p>
    <w:p w:rsidR="009E2019" w:rsidRDefault="009E2019" w:rsidP="009E2019">
      <w:pPr>
        <w:pStyle w:val="NormalWeb"/>
        <w:shd w:val="clear" w:color="auto" w:fill="FFFFFF"/>
        <w:spacing w:after="0"/>
        <w:jc w:val="both"/>
        <w:textAlignment w:val="baseline"/>
      </w:pPr>
      <w:r>
        <w:t>La policía francesa calcula unas 750 zonas islamistas donde los carteles advierten «Usted está entrando en una zona controlada por la Sharia: reglas islámicas obligatorias”. Suburbios como Seine-Saint Denise (donde se llevó a cabo la gran operación policial tras los atentados del 13 de noviembre de Paris), Roubaix, Evry y Grigny en la Isla de Francia, los distritos Fafet-Brossolette, Les Izards o Aubervilliers en Paris, forman parte de esa lista.</w:t>
      </w:r>
    </w:p>
    <w:p w:rsidR="009E2019" w:rsidRDefault="009E2019" w:rsidP="009E2019">
      <w:pPr>
        <w:pStyle w:val="NormalWeb"/>
        <w:shd w:val="clear" w:color="auto" w:fill="FFFFFF"/>
        <w:spacing w:after="0"/>
        <w:jc w:val="both"/>
        <w:textAlignment w:val="baseline"/>
      </w:pPr>
      <w:r>
        <w:t>En Paris, Lyon, Marsella, Toulouse… los musulmanes cierran calles y aceras para poder rezar en grupo las oraciones de los viernes. Obligando a cerrar a los negocios de dichas calles, y dejando atrapados a los no-musulmanes en sus casas o lugares de trabajo, violando la ley francesa con total impunidad. Algunas mezquitas incluso retransmiten la ora</w:t>
      </w:r>
      <w:r w:rsidR="007172CE">
        <w:t>ción al exterior por altavoces.</w:t>
      </w:r>
    </w:p>
    <w:p w:rsidR="009E2019" w:rsidRDefault="00C602D9" w:rsidP="009E2019">
      <w:pPr>
        <w:pStyle w:val="NormalWeb"/>
        <w:shd w:val="clear" w:color="auto" w:fill="FFFFFF"/>
        <w:spacing w:after="0"/>
        <w:jc w:val="both"/>
        <w:textAlignment w:val="baseline"/>
      </w:pPr>
      <w:r>
        <w:t>“</w:t>
      </w:r>
      <w:r w:rsidR="009E2019">
        <w:t>Nos enfrentamos a las</w:t>
      </w:r>
      <w:r>
        <w:t xml:space="preserve"> consecuencias, no a las causas”</w:t>
      </w:r>
      <w:r w:rsidR="009E2019">
        <w:t>, dec</w:t>
      </w:r>
      <w:r w:rsidR="007172CE">
        <w:t>laraba Denis Jacob, del CFDT.</w:t>
      </w:r>
    </w:p>
    <w:p w:rsidR="009E2019" w:rsidRDefault="009E2019" w:rsidP="009E2019">
      <w:pPr>
        <w:pStyle w:val="NormalWeb"/>
        <w:shd w:val="clear" w:color="auto" w:fill="FFFFFF"/>
        <w:spacing w:after="0"/>
        <w:jc w:val="both"/>
        <w:textAlignment w:val="baseline"/>
      </w:pPr>
      <w:r>
        <w:lastRenderedPageBreak/>
        <w:t xml:space="preserve">Se estima que unos 5 millones de musulmanes viven en estas NO-GO Zones, llamadas ZUS (zones urbaines sensible). Representan un 7-8% de la población, aunque copan </w:t>
      </w:r>
      <w:r w:rsidR="007172CE">
        <w:t>el 70% de la población reclusa.</w:t>
      </w:r>
    </w:p>
    <w:p w:rsidR="009E2019" w:rsidRDefault="009E2019" w:rsidP="009E2019">
      <w:pPr>
        <w:pStyle w:val="NormalWeb"/>
        <w:shd w:val="clear" w:color="auto" w:fill="FFFFFF"/>
        <w:spacing w:after="0"/>
        <w:jc w:val="both"/>
        <w:textAlignment w:val="baseline"/>
      </w:pPr>
      <w:r>
        <w:t>Ya en 2013, Laurent Obertone, periodista especializado en criminología, denunciaba en un documental que desaconsejaba cualquier intento de entrar a dichas zonas y que, ni siquiera los franceses iban ya. Y, en 2014, Le Figaro publicaba unos documentos, filtrados por inteligencia, advirtiendo del crecimiento de la sharia en las escuelas de los suburbios de mayoría musulmana donde el velo, el ausentismo en festivos islámicos y la oración</w:t>
      </w:r>
      <w:r w:rsidR="007172CE">
        <w:t xml:space="preserve"> en los pasillos, son normales.</w:t>
      </w:r>
    </w:p>
    <w:p w:rsidR="009E2019" w:rsidRDefault="009E2019" w:rsidP="009E2019">
      <w:pPr>
        <w:pStyle w:val="NormalWeb"/>
        <w:shd w:val="clear" w:color="auto" w:fill="FFFFFF"/>
        <w:spacing w:after="0"/>
        <w:jc w:val="both"/>
        <w:textAlignment w:val="baseline"/>
      </w:pPr>
      <w:r>
        <w:t>En mayo de 2016, el Ministro de Áreas Urbanas, Patrick Kanner, acosado por los periodistas, finalmente admitió: “Sabemos que, a día de hoy, hay unos 100 barrios potencialmente similares a Molenbeek”. (Molenbeek, el epicentro de la Yihad europea en Bélgica, del que hablábamos antes). Solamente en Seine-Saint-Denis 36 de sus 40 distritos figuran en la lista de No</w:t>
      </w:r>
      <w:r w:rsidR="007172CE">
        <w:t>-Go zones del gobierno francés.</w:t>
      </w:r>
    </w:p>
    <w:p w:rsidR="009E2019" w:rsidRDefault="009E2019" w:rsidP="009E2019">
      <w:pPr>
        <w:pStyle w:val="NormalWeb"/>
        <w:shd w:val="clear" w:color="auto" w:fill="FFFFFF"/>
        <w:spacing w:after="0"/>
        <w:jc w:val="both"/>
        <w:textAlignment w:val="baseline"/>
      </w:pPr>
      <w:r>
        <w:t>Se estima que hay unas 15.000 per</w:t>
      </w:r>
      <w:r w:rsidR="007172CE">
        <w:t>sonas radicalizadas en el país.</w:t>
      </w:r>
    </w:p>
    <w:p w:rsidR="009E2019" w:rsidRDefault="009E2019" w:rsidP="009E2019">
      <w:pPr>
        <w:pStyle w:val="NormalWeb"/>
        <w:shd w:val="clear" w:color="auto" w:fill="FFFFFF"/>
        <w:spacing w:after="0"/>
        <w:jc w:val="both"/>
        <w:textAlignment w:val="baseline"/>
      </w:pPr>
      <w:r>
        <w:t>Ese mismo año, la policía francesa fue acusada de encubrimiento cuando más de 1000 vehículos fueron quemados en barrios No-Go. Aunque ellos también son víctimas de todo esto: En 2015, 43 agentes se suicidaron. Pero ha sido el año 2017 el q ha levantado las alertas,</w:t>
      </w:r>
      <w:r w:rsidR="00901757">
        <w:t xml:space="preserve"> </w:t>
      </w:r>
      <w:r>
        <w:t xml:space="preserve">porque ya superan los 60 suicidios (8 en una misma semana), que representan más del doble de los suicidios medios antes de 2015. Además, el informe del instituto médico Inserm reveló que 7 de cada </w:t>
      </w:r>
      <w:r w:rsidR="007172CE">
        <w:t>10 estaban destinados en París.</w:t>
      </w:r>
    </w:p>
    <w:p w:rsidR="009E2019" w:rsidRDefault="009E2019" w:rsidP="009E2019">
      <w:pPr>
        <w:pStyle w:val="NormalWeb"/>
        <w:shd w:val="clear" w:color="auto" w:fill="FFFFFF"/>
        <w:spacing w:after="0"/>
        <w:jc w:val="both"/>
        <w:textAlignment w:val="baseline"/>
      </w:pPr>
      <w:r>
        <w:t>Los sindicatos denuncian que esto se debe a la elevada carga de trabajo, debido a toda esta islamización y radicalización, la presión en estos años en estado de excepción, así como la ex</w:t>
      </w:r>
      <w:r w:rsidR="007172CE">
        <w:t>posición continuada al peligro.</w:t>
      </w:r>
    </w:p>
    <w:p w:rsidR="009E2019" w:rsidRDefault="009E2019" w:rsidP="009E2019">
      <w:pPr>
        <w:pStyle w:val="NormalWeb"/>
        <w:shd w:val="clear" w:color="auto" w:fill="FFFFFF"/>
        <w:spacing w:after="0"/>
        <w:jc w:val="both"/>
        <w:textAlignment w:val="baseline"/>
      </w:pPr>
      <w:r>
        <w:t>En mayo de 2017, el periódico francés Le Parisien publicaba un reportaje donde finalmente se denunciaba la cantidad de No-Go Zones en la capital. Hablaban entre otros del distrito de Chapelle-Pajol, donde las mujeres eran totalmente despreciadas. Se les prohibía entrar a cafeterías, bares o restaurantes, e incluso caminar por la acera, ir a la estación de metro o al parque solas. Las vecinas no-musulmanas de la zona han tenido q modificar sus rutas y su manera de vestir. Algunas ni siquiera se atreven a sa</w:t>
      </w:r>
      <w:r w:rsidR="007172CE">
        <w:t>lir por miedo a las agresiones.</w:t>
      </w:r>
    </w:p>
    <w:p w:rsidR="009E2019" w:rsidRDefault="009E2019" w:rsidP="009E2019">
      <w:pPr>
        <w:pStyle w:val="NormalWeb"/>
        <w:shd w:val="clear" w:color="auto" w:fill="FFFFFF"/>
        <w:spacing w:after="0"/>
        <w:jc w:val="both"/>
        <w:textAlignment w:val="baseline"/>
      </w:pPr>
      <w:r>
        <w:t>Ya en 2014, un estudio realizado por la Alta Comisión para la Igualdad reveló que al menos 1 de cada 10 mujeres en las zonas No-Go, había sufrido alguna agresión física o sexual.</w:t>
      </w:r>
    </w:p>
    <w:p w:rsidR="006A6438" w:rsidRPr="00901757" w:rsidRDefault="006A6438" w:rsidP="009E2019">
      <w:pPr>
        <w:pStyle w:val="NormalWeb"/>
        <w:shd w:val="clear" w:color="auto" w:fill="FFFFFF"/>
        <w:spacing w:after="0"/>
        <w:jc w:val="both"/>
        <w:textAlignment w:val="baseline"/>
        <w:rPr>
          <w:u w:val="single"/>
        </w:rPr>
      </w:pPr>
      <w:r w:rsidRPr="006A6438">
        <w:rPr>
          <w:shd w:val="clear" w:color="auto" w:fill="FFFFFF"/>
        </w:rPr>
        <w:t>Adjunto enlace con la lista de las 751 zonas llamadas ZUS, </w:t>
      </w:r>
      <w:r w:rsidR="00901757" w:rsidRPr="00901757">
        <w:rPr>
          <w:u w:val="single"/>
          <w:shd w:val="clear" w:color="auto" w:fill="FFFFFF"/>
        </w:rPr>
        <w:t xml:space="preserve">haga </w:t>
      </w:r>
      <w:hyperlink r:id="rId12" w:history="1">
        <w:r w:rsidR="00901757" w:rsidRPr="00901757">
          <w:rPr>
            <w:rStyle w:val="Hipervnculo"/>
            <w:color w:val="auto"/>
            <w:bdr w:val="none" w:sz="0" w:space="0" w:color="auto" w:frame="1"/>
            <w:shd w:val="clear" w:color="auto" w:fill="FFFFFF"/>
          </w:rPr>
          <w:t>clic</w:t>
        </w:r>
        <w:r w:rsidRPr="00901757">
          <w:rPr>
            <w:rStyle w:val="Hipervnculo"/>
            <w:color w:val="auto"/>
            <w:bdr w:val="none" w:sz="0" w:space="0" w:color="auto" w:frame="1"/>
            <w:shd w:val="clear" w:color="auto" w:fill="FFFFFF"/>
          </w:rPr>
          <w:t xml:space="preserve"> aquí</w:t>
        </w:r>
      </w:hyperlink>
    </w:p>
    <w:p w:rsidR="009E2019" w:rsidRDefault="009E2019" w:rsidP="009E2019">
      <w:pPr>
        <w:pStyle w:val="NormalWeb"/>
        <w:shd w:val="clear" w:color="auto" w:fill="FFFFFF"/>
        <w:spacing w:after="0"/>
        <w:jc w:val="both"/>
        <w:textAlignment w:val="baseline"/>
      </w:pPr>
      <w:r>
        <w:t>¿Recordáis cuando la cadena de TV americana FOX lo denunciaba en enero de 2015, y los políticos franceses montaron en cólera alegando que eran “fake news”, y la alcaldesa de Paris, Anne Hidalgo, dijo que denunciaría a la Fox porque habían atacado el “honor de París”? Pues esta lista es lo que se llama</w:t>
      </w:r>
      <w:r w:rsidR="007172CE">
        <w:t xml:space="preserve"> un buen “zas, en toda la boca”</w:t>
      </w:r>
    </w:p>
    <w:p w:rsidR="009E2019" w:rsidRDefault="009E2019" w:rsidP="009E2019">
      <w:pPr>
        <w:pStyle w:val="NormalWeb"/>
        <w:shd w:val="clear" w:color="auto" w:fill="FFFFFF"/>
        <w:spacing w:after="0"/>
        <w:jc w:val="both"/>
        <w:textAlignment w:val="baseline"/>
      </w:pPr>
      <w:r>
        <w:t>Que, digo yo, si tan maravilloso está siendo el tema de la inmigración y su integración, ¿por qué Francia está pagando 3.000</w:t>
      </w:r>
      <w:r w:rsidR="00901757">
        <w:t xml:space="preserve"> </w:t>
      </w:r>
      <w:r>
        <w:t xml:space="preserve">€ a cualquier </w:t>
      </w:r>
      <w:r w:rsidR="007172CE">
        <w:t>refugiado que vuelva a su país?</w:t>
      </w:r>
    </w:p>
    <w:p w:rsidR="009E2019" w:rsidRDefault="007172CE" w:rsidP="009E2019">
      <w:pPr>
        <w:pStyle w:val="NormalWeb"/>
        <w:shd w:val="clear" w:color="auto" w:fill="FFFFFF"/>
        <w:spacing w:after="0"/>
        <w:jc w:val="both"/>
        <w:textAlignment w:val="baseline"/>
      </w:pPr>
      <w:r>
        <w:lastRenderedPageBreak/>
        <w:t>Suecia paga 8.000</w:t>
      </w:r>
      <w:r w:rsidR="00901757">
        <w:t xml:space="preserve"> </w:t>
      </w:r>
      <w:r>
        <w:t>€…</w:t>
      </w:r>
    </w:p>
    <w:p w:rsidR="009E2019" w:rsidRDefault="009E2019" w:rsidP="009E2019">
      <w:pPr>
        <w:pStyle w:val="NormalWeb"/>
        <w:shd w:val="clear" w:color="auto" w:fill="FFFFFF"/>
        <w:spacing w:after="0"/>
        <w:jc w:val="both"/>
        <w:textAlignment w:val="baseline"/>
      </w:pPr>
      <w:r>
        <w:t>Suecia</w:t>
      </w:r>
    </w:p>
    <w:p w:rsidR="009E2019" w:rsidRDefault="009E2019" w:rsidP="009E2019">
      <w:pPr>
        <w:pStyle w:val="NormalWeb"/>
        <w:shd w:val="clear" w:color="auto" w:fill="FFFFFF"/>
        <w:spacing w:after="0"/>
        <w:jc w:val="both"/>
        <w:textAlignment w:val="baseline"/>
      </w:pPr>
      <w:r>
        <w:t>Suecia… bueno, el Imán de Malmö Adly Abu Hajar la ha definido directamente</w:t>
      </w:r>
      <w:r w:rsidR="007172CE">
        <w:t xml:space="preserve"> como “el mejor país islámico”.</w:t>
      </w:r>
    </w:p>
    <w:p w:rsidR="009E2019" w:rsidRDefault="009E2019" w:rsidP="009E2019">
      <w:pPr>
        <w:pStyle w:val="NormalWeb"/>
        <w:shd w:val="clear" w:color="auto" w:fill="FFFFFF"/>
        <w:spacing w:after="0"/>
        <w:jc w:val="both"/>
        <w:textAlignment w:val="baseline"/>
      </w:pPr>
      <w:r>
        <w:t>El experto en investigación sobre países desestabilizados, Johan Patrick Engellau, quien ha trabajado para las Naciones Unidas en materia de refugiados, advirtió a la Comisión de Seguridad Migratoria de la UE: “Me temo que es el final de la Suecia organizada, decente e igualitaria que hemos conocido hasta ahora. No me sorprendería si se produjera un conflicto en forma de guerra civil. En algunos lugares del país, la guerra civil probablemente ya ha comenzado, aunque la coalición del gobierno no parece entender que ha perdido el control. Me temo que estamos ante un momento de desenlace trágico. Es tan grave que incluso si tomáramos una acción clara y poderosa que incluya detener la inmigración y el multiculturalismo, no sé</w:t>
      </w:r>
      <w:r w:rsidR="007172CE">
        <w:t xml:space="preserve"> si podríamos salvar a Suecia”.</w:t>
      </w:r>
    </w:p>
    <w:p w:rsidR="009E2019" w:rsidRDefault="009E2019" w:rsidP="009E2019">
      <w:pPr>
        <w:pStyle w:val="NormalWeb"/>
        <w:shd w:val="clear" w:color="auto" w:fill="FFFFFF"/>
        <w:spacing w:after="0"/>
        <w:jc w:val="both"/>
        <w:textAlignment w:val="baseline"/>
      </w:pPr>
      <w:r>
        <w:t xml:space="preserve">El primer semestre de 2017, Suecia contaba con 72 No-Go </w:t>
      </w:r>
      <w:r w:rsidR="00901757">
        <w:t>Zones registradas (utenforskap -</w:t>
      </w:r>
      <w:r>
        <w:t xml:space="preserve"> zona excluida) en 22 ciudades suecas, lo cual supone un aumento del 30% en sólo 6 meses, teniendo en cuenta q el último semestre del año anterior contaba con 55. Así mismo hab</w:t>
      </w:r>
      <w:r w:rsidR="003176A0">
        <w:t>lan de 186 “zonas de exclusión”</w:t>
      </w:r>
      <w:r>
        <w:t xml:space="preserve">… que viene a ser lo mismo. Distritos como Runneryd, en Nässjö, han visto sus calles cerradas por bloques de cemento en los que </w:t>
      </w:r>
      <w:r w:rsidR="007172CE">
        <w:t>se lee: “Esta zona es nuestra”.</w:t>
      </w:r>
    </w:p>
    <w:p w:rsidR="009E2019" w:rsidRDefault="009E2019" w:rsidP="009E2019">
      <w:pPr>
        <w:pStyle w:val="NormalWeb"/>
        <w:shd w:val="clear" w:color="auto" w:fill="FFFFFF"/>
        <w:spacing w:after="0"/>
        <w:jc w:val="both"/>
        <w:textAlignment w:val="baseline"/>
      </w:pPr>
      <w:r>
        <w:t>Estas zonas cuentan tam</w:t>
      </w:r>
      <w:r w:rsidR="007172CE">
        <w:t>bién con su “policía islámica”.</w:t>
      </w:r>
    </w:p>
    <w:p w:rsidR="009E2019" w:rsidRDefault="009E2019" w:rsidP="009E2019">
      <w:pPr>
        <w:pStyle w:val="NormalWeb"/>
        <w:shd w:val="clear" w:color="auto" w:fill="FFFFFF"/>
        <w:spacing w:after="0"/>
        <w:jc w:val="both"/>
        <w:textAlignment w:val="baseline"/>
      </w:pPr>
      <w:r>
        <w:t xml:space="preserve">Es tanto el poder que tienen que la Sharia se ve reflejada ya hasta en autobuses escolares, donde se ha denunciado la segregación por sexos: las niñas se sientan atrás del todo. Esto nos trae recuerdos de la segregación racial en Estados Unidos y </w:t>
      </w:r>
      <w:r w:rsidR="007172CE">
        <w:t>Rosa Parks a finales de los 50.</w:t>
      </w:r>
    </w:p>
    <w:p w:rsidR="009E2019" w:rsidRDefault="009E2019" w:rsidP="009E2019">
      <w:pPr>
        <w:pStyle w:val="NormalWeb"/>
        <w:shd w:val="clear" w:color="auto" w:fill="FFFFFF"/>
        <w:spacing w:after="0"/>
        <w:jc w:val="both"/>
        <w:textAlignment w:val="baseline"/>
      </w:pPr>
      <w:r>
        <w:t>En enero de 2016, grupos de jóvenes suecos se unieron al grito de “YA BASTA” para salir a patrullar las calles por las noches, y enfrentarse a las bandas de musulmanes que amedrentan a los nativos con robos, violencia y violaciones. Mientras, denunciaban que la policía no estaba actuando contra esta violencia cont</w:t>
      </w:r>
      <w:r w:rsidR="007172CE">
        <w:t>inua en el centro de Estocolmo.</w:t>
      </w:r>
    </w:p>
    <w:p w:rsidR="009E2019" w:rsidRDefault="009E2019" w:rsidP="009E2019">
      <w:pPr>
        <w:pStyle w:val="NormalWeb"/>
        <w:shd w:val="clear" w:color="auto" w:fill="FFFFFF"/>
        <w:spacing w:after="0"/>
        <w:jc w:val="both"/>
        <w:textAlignment w:val="baseline"/>
      </w:pPr>
      <w:r>
        <w:t>Hablan de un crecimiento del 75% en el número de bandas inmigrantes árabes criminales, en los últimos 2 años, con un aumento del 300% en crímenes violentos.</w:t>
      </w:r>
    </w:p>
    <w:p w:rsidR="009E2019" w:rsidRDefault="009E2019" w:rsidP="009E2019">
      <w:pPr>
        <w:pStyle w:val="NormalWeb"/>
        <w:shd w:val="clear" w:color="auto" w:fill="FFFFFF"/>
        <w:spacing w:after="0"/>
        <w:jc w:val="both"/>
        <w:textAlignment w:val="baseline"/>
      </w:pPr>
      <w:r>
        <w:t xml:space="preserve">Suecia ha recibido, en proporción a su población nativa, más refugiados que ningún otro país europeo. Además, la disparidad de sexo en relación a mayor número de varones por mujer, ha alcanzado niveles cercanos a los de China. Esto trae consecuencias fatales para la natalidad, así como para la seguridad de la mujer. Y es que se ha convertido en el segundo país del mundo -de los q se tienen datos- en violaciones por habitante. Las cifras del instituto Gatestone hablan de 6.620 violaciones en el año 2014, y se han </w:t>
      </w:r>
      <w:r w:rsidR="007172CE">
        <w:t>incrementado en un 13% en 2016.</w:t>
      </w:r>
    </w:p>
    <w:p w:rsidR="009E2019" w:rsidRDefault="009E2019" w:rsidP="009E2019">
      <w:pPr>
        <w:pStyle w:val="NormalWeb"/>
        <w:shd w:val="clear" w:color="auto" w:fill="FFFFFF"/>
        <w:spacing w:after="0"/>
        <w:jc w:val="both"/>
        <w:textAlignment w:val="baseline"/>
      </w:pPr>
      <w:r>
        <w:t xml:space="preserve">Si hablamos de agresiones sexuales de distinta índole (tocamientos, frotamientos…) las cifras de 2016 superan las 20.000 víctimas. Cifras que la ministra de empleo sueca trató de ocultar en una entrevista para la BBC, donde dijo que las violaciones habían disminuido. Incluso se atrevió a decir que “la tasa de violaciones no es alta”. Otros políticos, economistas y </w:t>
      </w:r>
      <w:r>
        <w:lastRenderedPageBreak/>
        <w:t>criminólogos desmintieron sus palabras, por lo que se vio obligada a retractarse. Qué se podía esperar de un gobierno que presume de feminista, y luego acude a una visita a Irán con todas</w:t>
      </w:r>
      <w:r w:rsidR="007172CE">
        <w:t xml:space="preserve"> las ministras llevando shayla.</w:t>
      </w:r>
    </w:p>
    <w:p w:rsidR="009E2019" w:rsidRDefault="009E2019" w:rsidP="009E2019">
      <w:pPr>
        <w:pStyle w:val="NormalWeb"/>
        <w:shd w:val="clear" w:color="auto" w:fill="FFFFFF"/>
        <w:spacing w:after="0"/>
        <w:jc w:val="both"/>
        <w:textAlignment w:val="baseline"/>
      </w:pPr>
      <w:r>
        <w:t>Recientemente, en noviembre de 2017, la ciudad de Oskarshamn creó un programa dentro de la policía para que los agentes acompañen a las personas que hacen jogging/footing de noche. Sobre todo, a las mujeres. Una encuesta realizada en 2016, reveló que el 43% no se sentía segura en las calles de su país ni siquiera de día. Así como alrededor de la mitad de la población nativa no se atreve a salir en las N</w:t>
      </w:r>
      <w:r w:rsidR="007172CE">
        <w:t>o-Go Zones, desde que oscurece.</w:t>
      </w:r>
    </w:p>
    <w:p w:rsidR="009E2019" w:rsidRDefault="009E2019" w:rsidP="009E2019">
      <w:pPr>
        <w:pStyle w:val="NormalWeb"/>
        <w:shd w:val="clear" w:color="auto" w:fill="FFFFFF"/>
        <w:spacing w:after="0"/>
        <w:jc w:val="both"/>
        <w:textAlignment w:val="baseline"/>
      </w:pPr>
      <w:r>
        <w:t>Aun así, esta iniciativa por parte de la policía no ha aumentado el nivel de seguridad en la gente, después de ver como ellos mismo tienen problemas para controlar dichas zonas, e incluso son atacados con cuchillos, granadas y cocteles molotov cuando tratan de intervenir… Hablamos de policías que han dejado de usar el transporte p</w:t>
      </w:r>
      <w:r w:rsidR="007172CE">
        <w:t>úblico por su propia seguridad.</w:t>
      </w:r>
    </w:p>
    <w:p w:rsidR="009E2019" w:rsidRDefault="009E2019" w:rsidP="009E2019">
      <w:pPr>
        <w:pStyle w:val="NormalWeb"/>
        <w:shd w:val="clear" w:color="auto" w:fill="FFFFFF"/>
        <w:spacing w:after="0"/>
        <w:jc w:val="both"/>
        <w:textAlignment w:val="baseline"/>
      </w:pPr>
      <w:r>
        <w:t>Policías que han tenido q reforzar sus comisarías con cristales antibalas, muros de acero reforzado y vallas de seguridad, como ha ocurrido en Rosengård (donde el último banco cerró tras ser atacado con un cohete) y Södertälje, o en Rinkeby, donde la obra ha costado 40 millones de euros, total para acabar parándola porque no podía garantizarse la seguridad de los trabajadores ante los continuos ataques de los habitantes de dicha población, provenientes de hasta 65 países distint</w:t>
      </w:r>
      <w:r w:rsidR="007172CE">
        <w:t>os, con un 80%  de inmigrantes.</w:t>
      </w:r>
    </w:p>
    <w:p w:rsidR="009E2019" w:rsidRDefault="009E2019" w:rsidP="009E2019">
      <w:pPr>
        <w:pStyle w:val="NormalWeb"/>
        <w:shd w:val="clear" w:color="auto" w:fill="FFFFFF"/>
        <w:spacing w:after="0"/>
        <w:jc w:val="both"/>
        <w:textAlignment w:val="baseline"/>
      </w:pPr>
      <w:r>
        <w:t>Se estima que un 80% de los agentes de la ley están considerando renunciar a sus puestos de trabajo, porque se encuentran</w:t>
      </w:r>
      <w:r w:rsidR="007172CE">
        <w:t xml:space="preserve"> sobrepasados y desmoralizados.</w:t>
      </w:r>
    </w:p>
    <w:p w:rsidR="009E2019" w:rsidRDefault="009E2019" w:rsidP="009E2019">
      <w:pPr>
        <w:pStyle w:val="NormalWeb"/>
        <w:shd w:val="clear" w:color="auto" w:fill="FFFFFF"/>
        <w:spacing w:after="0"/>
        <w:jc w:val="both"/>
        <w:textAlignment w:val="baseline"/>
      </w:pPr>
      <w:r>
        <w:t>Claro que he de recordar que estos mismos policías, en septiembre de 2015, ordenaban a los medios de comunicación que no especificasen la raza de los delincuentes cuando no fueran de raza blanca, independientemente del delito cometido, para evitar</w:t>
      </w:r>
      <w:r w:rsidR="007172CE">
        <w:t xml:space="preserve"> que se les acusara de racismo…</w:t>
      </w:r>
    </w:p>
    <w:p w:rsidR="009E2019" w:rsidRDefault="009E2019" w:rsidP="009E2019">
      <w:pPr>
        <w:pStyle w:val="NormalWeb"/>
        <w:shd w:val="clear" w:color="auto" w:fill="FFFFFF"/>
        <w:spacing w:after="0"/>
        <w:jc w:val="both"/>
        <w:textAlignment w:val="baseline"/>
      </w:pPr>
      <w:r>
        <w:t>Policías bajo el control del Comisario Nacional Dan Eliasson, de quién hablaré en otro momento, porque hay mucho que decir sobre él. De momento, os dejo est</w:t>
      </w:r>
      <w:r w:rsidR="00901757">
        <w:t>a imagen suya con la pulserita “anti-violación”</w:t>
      </w:r>
      <w:r>
        <w:t>, porque esa fue su idea para frenar los ataques sexuales: una pulserita.</w:t>
      </w:r>
    </w:p>
    <w:p w:rsidR="009E2019" w:rsidRDefault="009E2019" w:rsidP="009E2019">
      <w:pPr>
        <w:pStyle w:val="NormalWeb"/>
        <w:shd w:val="clear" w:color="auto" w:fill="FFFFFF"/>
        <w:spacing w:after="0"/>
        <w:jc w:val="both"/>
        <w:textAlignment w:val="baseline"/>
      </w:pPr>
      <w:r>
        <w:t>En el siguiente video, podéis ver un poquito de Rinkeby, donde el 90% de la población es extranjera. Está en inglés, pero aún si no entendéis el idioma, al menos os recomiendo ver las imágenes… hablan por sí solas.</w:t>
      </w:r>
    </w:p>
    <w:p w:rsidR="009E2019" w:rsidRDefault="009E2019" w:rsidP="009E2019">
      <w:pPr>
        <w:pStyle w:val="NormalWeb"/>
        <w:shd w:val="clear" w:color="auto" w:fill="FFFFFF"/>
        <w:spacing w:after="0"/>
        <w:jc w:val="both"/>
        <w:textAlignment w:val="baseline"/>
      </w:pPr>
      <w:r>
        <w:t>Y es que Suecia también tiene el récord como país que más ataques con explosivos ha sufrido en el plazo de un mes. En todo el año 2017, se contabilizaron 200 explosiones. Enu</w:t>
      </w:r>
      <w:r w:rsidR="007172CE">
        <w:t>mero 30 días a modo de ejemplo:</w:t>
      </w:r>
    </w:p>
    <w:p w:rsidR="009E2019" w:rsidRDefault="00304271" w:rsidP="009E2019">
      <w:pPr>
        <w:pStyle w:val="NormalWeb"/>
        <w:shd w:val="clear" w:color="auto" w:fill="FFFFFF"/>
        <w:spacing w:after="0"/>
        <w:jc w:val="both"/>
        <w:textAlignment w:val="baseline"/>
      </w:pPr>
      <w:r>
        <w:t>10 octubre -</w:t>
      </w:r>
      <w:r w:rsidR="009E2019">
        <w:t xml:space="preserve"> un coche explota al abrir la puerta su dueño</w:t>
      </w:r>
    </w:p>
    <w:p w:rsidR="009E2019" w:rsidRDefault="00304271" w:rsidP="009E2019">
      <w:pPr>
        <w:pStyle w:val="NormalWeb"/>
        <w:shd w:val="clear" w:color="auto" w:fill="FFFFFF"/>
        <w:spacing w:after="0"/>
        <w:jc w:val="both"/>
        <w:textAlignment w:val="baseline"/>
      </w:pPr>
      <w:r>
        <w:t>13 octubre -</w:t>
      </w:r>
      <w:r w:rsidR="009E2019">
        <w:t xml:space="preserve"> una explosión daña una vivienda unifamiliar</w:t>
      </w:r>
    </w:p>
    <w:p w:rsidR="009E2019" w:rsidRDefault="00304271" w:rsidP="009E2019">
      <w:pPr>
        <w:pStyle w:val="NormalWeb"/>
        <w:shd w:val="clear" w:color="auto" w:fill="FFFFFF"/>
        <w:spacing w:after="0"/>
        <w:jc w:val="both"/>
        <w:textAlignment w:val="baseline"/>
      </w:pPr>
      <w:r>
        <w:t>16 octubre -</w:t>
      </w:r>
      <w:r w:rsidR="009E2019">
        <w:t xml:space="preserve"> un coche explota en Malmö</w:t>
      </w:r>
    </w:p>
    <w:p w:rsidR="009E2019" w:rsidRDefault="00304271" w:rsidP="009E2019">
      <w:pPr>
        <w:pStyle w:val="NormalWeb"/>
        <w:shd w:val="clear" w:color="auto" w:fill="FFFFFF"/>
        <w:spacing w:after="0"/>
        <w:jc w:val="both"/>
        <w:textAlignment w:val="baseline"/>
      </w:pPr>
      <w:r>
        <w:lastRenderedPageBreak/>
        <w:t>18 octubre -</w:t>
      </w:r>
      <w:r w:rsidR="009E2019">
        <w:t xml:space="preserve"> atacan con bombas una </w:t>
      </w:r>
      <w:r w:rsidR="006A6438">
        <w:t>comisaría</w:t>
      </w:r>
      <w:r w:rsidR="009E2019">
        <w:t xml:space="preserve"> de policía</w:t>
      </w:r>
    </w:p>
    <w:p w:rsidR="009E2019" w:rsidRDefault="00304271" w:rsidP="009E2019">
      <w:pPr>
        <w:pStyle w:val="NormalWeb"/>
        <w:shd w:val="clear" w:color="auto" w:fill="FFFFFF"/>
        <w:spacing w:after="0"/>
        <w:jc w:val="both"/>
        <w:textAlignment w:val="baseline"/>
      </w:pPr>
      <w:r>
        <w:t>18 octubre -</w:t>
      </w:r>
      <w:r w:rsidR="009E2019">
        <w:t xml:space="preserve"> encuentran explosivo armado debajo de un coche</w:t>
      </w:r>
    </w:p>
    <w:p w:rsidR="009E2019" w:rsidRDefault="009E2019" w:rsidP="009E2019">
      <w:pPr>
        <w:pStyle w:val="NormalWeb"/>
        <w:shd w:val="clear" w:color="auto" w:fill="FFFFFF"/>
        <w:spacing w:after="0"/>
        <w:jc w:val="both"/>
        <w:textAlignment w:val="baseline"/>
      </w:pPr>
      <w:r>
        <w:t>21 oc</w:t>
      </w:r>
      <w:r w:rsidR="00304271">
        <w:t>tubre -</w:t>
      </w:r>
      <w:r>
        <w:t xml:space="preserve"> un coche explota tras ser atacados con granadas en Estocolmo</w:t>
      </w:r>
    </w:p>
    <w:p w:rsidR="009E2019" w:rsidRDefault="009E2019" w:rsidP="009E2019">
      <w:pPr>
        <w:pStyle w:val="NormalWeb"/>
        <w:shd w:val="clear" w:color="auto" w:fill="FFFFFF"/>
        <w:spacing w:after="0"/>
        <w:jc w:val="both"/>
        <w:textAlignment w:val="baseline"/>
      </w:pPr>
      <w:r>
        <w:t>22 octubre – lanzan cocteles molotov dentro de un bar</w:t>
      </w:r>
    </w:p>
    <w:p w:rsidR="009E2019" w:rsidRDefault="00304271" w:rsidP="009E2019">
      <w:pPr>
        <w:pStyle w:val="NormalWeb"/>
        <w:shd w:val="clear" w:color="auto" w:fill="FFFFFF"/>
        <w:spacing w:after="0"/>
        <w:jc w:val="both"/>
        <w:textAlignment w:val="baseline"/>
      </w:pPr>
      <w:r>
        <w:t>22 octubre -</w:t>
      </w:r>
      <w:r w:rsidR="009E2019">
        <w:t xml:space="preserve"> dos explosiones en 2 apartamentos diferentes en Malmö</w:t>
      </w:r>
    </w:p>
    <w:p w:rsidR="009E2019" w:rsidRDefault="00304271" w:rsidP="009E2019">
      <w:pPr>
        <w:pStyle w:val="NormalWeb"/>
        <w:shd w:val="clear" w:color="auto" w:fill="FFFFFF"/>
        <w:spacing w:after="0"/>
        <w:jc w:val="both"/>
        <w:textAlignment w:val="baseline"/>
      </w:pPr>
      <w:r>
        <w:t>31 octubre -</w:t>
      </w:r>
      <w:r w:rsidR="009E2019">
        <w:t xml:space="preserve"> un coche explota en Hässleholm</w:t>
      </w:r>
    </w:p>
    <w:p w:rsidR="009E2019" w:rsidRDefault="00304271" w:rsidP="009E2019">
      <w:pPr>
        <w:pStyle w:val="NormalWeb"/>
        <w:shd w:val="clear" w:color="auto" w:fill="FFFFFF"/>
        <w:spacing w:after="0"/>
        <w:jc w:val="both"/>
        <w:textAlignment w:val="baseline"/>
      </w:pPr>
      <w:r>
        <w:t>1 noviembre -</w:t>
      </w:r>
      <w:r w:rsidR="009E2019">
        <w:t xml:space="preserve"> otro coche explota en Hässleholm</w:t>
      </w:r>
    </w:p>
    <w:p w:rsidR="009E2019" w:rsidRDefault="00304271" w:rsidP="009E2019">
      <w:pPr>
        <w:pStyle w:val="NormalWeb"/>
        <w:shd w:val="clear" w:color="auto" w:fill="FFFFFF"/>
        <w:spacing w:after="0"/>
        <w:jc w:val="both"/>
        <w:textAlignment w:val="baseline"/>
      </w:pPr>
      <w:r>
        <w:t>3 noviembre -</w:t>
      </w:r>
      <w:r w:rsidR="009E2019">
        <w:t xml:space="preserve"> atacan un club nocturno con granadas en Malmö</w:t>
      </w:r>
    </w:p>
    <w:p w:rsidR="009E2019" w:rsidRDefault="00304271" w:rsidP="009E2019">
      <w:pPr>
        <w:pStyle w:val="NormalWeb"/>
        <w:shd w:val="clear" w:color="auto" w:fill="FFFFFF"/>
        <w:spacing w:after="0"/>
        <w:jc w:val="both"/>
        <w:textAlignment w:val="baseline"/>
      </w:pPr>
      <w:r>
        <w:t>4 noviembre -</w:t>
      </w:r>
      <w:r w:rsidR="009E2019">
        <w:t xml:space="preserve"> un coche explota en Kristianstad</w:t>
      </w:r>
    </w:p>
    <w:p w:rsidR="009E2019" w:rsidRDefault="00304271" w:rsidP="009E2019">
      <w:pPr>
        <w:pStyle w:val="NormalWeb"/>
        <w:shd w:val="clear" w:color="auto" w:fill="FFFFFF"/>
        <w:spacing w:after="0"/>
        <w:jc w:val="both"/>
        <w:textAlignment w:val="baseline"/>
      </w:pPr>
      <w:r>
        <w:t>5 noviembre -</w:t>
      </w:r>
      <w:r w:rsidR="009E2019">
        <w:t xml:space="preserve"> explota un buzón en Dösjebro</w:t>
      </w:r>
    </w:p>
    <w:p w:rsidR="009E2019" w:rsidRDefault="00304271" w:rsidP="009E2019">
      <w:pPr>
        <w:pStyle w:val="NormalWeb"/>
        <w:shd w:val="clear" w:color="auto" w:fill="FFFFFF"/>
        <w:spacing w:after="0"/>
        <w:jc w:val="both"/>
        <w:textAlignment w:val="baseline"/>
      </w:pPr>
      <w:r>
        <w:t>5 noviembre -</w:t>
      </w:r>
      <w:r w:rsidR="009E2019">
        <w:t xml:space="preserve"> varias explosiones en una autoescuela en Malmö</w:t>
      </w:r>
    </w:p>
    <w:p w:rsidR="009E2019" w:rsidRDefault="009E2019" w:rsidP="009E2019">
      <w:pPr>
        <w:pStyle w:val="NormalWeb"/>
        <w:shd w:val="clear" w:color="auto" w:fill="FFFFFF"/>
        <w:spacing w:after="0"/>
        <w:jc w:val="both"/>
        <w:textAlignment w:val="baseline"/>
      </w:pPr>
      <w:r>
        <w:t xml:space="preserve">7 noviembre </w:t>
      </w:r>
      <w:r w:rsidR="00304271">
        <w:t>-</w:t>
      </w:r>
      <w:r w:rsidR="007172CE">
        <w:t xml:space="preserve"> explota un coche en Estocolmo</w:t>
      </w:r>
    </w:p>
    <w:p w:rsidR="009E2019" w:rsidRDefault="00304271" w:rsidP="009E2019">
      <w:pPr>
        <w:pStyle w:val="NormalWeb"/>
        <w:shd w:val="clear" w:color="auto" w:fill="FFFFFF"/>
        <w:spacing w:after="0"/>
        <w:jc w:val="both"/>
        <w:textAlignment w:val="baseline"/>
      </w:pPr>
      <w:r>
        <w:t>Fue</w:t>
      </w:r>
      <w:r w:rsidR="009E2019">
        <w:t xml:space="preserve"> un policía sueco, Peter Springare, el que tiró de la manta el año pasado y, con sus 47 años de servicio como respaldo, publicó en Facebook: “Estoy tan jodidamente harto. Lo que voy a escribir aquí no es políticamente correcto. Pero no me importa. Nuestros pensionistas, las escuelas son un desastre, la atención sanitaria es un infierno, etc. Todos sabemos por qué, pero nadie se atreve a decirlo debido al hecho de que en Suecia siempre se vivió el mito de la “ultimate society…. Esto es lo que he tenido en el trabajo de lunes a viernes esta semana: violación, violación, robo, asalto agravado, violación, violación, extorsión, chantaje, violencia contra la policía, drogas, drogas, drogas, drogas, amenazas a la policía, crimen, intento de asesinato, violación, extorsión, malos tratos”.</w:t>
      </w:r>
    </w:p>
    <w:p w:rsidR="009E2019" w:rsidRDefault="009E2019" w:rsidP="009E2019">
      <w:pPr>
        <w:pStyle w:val="NormalWeb"/>
        <w:shd w:val="clear" w:color="auto" w:fill="FFFFFF"/>
        <w:spacing w:after="0"/>
        <w:jc w:val="both"/>
        <w:textAlignment w:val="baseline"/>
      </w:pPr>
      <w:r>
        <w:t>“Presuntos autores: Ali, Mohammed, Abdu, Mahmood, Christopher… sí, un nombre sueco se coló en la lista por drogas. Mohammed, Ismail, Ali otra vez…”.</w:t>
      </w:r>
    </w:p>
    <w:p w:rsidR="009E2019" w:rsidRDefault="009E2019" w:rsidP="009E2019">
      <w:pPr>
        <w:pStyle w:val="NormalWeb"/>
        <w:shd w:val="clear" w:color="auto" w:fill="FFFFFF"/>
        <w:spacing w:after="0"/>
        <w:jc w:val="both"/>
        <w:textAlignment w:val="baseline"/>
      </w:pPr>
      <w:r>
        <w:t>“Países de origen de los presuntos autores: Iraq, Iraq, Turquía, Siria, Afganistán, Somalia, Somalia, Siria, Somalia, país desconoc</w:t>
      </w:r>
      <w:r w:rsidR="007172CE">
        <w:t>ido, país desconocido, Suecia”.</w:t>
      </w:r>
    </w:p>
    <w:p w:rsidR="009E2019" w:rsidRDefault="009E2019" w:rsidP="009E2019">
      <w:pPr>
        <w:pStyle w:val="NormalWeb"/>
        <w:shd w:val="clear" w:color="auto" w:fill="FFFFFF"/>
        <w:spacing w:after="0"/>
        <w:jc w:val="both"/>
        <w:textAlignment w:val="baseline"/>
      </w:pPr>
      <w:r>
        <w:t>“Esto hablando solamente del municipio de Orebro. Y estos crímenes ocupan nuestro tiempo al 100%. Así ha s</w:t>
      </w:r>
      <w:r w:rsidR="007172CE">
        <w:t>ido en los últimos 10-15 años”.</w:t>
      </w:r>
    </w:p>
    <w:p w:rsidR="00901757" w:rsidRDefault="009E2019" w:rsidP="009E2019">
      <w:pPr>
        <w:pStyle w:val="NormalWeb"/>
        <w:shd w:val="clear" w:color="auto" w:fill="FFFFFF"/>
        <w:spacing w:after="0"/>
        <w:jc w:val="both"/>
        <w:textAlignment w:val="baseline"/>
      </w:pPr>
      <w:r>
        <w:t>Noruega</w:t>
      </w:r>
    </w:p>
    <w:p w:rsidR="009E2019" w:rsidRDefault="009E2019" w:rsidP="009E2019">
      <w:pPr>
        <w:pStyle w:val="NormalWeb"/>
        <w:shd w:val="clear" w:color="auto" w:fill="FFFFFF"/>
        <w:spacing w:after="0"/>
        <w:jc w:val="both"/>
        <w:textAlignment w:val="baseline"/>
      </w:pPr>
      <w:r>
        <w:t>En Noruega, el grupo terrorista islámico Ansar al-Sunna, ha amenazado con un ataque comparable al de EEUU del 11 de septiembre si Gronland, en Oslo (a 2 paradas de metro del Parlamento), no se convierte en una nación musu</w:t>
      </w:r>
      <w:r w:rsidR="00C13914">
        <w:t>lmana que cumpla con la shari</w:t>
      </w:r>
      <w:r w:rsidR="007172CE">
        <w:t>a:</w:t>
      </w:r>
    </w:p>
    <w:p w:rsidR="009E2019" w:rsidRDefault="009E2019" w:rsidP="009E2019">
      <w:pPr>
        <w:pStyle w:val="NormalWeb"/>
        <w:shd w:val="clear" w:color="auto" w:fill="FFFFFF"/>
        <w:spacing w:after="0"/>
        <w:jc w:val="both"/>
        <w:textAlignment w:val="baseline"/>
      </w:pPr>
      <w:r>
        <w:lastRenderedPageBreak/>
        <w:t>“No queremos ser parte de la sociedad noruega. Y tampoco consideramos necesario alejarnos de Noruega, porque nacimos y crecimos aquí. Y la tierra de Alá nos pertenece a todos… Pero dejad que Grønland sea nuestra. Franjead este barrio de la ciudad y permitidnos controlarlo de la manera que deseamos hacerlo… No deseamos vivir juntos con bestias sucias como vosotro</w:t>
      </w:r>
      <w:r w:rsidR="007172CE">
        <w:t>s”.</w:t>
      </w:r>
    </w:p>
    <w:p w:rsidR="009E2019" w:rsidRDefault="009E2019" w:rsidP="009E2019">
      <w:pPr>
        <w:pStyle w:val="NormalWeb"/>
        <w:shd w:val="clear" w:color="auto" w:fill="FFFFFF"/>
        <w:spacing w:after="0"/>
        <w:jc w:val="both"/>
        <w:textAlignment w:val="baseline"/>
      </w:pPr>
      <w:r>
        <w:t xml:space="preserve">Una habitante del barrio, </w:t>
      </w:r>
      <w:r w:rsidR="00C13914">
        <w:t>Fátima</w:t>
      </w:r>
      <w:r>
        <w:t xml:space="preserve"> Tetouani, musulmana, casada con un noruego, declaró “Gronland es más musulmana que Marruecos… nunca me habían agredido por comer o beber durante el Ra</w:t>
      </w:r>
      <w:r w:rsidR="007172CE">
        <w:t>madán, hasta que me mudé aquí.”</w:t>
      </w:r>
    </w:p>
    <w:p w:rsidR="009E2019" w:rsidRDefault="009E2019" w:rsidP="009E2019">
      <w:pPr>
        <w:pStyle w:val="NormalWeb"/>
        <w:shd w:val="clear" w:color="auto" w:fill="FFFFFF"/>
        <w:spacing w:after="0"/>
        <w:jc w:val="both"/>
        <w:textAlignment w:val="baseline"/>
      </w:pPr>
      <w:r>
        <w:t>Denuncia que allí nadie se siente noruego o europeo hasta que llega e</w:t>
      </w:r>
      <w:r w:rsidR="007172CE">
        <w:t>l día de cobro de subvenciones.</w:t>
      </w:r>
    </w:p>
    <w:p w:rsidR="009E2019" w:rsidRDefault="009E2019" w:rsidP="009E2019">
      <w:pPr>
        <w:pStyle w:val="NormalWeb"/>
        <w:shd w:val="clear" w:color="auto" w:fill="FFFFFF"/>
        <w:spacing w:after="0"/>
        <w:jc w:val="both"/>
        <w:textAlignment w:val="baseline"/>
      </w:pPr>
      <w:r>
        <w:t>Sturla Nostvik, nativo noruego de 36 años, fue atracado a punta de pistola cuando caminaba por el barrio. Se convirtió en la víctima de atraco 351 de la zona, en 2016. La policía le dijo que todo el mundo tiene el derecho de sentirse a salvo, pero no tenían forma de combatir a estos delincuen</w:t>
      </w:r>
      <w:r w:rsidR="007172CE">
        <w:t>tes: “hemos perdido la ciudad”.</w:t>
      </w:r>
    </w:p>
    <w:p w:rsidR="009E2019" w:rsidRDefault="009E2019" w:rsidP="009E2019">
      <w:pPr>
        <w:pStyle w:val="NormalWeb"/>
        <w:shd w:val="clear" w:color="auto" w:fill="FFFFFF"/>
        <w:spacing w:after="0"/>
        <w:jc w:val="both"/>
        <w:textAlignment w:val="baseline"/>
      </w:pPr>
      <w:r>
        <w:t>En junio de 2017, el barrio de Stovner vivió 3 semanas de quema de coches, y posteriores ataques contra la policía, ambulancias y bomberos que acudían a apagarlos, por chavales inmigrantes de entre 17 y 19 años. El jefe de distrito, Elf Humborstad Sorland, dijo a la cadena de televisión NRK que el problema es “que la gente joven se quedaba hasta muy tarde en la cal</w:t>
      </w:r>
      <w:r w:rsidR="007172CE">
        <w:t>le”…</w:t>
      </w:r>
    </w:p>
    <w:p w:rsidR="009E2019" w:rsidRDefault="009E2019" w:rsidP="009E2019">
      <w:pPr>
        <w:pStyle w:val="NormalWeb"/>
        <w:shd w:val="clear" w:color="auto" w:fill="FFFFFF"/>
        <w:spacing w:after="0"/>
        <w:jc w:val="both"/>
        <w:textAlignment w:val="baseline"/>
      </w:pPr>
      <w:r>
        <w:t xml:space="preserve">Desde enero hasta marzo, hubo 20 denuncias por vehículos quemados en esta No-Go zone. Pero el jefe de policía, John Roger Lund, niega que Oslo esté viviendo lo mismo que Suecia donde “la policía huye” en las zonas de inmigrantes. “Aquí, son los delincuentes </w:t>
      </w:r>
      <w:r w:rsidR="007172CE">
        <w:t>los que huyen cuando llegamos”.</w:t>
      </w:r>
    </w:p>
    <w:p w:rsidR="009E2019" w:rsidRDefault="009E2019" w:rsidP="009E2019">
      <w:pPr>
        <w:pStyle w:val="NormalWeb"/>
        <w:shd w:val="clear" w:color="auto" w:fill="FFFFFF"/>
        <w:spacing w:after="0"/>
        <w:jc w:val="both"/>
        <w:textAlignment w:val="baseline"/>
      </w:pPr>
      <w:r>
        <w:t>Sin embargo, la Asociación para los Derechos Humanos en Noruega, acusa las autoridades de “callar deliberadamente” la violencia y crímenes que tienen lugar en estas zonas. Denuncian datos como que el 90% de las violaciones son a manos de inmigrantes musulmanes.</w:t>
      </w:r>
    </w:p>
    <w:p w:rsidR="009E2019" w:rsidRDefault="009E2019" w:rsidP="009E2019">
      <w:pPr>
        <w:pStyle w:val="NormalWeb"/>
        <w:shd w:val="clear" w:color="auto" w:fill="FFFFFF"/>
        <w:spacing w:after="0"/>
        <w:jc w:val="both"/>
        <w:textAlignment w:val="baseline"/>
      </w:pPr>
      <w:r>
        <w:t>Por cierto, la medida que ha tomado el gobierno contra ello es impartir clases a los refugiados para enseñarles a no violar a las europeas… Y esto, después de que la pequeña de 14 años, Eva Helgetun, se suicidara tras ser violada por 3 inmigrantes.</w:t>
      </w:r>
    </w:p>
    <w:p w:rsidR="009E2019" w:rsidRDefault="009E2019" w:rsidP="009E2019">
      <w:pPr>
        <w:pStyle w:val="NormalWeb"/>
        <w:shd w:val="clear" w:color="auto" w:fill="FFFFFF"/>
        <w:spacing w:after="0"/>
        <w:jc w:val="both"/>
        <w:textAlignment w:val="baseline"/>
      </w:pPr>
      <w:r>
        <w:t>Ya en 2012, en la web de viajes Trip Advisor, una oslense advertía a una mujer del peligro de ir de noche a la No-Go zone, enumerándole barrios como Akerselva, Toyen, Sofienbergparken, Grunerlokka, Karl Johans Gate, ap</w:t>
      </w:r>
      <w:r w:rsidR="007172CE">
        <w:t>arte de los que ya he nombrado.</w:t>
      </w:r>
    </w:p>
    <w:p w:rsidR="009E2019" w:rsidRDefault="009E2019" w:rsidP="009E2019">
      <w:pPr>
        <w:pStyle w:val="NormalWeb"/>
        <w:shd w:val="clear" w:color="auto" w:fill="FFFFFF"/>
        <w:spacing w:after="0"/>
        <w:jc w:val="both"/>
        <w:textAlignment w:val="baseline"/>
      </w:pPr>
      <w:r>
        <w:t>Austria</w:t>
      </w:r>
    </w:p>
    <w:p w:rsidR="009E2019" w:rsidRDefault="009E2019" w:rsidP="009E2019">
      <w:pPr>
        <w:pStyle w:val="NormalWeb"/>
        <w:shd w:val="clear" w:color="auto" w:fill="FFFFFF"/>
        <w:spacing w:after="0"/>
        <w:jc w:val="both"/>
        <w:textAlignment w:val="baseline"/>
      </w:pPr>
      <w:r>
        <w:t>Austria no es un país atractivo a los ojos de los refugiados, en comparación con otros lugares de Europa donde las subvenciones y demás privilegios son elevados. Por ello, el crecimiento de zonas No-Go era casi nulo hasta el 2016, cuando Alemania cambió algunas de las medidas de acogida para refugiados y, muchos de los que habían sido desplazados a Austria, en su camino hacia Alemania, quedaron atrapados en la ciudad de Scharding. Aproximadame</w:t>
      </w:r>
      <w:r w:rsidR="007172CE">
        <w:t>nte, unas 300 personas diarias.</w:t>
      </w:r>
    </w:p>
    <w:p w:rsidR="009E2019" w:rsidRDefault="009E2019" w:rsidP="009E2019">
      <w:pPr>
        <w:pStyle w:val="NormalWeb"/>
        <w:shd w:val="clear" w:color="auto" w:fill="FFFFFF"/>
        <w:spacing w:after="0"/>
        <w:jc w:val="both"/>
        <w:textAlignment w:val="baseline"/>
      </w:pPr>
      <w:r>
        <w:lastRenderedPageBreak/>
        <w:t xml:space="preserve">Estos cambios recogen, entre otros, que los marroquíes, tunecinos y argelinos vienen de países “seguros” por lo que no tienen derecho a pedir asilo. Así mismo, los que cruzaban la frontera con pasaportes falsos o robados, eran devueltos a Austria también. Es lo que los alemanes llaman </w:t>
      </w:r>
      <w:r w:rsidR="007172CE">
        <w:t>“U-turn” (de vuelta).</w:t>
      </w:r>
    </w:p>
    <w:p w:rsidR="009E2019" w:rsidRDefault="009E2019" w:rsidP="009E2019">
      <w:pPr>
        <w:pStyle w:val="NormalWeb"/>
        <w:shd w:val="clear" w:color="auto" w:fill="FFFFFF"/>
        <w:spacing w:after="0"/>
        <w:jc w:val="both"/>
        <w:textAlignment w:val="baseline"/>
      </w:pPr>
      <w:r>
        <w:t>Entonces, algunos de estos inmigrantes, empezaron a trasladarse a otras zonas cercanas como el área de la estación de tren de Linz que, un año después, ya se considera una No-Go Zone y es conocid</w:t>
      </w:r>
      <w:r w:rsidR="007172CE">
        <w:t>a como “La Terminal del Miedo”.</w:t>
      </w:r>
    </w:p>
    <w:p w:rsidR="009E2019" w:rsidRDefault="009E2019" w:rsidP="009E2019">
      <w:pPr>
        <w:pStyle w:val="NormalWeb"/>
        <w:shd w:val="clear" w:color="auto" w:fill="FFFFFF"/>
        <w:spacing w:after="0"/>
        <w:jc w:val="both"/>
        <w:textAlignment w:val="baseline"/>
      </w:pPr>
      <w:r>
        <w:t xml:space="preserve">Un padre de esta zona, identificado como Franz H., escribió una carta al gobernador de la región, Josef Puehringer, diciendo que, tras las quejas de sus hijos por sentir miedo en el camino a la escuela, un grupo de padres decidieron hacer ellos mismos el recorrido para descubrir, con horror, que la situación era </w:t>
      </w:r>
      <w:r w:rsidR="006A6438">
        <w:t>aún</w:t>
      </w:r>
      <w:r>
        <w:t xml:space="preserve"> peor de lo que sus hijos describían. Y añadir que no vieron ni un policía en todo el trayecto. No ha trascendido la descripción exacta de lo que estos padres vieron, pero se sabe que los vecinos nativos están pidiendo que la policía les esc</w:t>
      </w:r>
      <w:r w:rsidR="007172CE">
        <w:t>olte hasta la estación de tren.</w:t>
      </w:r>
    </w:p>
    <w:p w:rsidR="009E2019" w:rsidRDefault="009E2019" w:rsidP="009E2019">
      <w:pPr>
        <w:pStyle w:val="NormalWeb"/>
        <w:shd w:val="clear" w:color="auto" w:fill="FFFFFF"/>
        <w:spacing w:after="0"/>
        <w:jc w:val="both"/>
        <w:textAlignment w:val="baseline"/>
      </w:pPr>
      <w:r>
        <w:t>Tras esta carta, las fuerzas de seguridad de la unidad “Lentos” (especializados en control de masas violentas) patrullan la estación y la violencia ha disminuido. Hasta ese momento, los problemas habían sido ocasionados por un grupo de unos 50 marroquíes, de entre 18 y 30 años, reconoció la policía. Se les acusaba de agresiones sexuales, drogas y alcoholismo, agresiones físicas y homicidios. Aun así, las mujeres continúan denunciando agresiones sexuale</w:t>
      </w:r>
      <w:r w:rsidR="007172CE">
        <w:t>s en las plataformas de trenes.</w:t>
      </w:r>
    </w:p>
    <w:p w:rsidR="009E2019" w:rsidRDefault="009E2019" w:rsidP="009E2019">
      <w:pPr>
        <w:pStyle w:val="NormalWeb"/>
        <w:shd w:val="clear" w:color="auto" w:fill="FFFFFF"/>
        <w:spacing w:after="0"/>
        <w:jc w:val="both"/>
        <w:textAlignment w:val="baseline"/>
      </w:pPr>
      <w:r>
        <w:t>Han atacado a voluntarios de la cruz roja en un puesto cercano, que fueron hospitalizados. Ahora no pueden actuar sin protección policial. Uno de los empleados de un centro de Caritas cercano, admite que llaman a la</w:t>
      </w:r>
      <w:r w:rsidR="007172CE">
        <w:t xml:space="preserve"> policía de 3 a 4 veces al día.</w:t>
      </w:r>
    </w:p>
    <w:p w:rsidR="009E2019" w:rsidRDefault="009E2019" w:rsidP="009E2019">
      <w:pPr>
        <w:pStyle w:val="NormalWeb"/>
        <w:shd w:val="clear" w:color="auto" w:fill="FFFFFF"/>
        <w:spacing w:after="0"/>
        <w:jc w:val="both"/>
        <w:textAlignment w:val="baseline"/>
      </w:pPr>
      <w:r>
        <w:t>Todo esto ha llevado a que Austria (al igual que Suiza) se plante y haya dispuesto a 750 soldados junto con 4 tanques armados en la frontera con Italia, en el paso de Brenner, al cruzar los Alpes. Aunque, en 2015, tenían la frontera con Eslovenia protegida por el ejército y aun así entraron 86.000 migrantes, la mayoría desde Italia.</w:t>
      </w:r>
    </w:p>
    <w:p w:rsidR="007172CE" w:rsidRDefault="009E2019" w:rsidP="009E2019">
      <w:pPr>
        <w:pStyle w:val="NormalWeb"/>
        <w:shd w:val="clear" w:color="auto" w:fill="FFFFFF"/>
        <w:spacing w:after="0"/>
        <w:jc w:val="both"/>
        <w:textAlignment w:val="baseline"/>
      </w:pPr>
      <w:r>
        <w:t>Así mismo, la venta de armas a ciudadanos nativos aumentó un 11% en 2016, tras la acogida masiva de refugiados rechazados por Alemania, y el proporcional aumento de la delincuencia y los delitos sexuales.</w:t>
      </w:r>
    </w:p>
    <w:p w:rsidR="00901757" w:rsidRDefault="009E2019" w:rsidP="009E2019">
      <w:pPr>
        <w:pStyle w:val="NormalWeb"/>
        <w:shd w:val="clear" w:color="auto" w:fill="FFFFFF"/>
        <w:spacing w:after="0"/>
        <w:jc w:val="both"/>
        <w:textAlignment w:val="baseline"/>
      </w:pPr>
      <w:r>
        <w:t>España</w:t>
      </w:r>
    </w:p>
    <w:p w:rsidR="009E2019" w:rsidRDefault="009E2019" w:rsidP="009E2019">
      <w:pPr>
        <w:pStyle w:val="NormalWeb"/>
        <w:shd w:val="clear" w:color="auto" w:fill="FFFFFF"/>
        <w:spacing w:after="0"/>
        <w:jc w:val="both"/>
        <w:textAlignment w:val="baseline"/>
      </w:pPr>
      <w:r>
        <w:t xml:space="preserve">Miramos a Suecia, Alemania, Francia… nos parece que están tan lejos. Pero, recordad, han cerrado la Ruta de las Balcanes, y las Mediterráneas griega e italiana… España es ahora el punto de llegada. Lo que ellos están sufriendo hoy, no </w:t>
      </w:r>
      <w:r w:rsidR="007172CE">
        <w:t>tardaremos en vivirlo nosotros.</w:t>
      </w:r>
    </w:p>
    <w:p w:rsidR="009E2019" w:rsidRDefault="009E2019" w:rsidP="009E2019">
      <w:pPr>
        <w:pStyle w:val="NormalWeb"/>
        <w:shd w:val="clear" w:color="auto" w:fill="FFFFFF"/>
        <w:spacing w:after="0"/>
        <w:jc w:val="both"/>
        <w:textAlignment w:val="baseline"/>
      </w:pPr>
      <w:r>
        <w:t>Pongamos los datos sobre la mesa: la ruta del Mediterráneo italiana, que fue la última en cerrar, lo hizo a mediados de 2016. A partir de ese momento, los botes de refugiados empezaron a ser desplazados a España. Coincidió también con la indignación de Marruecos porque no se le reconoce la soberanía sobre el Sáhara Occidental y su amenaza</w:t>
      </w:r>
      <w:r w:rsidR="007172CE">
        <w:t xml:space="preserve"> de no controlar las fronteras…</w:t>
      </w:r>
    </w:p>
    <w:p w:rsidR="00304271" w:rsidRDefault="00304271" w:rsidP="009E2019">
      <w:pPr>
        <w:pStyle w:val="NormalWeb"/>
        <w:shd w:val="clear" w:color="auto" w:fill="FFFFFF"/>
        <w:spacing w:after="0"/>
        <w:jc w:val="both"/>
        <w:textAlignment w:val="baseline"/>
      </w:pPr>
    </w:p>
    <w:p w:rsidR="009E2019" w:rsidRDefault="009E2019" w:rsidP="009E2019">
      <w:pPr>
        <w:pStyle w:val="NormalWeb"/>
        <w:shd w:val="clear" w:color="auto" w:fill="FFFFFF"/>
        <w:spacing w:after="0"/>
        <w:jc w:val="both"/>
        <w:textAlignment w:val="baseline"/>
      </w:pPr>
      <w:r>
        <w:lastRenderedPageBreak/>
        <w:t>Prim</w:t>
      </w:r>
      <w:r w:rsidR="007172CE">
        <w:t>er trimestre de 2017 en España:</w:t>
      </w:r>
    </w:p>
    <w:p w:rsidR="009E2019" w:rsidRDefault="009E2019" w:rsidP="009E2019">
      <w:pPr>
        <w:pStyle w:val="NormalWeb"/>
        <w:shd w:val="clear" w:color="auto" w:fill="FFFFFF"/>
        <w:spacing w:after="0"/>
        <w:jc w:val="both"/>
        <w:textAlignment w:val="baseline"/>
      </w:pPr>
      <w:r>
        <w:t>La criminalidad aumenta en un 1.7%.</w:t>
      </w:r>
    </w:p>
    <w:p w:rsidR="009E2019" w:rsidRDefault="009E2019" w:rsidP="009E2019">
      <w:pPr>
        <w:pStyle w:val="NormalWeb"/>
        <w:shd w:val="clear" w:color="auto" w:fill="FFFFFF"/>
        <w:spacing w:after="0"/>
        <w:jc w:val="both"/>
        <w:textAlignment w:val="baseline"/>
      </w:pPr>
      <w:r>
        <w:t>Los robos con violencia en un 6.4%</w:t>
      </w:r>
    </w:p>
    <w:p w:rsidR="009E2019" w:rsidRDefault="009E2019" w:rsidP="009E2019">
      <w:pPr>
        <w:pStyle w:val="NormalWeb"/>
        <w:shd w:val="clear" w:color="auto" w:fill="FFFFFF"/>
        <w:spacing w:after="0"/>
        <w:jc w:val="both"/>
        <w:textAlignment w:val="baseline"/>
      </w:pPr>
      <w:r>
        <w:t>El tráfico de drogas en un 11.2%</w:t>
      </w:r>
    </w:p>
    <w:p w:rsidR="009E2019" w:rsidRDefault="009E2019" w:rsidP="009E2019">
      <w:pPr>
        <w:pStyle w:val="NormalWeb"/>
        <w:shd w:val="clear" w:color="auto" w:fill="FFFFFF"/>
        <w:spacing w:after="0"/>
        <w:jc w:val="both"/>
        <w:textAlignment w:val="baseline"/>
      </w:pPr>
      <w:r>
        <w:t>Los homicidios en un 36.5%</w:t>
      </w:r>
    </w:p>
    <w:p w:rsidR="009E2019" w:rsidRDefault="009E2019" w:rsidP="009E2019">
      <w:pPr>
        <w:pStyle w:val="NormalWeb"/>
        <w:shd w:val="clear" w:color="auto" w:fill="FFFFFF"/>
        <w:spacing w:after="0"/>
        <w:jc w:val="both"/>
        <w:textAlignment w:val="baseline"/>
      </w:pPr>
      <w:r>
        <w:t>Las agresiones sexuales en un 13%, registrándose en 3 meses 287 violaciones y 2.667 agresiones de índole sexual. Los mayores aumentos se han registrado en Ceuta, Canaria</w:t>
      </w:r>
      <w:r w:rsidR="00522FAC">
        <w:t xml:space="preserve">s y Baleares. </w:t>
      </w:r>
      <w:r>
        <w:t>Otro dato a tener en cuenta es la ta</w:t>
      </w:r>
      <w:r w:rsidR="00C602D9">
        <w:t>sa de fertilidad española, de 1,</w:t>
      </w:r>
      <w:r>
        <w:t>1 (recordemos que para la supervivencia de</w:t>
      </w:r>
      <w:r w:rsidR="00C602D9">
        <w:t xml:space="preserve"> una raza es necesario un 2,</w:t>
      </w:r>
      <w:r w:rsidR="007172CE">
        <w:t>1).</w:t>
      </w:r>
    </w:p>
    <w:p w:rsidR="00C602D9" w:rsidRDefault="00C602D9" w:rsidP="009E2019">
      <w:pPr>
        <w:pStyle w:val="NormalWeb"/>
        <w:shd w:val="clear" w:color="auto" w:fill="FFFFFF"/>
        <w:spacing w:after="0"/>
        <w:jc w:val="both"/>
        <w:textAlignment w:val="baseline"/>
      </w:pPr>
      <w:r w:rsidRPr="00522FAC">
        <w:rPr>
          <w:b/>
        </w:rPr>
        <w:t>Mapa de las No-Go Zones en Europa</w:t>
      </w:r>
      <w:r>
        <w:t xml:space="preserve">  (La Gaceta - </w:t>
      </w:r>
      <w:r w:rsidRPr="00522FAC">
        <w:rPr>
          <w:b/>
        </w:rPr>
        <w:t>28/7/17</w:t>
      </w:r>
      <w:r>
        <w:t>)</w:t>
      </w:r>
    </w:p>
    <w:p w:rsidR="00522FAC" w:rsidRDefault="006A6438" w:rsidP="009E2019">
      <w:pPr>
        <w:pStyle w:val="NormalWeb"/>
        <w:shd w:val="clear" w:color="auto" w:fill="FFFFFF"/>
        <w:spacing w:after="0"/>
        <w:jc w:val="both"/>
        <w:textAlignment w:val="baseline"/>
      </w:pPr>
      <w:r w:rsidRPr="006A6438">
        <w:rPr>
          <w:noProof/>
        </w:rPr>
        <w:drawing>
          <wp:inline distT="0" distB="0" distL="0" distR="0">
            <wp:extent cx="5727699" cy="4673600"/>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5731510" cy="4676709"/>
                    </a:xfrm>
                    <a:prstGeom prst="rect">
                      <a:avLst/>
                    </a:prstGeom>
                  </pic:spPr>
                </pic:pic>
              </a:graphicData>
            </a:graphic>
          </wp:inline>
        </w:drawing>
      </w:r>
    </w:p>
    <w:p w:rsidR="00304271" w:rsidRDefault="00304271" w:rsidP="009E2019">
      <w:pPr>
        <w:pStyle w:val="NormalWeb"/>
        <w:shd w:val="clear" w:color="auto" w:fill="FFFFFF"/>
        <w:spacing w:after="0"/>
        <w:jc w:val="both"/>
        <w:textAlignment w:val="baseline"/>
        <w:rPr>
          <w:b/>
        </w:rPr>
      </w:pPr>
    </w:p>
    <w:p w:rsidR="00304271" w:rsidRDefault="00304271" w:rsidP="009E2019">
      <w:pPr>
        <w:pStyle w:val="NormalWeb"/>
        <w:shd w:val="clear" w:color="auto" w:fill="FFFFFF"/>
        <w:spacing w:after="0"/>
        <w:jc w:val="both"/>
        <w:textAlignment w:val="baseline"/>
        <w:rPr>
          <w:b/>
        </w:rPr>
      </w:pPr>
    </w:p>
    <w:p w:rsidR="00304271" w:rsidRDefault="00304271" w:rsidP="009E2019">
      <w:pPr>
        <w:pStyle w:val="NormalWeb"/>
        <w:shd w:val="clear" w:color="auto" w:fill="FFFFFF"/>
        <w:spacing w:after="0"/>
        <w:jc w:val="both"/>
        <w:textAlignment w:val="baseline"/>
        <w:rPr>
          <w:b/>
        </w:rPr>
      </w:pPr>
    </w:p>
    <w:p w:rsidR="003176A0" w:rsidRPr="003176A0" w:rsidRDefault="003176A0" w:rsidP="009E2019">
      <w:pPr>
        <w:pStyle w:val="NormalWeb"/>
        <w:shd w:val="clear" w:color="auto" w:fill="FFFFFF"/>
        <w:spacing w:after="0"/>
        <w:jc w:val="both"/>
        <w:textAlignment w:val="baseline"/>
        <w:rPr>
          <w:b/>
        </w:rPr>
      </w:pPr>
      <w:r w:rsidRPr="003176A0">
        <w:rPr>
          <w:b/>
        </w:rPr>
        <w:lastRenderedPageBreak/>
        <w:t xml:space="preserve">- </w:t>
      </w:r>
      <w:r>
        <w:rPr>
          <w:b/>
        </w:rPr>
        <w:t>El lamento de la “banlieue”: l</w:t>
      </w:r>
      <w:r w:rsidRPr="003176A0">
        <w:rPr>
          <w:b/>
        </w:rPr>
        <w:t>os guetos franceses se radicalizan</w:t>
      </w:r>
    </w:p>
    <w:p w:rsidR="00730185" w:rsidRDefault="00730185" w:rsidP="00730185">
      <w:pPr>
        <w:pStyle w:val="NormalWeb"/>
        <w:shd w:val="clear" w:color="auto" w:fill="FFFFFF"/>
        <w:spacing w:after="0"/>
        <w:jc w:val="both"/>
        <w:textAlignment w:val="baseline"/>
      </w:pPr>
      <w:r>
        <w:rPr>
          <w:noProof/>
        </w:rPr>
        <w:drawing>
          <wp:inline distT="0" distB="0" distL="0" distR="0">
            <wp:extent cx="5730372" cy="3244850"/>
            <wp:effectExtent l="0" t="0" r="3810" b="0"/>
            <wp:docPr id="4" name="Imagen 4" descr="https://elpais.com/elpais/imagenes/2013/06/27/eps/1372354945_948775_1372440427_notici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lpais.com/elpais/imagenes/2013/06/27/eps/1372354945_948775_1372440427_noticia_grand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3245494"/>
                    </a:xfrm>
                    <a:prstGeom prst="rect">
                      <a:avLst/>
                    </a:prstGeom>
                    <a:noFill/>
                    <a:ln>
                      <a:noFill/>
                    </a:ln>
                  </pic:spPr>
                </pic:pic>
              </a:graphicData>
            </a:graphic>
          </wp:inline>
        </w:drawing>
      </w:r>
    </w:p>
    <w:p w:rsidR="00730185" w:rsidRDefault="003176A0" w:rsidP="00730185">
      <w:pPr>
        <w:pStyle w:val="NormalWeb"/>
        <w:shd w:val="clear" w:color="auto" w:fill="FFFFFF"/>
        <w:spacing w:after="0"/>
        <w:jc w:val="both"/>
        <w:textAlignment w:val="baseline"/>
      </w:pPr>
      <w:r>
        <w:t xml:space="preserve">- </w:t>
      </w:r>
      <w:r w:rsidR="00C602D9">
        <w:rPr>
          <w:u w:val="single"/>
        </w:rPr>
        <w:t>Viaje al corazón de la “Banlieue”</w:t>
      </w:r>
      <w:r>
        <w:t xml:space="preserve"> (El País - </w:t>
      </w:r>
      <w:r w:rsidRPr="003176A0">
        <w:rPr>
          <w:b/>
        </w:rPr>
        <w:t>30/6/13</w:t>
      </w:r>
      <w:r>
        <w:t>)</w:t>
      </w:r>
    </w:p>
    <w:p w:rsidR="00730185" w:rsidRDefault="00730185" w:rsidP="00730185">
      <w:pPr>
        <w:pStyle w:val="NormalWeb"/>
        <w:shd w:val="clear" w:color="auto" w:fill="FFFFFF"/>
        <w:spacing w:after="0"/>
        <w:jc w:val="both"/>
        <w:textAlignment w:val="baseline"/>
      </w:pPr>
      <w:r>
        <w:t>El distrito parisiense de Seine-Saint-Denis, hizo célebre por los disturbios de 2005, continúa al límite entre el paro, fracaso escolar, rap, identidad, pobreza y la droga que rodean el cinturón de la capital francesa</w:t>
      </w:r>
    </w:p>
    <w:p w:rsidR="00730185" w:rsidRDefault="003176A0" w:rsidP="00730185">
      <w:pPr>
        <w:pStyle w:val="NormalWeb"/>
        <w:shd w:val="clear" w:color="auto" w:fill="FFFFFF"/>
        <w:spacing w:after="0"/>
        <w:jc w:val="both"/>
        <w:textAlignment w:val="baseline"/>
      </w:pPr>
      <w:r>
        <w:t xml:space="preserve">(Por </w:t>
      </w:r>
      <w:r w:rsidR="00730185">
        <w:t>Miguel Mora</w:t>
      </w:r>
      <w:r>
        <w:t>)</w:t>
      </w:r>
    </w:p>
    <w:p w:rsidR="003176A0" w:rsidRDefault="00E95E6A" w:rsidP="003176A0">
      <w:pPr>
        <w:pStyle w:val="NormalWeb"/>
        <w:shd w:val="clear" w:color="auto" w:fill="FFFFFF"/>
        <w:spacing w:after="0"/>
        <w:jc w:val="both"/>
        <w:textAlignment w:val="baseline"/>
      </w:pPr>
      <w:r>
        <w:t>F</w:t>
      </w:r>
      <w:r w:rsidR="003176A0">
        <w:t>rancia tiene miedo de ese mundo sin reglas ni derechos que gira a mil por hora. Pero también se asusta de sí misma. Cada poco tiempo se produce un sobresalto, aparecen las fobias, la desconfianza y la rabia acumulada en los pliegues producidos por el paro, la recesión y un sistema social partido en tres pedazos: las élites, la gran clase media y los olvidados. Hace tres años, Nicolas Sarkozy declaró l</w:t>
      </w:r>
      <w:r w:rsidR="00C602D9">
        <w:t>a guerra a los gitanos rumanos -los últimos del escalafón-</w:t>
      </w:r>
      <w:r w:rsidR="003176A0">
        <w:t xml:space="preserve"> e hizo suyas las tesis xenófobas del Frente Nacional. En 2012, Mohamed Merah, hijo de argelinos criado en la periferia de Toulouse, asesinó a siete personas en nombre de la yihad. En mayo de 2012, la victoria de François Hollande ­pareció serenar los ánimos, pero fue un espejismo. La derecha católica y la ultraderecha tomaron las calles contra el matrimonio gay. Tras meses de tensión, Esteban Morillo, un neonazi de 20 años nacido en Cádiz y criado en un pueblo que vota al Frente Nacional, mataba a puñetazos a un militante antifascista de 18 años. En París, y a plena luz del día.</w:t>
      </w:r>
    </w:p>
    <w:p w:rsidR="003176A0" w:rsidRDefault="003176A0" w:rsidP="003176A0">
      <w:pPr>
        <w:pStyle w:val="NormalWeb"/>
        <w:shd w:val="clear" w:color="auto" w:fill="FFFFFF"/>
        <w:spacing w:after="0"/>
        <w:jc w:val="both"/>
        <w:textAlignment w:val="baseline"/>
      </w:pPr>
      <w:r>
        <w:t>Los expertos señalan que la deriva de la quinta potencia mundial, el país de la Enciclopedia y los derechos humanos, no es nueva, y recuerdan que las pulsiones xenófobas y populistas llevan más de tres décadas dando dolores de cabeza a la República. Pero las señales de alarma no dejan de repetirse. Una de las pocas certidumbres que tienen lo</w:t>
      </w:r>
      <w:r w:rsidR="00C602D9">
        <w:t>s sociólogos y los politólogos -</w:t>
      </w:r>
      <w:r>
        <w:t>dos de los</w:t>
      </w:r>
      <w:r w:rsidR="00C602D9">
        <w:t xml:space="preserve"> oficios más populares del país-</w:t>
      </w:r>
      <w:r>
        <w:t xml:space="preserve"> es que la base de los problemas actuales está en la brecha que separa a las periferias de las grandes ciudades del resto de la sociedad. Y cuando se habla de periferia, de la banlieue, la palabra se hace número: el 93.</w:t>
      </w:r>
    </w:p>
    <w:p w:rsidR="003176A0" w:rsidRDefault="003176A0" w:rsidP="003176A0">
      <w:pPr>
        <w:pStyle w:val="NormalWeb"/>
        <w:shd w:val="clear" w:color="auto" w:fill="FFFFFF"/>
        <w:spacing w:after="0"/>
        <w:jc w:val="both"/>
        <w:textAlignment w:val="baseline"/>
      </w:pPr>
      <w:r>
        <w:lastRenderedPageBreak/>
        <w:t>El 93 está en la Isla de Francia, la gran región formada por la aglomeración urbana de París y el cinturón que rodea a la capital. Aquí viven más de 12 millones de personas bastante mal repartidas. Los 20 distritos del centro son la zona más densamente poblada de Francia: ocupa solo el 24% del territorio regional y alberga a un 18% de los habitantes de una comarca que es la segunda más rica de Europ</w:t>
      </w:r>
      <w:r w:rsidR="00C602D9">
        <w:t>a en términos de PIB comparado -tras Renania-W</w:t>
      </w:r>
      <w:r w:rsidR="001B0DFC">
        <w:t>est</w:t>
      </w:r>
      <w:r w:rsidR="00C602D9">
        <w:t>falia-</w:t>
      </w:r>
      <w:r>
        <w:t xml:space="preserve"> y la sexta en renta por habitante.</w:t>
      </w:r>
    </w:p>
    <w:p w:rsidR="003176A0" w:rsidRDefault="003176A0" w:rsidP="003176A0">
      <w:pPr>
        <w:pStyle w:val="NormalWeb"/>
        <w:shd w:val="clear" w:color="auto" w:fill="FFFFFF"/>
        <w:spacing w:after="0"/>
        <w:jc w:val="both"/>
        <w:textAlignment w:val="baseline"/>
      </w:pPr>
      <w:r>
        <w:t>La corona noreste es la provincia (o departamento) de Seine-Saint-Denis: el 93, por las dos primeras cifras de su código postal. Ocupada por los galos de Astérix, el 93 fue durante gran parte d</w:t>
      </w:r>
      <w:r w:rsidR="00C602D9">
        <w:t>el siglo XX un feudo comunista -</w:t>
      </w:r>
      <w:r>
        <w:t>aquí tie</w:t>
      </w:r>
      <w:r w:rsidR="00C602D9">
        <w:t>ne su sede el diario L’Humanité-</w:t>
      </w:r>
      <w:r>
        <w:t>, y algunas de sus 40 ciudades dormitorio tienen todavía alcaldes del PCF, aunque los socialistas gobiernan la región desde 2008.</w:t>
      </w:r>
    </w:p>
    <w:p w:rsidR="003176A0" w:rsidRDefault="003176A0" w:rsidP="003176A0">
      <w:pPr>
        <w:pStyle w:val="NormalWeb"/>
        <w:shd w:val="clear" w:color="auto" w:fill="FFFFFF"/>
        <w:spacing w:after="0"/>
        <w:jc w:val="both"/>
        <w:textAlignment w:val="baseline"/>
      </w:pPr>
      <w:r>
        <w:t>El 27 de octubre de 2005, Seine-Saint-Denis se hizo célebre en todo el mundo. La cólera estalló en la “aglomeración comunitaria” de Clichy-sous-Bois-Montfermeil, una ciudad partida en dos donde viven 60.000 personas, situada en tierra de nadie, pero solo a 15 kilómetros de París, y unida al mundo exterior por una única línea de autobús: la 347. Aquella noche, el viejo cinturón rojo de París fue inc</w:t>
      </w:r>
      <w:r w:rsidR="00C602D9">
        <w:t>endiado por docenas de jóvenes -</w:t>
      </w:r>
      <w:r>
        <w:t>franceses de origen magre</w:t>
      </w:r>
      <w:r w:rsidR="00C602D9">
        <w:t>bí y subsahariano en su mayoría-</w:t>
      </w:r>
      <w:r>
        <w:t xml:space="preserve"> después de que tres adolescen</w:t>
      </w:r>
      <w:r w:rsidR="00C602D9">
        <w:t>tes se electrocutaran -</w:t>
      </w:r>
      <w:r>
        <w:t>dos murieron</w:t>
      </w:r>
      <w:r w:rsidR="00C602D9">
        <w:t xml:space="preserve"> y uno resultó herido muy grave-</w:t>
      </w:r>
      <w:r>
        <w:t xml:space="preserve"> al esconderse en un transformador cuando trataban de huir de la policía. Las revueltas se extendieron a otras ciudades, y durante semanas ardieron coches y edificios mientras los políticos ejercían la autocrítica o la hipocresía y los analistas glosaban dos realidades: el ascenso del islam y el fracaso del modelo laicista en los guetos franceses. Cuando se apagaron las brasas, los problemas seguían allí.</w:t>
      </w:r>
    </w:p>
    <w:p w:rsidR="003176A0" w:rsidRDefault="003176A0" w:rsidP="003176A0">
      <w:pPr>
        <w:pStyle w:val="NormalWeb"/>
        <w:shd w:val="clear" w:color="auto" w:fill="FFFFFF"/>
        <w:spacing w:after="0"/>
        <w:jc w:val="both"/>
        <w:textAlignment w:val="baseline"/>
      </w:pPr>
      <w:r>
        <w:t>Ocho años después, las cifras indican que el Estado francés ha invertido cientos de millones de euros en Clichy y Montfermeil. Las torres donde los vecinos sufrían hacinamiento y miseria han sido derribadas y sustituidas por edificios menos inhumanos; hay más parques y jardines, canales, empresas y muchas mezquitas nuevas. Y a la línea 347 se ha sumado otra: la 61.</w:t>
      </w:r>
    </w:p>
    <w:p w:rsidR="003176A0" w:rsidRDefault="003176A0" w:rsidP="003176A0">
      <w:pPr>
        <w:pStyle w:val="NormalWeb"/>
        <w:shd w:val="clear" w:color="auto" w:fill="FFFFFF"/>
        <w:spacing w:after="0"/>
        <w:jc w:val="both"/>
        <w:textAlignment w:val="baseline"/>
      </w:pPr>
      <w:r>
        <w:t>“La situación ha cambiado poco. París sigue estando a 15 kilómetros, pero todavía tardamos hora y media en llegar. Media hora de autobús, media de cercanías y media de metro”, explica Mariam Cissé, teniente de alcalde de Educación en Clichy desde 2008. “Es verdad que ha habido más inversiones, y que las asociaciones están más cerca de los ciudadanos, pero no se han resuelto los problemas. La crisis golpeó muy fuerte, y el paro, el trato de la policía a los jóvenes, la educación y los transportes han mejorado muy poco. Si ir a París es complicado, moverse por el 93 es una pesadilla. Todos esperamos el tranvía regional, pero solo llegará en 2023”.</w:t>
      </w:r>
    </w:p>
    <w:p w:rsidR="003176A0" w:rsidRDefault="003176A0" w:rsidP="003176A0">
      <w:pPr>
        <w:pStyle w:val="NormalWeb"/>
        <w:shd w:val="clear" w:color="auto" w:fill="FFFFFF"/>
        <w:spacing w:after="0"/>
        <w:jc w:val="both"/>
        <w:textAlignment w:val="baseline"/>
      </w:pPr>
      <w:r>
        <w:t>La sensación que se tiene al llegar en metro al 93 desde el centro de París es que se llega a un país diferente. Y la impresión crece si se toma en hora punta el tranvía que añoran Cissé y sus vecinos. El 1 recorre media región a paso de caracol. Pare en la ciudad que pare, por la ventanilla se ve siempre un paisaje feo, sucio y hostil: las señales del gueto. Dentro, los vagones van atestados, huele a sudor y las caras mezclan tristeza y cansancio. Apenas se ven teléfonos móviles, nadie lee libros ni periódicos, y casi nadie valida su billete o su abono de transporte (el Navigo). El conductor ni siquiera controla si los pasajeros pagan, demasiado ocupado en no aplastar a la gente al cerrar las puertas. Pero a veces los viajeros, a diferencia de París, donde la regla es que nadie mira a nadie, saludan con un gesto de la cabeza al entrar.</w:t>
      </w:r>
    </w:p>
    <w:p w:rsidR="003176A0" w:rsidRDefault="003176A0" w:rsidP="003176A0">
      <w:pPr>
        <w:pStyle w:val="NormalWeb"/>
        <w:shd w:val="clear" w:color="auto" w:fill="FFFFFF"/>
        <w:spacing w:after="0"/>
        <w:jc w:val="both"/>
        <w:textAlignment w:val="baseline"/>
      </w:pPr>
      <w:r>
        <w:lastRenderedPageBreak/>
        <w:t>El tranvía refleja la composición de las banlieues: subproletariado, muchísimos niños, pieles oscuras o muy oscuras, muy poca clase media. La gente viste ropa muy modesta, nada que ver con las boutiques obscenamente chic de la capital, que aquí no se llama París, sino Panamá. Es la Francia mestiza, la Francia paupérrima que sobrevive con el RSA (el subsidio social de 400 euros) y ya no fantasea con salir de la periferia. La reciente película Intocable, que cosechó tanto éxito, reflejaba esa realidad: para un joven negro de las banlieues, tener un buen trabajo en el centro de París no es un sueño, es un milagro.</w:t>
      </w:r>
    </w:p>
    <w:p w:rsidR="003176A0" w:rsidRDefault="003176A0" w:rsidP="003176A0">
      <w:pPr>
        <w:pStyle w:val="NormalWeb"/>
        <w:shd w:val="clear" w:color="auto" w:fill="FFFFFF"/>
        <w:spacing w:after="0"/>
        <w:jc w:val="both"/>
        <w:textAlignment w:val="baseline"/>
      </w:pPr>
      <w:r>
        <w:t>Pero esto no significa que el 93 haya tirado la toalla. Al revés. La concejala ­Cissé, de 26 años, nacida en París de un mauritano y una senegalesa, decidió entrar en política durante las revueltas de 2005. Un primo suyo fue una de las víctimas de aquella noche. “Soy una niña de los suburbios”, cuenta Cissé, “pero ya en el colegio empecé a trabajar en asociaciones. Cuando estalló la guerra, entendí que había que hacer más para combatir la marginación. Unos reaccionaron con violencia; otros, con más compromiso”.</w:t>
      </w:r>
    </w:p>
    <w:p w:rsidR="003176A0" w:rsidRDefault="003176A0" w:rsidP="003176A0">
      <w:pPr>
        <w:pStyle w:val="NormalWeb"/>
        <w:shd w:val="clear" w:color="auto" w:fill="FFFFFF"/>
        <w:spacing w:after="0"/>
        <w:jc w:val="both"/>
        <w:textAlignment w:val="baseline"/>
      </w:pPr>
      <w:r>
        <w:t>Un par de datos explican que Clichy sigue pareciéndose mucho a la de 2005. De sus 30.000 habitantes, 7 de cada 10 viven bajo el umbral de la pobreza, y hay un 40% de paro juvenil. Pero algunas cosas parecen estar moviéndose. “Antes de 2005, los jóvenes del 93 rara vez participaban en política, pero en este momento hay cientos de concejales municipales y regionales en activo”, explica el politólogo Gilles Kepel.</w:t>
      </w:r>
    </w:p>
    <w:p w:rsidR="003176A0" w:rsidRDefault="003176A0" w:rsidP="003176A0">
      <w:pPr>
        <w:pStyle w:val="NormalWeb"/>
        <w:shd w:val="clear" w:color="auto" w:fill="FFFFFF"/>
        <w:spacing w:after="0"/>
        <w:jc w:val="both"/>
        <w:textAlignment w:val="baseline"/>
      </w:pPr>
      <w:r>
        <w:t>Kepel es uno de los máximos especialistas en las barriadas francesas. Profesor en Sciences-Po y especialista en islam, dirigió en 1987 la investigación Les banlieues de l’islam (Seuil), y en 2011 repitió con Banlieue de la République, un estudio de 2.000 páginas encargado por el Institut Montaigne, y con el ensayo Quatre-vingt-treize (Noventa y tres, ambos editados por Gallimard).</w:t>
      </w:r>
    </w:p>
    <w:p w:rsidR="003176A0" w:rsidRDefault="003176A0" w:rsidP="003176A0">
      <w:pPr>
        <w:pStyle w:val="NormalWeb"/>
        <w:shd w:val="clear" w:color="auto" w:fill="FFFFFF"/>
        <w:spacing w:after="0"/>
        <w:jc w:val="both"/>
        <w:textAlignment w:val="baseline"/>
      </w:pPr>
      <w:r>
        <w:t>“Hay mucha gente en las barriadas como Mariam Cissé que ha decidido dar un paso adelante y luchar desde dentro del sistema para mejorarlo”, explica Kepel. “Eso ha evitado la explosión social y ayuda a disminuir el desarraigo y el resentimiento hacia la escuela. El islam piadoso, pese a lo que muchos piensan, es otro factor de estabilidad. Mejora la autoestima de los jóvenes que trafican porque les permite encauzar la culpa: ya no es de ellos, sino de Francia. Y contribuye al equilibrio del colectivo, porque hay muchas conversiones por bodas entre musulmanes y no musulmanes”.</w:t>
      </w:r>
    </w:p>
    <w:p w:rsidR="003176A0" w:rsidRDefault="003176A0" w:rsidP="003176A0">
      <w:pPr>
        <w:pStyle w:val="NormalWeb"/>
        <w:shd w:val="clear" w:color="auto" w:fill="FFFFFF"/>
        <w:spacing w:after="0"/>
        <w:jc w:val="both"/>
        <w:textAlignment w:val="baseline"/>
      </w:pPr>
      <w:r>
        <w:t>Cissé, musulmana “privada”, trabaja codo a codo con el “alcalde coraje” de su ciudad, Claude Dilain, un socialista de 61 años, pediatra de formación, que lleva años denunciando que la “guetización” de la sociedad, como señaló el economista Éric Maurin en Le ghetto français (2004), es “una decisión política que favorece a las clases más pudientes porqu</w:t>
      </w:r>
      <w:r w:rsidR="00C602D9">
        <w:t>e les evita tener que convivir -y escolarizar a sus hijos-</w:t>
      </w:r>
      <w:r>
        <w:t xml:space="preserve"> con los inmigrantes y los franceses más pobres”.</w:t>
      </w:r>
    </w:p>
    <w:p w:rsidR="003176A0" w:rsidRDefault="003176A0" w:rsidP="003176A0">
      <w:pPr>
        <w:pStyle w:val="NormalWeb"/>
        <w:shd w:val="clear" w:color="auto" w:fill="FFFFFF"/>
        <w:spacing w:after="0"/>
        <w:jc w:val="both"/>
        <w:textAlignment w:val="baseline"/>
      </w:pPr>
      <w:r>
        <w:t>Uno de esos franceses es Fabien Ortiz. De 29 años, españo</w:t>
      </w:r>
      <w:r w:rsidR="00C602D9">
        <w:t>l de origen y director de cine -</w:t>
      </w:r>
      <w:r>
        <w:t>“he hecho tres cortos y</w:t>
      </w:r>
      <w:r w:rsidR="00C602D9">
        <w:t xml:space="preserve"> ahora escribo mi primer largo”-</w:t>
      </w:r>
      <w:r>
        <w:t>, creció en el distrito 93 y es uno de los vecinos que ayudaron al fotógrafo catalán Arnau Bach a elaborar el reportaje en blanco y negro titulado Suburbia que ilustra estas páginas. Bach se ha sumergido a fondo en el 93: desde 2006 hasta el final de 2012 ha recorrido varias ciudades de la región “buscando los síntomas de una revolución social”. Según cuenta ahora desde Barcelona, no los ha encontrado. Pero su trabajo retrata desde dentro un universo complejo y cambiante, hecho de desempleo e infraviviendas, hip-hop y hachís, armas y rezos, humedad y miseria.</w:t>
      </w:r>
    </w:p>
    <w:p w:rsidR="003176A0" w:rsidRDefault="003176A0" w:rsidP="003176A0">
      <w:pPr>
        <w:pStyle w:val="NormalWeb"/>
        <w:shd w:val="clear" w:color="auto" w:fill="FFFFFF"/>
        <w:spacing w:after="0"/>
        <w:jc w:val="both"/>
        <w:textAlignment w:val="baseline"/>
      </w:pPr>
      <w:r>
        <w:lastRenderedPageBreak/>
        <w:t>Ortiz explica ante un café la transformación de Saint-Denis: “Mis abuelos vivían en la sierra de Madrid y emigraron a Francia en los años cincuenta. Mi padre nació en Belleville, que entonces era un barrio español, y fue periodista de L’Humanité. Cuando yo tenía un año nos instalamos en Saint-Denis. Yo estudié en la escuela pública De Geyter y era el único europeo, con algunos portugueses y dos albaneses. Los demás eran africanos y árabes. Cuando era pequeño, la clase media convivía sin problemas con la gente más pobre. Pero poco a poco todo se fue degradando y la clase media se marchó. Ahora vivimos el modelo anglosajón del gueto: todos pobres, muchos parados, y la mayoría sobrevive gracias a los subsidios o a la economía local paralela”.</w:t>
      </w:r>
    </w:p>
    <w:p w:rsidR="003176A0" w:rsidRDefault="003176A0" w:rsidP="003176A0">
      <w:pPr>
        <w:pStyle w:val="NormalWeb"/>
        <w:shd w:val="clear" w:color="auto" w:fill="FFFFFF"/>
        <w:spacing w:after="0"/>
        <w:jc w:val="both"/>
        <w:textAlignment w:val="baseline"/>
      </w:pPr>
      <w:r>
        <w:t>Ortiz ha citado ante la basílica de Saint-Denis a dos de sus amigos del gueto. Babalí y 2Peed Gonzales son raperos, tienen 33 años y se buscan la vida cantando y vendiendo sus discos por las estaciones de la línea 13 del metro. Se ríen cuando se les pregunta por la vigencia del lema de la República. “Sí, en la puerta del colegio ponía Libertad, igualdad y fraternidad, ¡pero eso es solo para los ricos, es un chiste malo!”.</w:t>
      </w:r>
    </w:p>
    <w:p w:rsidR="003176A0" w:rsidRDefault="003176A0" w:rsidP="003176A0">
      <w:pPr>
        <w:pStyle w:val="NormalWeb"/>
        <w:shd w:val="clear" w:color="auto" w:fill="FFFFFF"/>
        <w:spacing w:after="0"/>
        <w:jc w:val="both"/>
        <w:textAlignment w:val="baseline"/>
      </w:pPr>
      <w:r>
        <w:t>La historia de los líderes del grupo Killa Bizz es muy similar: los dos estudiaron hasta los 16 años, los dos han trabajado en empleos duros y mal pagados, y los dos sobreviven hoy sin ayudas públicas. Tras salir escaldados de un fugaz paso por la industria del rap bling bling</w:t>
      </w:r>
      <w:r w:rsidR="00BC2883">
        <w:t xml:space="preserve"> -</w:t>
      </w:r>
      <w:r>
        <w:t>“te ponen zapatos de Vuitton y te llenan de oro y de ch</w:t>
      </w:r>
      <w:r w:rsidR="00BC2883">
        <w:t>icas desnudas”, se burla Babalí-</w:t>
      </w:r>
      <w:r>
        <w:t>, hace cuatro años decidieron que el futuro era la autogestión. Compraron un amplificador con cuatro horas de autonomía y se pusieron a rapear en los vagones. Ahora, el flaco y bromista Babalí, de origen maliense y senegalés, y el más formal Gonzales, originario de Guadalupe, presumen de tres cosas: de haber vendido 17.000 discos en la calle, de no haber votado nunca y de no acercarse a Panamá. “Eso es como irse de viaje, la gente del gueto no sale de aquí porque esto es más zen que París”, dice Babalí dando una calada a un canuto. “No se crea eso que dicen de la violencia y las drogas. Hay, como en todas partes. Pero en el 93 hay 88 nacionalidades diferentes y aquí no tenemos gánsteres. ¡Esos están en Panamá!”.</w:t>
      </w:r>
    </w:p>
    <w:p w:rsidR="003176A0" w:rsidRDefault="003176A0" w:rsidP="003176A0">
      <w:pPr>
        <w:pStyle w:val="NormalWeb"/>
        <w:shd w:val="clear" w:color="auto" w:fill="FFFFFF"/>
        <w:spacing w:after="0"/>
        <w:jc w:val="both"/>
        <w:textAlignment w:val="baseline"/>
      </w:pPr>
      <w:r>
        <w:t>Mucha gente en la banlieue cree que el mayor problema es el sistema educativo. Babalí cuenta que en el colegio le ofrecieron ser aprendiz en una fábrica de PVC, pero que lo dejó al año. “Luego trabajé de noche tirando cables en el metro de Châtelet y en el aeropuerto de Roissy. Me echaron cuando Bin Laden hizo la locura de Nueva York. Entonces era barbudo y, aunque no hice nada, me mandaron a casa”.</w:t>
      </w:r>
    </w:p>
    <w:p w:rsidR="003176A0" w:rsidRDefault="003176A0" w:rsidP="003176A0">
      <w:pPr>
        <w:pStyle w:val="NormalWeb"/>
        <w:shd w:val="clear" w:color="auto" w:fill="FFFFFF"/>
        <w:spacing w:after="0"/>
        <w:jc w:val="both"/>
        <w:textAlignment w:val="baseline"/>
      </w:pPr>
      <w:r>
        <w:t xml:space="preserve">Fabien Ortiz, que filmó la vida subterránea de estos dos raperos en el documental titulado Ah souhait, explica que “la gran invención igualitaria de la Revolución, la escuela pública y laica, es fuente de desigualdades y está marcada por un racismo social de base. Yo siento mucho rencor hacia la escuela pública”, cuenta. “Fui delegado de clase antes de entrar al Liceo y vi que la historia se repetía. Mi padre contaba que cuando quiso acceder al Liceo normal, porque era buen estudiante, a mi abuela le dijeron que mejor hiciera Formación Profesional. Eso sigue pasando. En los noventa </w:t>
      </w:r>
      <w:r w:rsidR="00C602D9">
        <w:t>había un chiste en el colegio: “Qué, electromecánica, ¿no?”</w:t>
      </w:r>
      <w:r>
        <w:t>. Solo nos querían como mano de obra barata. Nuestros padres nos dijeron que podríamos ser lo que decidiéramos, y cuando cumples los 15 la sociedad te contesta que solo puedes ser ocho cosas. Eso ha hecho mucho daño a la integración. La tele vendía un modelo de éxito, la escuela te daba el opuesto”.</w:t>
      </w:r>
    </w:p>
    <w:p w:rsidR="003176A0" w:rsidRDefault="003176A0" w:rsidP="003176A0">
      <w:pPr>
        <w:pStyle w:val="NormalWeb"/>
        <w:shd w:val="clear" w:color="auto" w:fill="FFFFFF"/>
        <w:spacing w:after="0"/>
        <w:jc w:val="both"/>
        <w:textAlignment w:val="baseline"/>
      </w:pPr>
      <w:r>
        <w:t xml:space="preserve">Gilles Kepel confirma que “la figura más detestada por muchos jóvenes de Clichy es el asesor de orientación escolar, muy por delante de los policías”. Sus investigaciones explican cómo el viejo modelo, a medias gaullista y comunista, que aspiraba a construir una periferia </w:t>
      </w:r>
      <w:r>
        <w:lastRenderedPageBreak/>
        <w:t>laica, republicana y de clase media se fue desvaneciendo por sus propios fallos. Sobre todo, en la escuela.</w:t>
      </w:r>
    </w:p>
    <w:p w:rsidR="003176A0" w:rsidRDefault="003176A0" w:rsidP="003176A0">
      <w:pPr>
        <w:pStyle w:val="NormalWeb"/>
        <w:shd w:val="clear" w:color="auto" w:fill="FFFFFF"/>
        <w:spacing w:after="0"/>
        <w:jc w:val="both"/>
        <w:textAlignment w:val="baseline"/>
      </w:pPr>
      <w:r>
        <w:t>“Los profesores vienen de provincias, no conocen los suburbios y no logran convertirse en referencias para los alumnos”, explica Fabien Ortiz. “Hay una gran rigidez y una incomunicación enorme. Pero los políticos siguen pensando que el problema es que faltan profesores. ¿Para qué traer más si el sistema está equivocado?”.</w:t>
      </w:r>
    </w:p>
    <w:p w:rsidR="003176A0" w:rsidRDefault="003176A0" w:rsidP="003176A0">
      <w:pPr>
        <w:pStyle w:val="NormalWeb"/>
        <w:shd w:val="clear" w:color="auto" w:fill="FFFFFF"/>
        <w:spacing w:after="0"/>
        <w:jc w:val="both"/>
        <w:textAlignment w:val="baseline"/>
      </w:pPr>
      <w:r>
        <w:t>La teniente de alcalde Cissé confirma esa visión: “En Clichy no tenemos teatros ni cines, y hay un bar, pero solo van los hombres. La escuela tiene que mejorar, aunque yo estoy agradecida al sistema público porque me permitió ser una mujer autónoma. Hay mucho talento en los barrios y lo que hace falta es que las escuelas lo potencien”.</w:t>
      </w:r>
    </w:p>
    <w:p w:rsidR="003176A0" w:rsidRDefault="003176A0" w:rsidP="003176A0">
      <w:pPr>
        <w:pStyle w:val="NormalWeb"/>
        <w:shd w:val="clear" w:color="auto" w:fill="FFFFFF"/>
        <w:spacing w:after="0"/>
        <w:jc w:val="both"/>
        <w:textAlignment w:val="baseline"/>
      </w:pPr>
      <w:r>
        <w:t>El Gobierno socialista está ultimando una gran reforma del sistema educativo que pondrá el acento en la formación y proximidad de los profesores y en la renovación de la formación profesional. “Hace tiempo que sabemos que el sistema francés no va bien”, explica el ministro de Educación, Vincent Peillon. “Pero hasta ahora nadie se había atrevido a reformarlo, y tenemos un doble problema, de calidad de la enseñanza y de cantidad de profesores”.</w:t>
      </w:r>
    </w:p>
    <w:p w:rsidR="003176A0" w:rsidRDefault="003176A0" w:rsidP="003176A0">
      <w:pPr>
        <w:pStyle w:val="NormalWeb"/>
        <w:shd w:val="clear" w:color="auto" w:fill="FFFFFF"/>
        <w:spacing w:after="0"/>
        <w:jc w:val="both"/>
        <w:textAlignment w:val="baseline"/>
      </w:pPr>
      <w:r>
        <w:t>Peillon explica que trabajará para cambiar el sistema de orientación escolar, aunque matiza que “en realidad es el modelo educativo lo que ha funcionado de forma injusta, porque ha dedicado menos recursos a las escuelas de los barrios pobres que a las de los más favorecidos. Intentaremos solucionarlo reequilibrando los recursos”.</w:t>
      </w:r>
    </w:p>
    <w:p w:rsidR="003176A0" w:rsidRDefault="003176A0" w:rsidP="003176A0">
      <w:pPr>
        <w:pStyle w:val="NormalWeb"/>
        <w:shd w:val="clear" w:color="auto" w:fill="FFFFFF"/>
        <w:spacing w:after="0"/>
        <w:jc w:val="both"/>
        <w:textAlignment w:val="baseline"/>
      </w:pPr>
      <w:r>
        <w:t>Francia, con 12 millones de alumnos y un millón de profesores, tiene proporcionalmente la inversión en educación más baja de la OCDE. Durante la presidencia de Nicolas Sarkozy se perdieron 80.000 plazas en educación. El compromiso de François Hollande es crear 60.000 puestos en cinco años, incluidos 27.000 nuevos formadores de profesores. “En septiembre enviaremos a las zonas periféricas y rurales 9.000 nuevos profesores de primaria y secundaria”, promete Peillon.</w:t>
      </w:r>
    </w:p>
    <w:p w:rsidR="003176A0" w:rsidRDefault="003176A0" w:rsidP="003176A0">
      <w:pPr>
        <w:pStyle w:val="NormalWeb"/>
        <w:shd w:val="clear" w:color="auto" w:fill="FFFFFF"/>
        <w:spacing w:after="0"/>
        <w:jc w:val="both"/>
        <w:textAlignment w:val="baseline"/>
      </w:pPr>
      <w:r>
        <w:t>Consciente de que el gran reto de la periferia es el desempleo, Hollande ha lanzado un programa llamado Empleos de futuro: el Estado subsidiará en dos años 100.000 contratos para menores de 25 años sin bachillerato, pagando el 75% del salario mínimo en los ayuntamientos y asociaciones y el 35% en el sector privado. Pero la aplicación en el distrito 93 está siendo muy lenta, según confirma Mariam Cissé: “El dinero no acaba de llegar”. A finales de abril, según Le Monde, solo se habían creado 17.347 de los 100.000 empleos de futuro prometidos. Y Trabajo reconoce que en Seine-Saint-Denis hay “enormes problemas”. A principios de mayo, el Gobierno solo había logrado firmar 165 contratos, frente a los 2.754 previstos para este año en el 93. Este tipo de anuncios no producen gran impresión en la periferia, como admite Fabien Ortiz: “Aquí sabemos bien que la política nos ha abandonado. Los comunistas están agotados, y los socialistas y la UMP se parecen demasiado. La forma más fácil de encontrar una identidad colectiva es hacerte musulmán o evangelista. La única religión francesa es el dinero y el individualismo”.</w:t>
      </w:r>
    </w:p>
    <w:p w:rsidR="003176A0" w:rsidRDefault="003176A0" w:rsidP="003176A0">
      <w:pPr>
        <w:pStyle w:val="NormalWeb"/>
        <w:shd w:val="clear" w:color="auto" w:fill="FFFFFF"/>
        <w:spacing w:after="0"/>
        <w:jc w:val="both"/>
        <w:textAlignment w:val="baseline"/>
      </w:pPr>
      <w:r>
        <w:t xml:space="preserve">Gilles Kepel coincide con esa visión: “El islam cotidiano ofrece refugios colectivos, moral individual y lazos sociales allá donde la República ha multiplicado sus promesas sin cumplirlas. Hoy, en Clichy-Montfermeil hay una docena de mezquitas que pueden albergar a 12.000 personas, y muchos padres no dejan a sus hijos ir a los comedores escolares porque no </w:t>
      </w:r>
      <w:r>
        <w:lastRenderedPageBreak/>
        <w:t>hay alimentos halal, lo que complicará la convivencia futura. Pero el islam ha tenido más éxito que la policía contra el tráfico de heroína que asoló los barrios en los años noventa”.</w:t>
      </w:r>
    </w:p>
    <w:p w:rsidR="003176A0" w:rsidRDefault="003176A0" w:rsidP="003176A0">
      <w:pPr>
        <w:pStyle w:val="NormalWeb"/>
        <w:shd w:val="clear" w:color="auto" w:fill="FFFFFF"/>
        <w:spacing w:after="0"/>
        <w:jc w:val="both"/>
        <w:textAlignment w:val="baseline"/>
      </w:pPr>
      <w:r>
        <w:t>Frente a unas políticas públicas fallidas, el islam se ha constituido en el Estado social de la periferia. Kepel ayuda a entender esa idea: “En Francia conviven tres generaciones de musulmanes. La primera fue la daron, padre en argot. Eran hombres solos, sin sus familias, que llegaron en los sesenta. Para ellos el islam era una referencia cultural, bebían alcohol y hacían el Ramadán. Con la crisis de 1973 muchos se quedaron en paro y trajeron a sus familias. Sus hijos lanzaron en los ochenta el movimiento beur: los islamistas reclutaron a jóvenes para islamizar barrios comunistas. Ahí se vivió la primera oleada de construcción de mezquitas y la polémica del velo. Desde 2005 vemos la eclosión de los nuevos jóvenes: se sienten franceses y defienden la comida halal. La periferia ha pasado del cuscús al halal. Pero todos quieren formar parte de la sociedad, quieren integrarse”.</w:t>
      </w:r>
    </w:p>
    <w:p w:rsidR="003176A0" w:rsidRDefault="003176A0" w:rsidP="003176A0">
      <w:pPr>
        <w:pStyle w:val="NormalWeb"/>
        <w:shd w:val="clear" w:color="auto" w:fill="FFFFFF"/>
        <w:spacing w:after="0"/>
        <w:jc w:val="both"/>
        <w:textAlignment w:val="baseline"/>
      </w:pPr>
      <w:r>
        <w:t>La evolución de la banlieue es “dinámica, paradójica y nada monolítica”, concluye el politólogo. Energía, talento, participación, lucha, pasión, humor, hachís, hip-hop, sentido colectivo, multiculturalidad, boom inmobiliario… La visita al 93 deja una pregunta en el aire: ¿no será esta República de los suburbios la verdadera Francia, la Francia moderna, la Francia del futuro?</w:t>
      </w:r>
    </w:p>
    <w:p w:rsidR="00730185" w:rsidRDefault="00730185" w:rsidP="00730185">
      <w:pPr>
        <w:pStyle w:val="NormalWeb"/>
        <w:shd w:val="clear" w:color="auto" w:fill="FFFFFF"/>
        <w:spacing w:after="0"/>
        <w:jc w:val="both"/>
        <w:textAlignment w:val="baseline"/>
      </w:pPr>
      <w:r w:rsidRPr="00730185">
        <w:t xml:space="preserve">- </w:t>
      </w:r>
      <w:r w:rsidRPr="00730185">
        <w:rPr>
          <w:u w:val="single"/>
        </w:rPr>
        <w:t>Banlieues, los barrios sensibles de París</w:t>
      </w:r>
      <w:r>
        <w:t xml:space="preserve"> (La Nación - </w:t>
      </w:r>
      <w:r w:rsidRPr="00730185">
        <w:rPr>
          <w:b/>
        </w:rPr>
        <w:t>17/1/16</w:t>
      </w:r>
      <w:r>
        <w:t>)</w:t>
      </w:r>
    </w:p>
    <w:p w:rsidR="00730185" w:rsidRPr="00730185" w:rsidRDefault="00730185" w:rsidP="00730185">
      <w:pPr>
        <w:pStyle w:val="NormalWeb"/>
        <w:shd w:val="clear" w:color="auto" w:fill="FFFFFF"/>
        <w:spacing w:before="0" w:beforeAutospacing="0" w:after="0" w:afterAutospacing="0"/>
        <w:jc w:val="both"/>
        <w:textAlignment w:val="baseline"/>
      </w:pPr>
      <w:r w:rsidRPr="00730185">
        <w:t>Un recorrido por estos suburbios, que entre la discriminación y la paranoia son señalados como fábricas de yihadistas</w:t>
      </w:r>
    </w:p>
    <w:p w:rsidR="00730185" w:rsidRPr="00730185" w:rsidRDefault="00A83AA5" w:rsidP="00730185">
      <w:pPr>
        <w:pStyle w:val="NormalWeb"/>
        <w:shd w:val="clear" w:color="auto" w:fill="FFFFFF"/>
        <w:spacing w:after="0"/>
        <w:jc w:val="both"/>
        <w:textAlignment w:val="baseline"/>
      </w:pPr>
      <w:r>
        <w:t>(Por</w:t>
      </w:r>
      <w:r w:rsidR="00730185">
        <w:t xml:space="preserve"> Nathalie Kantt)</w:t>
      </w:r>
    </w:p>
    <w:p w:rsidR="00730185" w:rsidRDefault="00730185" w:rsidP="00730185">
      <w:pPr>
        <w:pStyle w:val="NormalWeb"/>
        <w:shd w:val="clear" w:color="auto" w:fill="FFFFFF"/>
        <w:spacing w:after="0"/>
        <w:jc w:val="both"/>
        <w:textAlignment w:val="baseline"/>
      </w:pPr>
      <w:r>
        <w:t>Con gente que entra y sale a lo largo de todo el sábado por la mañana, el Ágora parece ser el lugar de encuentro de esta comuna, situada a 40 minutos al sur de París. Además de kebabs, este pequeño restaurante manejado por turcos es el único en el que se puede tomar un café al paso. Primera diferencia con las tradiciones parisinas, en donde suele haber al menos una brasserie por cuadra. El resto de comercios que rodean la plaza, centro de esta localidad, se compone de dos peluquerías, una florería, una farmacia y un almacén, además del correo y la municipalidad.</w:t>
      </w:r>
    </w:p>
    <w:p w:rsidR="00730185" w:rsidRDefault="00730185" w:rsidP="00730185">
      <w:pPr>
        <w:pStyle w:val="NormalWeb"/>
        <w:shd w:val="clear" w:color="auto" w:fill="FFFFFF"/>
        <w:spacing w:after="0"/>
        <w:jc w:val="both"/>
        <w:textAlignment w:val="baseline"/>
      </w:pPr>
      <w:r>
        <w:t>Desde aquí se vislumbra el complejo Grigny 2, situado cerca de la estación de trenes. Es un grupo de edificios altos y oscuros construidos a fines de los años sesenta para albergar a los ejecutivos y empleados de alto rango que trabajaban en los alrededores, como en el aeropuerto de Orly. Pero la copropiedad de 5</w:t>
      </w:r>
      <w:r w:rsidR="00BC2883">
        <w:t>.</w:t>
      </w:r>
      <w:r>
        <w:t>000 residencias se volvió difícil de gestionar, los primeros dueños empezaron a irse y esos lugares fueron ocupados por inmigrantes que, recién llegados, solicitaban una vivienda social. Muchos departamentos fueron desde entonces comprados por marchands de sommeil (vendedores de sueño), que hoy alquilan cada uno de los cuartos a una familia diferente que comparte baño y cocina. La copropiedad reúne 17.000 habitantes y debe millones de euros de expensas impagas. Es también allí donde vive el alcalde de esta comuna.</w:t>
      </w:r>
    </w:p>
    <w:p w:rsidR="00730185" w:rsidRDefault="00730185" w:rsidP="00730185">
      <w:pPr>
        <w:pStyle w:val="NormalWeb"/>
        <w:shd w:val="clear" w:color="auto" w:fill="FFFFFF"/>
        <w:spacing w:after="0"/>
        <w:jc w:val="both"/>
        <w:textAlignment w:val="baseline"/>
      </w:pPr>
      <w:r>
        <w:t xml:space="preserve">Para llegar a la otra gran construcción estatal, La Grande Borne, hay que cruzar del otro lado de la autopista. Aquí son 3500 viviendas sociales en las que viven 12.000 personas que gozan del equipamiento municipal que en Francia nunca falta, sin importar el nivel socioeconómico: </w:t>
      </w:r>
      <w:r>
        <w:lastRenderedPageBreak/>
        <w:t>biblioteca, gimnasio, escuela. Destinada a los obreros, hoy está poblada en su gran mayoría por inmigrantes, en muchos casos profesionales, pero sin trabajo.</w:t>
      </w:r>
    </w:p>
    <w:p w:rsidR="00730185" w:rsidRDefault="00730185" w:rsidP="00730185">
      <w:pPr>
        <w:pStyle w:val="NormalWeb"/>
        <w:shd w:val="clear" w:color="auto" w:fill="FFFFFF"/>
        <w:spacing w:after="0"/>
        <w:jc w:val="both"/>
        <w:textAlignment w:val="baseline"/>
      </w:pPr>
      <w:r>
        <w:t>Con estas dos construcciones, Grigny pasó de ser una zona rural a albergar 25.000 habitantes en diez años. Es también aquí donde creció Amedy Coulibaly, uno de los terroristas de los atentados de enero contra la revista satírica Charlie H</w:t>
      </w:r>
      <w:r w:rsidR="00A83AA5">
        <w:t>ebdo y el supermercado kosher. “Del lado de Viry-Châtillon”</w:t>
      </w:r>
      <w:r>
        <w:t>, la comuna vecina a Grigny, insisten los locales, que no quieren quedar pegados de esa manera al terrorismo. Es tarde: con 90 nacionalidades diferentes, 90% del territorio catalogado como zona prioritaria y tres mezquitas, Grigny ya está obligada a sobrevivir con el peso del estigma.</w:t>
      </w:r>
    </w:p>
    <w:p w:rsidR="00730185" w:rsidRDefault="00730185" w:rsidP="00730185">
      <w:pPr>
        <w:pStyle w:val="NormalWeb"/>
        <w:shd w:val="clear" w:color="auto" w:fill="FFFFFF"/>
        <w:spacing w:after="0"/>
        <w:jc w:val="both"/>
        <w:textAlignment w:val="baseline"/>
      </w:pPr>
      <w:r>
        <w:t>Los tres autores de los atentados de enero eran franceses, al igual que los tres terroristas que mataron a 130 personas en el Bataclan el 13 de noviembre. Crecieron en comunas como Essone y Seine-Saint-Denis, los suburbios o las afueras de París, que aquí son llamados banlieues. Se calcula que en Francia hay entre 1</w:t>
      </w:r>
      <w:r w:rsidR="00BC2883">
        <w:t>.</w:t>
      </w:r>
      <w:r>
        <w:t>000 y 2</w:t>
      </w:r>
      <w:r w:rsidR="00BC2883">
        <w:t>.</w:t>
      </w:r>
      <w:r>
        <w:t>000 jihadistas, una cifra normalmente promediada en 1</w:t>
      </w:r>
      <w:r w:rsidR="00BC2883">
        <w:t>.</w:t>
      </w:r>
      <w:r>
        <w:t>500 porque el gobierno no comunica datos concretos. Los especialistas consultados coinciden en que son jóvenes perdidos con una trayectoria que se repite: delincuencia, problemas familiares y escolaridad complicada. Descubren la radicalización en la cárcel o en Internet, desde donde les hablan de una religión fantasmal que poco tiene que ver con el islam, y de repente sienten que harán algo bien. En general, estuvieron en Siria para formarse en la jihad y, de vuelta en el país, reclutan a nuevos hermanos. El problema es que Francia no sabe aún cómo desradicalizarlos, cómo descontaminar a los radicales y, sobre todo, cómo evitar que nuevos jóvenes de 17 o 18 años se vuelquen a la radicalización y se vayan a formar a Siria. Entretanto, los orígenes y los barrios donde crecieron los que ya cometieron atentados terroristas están en el centro de todos los debates. La gente que vive en la banlieue se siente estigmatizada, señalada con el dedo y víctima de amalgamas injustificadas.</w:t>
      </w:r>
    </w:p>
    <w:p w:rsidR="00730185" w:rsidRDefault="00730185" w:rsidP="00730185">
      <w:pPr>
        <w:pStyle w:val="NormalWeb"/>
        <w:shd w:val="clear" w:color="auto" w:fill="FFFFFF"/>
        <w:spacing w:after="0"/>
        <w:jc w:val="both"/>
        <w:textAlignment w:val="baseline"/>
      </w:pPr>
      <w:r>
        <w:t>Cuestión de imagen</w:t>
      </w:r>
    </w:p>
    <w:p w:rsidR="00730185" w:rsidRDefault="00730185" w:rsidP="00730185">
      <w:pPr>
        <w:pStyle w:val="NormalWeb"/>
        <w:shd w:val="clear" w:color="auto" w:fill="FFFFFF"/>
        <w:spacing w:after="0"/>
        <w:jc w:val="both"/>
        <w:textAlignment w:val="baseline"/>
      </w:pPr>
      <w:r>
        <w:t>Para el sociólogo Fabien Truong, profesor en la universidad Paris 8 de Saint-Denis, los jóvenes que crecen en estos barrios periféricos, como Saint-Denis (donde fue el operativo antiterrorista del 18 de noviembre luego de descubrir que parte de la célula jihadista que había planeado los ataques del 13 estaba allí), Aubervilliers o Grigny están desde 2005 confrontados con el peso de la</w:t>
      </w:r>
      <w:r w:rsidR="00A83AA5">
        <w:t xml:space="preserve"> imagen que se tiene de ellos. “</w:t>
      </w:r>
      <w:r>
        <w:t>Aquel año las imágenes de autos quemados y fuego en la mitad de la noche dieron vuelta al mundo. La imagen que se tiene de los jóvenes de la banlieue se endureció y ellos de</w:t>
      </w:r>
      <w:r w:rsidR="00A83AA5">
        <w:t>ben construirse a partir de eso”</w:t>
      </w:r>
      <w:r>
        <w:t>, explica Troung, autor del libro Jeunesses Françaises (Ediciones La Découverte), investigación para la cual siguió durante ocho años la evolución de varios de sus alumnos de Saint-Denis y Aubervilliers para ver de dónde salían, adónde llegaban y cómo era ese recorrido. Los llamados barrios sensibles reúnen cerca de cinco millones de habitantes en Francia.</w:t>
      </w:r>
    </w:p>
    <w:p w:rsidR="00730185" w:rsidRDefault="00730185" w:rsidP="00730185">
      <w:pPr>
        <w:pStyle w:val="NormalWeb"/>
        <w:shd w:val="clear" w:color="auto" w:fill="FFFFFF"/>
        <w:spacing w:after="0"/>
        <w:jc w:val="both"/>
        <w:textAlignment w:val="baseline"/>
      </w:pPr>
      <w:r>
        <w:t xml:space="preserve">Truong cuenta la historia de Sarah, una francesa de origen argelino de 23 años que logra entrar en la reconocida universidad francesa Sciences-Pô. Su familia y sus amigos </w:t>
      </w:r>
      <w:r w:rsidR="00A83AA5">
        <w:rPr>
          <w:rFonts w:ascii="Calibri" w:hAnsi="Calibri" w:cs="Calibri"/>
        </w:rPr>
        <w:t>-</w:t>
      </w:r>
      <w:r>
        <w:t>incluso los que trafican</w:t>
      </w:r>
      <w:r w:rsidR="00A83AA5">
        <w:rPr>
          <w:rFonts w:ascii="Calibri" w:hAnsi="Calibri" w:cs="Calibri"/>
        </w:rPr>
        <w:t>-</w:t>
      </w:r>
      <w:r>
        <w:t xml:space="preserve"> est</w:t>
      </w:r>
      <w:r>
        <w:rPr>
          <w:rFonts w:ascii="Calibri" w:hAnsi="Calibri" w:cs="Calibri"/>
        </w:rPr>
        <w:t>á</w:t>
      </w:r>
      <w:r>
        <w:t>n muy orgullosos de ella. Pero cuando empieza el curso, Sarah no se siente c</w:t>
      </w:r>
      <w:r>
        <w:rPr>
          <w:rFonts w:ascii="Calibri" w:hAnsi="Calibri" w:cs="Calibri"/>
        </w:rPr>
        <w:t>ó</w:t>
      </w:r>
      <w:r>
        <w:t>moda, no se r</w:t>
      </w:r>
      <w:r>
        <w:rPr>
          <w:rFonts w:ascii="Calibri" w:hAnsi="Calibri" w:cs="Calibri"/>
        </w:rPr>
        <w:t>í</w:t>
      </w:r>
      <w:r>
        <w:t>e de los chistes de esos chicos de la rive gauche, y llora de noche. De confesi</w:t>
      </w:r>
      <w:r>
        <w:rPr>
          <w:rFonts w:ascii="Calibri" w:hAnsi="Calibri" w:cs="Calibri"/>
        </w:rPr>
        <w:t>ó</w:t>
      </w:r>
      <w:r>
        <w:t xml:space="preserve">n musulmana, se ata a la religión. Cuando en las fiestas universitarias explica que no toma alcohol porque es musulmana, las noches de diversión se transforman en debates sobre el 11 de septiembre de 2001. Lo que para ella era un recurso se convierte en un estigma. Los </w:t>
      </w:r>
      <w:r>
        <w:lastRenderedPageBreak/>
        <w:t xml:space="preserve">años pasan y empieza a encontrar su lugar. Los estudios la llevan de viaje y, de visita en el Líbano, su percepción de la religión </w:t>
      </w:r>
      <w:r w:rsidR="00A83AA5">
        <w:rPr>
          <w:rFonts w:ascii="Calibri" w:hAnsi="Calibri" w:cs="Calibri"/>
        </w:rPr>
        <w:t>-</w:t>
      </w:r>
      <w:r>
        <w:t>mucho m</w:t>
      </w:r>
      <w:r>
        <w:rPr>
          <w:rFonts w:ascii="Calibri" w:hAnsi="Calibri" w:cs="Calibri"/>
        </w:rPr>
        <w:t>á</w:t>
      </w:r>
      <w:r>
        <w:t>s estricta en ese pa</w:t>
      </w:r>
      <w:r>
        <w:rPr>
          <w:rFonts w:ascii="Calibri" w:hAnsi="Calibri" w:cs="Calibri"/>
        </w:rPr>
        <w:t>í</w:t>
      </w:r>
      <w:r>
        <w:t>s</w:t>
      </w:r>
      <w:r w:rsidR="00A83AA5">
        <w:rPr>
          <w:rFonts w:ascii="Calibri" w:hAnsi="Calibri" w:cs="Calibri"/>
        </w:rPr>
        <w:t>-</w:t>
      </w:r>
      <w:r>
        <w:t xml:space="preserve"> cambia por completo. Esa experiencia la marcar</w:t>
      </w:r>
      <w:r>
        <w:rPr>
          <w:rFonts w:ascii="Calibri" w:hAnsi="Calibri" w:cs="Calibri"/>
        </w:rPr>
        <w:t>á</w:t>
      </w:r>
      <w:r>
        <w:t>. Al volver a Par</w:t>
      </w:r>
      <w:r>
        <w:rPr>
          <w:rFonts w:ascii="Calibri" w:hAnsi="Calibri" w:cs="Calibri"/>
        </w:rPr>
        <w:t>í</w:t>
      </w:r>
      <w:r>
        <w:t>s, las salidas con amigos son repentinamente con una cerveza de por medio: así como se ató a la religión como recurso, se desató cuando sin</w:t>
      </w:r>
      <w:r w:rsidR="00A83AA5">
        <w:t>tió que ya no la representaba. “</w:t>
      </w:r>
      <w:r>
        <w:t>Para estos jóvenes, la práctica de la religión es muy plástica: cambia, no es homogénea. Lo único específico a la banlieue es el peso con el que tienen que lidiar, porque</w:t>
      </w:r>
      <w:r w:rsidR="00A83AA5">
        <w:t xml:space="preserve"> son reducidos a su pertenencia”</w:t>
      </w:r>
      <w:r>
        <w:t>, resume Truong. El sociólogo acepta que las banlieues son la concentración de todos los problemas (desempleo más importante que la media, déficit de integración social, economía paralela, violencia urbana), pero acusa a escritores e intelectuales como Michel Houellebecq de escribir sin haber ido a estos lugares y de construir imágenes que poco tienen que ver con lo que verdaderamente sucede.</w:t>
      </w:r>
    </w:p>
    <w:p w:rsidR="00730185" w:rsidRDefault="00730185" w:rsidP="00730185">
      <w:pPr>
        <w:pStyle w:val="NormalWeb"/>
        <w:shd w:val="clear" w:color="auto" w:fill="FFFFFF"/>
        <w:spacing w:after="0"/>
        <w:jc w:val="both"/>
        <w:textAlignment w:val="baseline"/>
      </w:pPr>
      <w:r>
        <w:t>Introducción a la ética islámica, Del islam y los musulmanes, Historias de profetas en el santo Corán y Creer en Alá son algunos de los títulos que se leen en la vidriera de una librería de Saint-Denis, al norte de París. Los dos últimos, destinados al público juvenil. Esta localidad fue doblemente marcada por los atentados: primero por los ataques en las inmediaciones del estadio de Francia, el 13, y luego por el operativo antiterrorista en pleno centro de la localidad, sobre una calle peatonal llena de comercios, muy transitada, en donde el velo es habitual. Las huellas de los bulones que eyectan los chalecos explosivos están en vidrios, paredes y árboles alrededor del estadio, mientras que, en el centro, el edificio donde se alojaban parte de los terroristas está clausurado.</w:t>
      </w:r>
    </w:p>
    <w:p w:rsidR="00730185" w:rsidRDefault="00730185" w:rsidP="00730185">
      <w:pPr>
        <w:pStyle w:val="NormalWeb"/>
        <w:shd w:val="clear" w:color="auto" w:fill="FFFFFF"/>
        <w:spacing w:after="0"/>
        <w:jc w:val="both"/>
        <w:textAlignment w:val="baseline"/>
      </w:pPr>
      <w:r>
        <w:t>Señaladas</w:t>
      </w:r>
    </w:p>
    <w:p w:rsidR="00730185" w:rsidRDefault="00730185" w:rsidP="00730185">
      <w:pPr>
        <w:pStyle w:val="NormalWeb"/>
        <w:shd w:val="clear" w:color="auto" w:fill="FFFFFF"/>
        <w:spacing w:after="0"/>
        <w:jc w:val="both"/>
        <w:textAlignment w:val="baseline"/>
      </w:pPr>
      <w:r>
        <w:t>Paradas delante del liceo privado católico Jean Baptiste de la Salle, las alumnas Kahina A. y Maëlys W., ambas de Saint-Denis, cuent</w:t>
      </w:r>
      <w:r w:rsidR="00A83AA5">
        <w:t>an que ahora tienen más miedo. “</w:t>
      </w:r>
      <w:r>
        <w:t>Paso todos los días por ahí y ahora miro mi entorno de manera diferente. Involuntariamente los miramos de arriba a abajo, aunque la gente vestida como nosotras también hace atentados. Los terroristas se disuelven mejor en la masa acá, en Saint-Denis. En el 16ème arrondissement (barrio más burgués al oeste de la ciud</w:t>
      </w:r>
      <w:r w:rsidR="00A83AA5">
        <w:t>ad), los encontrarían enseguida”</w:t>
      </w:r>
      <w:r>
        <w:t>, lanza Maëlys con la frescura de los 19 años. Los padres de Kahina llegaron a Francia cuando ella tenía 10 años. A los 17, y d</w:t>
      </w:r>
      <w:r w:rsidR="00A83AA5">
        <w:t>e confesión musulmana, agrega: “</w:t>
      </w:r>
      <w:r>
        <w:t>Me siento señalada, pero no hago caso a lo que dicen porque no es la realidad, aunque me pone mal porque se desprestigia nuestra religión. En la escuela las opiniones están divididas, pero nadie defiende al terrorismo. Francia es un país libre y eso es una ventaja: los terroristas no qui</w:t>
      </w:r>
      <w:r w:rsidR="00A83AA5">
        <w:t>eren la libertad de pensamiento”</w:t>
      </w:r>
      <w:r>
        <w:t>.</w:t>
      </w:r>
    </w:p>
    <w:p w:rsidR="00730185" w:rsidRDefault="00730185" w:rsidP="00730185">
      <w:pPr>
        <w:pStyle w:val="NormalWeb"/>
        <w:shd w:val="clear" w:color="auto" w:fill="FFFFFF"/>
        <w:spacing w:after="0"/>
        <w:jc w:val="both"/>
        <w:textAlignment w:val="baseline"/>
      </w:pPr>
      <w:r>
        <w:t xml:space="preserve">Al subir por una de las calles principales que llevan hacia la Basílica, célebre por ser de las primeras construidas en el estilo gótico y porque es donde están enterrados la mayoría de los reyes franceses, un pequeño edificio haussmaniano se eleva como vestigio de lo que Saint-Denis fue alguna vez. Hoy su perfil se compone de fachadas abandonadas, boutiques que venden velos y burkas, y almacenes con comida halal (aceptada según la ley islámica). No muy lejos de ahí, Samuel Bounan cocina en la última pizzería kosher </w:t>
      </w:r>
      <w:r w:rsidR="00A83AA5">
        <w:t>de la zona. Solía estar llena. “</w:t>
      </w:r>
      <w:r>
        <w:t>Los judíos que vivían acá se fueron todos, sobre todo por miedo. Antes ésta era una pequeña ciudad francesa. Hoy cambió, hay demasiados extranjeros. En mi barrio de residencias soy el</w:t>
      </w:r>
      <w:r w:rsidR="00A83AA5">
        <w:t xml:space="preserve"> único judío. El resto es árabe”</w:t>
      </w:r>
      <w:r>
        <w:t>, dice este antiguo costurero que durante 30 años trabajó para el mismo patrón, en Le Marais. La historia de Bounan es la de muchos. Marroquí de padres franceses, llegó a Saint Denis en 1967. Tenía tres hijos y en Franc</w:t>
      </w:r>
      <w:r w:rsidR="00A83AA5">
        <w:t>ia el trabajo no faltaba. “</w:t>
      </w:r>
      <w:r>
        <w:t>El patrón venía a buscarte. La municipalidad me dio una vivienda social y hoy sigo pagando 760</w:t>
      </w:r>
      <w:r w:rsidR="00A83AA5">
        <w:t xml:space="preserve"> euros por 150 metros cuadrados”</w:t>
      </w:r>
      <w:r>
        <w:t>, relata.</w:t>
      </w:r>
    </w:p>
    <w:p w:rsidR="00730185" w:rsidRDefault="00730185" w:rsidP="00730185">
      <w:pPr>
        <w:pStyle w:val="NormalWeb"/>
        <w:shd w:val="clear" w:color="auto" w:fill="FFFFFF"/>
        <w:spacing w:after="0"/>
        <w:jc w:val="both"/>
        <w:textAlignment w:val="baseline"/>
      </w:pPr>
      <w:r>
        <w:lastRenderedPageBreak/>
        <w:t>A partir de mediados de los años 50, la explosión demográfica y el crecimiento urbano hicieron necesaria una política de planificación urbana y de construcción de residencias colectivas. Durante los siguientes veinte años, las periferias de las grandes ciudades se convirtieron en zonas prioritarias para la urbanización, con el fin de alojar a los nuevos citadinos y desinflar la especulación inmobiliaria. En 300 de esas zonas se crearon cerca de un millón de viviendas colectivas. Así nacieron los grandes conjuntos de hormigón, como Grigny 2, con miles de residencias, a las que luego se agregarían espacios verdes y equipamientos comerciales, escolares y culturales, además de fábricas y oficinas.</w:t>
      </w:r>
    </w:p>
    <w:p w:rsidR="00730185" w:rsidRDefault="00730185" w:rsidP="00730185">
      <w:pPr>
        <w:pStyle w:val="NormalWeb"/>
        <w:shd w:val="clear" w:color="auto" w:fill="FFFFFF"/>
        <w:spacing w:after="0"/>
        <w:jc w:val="both"/>
        <w:textAlignment w:val="baseline"/>
      </w:pPr>
      <w:r>
        <w:t xml:space="preserve">A partir de la independencia progresiva de las antiguas colonias francesas, fue allí donde miles de magrebíes desembarcaron cuando llegaron a Francia. La lectura de lo que pasó luego depende del lado desde el que se mire. Para algunos, éstas eran viviendas temporarias, pero el Estado nunca cumplió con su deber de proponer algo mejor. Para otros, la mayoría se terminó quedando ahí por falta de interés o de fuerza para seguir moviéndose. Hoy se les suman las oleadas de inmigrantes económicos. Sólo basta ir a las afueras de París para ver la diferencia: el art de vivre parisino </w:t>
      </w:r>
      <w:r w:rsidR="00A83AA5">
        <w:t>contrasta con estos cinturones “bonaerenses”</w:t>
      </w:r>
      <w:r>
        <w:t xml:space="preserve"> donde la mayoría es de confesión musulmana y respeta sus propias tradiciones en este país laico que cuenta con seis millones de musulmanes.</w:t>
      </w:r>
    </w:p>
    <w:p w:rsidR="00730185" w:rsidRDefault="00730185" w:rsidP="00730185">
      <w:pPr>
        <w:pStyle w:val="NormalWeb"/>
        <w:shd w:val="clear" w:color="auto" w:fill="FFFFFF"/>
        <w:spacing w:after="0"/>
        <w:jc w:val="both"/>
        <w:textAlignment w:val="baseline"/>
      </w:pPr>
      <w:r>
        <w:t>La pizzería de Saint-Denis es un anexo de la sinagoga, la única del barrio, vigilada por dos militares. Además de centro comunitario israelita, funciona como centro para chicos autistas: El Silencio de los Justos, que emplea a mujeres veladas. Velos y kipás conviven en armonía. "A veces para reír decimos que somos una sinagoga en medio de Gaza. Tenemos buena relación con la comunidad. Ésta es una ciudad mezclada, con buen ambiente y con un mercado. Hay también delincuencia, robos y drogas, y muchos edificios ocupados", explica el jefe del centro de acogida, Joseph M.</w:t>
      </w:r>
    </w:p>
    <w:p w:rsidR="00730185" w:rsidRDefault="00730185" w:rsidP="00730185">
      <w:pPr>
        <w:pStyle w:val="NormalWeb"/>
        <w:shd w:val="clear" w:color="auto" w:fill="FFFFFF"/>
        <w:spacing w:after="0"/>
        <w:jc w:val="both"/>
        <w:textAlignment w:val="baseline"/>
      </w:pPr>
      <w:r>
        <w:t>El sociólogo Etienne Pingaud se interesó en el desarrollo considerable del islam en las banlieues en estos últimos 50 años. Según él, hay que salir de la idea de que la banlieue</w:t>
      </w:r>
      <w:r w:rsidR="00A83AA5">
        <w:t xml:space="preserve"> es una fábrica de jihadistas. “</w:t>
      </w:r>
      <w:r>
        <w:t>Es un islam que rellena funciones sociales. Antes era el Partido Comunista el que lo hacía, e integraba a la gente a la vida política. Con el tiempo, su poder en los barrios populares se fue reduciendo por distintas razones y el islam pudo agrandarse retomando algunas de estas funciones. Las asociaciones y los imanes se encargan de los chicos y de las mamás, construyen lazo social entre gente que viene de distintos países, y hoy las municipalidades están obligadas a tener buenas relaciones con e</w:t>
      </w:r>
      <w:r w:rsidR="00A83AA5">
        <w:t>stos nuevos referentes sociales”</w:t>
      </w:r>
      <w:r>
        <w:t>, explica este investigador.</w:t>
      </w:r>
    </w:p>
    <w:p w:rsidR="00730185" w:rsidRDefault="00730185" w:rsidP="00730185">
      <w:pPr>
        <w:pStyle w:val="NormalWeb"/>
        <w:shd w:val="clear" w:color="auto" w:fill="FFFFFF"/>
        <w:spacing w:after="0"/>
        <w:jc w:val="both"/>
        <w:textAlignment w:val="baseline"/>
      </w:pPr>
      <w:r>
        <w:t>Islamofobia</w:t>
      </w:r>
    </w:p>
    <w:p w:rsidR="00730185" w:rsidRDefault="00730185" w:rsidP="00730185">
      <w:pPr>
        <w:pStyle w:val="NormalWeb"/>
        <w:shd w:val="clear" w:color="auto" w:fill="FFFFFF"/>
        <w:spacing w:after="0"/>
        <w:jc w:val="both"/>
        <w:textAlignment w:val="baseline"/>
      </w:pPr>
      <w:r>
        <w:t xml:space="preserve">Otro aspecto que refuerza el vínculo entre los musulmanes es su misma lucha contra </w:t>
      </w:r>
      <w:r w:rsidR="00A83AA5">
        <w:t>la islamofobia. “</w:t>
      </w:r>
      <w:r>
        <w:t>Los radi</w:t>
      </w:r>
      <w:r w:rsidR="00A83AA5">
        <w:t>cales no salen de las mezquitas”</w:t>
      </w:r>
      <w:r>
        <w:t>, insiste Pi</w:t>
      </w:r>
      <w:r w:rsidR="00A83AA5">
        <w:t>ngaud. Con él coincide Truong: “</w:t>
      </w:r>
      <w:r>
        <w:t>Los terroristas suelen tener un pasado como delincuentes, y en esa fase anterior se alejan de la religión porque lo que hacen es visto como un pecado, así que no leen el Corán</w:t>
      </w:r>
      <w:r w:rsidR="00A83AA5">
        <w:t xml:space="preserve"> y las mezquitas ni los conocen”</w:t>
      </w:r>
      <w:r>
        <w:t>. El cierre de tres mezquitas salafistas (movimiento que reivindica una vuelta al islam de origen, por ende más riguroso) sospechadas de radicalización islamista, por decisión del Ministerio de Interior, a principios de diciembre, demuestra que no todos piensan lo mismo.</w:t>
      </w:r>
    </w:p>
    <w:p w:rsidR="00730185" w:rsidRDefault="00A83AA5" w:rsidP="00730185">
      <w:pPr>
        <w:pStyle w:val="NormalWeb"/>
        <w:shd w:val="clear" w:color="auto" w:fill="FFFFFF"/>
        <w:spacing w:after="0"/>
        <w:jc w:val="both"/>
        <w:textAlignment w:val="baseline"/>
      </w:pPr>
      <w:r>
        <w:t>“</w:t>
      </w:r>
      <w:r w:rsidR="00730185">
        <w:t xml:space="preserve">El 48% de los alumnos termina sin diploma. Acá hay fraternidad y libertad, pero falta la igualdad. Necesitamos más residencias, escuelas, formación y empleo. Decir que los </w:t>
      </w:r>
      <w:r w:rsidR="00730185">
        <w:lastRenderedPageBreak/>
        <w:t>suburbios crean jihadistas es cualquier cosa. Lo que genera terroristas es la miseria, las declaraciones racistas y la política internacional. Las</w:t>
      </w:r>
      <w:r>
        <w:t xml:space="preserve"> banlieues están estigmatizadas”</w:t>
      </w:r>
      <w:r w:rsidR="00730185">
        <w:t>, asegura la alcaldesa adjunta de Grigny, Yveline Le Briand, del Partido Comunista. El PC sigue gobernando en esta localidad, que reúne la mayor abstención de votos (68%). El lazo social del que habla Pingaud se ve en el conservatorio de música, con 300 alumnos y más demanda que espacios disponibles, y en las muy concurridas actividades sociales y</w:t>
      </w:r>
      <w:r>
        <w:t xml:space="preserve"> culturales. “</w:t>
      </w:r>
      <w:r w:rsidR="00730185">
        <w:t>Es lo qu</w:t>
      </w:r>
      <w:r>
        <w:t>e evita que todo se venga abajo”</w:t>
      </w:r>
      <w:r w:rsidR="00730185">
        <w:t>, aseguran desde la oficina del alcalde Philippe Rio.</w:t>
      </w:r>
    </w:p>
    <w:p w:rsidR="00730185" w:rsidRDefault="00730185" w:rsidP="00730185">
      <w:pPr>
        <w:pStyle w:val="NormalWeb"/>
        <w:shd w:val="clear" w:color="auto" w:fill="FFFFFF"/>
        <w:spacing w:after="0"/>
        <w:jc w:val="both"/>
        <w:textAlignment w:val="baseline"/>
      </w:pPr>
      <w:r>
        <w:t>Grigny no quiere ser vist</w:t>
      </w:r>
      <w:r w:rsidR="00A83AA5">
        <w:t>a como una banlieue miserable. “</w:t>
      </w:r>
      <w:r w:rsidR="00C13914">
        <w:t>Si te llamá</w:t>
      </w:r>
      <w:r>
        <w:t>s Bernard o Michel, está todo bien. Pero cuando sos Manadou o Mohamed es difícil encontrar trabajo. No es normal que se nos caricaturice de esa manera, más aún para quienes nacieron y estudiaron en Francia. El código</w:t>
      </w:r>
      <w:r w:rsidR="00A83AA5">
        <w:t xml:space="preserve"> postal se convierte en un peso”</w:t>
      </w:r>
      <w:r>
        <w:t>, cuenta Souleymane Hissourou, de 29 años. Luego de los atentados de enero, Hissourou armó con un grupo de personas una asociación, Elan Citoyen Grigny, que organiza iniciativas para transmitir que ese Coulibaly, el terrorista, no representa a la gente de esta localidad. Pero el apellido Coulibaly es en Mali lo mismo que López o Gómez en la Argentina. A Makan Coulibaly, por ejemplo, la vida le cambió radicalmente. Cuenta que pasó de no ser nadie a tener que lidiar con las miradas raras en la calle y estar obligado a explicarles a sus cuatro hijos que el terrorista del que todos hablan no forma</w:t>
      </w:r>
      <w:r w:rsidR="00A83AA5">
        <w:t xml:space="preserve"> parte de la familia. “</w:t>
      </w:r>
      <w:r>
        <w:t>Me h</w:t>
      </w:r>
      <w:r w:rsidR="00A83AA5">
        <w:t>abía convertido en otra persona”</w:t>
      </w:r>
      <w:r>
        <w:t>, cuenta Makan. Desde los ataques terroristas de noviembre se siente nuevamente observado. Ya no por su apellido, sino porque vive en la banlieue y es musulmán.</w:t>
      </w:r>
    </w:p>
    <w:p w:rsidR="00FD4A82" w:rsidRDefault="00FD4A82" w:rsidP="00730185">
      <w:pPr>
        <w:pStyle w:val="NormalWeb"/>
        <w:shd w:val="clear" w:color="auto" w:fill="FFFFFF"/>
        <w:spacing w:after="0"/>
        <w:jc w:val="both"/>
        <w:textAlignment w:val="baseline"/>
      </w:pPr>
      <w:r>
        <w:t xml:space="preserve">- </w:t>
      </w:r>
      <w:r w:rsidRPr="00FD4A82">
        <w:rPr>
          <w:u w:val="single"/>
        </w:rPr>
        <w:t>Las condiciones sociales en la periferia de las ciudades</w:t>
      </w:r>
      <w:r>
        <w:t xml:space="preserve"> (Otro Mundo es Posible - </w:t>
      </w:r>
      <w:r w:rsidRPr="00FD4A82">
        <w:rPr>
          <w:b/>
        </w:rPr>
        <w:t>2/9/19</w:t>
      </w:r>
      <w:r>
        <w:t>)</w:t>
      </w:r>
    </w:p>
    <w:p w:rsidR="00FD4A82" w:rsidRDefault="00FD4A82" w:rsidP="00730185">
      <w:pPr>
        <w:pStyle w:val="NormalWeb"/>
        <w:shd w:val="clear" w:color="auto" w:fill="FFFFFF"/>
        <w:spacing w:after="0"/>
        <w:jc w:val="both"/>
        <w:textAlignment w:val="baseline"/>
      </w:pPr>
      <w:r>
        <w:t>Tanto las ciudades españolas y del mundo desarrollado como muchas existentes en el tercer mundo tienen una serie de problemas que, evidentemente, son más acusados en las ciudades de los países pobres pero también existen en las del mundo desarrollado.</w:t>
      </w:r>
    </w:p>
    <w:p w:rsidR="00FD4A82" w:rsidRDefault="00FD4A82" w:rsidP="00FD4A82">
      <w:pPr>
        <w:pStyle w:val="NormalWeb"/>
        <w:shd w:val="clear" w:color="auto" w:fill="FFFFFF"/>
        <w:spacing w:after="0"/>
        <w:jc w:val="both"/>
        <w:textAlignment w:val="baseline"/>
      </w:pPr>
      <w:r>
        <w:t>(Por Benedicto Cuervo Álvarez)</w:t>
      </w:r>
    </w:p>
    <w:p w:rsidR="00FD4A82" w:rsidRDefault="00FD4A82" w:rsidP="00FD4A82">
      <w:pPr>
        <w:pStyle w:val="NormalWeb"/>
        <w:shd w:val="clear" w:color="auto" w:fill="FFFFFF"/>
        <w:spacing w:after="0"/>
        <w:jc w:val="both"/>
        <w:textAlignment w:val="baseline"/>
      </w:pPr>
      <w:r>
        <w:t>Estos problemas afectan, en mayor media, en las zonas periféricas de las ciudades. Así, dentro de una misma ciudad, podemos diferenciar su área central, su área residencial, su casco histórico o su área periférica. Cada una de estas áreas tienen unas determinadas funciones y un mayor o menor sistema de servicios que provoca la diferenciación social de cada una de ellas siendo más acusada esa diferenciación social en el área periférica y una carencia de todo tipo de servicios de forma más acusada. De todo ello me ocuparé brevemente en este artículo.</w:t>
      </w:r>
    </w:p>
    <w:p w:rsidR="00FD4A82" w:rsidRDefault="00BC2883" w:rsidP="00FD4A82">
      <w:pPr>
        <w:pStyle w:val="NormalWeb"/>
        <w:shd w:val="clear" w:color="auto" w:fill="FFFFFF"/>
        <w:spacing w:after="0"/>
        <w:jc w:val="both"/>
        <w:textAlignment w:val="baseline"/>
      </w:pPr>
      <w:r>
        <w:t>1º-</w:t>
      </w:r>
      <w:r w:rsidR="00036474">
        <w:t xml:space="preserve"> L</w:t>
      </w:r>
      <w:r>
        <w:t>a segregación social</w:t>
      </w:r>
    </w:p>
    <w:p w:rsidR="00FD4A82" w:rsidRDefault="00FD4A82" w:rsidP="00FD4A82">
      <w:pPr>
        <w:pStyle w:val="NormalWeb"/>
        <w:shd w:val="clear" w:color="auto" w:fill="FFFFFF"/>
        <w:spacing w:after="0"/>
        <w:jc w:val="both"/>
        <w:textAlignment w:val="baseline"/>
      </w:pPr>
      <w:r>
        <w:t>En muchas de las grandes ciudades del mundo millones de personas viven en sus áreas periféricas llegando a superar al resto de las demás áreas urbanas. Se ha demostrado la asistencia de una clara segregación de grupos sociales en base a distintos atributos (clase, etnia, raza o nacionalidad) y que las relaciones que establecen los grupos segregados con el resto de la ciudad y sus habitantes también son diferentes y cambiantes según el tipo de segregación (</w:t>
      </w:r>
      <w:r w:rsidR="00C13914">
        <w:t>María</w:t>
      </w:r>
      <w:r>
        <w:t xml:space="preserve"> Carm</w:t>
      </w:r>
      <w:r w:rsidR="00036474">
        <w:t>an, Neiva y Ramiro Segura).</w:t>
      </w:r>
    </w:p>
    <w:p w:rsidR="00FD4A82" w:rsidRDefault="00FD4A82" w:rsidP="00FD4A82">
      <w:pPr>
        <w:pStyle w:val="NormalWeb"/>
        <w:shd w:val="clear" w:color="auto" w:fill="FFFFFF"/>
        <w:spacing w:after="0"/>
        <w:jc w:val="both"/>
        <w:textAlignment w:val="baseline"/>
      </w:pPr>
      <w:r>
        <w:t>Loïc Wacquant comparó el gueto de Chicago y la periferia de Paris para ver las semejanzas y diferencias entre ambas ciudades. Aparte de pequeñas similitudes morfológicas Loïc lle</w:t>
      </w:r>
      <w:r w:rsidR="00036474">
        <w:t>gó a la siguiente conclusión: “</w:t>
      </w:r>
      <w:r>
        <w:t xml:space="preserve">el gueto de Chicago es un universo racial y culturalmente </w:t>
      </w:r>
      <w:r>
        <w:lastRenderedPageBreak/>
        <w:t>homogéneo caracterizado por una baja densidad organizacional y escasa penetración del Estado social”, la periferia parisina: “es, fundamentalmente, heterogénea en el plano de su composición étnico-nacional y su estructura de clase, con una fuerte presen</w:t>
      </w:r>
      <w:r w:rsidR="00036474">
        <w:t>cia de instituciones públicas”.</w:t>
      </w:r>
    </w:p>
    <w:p w:rsidR="00FD4A82" w:rsidRDefault="00036474" w:rsidP="00FD4A82">
      <w:pPr>
        <w:pStyle w:val="NormalWeb"/>
        <w:shd w:val="clear" w:color="auto" w:fill="FFFFFF"/>
        <w:spacing w:after="0"/>
        <w:jc w:val="both"/>
        <w:textAlignment w:val="baseline"/>
      </w:pPr>
      <w:r>
        <w:t>Para Jesús Leal: “</w:t>
      </w:r>
      <w:r w:rsidR="00FD4A82">
        <w:t>la segregación social viene impulsada por las fuerzas del mercado a través de la producción y el uso del espacio urbano. Desde los planificadores urbanos hasta las promotoras de viviendas, se actúa en la mercantilización del espacio urbano”. De esta forma las viviendas son más caras en el centro de la ciudad que en la periferia de las mismas a la que solo pueden acceder, con muchas dificultades, las personas con escaso</w:t>
      </w:r>
      <w:r>
        <w:t>s recursos económicos.</w:t>
      </w:r>
    </w:p>
    <w:p w:rsidR="00FD4A82" w:rsidRDefault="00FD4A82" w:rsidP="00FD4A82">
      <w:pPr>
        <w:pStyle w:val="NormalWeb"/>
        <w:shd w:val="clear" w:color="auto" w:fill="FFFFFF"/>
        <w:spacing w:after="0"/>
        <w:jc w:val="both"/>
        <w:textAlignment w:val="baseline"/>
      </w:pPr>
      <w:r>
        <w:t xml:space="preserve">Según Francisco Sabatini, en el caso de las ciudades chilenas y latino americanas: “mientras más pequeñas sean las ciudades, mayor segregación padecen los habitantes de clase más baja”. Además, Sabatini, es pesimista pues considera </w:t>
      </w:r>
      <w:r w:rsidR="00036474">
        <w:t>que: “</w:t>
      </w:r>
      <w:r>
        <w:t>la segregación social seguirá en aumento ya que las inmobiliarias se están apropiando del centro de las ciudades y la vivienda social se est</w:t>
      </w:r>
      <w:r w:rsidR="00036474">
        <w:t>á construyendo en la periferia.</w:t>
      </w:r>
    </w:p>
    <w:p w:rsidR="00FD4A82" w:rsidRDefault="00BC2883" w:rsidP="00FD4A82">
      <w:pPr>
        <w:pStyle w:val="NormalWeb"/>
        <w:shd w:val="clear" w:color="auto" w:fill="FFFFFF"/>
        <w:spacing w:after="0"/>
        <w:jc w:val="both"/>
        <w:textAlignment w:val="baseline"/>
      </w:pPr>
      <w:r>
        <w:t>2º-</w:t>
      </w:r>
      <w:r w:rsidR="00FD4A82">
        <w:t xml:space="preserve"> E</w:t>
      </w:r>
      <w:r>
        <w:t>xpansión desordenada y hacinamiento</w:t>
      </w:r>
    </w:p>
    <w:p w:rsidR="00FD4A82" w:rsidRDefault="00FD4A82" w:rsidP="00FD4A82">
      <w:pPr>
        <w:pStyle w:val="NormalWeb"/>
        <w:shd w:val="clear" w:color="auto" w:fill="FFFFFF"/>
        <w:spacing w:after="0"/>
        <w:jc w:val="both"/>
        <w:textAlignment w:val="baseline"/>
      </w:pPr>
      <w:r>
        <w:t>Si observamos el desarrollo de las ciudades podemos ver como a medida que nos vamos alejando del centro la urbanización se vuelve más desordenada debido al irregular trazado de las calles y su anchura al igual que las viviendas que atiende a formas no muy regulares y la peor calidad en cua</w:t>
      </w:r>
      <w:r w:rsidR="00036474">
        <w:t>nto a su construcción.</w:t>
      </w:r>
    </w:p>
    <w:p w:rsidR="00FD4A82" w:rsidRDefault="00036474" w:rsidP="00FD4A82">
      <w:pPr>
        <w:pStyle w:val="NormalWeb"/>
        <w:shd w:val="clear" w:color="auto" w:fill="FFFFFF"/>
        <w:spacing w:after="0"/>
        <w:jc w:val="both"/>
        <w:textAlignment w:val="baseline"/>
      </w:pPr>
      <w:r>
        <w:t>Asimismo</w:t>
      </w:r>
      <w:r w:rsidR="00FD4A82">
        <w:t>, según el último Padrón Municipal de Madrid (1 de enero de 2018), la población joven (menos de 15 años) es de 14,4% de media respecto al total de población residente en la capital de España. Por debajo de esta media se sitúa la población del área central y calles más céntricas (Centro, 8,5% o Simancas, 11,4%) mientras que por encima de la media se sitúa la población periférica (Vallecas, 19,4%, Vicálvaro, 19,2% o Hortaleza, 17,7%). Los mayores de ochenta años son más numerosos en barrios bien situados espacialmente como Salamanca o Chamberí que están dos puntos por encima de la media (7,4% del total) mientras que en el polo opuesto, dos puntos por debajo de la me</w:t>
      </w:r>
      <w:r>
        <w:t>dia están Vallecas y Hortaleza.</w:t>
      </w:r>
    </w:p>
    <w:p w:rsidR="00FD4A82" w:rsidRDefault="00FD4A82" w:rsidP="00FD4A82">
      <w:pPr>
        <w:pStyle w:val="NormalWeb"/>
        <w:shd w:val="clear" w:color="auto" w:fill="FFFFFF"/>
        <w:spacing w:after="0"/>
        <w:jc w:val="both"/>
        <w:textAlignment w:val="baseline"/>
      </w:pPr>
      <w:r>
        <w:t>Respecto a los hogares y su tamaño. A nivel municipal se aprecia una reducción paulatina del tamaño medio que contrasta con el incremento en números absolutos del número de hogares. En 2010 había 1.224.034 hogares y éstos tenían un tamaño medio de 2,8 y en 2017 el número de hogares ha crecido hasta 1.278.258, lo que supone un incremento en el periodo del 4,4%; comparando, la diferencia entre 2016-17 es de 0,9%. Al mismo tiempo, el tamaño medio continúa en su línea de descenso situándose en 2,5. Por distritos se aprecian distintos agrupamientos: Los que igualan la media madrileña de tamaño de los hogares: Retiro, Chamartín, Latina y Ciudad Lineal (2,5). Aquellos que la superan con un tamaño igual o superior a 2,7 como son Fuencarral-El Pardo, Villaverde, Usera y Vicálvaro. Por debajo de la media se sitúan Centro (2,0), Arganzuela, Chamberí y Salamanca. (Padrón Municipal</w:t>
      </w:r>
      <w:r w:rsidR="00036474">
        <w:t xml:space="preserve"> de Madrid, 1 de enero de 2018)</w:t>
      </w:r>
    </w:p>
    <w:p w:rsidR="00FD4A82" w:rsidRDefault="00FD4A82" w:rsidP="00FD4A82">
      <w:pPr>
        <w:pStyle w:val="NormalWeb"/>
        <w:shd w:val="clear" w:color="auto" w:fill="FFFFFF"/>
        <w:spacing w:after="0"/>
        <w:jc w:val="both"/>
        <w:textAlignment w:val="baseline"/>
      </w:pPr>
      <w:r>
        <w:t>Todos estos datos constatan que en la periferia de la ciudad de Madrid el número de jóvenes es muy superior al del Centro y barrios ricos de la ciudad dando lugar a que cada vez tienda a aumentar la población residente en la periferia máxime teniendo en cuenta la llegada cada vez mayor de inmigrantes c</w:t>
      </w:r>
      <w:r w:rsidR="00036474">
        <w:t>on escasos recursos económicos.</w:t>
      </w:r>
    </w:p>
    <w:p w:rsidR="00FD4A82" w:rsidRDefault="00FD4A82" w:rsidP="00FD4A82">
      <w:pPr>
        <w:pStyle w:val="NormalWeb"/>
        <w:shd w:val="clear" w:color="auto" w:fill="FFFFFF"/>
        <w:spacing w:after="0"/>
        <w:jc w:val="both"/>
        <w:textAlignment w:val="baseline"/>
      </w:pPr>
      <w:r>
        <w:lastRenderedPageBreak/>
        <w:t>En las ciudades de los países del Tercer Mundo la expansión urbana desordenada es mucho mayor al igual que el hacinamiento humano respecto al de los países del Primer Mundo. En la periferia de estas megalópolis las construcciones son endebles pues ellos mismos, inmigrantes rurales mayoritariamente, realizan la construcción con materiales como: barro cocido, mader</w:t>
      </w:r>
      <w:r w:rsidR="00036474">
        <w:t>a, láminas de hierro, cartones…</w:t>
      </w:r>
    </w:p>
    <w:p w:rsidR="00FD4A82" w:rsidRDefault="00FD4A82" w:rsidP="00FD4A82">
      <w:pPr>
        <w:pStyle w:val="NormalWeb"/>
        <w:shd w:val="clear" w:color="auto" w:fill="FFFFFF"/>
        <w:spacing w:after="0"/>
        <w:jc w:val="both"/>
        <w:textAlignment w:val="baseline"/>
      </w:pPr>
      <w:r>
        <w:t>Se estima que el número de ciudades con población mayor a los 10 millones de personas se elevará a 41 en 2030. La mayor parte de ese crecimiento ocurrirá en el continente asiático y africano; entre esos dos continentes, se situarán 33 de las 41 megaci</w:t>
      </w:r>
      <w:r w:rsidR="00036474">
        <w:t>udades en los próximos 15 años.</w:t>
      </w:r>
    </w:p>
    <w:p w:rsidR="00FD4A82" w:rsidRDefault="00BC2883" w:rsidP="00FD4A82">
      <w:pPr>
        <w:pStyle w:val="NormalWeb"/>
        <w:shd w:val="clear" w:color="auto" w:fill="FFFFFF"/>
        <w:spacing w:after="0"/>
        <w:jc w:val="both"/>
        <w:textAlignment w:val="baseline"/>
      </w:pPr>
      <w:r>
        <w:t>3º-</w:t>
      </w:r>
      <w:r w:rsidR="00FD4A82">
        <w:t xml:space="preserve"> M</w:t>
      </w:r>
      <w:r>
        <w:t>alas infraestructuras y carencia de servicios básicos</w:t>
      </w:r>
    </w:p>
    <w:p w:rsidR="00FD4A82" w:rsidRDefault="00FD4A82" w:rsidP="00FD4A82">
      <w:pPr>
        <w:pStyle w:val="NormalWeb"/>
        <w:shd w:val="clear" w:color="auto" w:fill="FFFFFF"/>
        <w:spacing w:after="0"/>
        <w:jc w:val="both"/>
        <w:textAlignment w:val="baseline"/>
      </w:pPr>
      <w:r>
        <w:t>En la periferia de las ciudades de los países desarrollados las infraestructuras son distintas y de peor calidad. Las calles aunque están asfaltadas son más estrechas, con badenes y baches en muchas de ellas que tardan mucho tiempo en repararse a no ser que estén presentes unas elecciones. El alumbrado es insuficiente lo que da lugar a un espacio urbano oscuro y peligro</w:t>
      </w:r>
      <w:r w:rsidR="00036474">
        <w:t>so para transitar por la noche.</w:t>
      </w:r>
    </w:p>
    <w:p w:rsidR="00FD4A82" w:rsidRDefault="00FD4A82" w:rsidP="00FD4A82">
      <w:pPr>
        <w:pStyle w:val="NormalWeb"/>
        <w:shd w:val="clear" w:color="auto" w:fill="FFFFFF"/>
        <w:spacing w:after="0"/>
        <w:jc w:val="both"/>
        <w:textAlignment w:val="baseline"/>
      </w:pPr>
      <w:r>
        <w:t>Por otra parte, los servicios básicos como sanidad o educación casi son inexistentes y su funcionamiento es bastante deficiente por lo que, en muchas ocasiones, las personas que viven en la periferia matriculan a sus hijos en colegios o institutos próximos al centro de la ciudad pues consideran que son de mejor calidad que los que tienen c</w:t>
      </w:r>
      <w:r w:rsidR="00036474">
        <w:t>erca de su lugar de residencia.</w:t>
      </w:r>
    </w:p>
    <w:p w:rsidR="00FD4A82" w:rsidRDefault="00FD4A82" w:rsidP="00FD4A82">
      <w:pPr>
        <w:pStyle w:val="NormalWeb"/>
        <w:shd w:val="clear" w:color="auto" w:fill="FFFFFF"/>
        <w:spacing w:after="0"/>
        <w:jc w:val="both"/>
        <w:textAlignment w:val="baseline"/>
      </w:pPr>
      <w:r>
        <w:t>También ante cualquier tipo de enfermedad las personas prefieren trasladarse directamente al hospital por urgencias al no fiarse de los centros de salud que disponen próximos a su lugar de residencia ya que estos centros no disponen de medios suficientes par</w:t>
      </w:r>
      <w:r w:rsidR="00036474">
        <w:t>a una correcta atención médica.</w:t>
      </w:r>
    </w:p>
    <w:p w:rsidR="00FD4A82" w:rsidRDefault="00FD4A82" w:rsidP="00FD4A82">
      <w:pPr>
        <w:pStyle w:val="NormalWeb"/>
        <w:shd w:val="clear" w:color="auto" w:fill="FFFFFF"/>
        <w:spacing w:after="0"/>
        <w:jc w:val="both"/>
        <w:textAlignment w:val="baseline"/>
      </w:pPr>
      <w:r>
        <w:t>Un indicador para medir las mejores o peores infraestructuras de las ciudades más importantes del mundo es el llamado Mercer Human Resource Consulting que analiza a nivel general la ciudad (no por áreas concretas) pero que nos puede servir para saber las diferencias existentes entre las ciudades desarrolladas r</w:t>
      </w:r>
      <w:r w:rsidR="00036474">
        <w:t>especto a las subdesarrolladas.</w:t>
      </w:r>
    </w:p>
    <w:p w:rsidR="00036474" w:rsidRDefault="00FD4A82" w:rsidP="00FD4A82">
      <w:pPr>
        <w:pStyle w:val="NormalWeb"/>
        <w:shd w:val="clear" w:color="auto" w:fill="FFFFFF"/>
        <w:spacing w:after="0"/>
        <w:jc w:val="both"/>
        <w:textAlignment w:val="baseline"/>
      </w:pPr>
      <w:r>
        <w:t xml:space="preserve">En este sentido la ciudad con mejores infraestructuras del mundo es Singapur pero globalmente es Alemania el país con mejores infraestructuras en sus espacios urbanos ya que cuenta con cuatro ciudades entre las diez primeras a nivel mundial: Frankfurt (2), </w:t>
      </w:r>
      <w:r w:rsidR="00A83AA5">
        <w:t>Múnich</w:t>
      </w:r>
      <w:r>
        <w:t xml:space="preserve"> (3), Dusseldorf (5) y Hamburgo (10).</w:t>
      </w:r>
    </w:p>
    <w:p w:rsidR="00FD4A82" w:rsidRDefault="00036474" w:rsidP="00FD4A82">
      <w:pPr>
        <w:pStyle w:val="NormalWeb"/>
        <w:shd w:val="clear" w:color="auto" w:fill="FFFFFF"/>
        <w:spacing w:after="0"/>
        <w:jc w:val="both"/>
        <w:textAlignment w:val="baseline"/>
      </w:pPr>
      <w:r>
        <w:t>Según Parakatil: “</w:t>
      </w:r>
      <w:r w:rsidR="00FD4A82">
        <w:t>La infraestructura de las ciudades alemanas se encuentran entre las mejores del mundo debido a las instalaciones de los aeropuertos de primera clase, la conectividad internacional y local, y el alt</w:t>
      </w:r>
      <w:r>
        <w:t>o nivel de servicios públicos”.</w:t>
      </w:r>
    </w:p>
    <w:p w:rsidR="00FD4A82" w:rsidRDefault="00FD4A82" w:rsidP="00FD4A82">
      <w:pPr>
        <w:pStyle w:val="NormalWeb"/>
        <w:shd w:val="clear" w:color="auto" w:fill="FFFFFF"/>
        <w:spacing w:after="0"/>
        <w:jc w:val="both"/>
        <w:textAlignment w:val="baseline"/>
      </w:pPr>
      <w:r>
        <w:t xml:space="preserve">Otras ciudades de países desarrollados con buenas infraestructuras serían: Copenhague, Londres, París, </w:t>
      </w:r>
      <w:r w:rsidR="00A83AA5">
        <w:t>Sídney</w:t>
      </w:r>
      <w:r>
        <w:t>, Vancouver, Atlanta, Montreal, Chicago y Nueva York que están entre las treinta primeras de este ranking a nivel mundial. Es significativo el que no ap</w:t>
      </w:r>
      <w:r w:rsidR="00036474">
        <w:t>arezca ninguna ciudad española.</w:t>
      </w:r>
    </w:p>
    <w:p w:rsidR="00FD4A82" w:rsidRDefault="00FD4A82" w:rsidP="00FD4A82">
      <w:pPr>
        <w:pStyle w:val="NormalWeb"/>
        <w:shd w:val="clear" w:color="auto" w:fill="FFFFFF"/>
        <w:spacing w:after="0"/>
        <w:jc w:val="both"/>
        <w:textAlignment w:val="baseline"/>
      </w:pPr>
      <w:r>
        <w:lastRenderedPageBreak/>
        <w:t xml:space="preserve">El entorno periférico de las ciudades del Tercer Mundo es </w:t>
      </w:r>
      <w:r w:rsidR="00036474">
        <w:t>aún</w:t>
      </w:r>
      <w:r>
        <w:t xml:space="preserve"> peor que el de los países desarrollados. Sus infraestructuras, en muchos casos, no se ajustan, ni siquiera, a un plan urbanístico determinado. No existen calles asfaltadas sino caminos sinuosos que con la lluvia se embarran y hacen muy difícil el tránsito por ellos (frecuente a las afueras de muchas ciudades africanas, latinoamericanas y asiáticas).</w:t>
      </w:r>
      <w:r w:rsidR="00A83AA5">
        <w:t xml:space="preserve"> </w:t>
      </w:r>
      <w:r>
        <w:t>Los focos de luz son prácticamente inexistentes al igual que el alcantarillado y el agua potable lo que provoca enfermedades como el tifus, diarreas, fiebres…,</w:t>
      </w:r>
      <w:r w:rsidR="00036474">
        <w:t xml:space="preserve"> </w:t>
      </w:r>
      <w:r>
        <w:t>al b</w:t>
      </w:r>
      <w:r w:rsidR="00036474">
        <w:t>eber agua en malas condiciones.</w:t>
      </w:r>
    </w:p>
    <w:p w:rsidR="00FD4A82" w:rsidRDefault="00FD4A82" w:rsidP="00FD4A82">
      <w:pPr>
        <w:pStyle w:val="NormalWeb"/>
        <w:shd w:val="clear" w:color="auto" w:fill="FFFFFF"/>
        <w:spacing w:after="0"/>
        <w:jc w:val="both"/>
        <w:textAlignment w:val="baseline"/>
      </w:pPr>
      <w:r>
        <w:t>Ni siquiera existen centros de salud en estos barrios periféricos y ante cualquier enfermedad se tienen que trasladar al único hospital existente en el centro de la ciudad. Las escuelas y colegios son escasos y cuentan con pocos recursos materiales y humanos para poder llevar adelante un a</w:t>
      </w:r>
      <w:r w:rsidR="00036474">
        <w:t>decuado proceso de aprendizaje.</w:t>
      </w:r>
    </w:p>
    <w:p w:rsidR="00FD4A82" w:rsidRDefault="00FD4A82" w:rsidP="00FD4A82">
      <w:pPr>
        <w:pStyle w:val="NormalWeb"/>
        <w:shd w:val="clear" w:color="auto" w:fill="FFFFFF"/>
        <w:spacing w:after="0"/>
        <w:jc w:val="both"/>
        <w:textAlignment w:val="baseline"/>
      </w:pPr>
      <w:r>
        <w:t>Según el Mercer Human Resource Consulting, la mayor parte de las ciudades del Tercer Mundo ocupan los últimos puestos en cuanto al desarrollo de sus infraestructuras como son los casos de las ciudades asiáticas: Bangladesh (205), Sana´a (219) y Bagdad (220), africanas: Abuja (215), Kigeli (217) y Brazzaville (218). El último puesto lo ocupa la ciudad de Puerto Príncipe (221) capita</w:t>
      </w:r>
      <w:r w:rsidR="00036474">
        <w:t>l de la isla caribeña de Haití.</w:t>
      </w:r>
    </w:p>
    <w:p w:rsidR="00FD4A82" w:rsidRDefault="00FD4A82" w:rsidP="00FD4A82">
      <w:pPr>
        <w:pStyle w:val="NormalWeb"/>
        <w:shd w:val="clear" w:color="auto" w:fill="FFFFFF"/>
        <w:spacing w:after="0"/>
        <w:jc w:val="both"/>
        <w:textAlignment w:val="baseline"/>
      </w:pPr>
      <w:r>
        <w:t>Para mejorar la periferia de las ciudades es necesario incorporarla plenamente en el tejido urbano con la existencia de una buena planificación urbanística junto con la existencia de un buen transporte público (autobús, metro…) que conecte la periferia con el centro y, además, crear en dicha periferia polos educativos, culturales, sanitarios, empresariales y de</w:t>
      </w:r>
      <w:r w:rsidR="00036474">
        <w:t xml:space="preserve"> otro tipo que sean eficientes.</w:t>
      </w:r>
    </w:p>
    <w:p w:rsidR="00FD4A82" w:rsidRDefault="00BC2883" w:rsidP="00FD4A82">
      <w:pPr>
        <w:pStyle w:val="NormalWeb"/>
        <w:shd w:val="clear" w:color="auto" w:fill="FFFFFF"/>
        <w:spacing w:after="0"/>
        <w:jc w:val="both"/>
        <w:textAlignment w:val="baseline"/>
      </w:pPr>
      <w:r>
        <w:t>4º-</w:t>
      </w:r>
      <w:r w:rsidR="00FD4A82">
        <w:t xml:space="preserve"> L</w:t>
      </w:r>
      <w:r>
        <w:t>a contaminación</w:t>
      </w:r>
    </w:p>
    <w:p w:rsidR="00FD4A82" w:rsidRDefault="00FD4A82" w:rsidP="00FD4A82">
      <w:pPr>
        <w:pStyle w:val="NormalWeb"/>
        <w:shd w:val="clear" w:color="auto" w:fill="FFFFFF"/>
        <w:spacing w:after="0"/>
        <w:jc w:val="both"/>
        <w:textAlignment w:val="baseline"/>
      </w:pPr>
      <w:r>
        <w:t>Si bien es cierto que la contaminación es un problema que atañe a todas las grandes ciudades del mundo y a todas sus áreas urbanas no es menos cierto que en la periferia la contaminación es algo más acusada que en otras zonas de la ciudad. En primer lugar esa diferencia viene a ser de espacio físico pues en muchas de las grandes ciudades los barrios marginales se encuentran en depresiones o zonas hundidas del terreno donde la polución se concentra en mayor medida y es más difícil que salga de esa zona que, por ejemplo, en las áreas residenciales del centro que están más elevadas y el aire puede barrer más fácilmente la atmósfera contaminada hacia otras altitudes que en las zonas de vaguadas o valles donde suelen concentrarse cientos de miles de personas con escasos recursos conformando grandes áreas periféricas (este sistema morfológico es bastante frecuente en las ciudades latinoamericanas).</w:t>
      </w:r>
    </w:p>
    <w:p w:rsidR="00FD4A82" w:rsidRDefault="00FD4A82" w:rsidP="00FD4A82">
      <w:pPr>
        <w:pStyle w:val="NormalWeb"/>
        <w:shd w:val="clear" w:color="auto" w:fill="FFFFFF"/>
        <w:spacing w:after="0"/>
        <w:jc w:val="both"/>
        <w:textAlignment w:val="baseline"/>
      </w:pPr>
      <w:r>
        <w:t>En las ciudades del mundo desarrollado, como puede ser el caso de la ciudad de Madrid, ateniéndonos a los datos proporcionados por el Ayuntamiento de Madrid en su Memoria de calidad del aire en estos tres últimos años, se desprende que el aire más viciado ha sido registrado en la estación de Fernández Ladreda (Carabanchel) con 56 micogramos de media. Los niveles más bajos han sido captados en las estaciones situadas en parques: El Pardo (15), Casa de Campo (16), Parque Juan Carlos I (17) y Retiro (26). Evidentemente, en las zonas verdes de la ciudad de Madrid es donde la calidad del aire es mejor, más saludable pues su n</w:t>
      </w:r>
      <w:r w:rsidR="00036474">
        <w:t>ivel de contaminación es menor.</w:t>
      </w:r>
    </w:p>
    <w:p w:rsidR="00FD4A82" w:rsidRDefault="00FD4A82" w:rsidP="00FD4A82">
      <w:pPr>
        <w:pStyle w:val="NormalWeb"/>
        <w:shd w:val="clear" w:color="auto" w:fill="FFFFFF"/>
        <w:spacing w:after="0"/>
        <w:jc w:val="both"/>
        <w:textAlignment w:val="baseline"/>
      </w:pPr>
      <w:r>
        <w:t xml:space="preserve">En la periferia de las ciudades desarrolladas los basureros al aire libre no existen pero sí es cierto que en esas zonas de la ciudad hay un mayor descuido en la limpieza de las aceras de </w:t>
      </w:r>
      <w:r>
        <w:lastRenderedPageBreak/>
        <w:t>calles y plazas siendo habitual ver los excrementos de perros y otros animales domésticos. También, en muchos casos, la contaminación acústica es muy superior a la existente en el área central de dichas ciudades por el mayor tránsito de vehículos pesados, trenes de cercaní</w:t>
      </w:r>
      <w:r w:rsidR="00036474">
        <w:t>as y bajo vuelo de los aviones.</w:t>
      </w:r>
    </w:p>
    <w:p w:rsidR="00FD4A82" w:rsidRDefault="00FD4A82" w:rsidP="00FD4A82">
      <w:pPr>
        <w:pStyle w:val="NormalWeb"/>
        <w:shd w:val="clear" w:color="auto" w:fill="FFFFFF"/>
        <w:spacing w:after="0"/>
        <w:jc w:val="both"/>
        <w:textAlignment w:val="baseline"/>
      </w:pPr>
      <w:r>
        <w:t>La inexistencia de una planificación urbanística adecuada en ciudades del Tercer Mundo con un acelerado crecimiento poblacional, como Calcuta, Managua o Río de Janeiro han hecho que haya viviendas al lado de fábricas o de vertederos ( que les sirven a niños, jóvenes y personas adultas para sacar unos dólares vendiendo materiales sacados de los basureros al aire libre). Las consecuencias para sus habitantes, que consumen el agua contaminada por los residuos que expulsa la industria, van desde las enfermedades respiratorias y coronarias hasta el cáncer que incluso les produce la muerte. Por otro lado, la ausencia de planes de movilidad hace del vehículo privado el principal medio de transporte (motocicletas, automóviles). Se calcula que entre el 70% y el 80% de las partículas contaminantes que hay en el aire de estas grandes ciudades de la India, Nicaragua o Brasil provienen de los automóviles y motocicletas. Este es un patrón que se reproduce en muchas otras ciud</w:t>
      </w:r>
      <w:r w:rsidR="00036474">
        <w:t>ades del mundo subdesarrollado.</w:t>
      </w:r>
    </w:p>
    <w:p w:rsidR="00FD4A82" w:rsidRDefault="00FD4A82" w:rsidP="00FD4A82">
      <w:pPr>
        <w:pStyle w:val="NormalWeb"/>
        <w:shd w:val="clear" w:color="auto" w:fill="FFFFFF"/>
        <w:spacing w:after="0"/>
        <w:jc w:val="both"/>
        <w:textAlignment w:val="baseline"/>
      </w:pPr>
      <w:r>
        <w:t>La Organización Mundial de la Salud (OMS) alerta de que nueve de cada diez personas en el mundo respiran aire contaminado, por lo que las ciudades europeas o norteamericanas tampoco se libran de esta lacra, especialmente, las personas que viven en la per</w:t>
      </w:r>
      <w:r w:rsidR="00036474">
        <w:t>iferia de las grandes ciudades.</w:t>
      </w:r>
    </w:p>
    <w:p w:rsidR="00FD4A82" w:rsidRDefault="00BC2883" w:rsidP="00FD4A82">
      <w:pPr>
        <w:pStyle w:val="NormalWeb"/>
        <w:shd w:val="clear" w:color="auto" w:fill="FFFFFF"/>
        <w:spacing w:after="0"/>
        <w:jc w:val="both"/>
        <w:textAlignment w:val="baseline"/>
      </w:pPr>
      <w:r>
        <w:t>5º-</w:t>
      </w:r>
      <w:r w:rsidR="00FD4A82">
        <w:t xml:space="preserve"> V</w:t>
      </w:r>
      <w:r>
        <w:t>iolencia y drogadicción</w:t>
      </w:r>
    </w:p>
    <w:p w:rsidR="00FD4A82" w:rsidRDefault="00FD4A82" w:rsidP="00FD4A82">
      <w:pPr>
        <w:pStyle w:val="NormalWeb"/>
        <w:shd w:val="clear" w:color="auto" w:fill="FFFFFF"/>
        <w:spacing w:after="0"/>
        <w:jc w:val="both"/>
        <w:textAlignment w:val="baseline"/>
      </w:pPr>
      <w:r>
        <w:t>En las zonas marginales de las ciudades denominadas asentamientos irregulares, barrios bravos, favelas o villas miseria son escenarios de las tasas más altas de homicidios violentos, robos, extorsiones, violacion</w:t>
      </w:r>
      <w:r w:rsidR="00036474">
        <w:t>es y tráfico de drogas y armas.</w:t>
      </w:r>
    </w:p>
    <w:p w:rsidR="00FD4A82" w:rsidRDefault="00FD4A82" w:rsidP="00FD4A82">
      <w:pPr>
        <w:pStyle w:val="NormalWeb"/>
        <w:shd w:val="clear" w:color="auto" w:fill="FFFFFF"/>
        <w:spacing w:after="0"/>
        <w:jc w:val="both"/>
        <w:textAlignment w:val="baseline"/>
      </w:pPr>
      <w:r>
        <w:t>De este grave problema no están exentas las grandes ciudades españolas. En la ciudad de Madrid se ha duplicado la incautación de drogas y armas en tan solo un año (de 2018 respecto al 2017), según f</w:t>
      </w:r>
      <w:r w:rsidR="00036474">
        <w:t xml:space="preserve">uentes de la policía nacional. </w:t>
      </w:r>
    </w:p>
    <w:p w:rsidR="00FD4A82" w:rsidRDefault="00FD4A82" w:rsidP="00FD4A82">
      <w:pPr>
        <w:pStyle w:val="NormalWeb"/>
        <w:shd w:val="clear" w:color="auto" w:fill="FFFFFF"/>
        <w:spacing w:after="0"/>
        <w:jc w:val="both"/>
        <w:textAlignment w:val="baseline"/>
      </w:pPr>
      <w:r>
        <w:t>Las actuaciones que se relacionan con la seguridad ciudadana y las drogas crecen en un 25 % y empeoran en casi todos los distritos de la ciudad de Madrid. Las intervenciones por drogas en el 2017 tuvieron un incremento de un 83 %, es decir, más de 4.800 actuaciones policiales.</w:t>
      </w:r>
    </w:p>
    <w:p w:rsidR="00036474" w:rsidRDefault="00FD4A82" w:rsidP="00FD4A82">
      <w:pPr>
        <w:pStyle w:val="NormalWeb"/>
        <w:shd w:val="clear" w:color="auto" w:fill="FFFFFF"/>
        <w:spacing w:after="0"/>
        <w:jc w:val="both"/>
        <w:textAlignment w:val="baseline"/>
      </w:pPr>
      <w:r>
        <w:t>Igualmente, las acciones por consumo de drogas también han aumentado exponencialmente llegando a aumentar en un 50 %. En total, solo entre enero y junio del 2017 la policía llevó a cabo más de 15.700 intervenciones relacionadas con la seguridad ciudadana.</w:t>
      </w:r>
    </w:p>
    <w:p w:rsidR="00FD4A82" w:rsidRDefault="00FD4A82" w:rsidP="00FD4A82">
      <w:pPr>
        <w:pStyle w:val="NormalWeb"/>
        <w:shd w:val="clear" w:color="auto" w:fill="FFFFFF"/>
        <w:spacing w:after="0"/>
        <w:jc w:val="both"/>
        <w:textAlignment w:val="baseline"/>
      </w:pPr>
      <w:r>
        <w:t>Los barrios más duramente golpeados por la violencia derivada de las drogas fueron: Tetuán, Chamberí, Puente de Vallec</w:t>
      </w:r>
      <w:r w:rsidR="00036474">
        <w:t>as, Chamartín y San Blas.</w:t>
      </w:r>
    </w:p>
    <w:p w:rsidR="00FD4A82" w:rsidRDefault="00FD4A82" w:rsidP="00FD4A82">
      <w:pPr>
        <w:pStyle w:val="NormalWeb"/>
        <w:shd w:val="clear" w:color="auto" w:fill="FFFFFF"/>
        <w:spacing w:after="0"/>
        <w:jc w:val="both"/>
        <w:textAlignment w:val="baseline"/>
      </w:pPr>
      <w:r>
        <w:t>En los Estados Unidos existen más de 25 ciudades con un alto índice de violencia y criminalidad debido, fundamentalmente, a la facilidad que tienen los estadounidenses de comprar armas de fuego al poder acceder a ellas las personas mayores de edad sin ning</w:t>
      </w:r>
      <w:r w:rsidR="00036474">
        <w:t>ún tipo de control.</w:t>
      </w:r>
      <w:r w:rsidR="00A83AA5">
        <w:t xml:space="preserve"> </w:t>
      </w:r>
      <w:r>
        <w:t>A continuación señalaré, para ser más preciso, el barrio de la ciudad que destaca por su alto grado de asesinatos y muertes violentas basándome, para ello, en un informe elaborado por el doctor Andrew Schiller sobre informes proporcion</w:t>
      </w:r>
      <w:r w:rsidR="00036474">
        <w:t>ados por el FBI.</w:t>
      </w:r>
    </w:p>
    <w:p w:rsidR="00FD4A82" w:rsidRDefault="00FD4A82" w:rsidP="00FD4A82">
      <w:pPr>
        <w:pStyle w:val="NormalWeb"/>
        <w:shd w:val="clear" w:color="auto" w:fill="FFFFFF"/>
        <w:spacing w:after="0"/>
        <w:jc w:val="both"/>
        <w:textAlignment w:val="baseline"/>
      </w:pPr>
      <w:r>
        <w:lastRenderedPageBreak/>
        <w:t>En este ranking macabro estaría, en primer lugar, el barrio de Lago San W. en la ciudad de Chicago con 297 crímenes anuales, tasa de delitos violentos, 258 por mil y posibilidad de ser víctima en un año de 1 de cada 4. Le sigue el barrio de Ave Scorill en la ciudad de Cleveland con 307 crímenes violentos anuales, tasa de delitos violentos, 165 por mil y posibilidad de ser víctima en un año de 1 de cada 6. Por último, para no alargarme demasiado, está el barrio N.28 th St. en la ciudad de Las Vegas con 875 crímenes violentos anuales, tasa de delitos violentos, 135 por mil y posibilidad de ser ví</w:t>
      </w:r>
      <w:r w:rsidR="00036474">
        <w:t>ctima en un año de 1 de cada 7.</w:t>
      </w:r>
    </w:p>
    <w:p w:rsidR="00FD4A82" w:rsidRDefault="00FD4A82" w:rsidP="00FD4A82">
      <w:pPr>
        <w:pStyle w:val="NormalWeb"/>
        <w:shd w:val="clear" w:color="auto" w:fill="FFFFFF"/>
        <w:spacing w:after="0"/>
        <w:jc w:val="both"/>
        <w:textAlignment w:val="baseline"/>
      </w:pPr>
      <w:r>
        <w:t>En las ciudades de países subdesarrollados o en vías de desarrollo, como es el caso de la ciudad de México, la pobreza, alta marginalidad e inseguridad prevalecen en 13 de sus 16 distritos. A partir de ese registro, la visión del Gobierno del Distrito Federal refiere que esas zonas se convierten en “bodegas” para los traficantes de drogas y de objetos robados, y las califica como “guaridas” de maleantes y “picaderos”. En cuanto a la situación de los vecinos, atribuye la falta de denuncias por temor a las represalias o porque algunos de los de</w:t>
      </w:r>
      <w:r w:rsidR="00036474">
        <w:t>lincuentes “son de su familia”.</w:t>
      </w:r>
    </w:p>
    <w:p w:rsidR="00FD4A82" w:rsidRDefault="00FD4A82" w:rsidP="00FD4A82">
      <w:pPr>
        <w:pStyle w:val="NormalWeb"/>
        <w:shd w:val="clear" w:color="auto" w:fill="FFFFFF"/>
        <w:spacing w:after="0"/>
        <w:jc w:val="both"/>
        <w:textAlignment w:val="baseline"/>
      </w:pPr>
      <w:r>
        <w:t>La ciudad de Tijuana, al norte de México y fronteriza con Estados Unidos, es la ciudad más violenta del mundo con 2640 asesinatos al año, más de siete al día. Además, gran cantidad de mujeres jóvenes son secuestradas, violadas y asesinadas impunemente por las mafias mexicanas. Existen numerosos prostíbulos donde las mujeres jóvenes ofrece</w:t>
      </w:r>
      <w:r w:rsidR="00036474">
        <w:t>n sus cuerpos por unos 8 euros.</w:t>
      </w:r>
    </w:p>
    <w:p w:rsidR="00FD4A82" w:rsidRDefault="00FD4A82" w:rsidP="00FD4A82">
      <w:pPr>
        <w:pStyle w:val="NormalWeb"/>
        <w:shd w:val="clear" w:color="auto" w:fill="FFFFFF"/>
        <w:spacing w:after="0"/>
        <w:jc w:val="both"/>
        <w:textAlignment w:val="baseline"/>
      </w:pPr>
      <w:r>
        <w:t>En Tijuana no hace falta buscar al narco, el narco llega. Por eso nadie habla de narcotráfico, sino de “estar en el negocio”. Un negocio que ha permeado en casi toda la sociedad. A menudo las bandas acuden a la salida de los colegios de secundaria para</w:t>
      </w:r>
      <w:r w:rsidR="00BC2883">
        <w:t xml:space="preserve"> reclutar a adolescentes de 15 o</w:t>
      </w:r>
      <w:r>
        <w:t xml:space="preserve"> 17 años que quieran ganarse un dinero: 18.000 dólares por un bulto de 20 kilos de cocaína por túneles; 4.500 dólares por cruzar a Estados Unidos un coche con droga; 500 dólares por cruzar a pie por el paso oficial un kilo de drog</w:t>
      </w:r>
      <w:r w:rsidR="00036474">
        <w:t>a pegado al cuerpo con celofán.</w:t>
      </w:r>
    </w:p>
    <w:p w:rsidR="00FD4A82" w:rsidRDefault="00FD4A82" w:rsidP="00FD4A82">
      <w:pPr>
        <w:pStyle w:val="NormalWeb"/>
        <w:shd w:val="clear" w:color="auto" w:fill="FFFFFF"/>
        <w:spacing w:after="0"/>
        <w:jc w:val="both"/>
        <w:textAlignment w:val="baseline"/>
      </w:pPr>
      <w:r>
        <w:t>La ciudad colombiana de Medellín con algo más de 1 millón de habitantes era, hasta principios del siglo XXI, la ciudad más violenta del mundo con más de 7000 asesinatos al año. Esta ciudad era el feudo del narcotraficante Pablo Escobar, el más temido por todos en aquellos tiempos. Hoy en día la ciudad de Medellín es más segura debido a una serie de medidas tomadas por el ayuntamiento como: planes culturales y de concienciación para los jóvenes, aumento de las actividades deportivas, bibliotecas, etc.</w:t>
      </w:r>
    </w:p>
    <w:p w:rsidR="00036474" w:rsidRDefault="00FD4A82" w:rsidP="00FD4A82">
      <w:pPr>
        <w:pStyle w:val="NormalWeb"/>
        <w:shd w:val="clear" w:color="auto" w:fill="FFFFFF"/>
        <w:spacing w:after="0"/>
        <w:jc w:val="both"/>
        <w:textAlignment w:val="baseline"/>
      </w:pPr>
      <w:r>
        <w:t>Para intentar solucionar este grave problema que supone el enorme desarrollo periférico de las grandes ciudades de todo el mundo se debería de crear ciudades más pequeñas que contengan dentro de ellas lugares de trabajo, servicios y ocio situados equitativamente en las diversas áreas de la ciudad. Soluciones de este tipo no son fáciles de llevar a cabo pues chocan con diferentes intereses económicos que harían dificultoso dicho proyecto. De hecho, según diversos informes, la tendencia es a que en las próximas décadas aumente el número de megaciudades (más de 10 millones de personas)  de  las 34 existentes en 2017 a 41 en 2030 y, además, se seguirán construyendo elevadas torres y rascacielos respecto a edificaciones, más a escala humana, horizontales de menos de diez plantas que sería la planificación ideal de cualquier ciudad.</w:t>
      </w:r>
    </w:p>
    <w:p w:rsidR="00A83AA5" w:rsidRDefault="00A83AA5" w:rsidP="00FD4A82">
      <w:pPr>
        <w:pStyle w:val="NormalWeb"/>
        <w:shd w:val="clear" w:color="auto" w:fill="FFFFFF"/>
        <w:spacing w:after="0"/>
        <w:jc w:val="both"/>
        <w:textAlignment w:val="baseline"/>
      </w:pPr>
    </w:p>
    <w:p w:rsidR="00A83AA5" w:rsidRPr="00BB388E" w:rsidRDefault="00A83AA5" w:rsidP="00A83AA5">
      <w:pPr>
        <w:pStyle w:val="NormalWeb"/>
        <w:shd w:val="clear" w:color="auto" w:fill="FFFFFF"/>
        <w:spacing w:after="396"/>
        <w:jc w:val="both"/>
        <w:textAlignment w:val="baseline"/>
        <w:rPr>
          <w:b/>
          <w:color w:val="000000"/>
        </w:rPr>
      </w:pPr>
      <w:r w:rsidRPr="00A83AA5">
        <w:rPr>
          <w:b/>
          <w:color w:val="000000"/>
        </w:rPr>
        <w:lastRenderedPageBreak/>
        <w:t xml:space="preserve">Top 10: </w:t>
      </w:r>
      <w:r>
        <w:rPr>
          <w:b/>
          <w:color w:val="000000"/>
        </w:rPr>
        <w:t>Las c</w:t>
      </w:r>
      <w:r w:rsidRPr="00A83AA5">
        <w:rPr>
          <w:b/>
          <w:color w:val="000000"/>
        </w:rPr>
        <w:t>iudades más peligrosas de Europa</w:t>
      </w:r>
      <w:r w:rsidR="00BB388E">
        <w:rPr>
          <w:b/>
          <w:color w:val="000000"/>
        </w:rPr>
        <w:t xml:space="preserve"> (según </w:t>
      </w:r>
      <w:r w:rsidR="00BB388E" w:rsidRPr="00BB388E">
        <w:rPr>
          <w:b/>
          <w:color w:val="000000"/>
        </w:rPr>
        <w:t xml:space="preserve">los índices de seguridad) </w:t>
      </w:r>
    </w:p>
    <w:p w:rsidR="00A83AA5" w:rsidRPr="00FD1229" w:rsidRDefault="00A83AA5" w:rsidP="00A83AA5">
      <w:pPr>
        <w:pStyle w:val="NormalWeb"/>
        <w:shd w:val="clear" w:color="auto" w:fill="FFFFFF"/>
        <w:spacing w:after="396"/>
        <w:jc w:val="both"/>
        <w:textAlignment w:val="baseline"/>
        <w:rPr>
          <w:color w:val="000000"/>
        </w:rPr>
      </w:pPr>
      <w:r>
        <w:rPr>
          <w:color w:val="000000"/>
        </w:rPr>
        <w:t>1.- Marsella, Francia.</w:t>
      </w:r>
    </w:p>
    <w:p w:rsidR="00A83AA5" w:rsidRPr="00FD1229" w:rsidRDefault="00A83AA5" w:rsidP="00A83AA5">
      <w:pPr>
        <w:pStyle w:val="NormalWeb"/>
        <w:shd w:val="clear" w:color="auto" w:fill="FFFFFF"/>
        <w:spacing w:after="396"/>
        <w:jc w:val="both"/>
        <w:textAlignment w:val="baseline"/>
        <w:rPr>
          <w:color w:val="000000"/>
        </w:rPr>
      </w:pPr>
      <w:r>
        <w:rPr>
          <w:color w:val="000000"/>
        </w:rPr>
        <w:t>2.- Nápoles, Italia.</w:t>
      </w:r>
    </w:p>
    <w:p w:rsidR="00A83AA5" w:rsidRPr="00FD1229" w:rsidRDefault="00A83AA5" w:rsidP="00A83AA5">
      <w:pPr>
        <w:pStyle w:val="NormalWeb"/>
        <w:shd w:val="clear" w:color="auto" w:fill="FFFFFF"/>
        <w:spacing w:after="396"/>
        <w:jc w:val="both"/>
        <w:textAlignment w:val="baseline"/>
        <w:rPr>
          <w:color w:val="000000"/>
        </w:rPr>
      </w:pPr>
      <w:r>
        <w:rPr>
          <w:color w:val="000000"/>
        </w:rPr>
        <w:t>3.-</w:t>
      </w:r>
      <w:r w:rsidR="00C36FBA">
        <w:rPr>
          <w:color w:val="000000"/>
        </w:rPr>
        <w:t xml:space="preserve"> </w:t>
      </w:r>
      <w:r>
        <w:rPr>
          <w:color w:val="000000"/>
        </w:rPr>
        <w:t>Catania, Italia.</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4.-</w:t>
      </w:r>
      <w:r w:rsidR="00C36FBA">
        <w:rPr>
          <w:color w:val="000000"/>
        </w:rPr>
        <w:t xml:space="preserve"> </w:t>
      </w:r>
      <w:r w:rsidRPr="00FD1229">
        <w:rPr>
          <w:color w:val="000000"/>
        </w:rPr>
        <w:t>Turín, Italia.</w:t>
      </w:r>
    </w:p>
    <w:p w:rsidR="00A83AA5" w:rsidRDefault="00A83AA5" w:rsidP="00A83AA5">
      <w:pPr>
        <w:pStyle w:val="NormalWeb"/>
        <w:shd w:val="clear" w:color="auto" w:fill="FFFFFF"/>
        <w:spacing w:after="396"/>
        <w:jc w:val="both"/>
        <w:textAlignment w:val="baseline"/>
        <w:rPr>
          <w:color w:val="000000"/>
        </w:rPr>
      </w:pPr>
      <w:r w:rsidRPr="00FD1229">
        <w:rPr>
          <w:color w:val="000000"/>
        </w:rPr>
        <w:t>5.- Kristiansand, Noruega.</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6.- Mánchester, Reino Unido.</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7.-</w:t>
      </w:r>
      <w:r w:rsidR="00C36FBA">
        <w:rPr>
          <w:color w:val="000000"/>
        </w:rPr>
        <w:t xml:space="preserve"> </w:t>
      </w:r>
      <w:r w:rsidRPr="00FD1229">
        <w:rPr>
          <w:color w:val="000000"/>
        </w:rPr>
        <w:t>Roma, Italia.</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8.-</w:t>
      </w:r>
      <w:r w:rsidR="00C36FBA">
        <w:rPr>
          <w:color w:val="000000"/>
        </w:rPr>
        <w:t xml:space="preserve"> </w:t>
      </w:r>
      <w:r w:rsidRPr="00FD1229">
        <w:rPr>
          <w:color w:val="000000"/>
        </w:rPr>
        <w:t>París, Francia.</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9.-</w:t>
      </w:r>
      <w:r w:rsidR="00C36FBA">
        <w:rPr>
          <w:color w:val="000000"/>
        </w:rPr>
        <w:t xml:space="preserve"> </w:t>
      </w:r>
      <w:r w:rsidRPr="00FD1229">
        <w:rPr>
          <w:color w:val="000000"/>
        </w:rPr>
        <w:t>Birmingham, Reino Unido.</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10.-</w:t>
      </w:r>
      <w:r w:rsidR="00C36FBA">
        <w:rPr>
          <w:color w:val="000000"/>
        </w:rPr>
        <w:t xml:space="preserve"> </w:t>
      </w:r>
      <w:r w:rsidRPr="00FD1229">
        <w:rPr>
          <w:color w:val="000000"/>
        </w:rPr>
        <w:t>Tromso, Noruega.</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En Italia, las ciudades más peligrosas presentan amenazas terroristas, saturación turística y contaminación, sumado a actos vandálicos.</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En Reino Unido, las amenazas terroristas, el aumento de la pobreza y la inestabilidad social y política debido al Brexit caracterizan a sus ciudades más inseguras.</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Las ciudades francesas de la lista se ven afectadas por amenazas terroristas, conflictos raciales e inseguridad callejera en horarios nocturnos.</w:t>
      </w:r>
    </w:p>
    <w:p w:rsidR="00A83AA5" w:rsidRPr="00FD1229" w:rsidRDefault="00BB388E" w:rsidP="00A83AA5">
      <w:pPr>
        <w:pStyle w:val="NormalWeb"/>
        <w:shd w:val="clear" w:color="auto" w:fill="FFFFFF"/>
        <w:spacing w:after="396"/>
        <w:jc w:val="both"/>
        <w:textAlignment w:val="baseline"/>
        <w:rPr>
          <w:color w:val="000000"/>
        </w:rPr>
      </w:pPr>
      <w:r>
        <w:rPr>
          <w:color w:val="000000"/>
        </w:rPr>
        <w:t>A</w:t>
      </w:r>
      <w:r w:rsidR="00A83AA5" w:rsidRPr="00FD1229">
        <w:rPr>
          <w:color w:val="000000"/>
        </w:rPr>
        <w:t>lgunos barrios</w:t>
      </w:r>
      <w:r>
        <w:rPr>
          <w:color w:val="000000"/>
        </w:rPr>
        <w:t xml:space="preserve"> en donde no es recomendable el ingreso</w:t>
      </w:r>
      <w:r w:rsidR="00A83AA5" w:rsidRPr="00FD1229">
        <w:rPr>
          <w:color w:val="000000"/>
        </w:rPr>
        <w:t>. La existencia de mafias locales y drogas, los han convertido en sumamente peligrosos.</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Molenbeek, en Bélgica: Es un barrio de Bruselas en donde ni siquiera la policía local se anima a entrar. La relación de este barrio con extremistas islámicos se remonta a décadas atrás.</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xml:space="preserve">- Roubaix, en Francia: Es conocida como la comuna con más pobreza de Francia. Se la considera un refugio de yihadistas y se la vinculó con Al Qaeda a fines de los 90. </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Rosengard, en Suecia: Originario de este barrio de Malmo, es Jalid al-Yousef, acusado de financiar al terrorismo que recluta jóvenes para atentados suicidas.</w:t>
      </w:r>
    </w:p>
    <w:p w:rsidR="00A83AA5" w:rsidRPr="00FD1229" w:rsidRDefault="00A83AA5" w:rsidP="00A83AA5">
      <w:pPr>
        <w:pStyle w:val="NormalWeb"/>
        <w:shd w:val="clear" w:color="auto" w:fill="FFFFFF"/>
        <w:spacing w:after="396"/>
        <w:jc w:val="both"/>
        <w:textAlignment w:val="baseline"/>
        <w:rPr>
          <w:color w:val="000000"/>
        </w:rPr>
      </w:pPr>
      <w:r w:rsidRPr="00FD1229">
        <w:rPr>
          <w:color w:val="000000"/>
        </w:rPr>
        <w:t>- El Príncipe, España: Con muchos callejones sin salida y túneles subterráneos, es el escenario ideal para las bandas de narcotráfico, trata de personas e inmigración irregular.</w:t>
      </w:r>
    </w:p>
    <w:p w:rsidR="00BB388E" w:rsidRDefault="00A83AA5" w:rsidP="00BB388E">
      <w:pPr>
        <w:pStyle w:val="NormalWeb"/>
        <w:shd w:val="clear" w:color="auto" w:fill="FFFFFF"/>
        <w:spacing w:after="396"/>
        <w:jc w:val="both"/>
        <w:textAlignment w:val="baseline"/>
        <w:rPr>
          <w:color w:val="000000"/>
        </w:rPr>
      </w:pPr>
      <w:r w:rsidRPr="00FD1229">
        <w:rPr>
          <w:color w:val="000000"/>
        </w:rPr>
        <w:t xml:space="preserve">- Secondigliano, Italia: Aquí manda la ley de las mafias y son muy comunes los enfrentamientos con armas y cuchillos. La policía directamente no entra en la zona. </w:t>
      </w:r>
    </w:p>
    <w:p w:rsidR="0051461B" w:rsidRPr="00BB388E" w:rsidRDefault="00BB388E" w:rsidP="00BB388E">
      <w:pPr>
        <w:pStyle w:val="NormalWeb"/>
        <w:shd w:val="clear" w:color="auto" w:fill="FFFFFF"/>
        <w:spacing w:after="396"/>
        <w:jc w:val="both"/>
        <w:textAlignment w:val="baseline"/>
        <w:rPr>
          <w:color w:val="000000"/>
        </w:rPr>
      </w:pPr>
      <w:r>
        <w:rPr>
          <w:color w:val="000000"/>
        </w:rPr>
        <w:lastRenderedPageBreak/>
        <w:t xml:space="preserve">- </w:t>
      </w:r>
      <w:r w:rsidR="00E84FE5">
        <w:rPr>
          <w:b/>
        </w:rPr>
        <w:t xml:space="preserve">Las </w:t>
      </w:r>
      <w:r w:rsidR="0051461B" w:rsidRPr="0051461B">
        <w:rPr>
          <w:b/>
        </w:rPr>
        <w:t xml:space="preserve">fotos de la vergüenza </w:t>
      </w:r>
      <w:r w:rsidR="0051461B">
        <w:rPr>
          <w:b/>
        </w:rPr>
        <w:t>(</w:t>
      </w:r>
      <w:r w:rsidR="00E84FE5">
        <w:rPr>
          <w:b/>
        </w:rPr>
        <w:t xml:space="preserve">algunas </w:t>
      </w:r>
      <w:r w:rsidR="0051461B" w:rsidRPr="0051461B">
        <w:rPr>
          <w:b/>
        </w:rPr>
        <w:t>partes de Europa</w:t>
      </w:r>
      <w:r w:rsidR="0051461B">
        <w:rPr>
          <w:b/>
        </w:rPr>
        <w:t>…</w:t>
      </w:r>
      <w:r w:rsidR="0051461B" w:rsidRPr="0051461B">
        <w:rPr>
          <w:b/>
        </w:rPr>
        <w:t xml:space="preserve"> en “vías de subdesarrollo”)</w:t>
      </w:r>
    </w:p>
    <w:p w:rsidR="00036474" w:rsidRDefault="00036474" w:rsidP="00036474">
      <w:pPr>
        <w:pStyle w:val="NormalWeb"/>
        <w:shd w:val="clear" w:color="auto" w:fill="FFFFFF"/>
        <w:spacing w:after="0"/>
        <w:jc w:val="both"/>
        <w:textAlignment w:val="baseline"/>
      </w:pPr>
      <w:r>
        <w:rPr>
          <w:noProof/>
        </w:rPr>
        <w:drawing>
          <wp:inline distT="0" distB="0" distL="0" distR="0">
            <wp:extent cx="5727421" cy="2628900"/>
            <wp:effectExtent l="0" t="0" r="6985" b="0"/>
            <wp:docPr id="5" name="Imagen 5" descr="Image result for imagenes de barrios pobres de londr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imagenes de barrios pobres de londres&quo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630777"/>
                    </a:xfrm>
                    <a:prstGeom prst="rect">
                      <a:avLst/>
                    </a:prstGeom>
                    <a:noFill/>
                    <a:ln>
                      <a:noFill/>
                    </a:ln>
                  </pic:spPr>
                </pic:pic>
              </a:graphicData>
            </a:graphic>
          </wp:inline>
        </w:drawing>
      </w:r>
      <w:r>
        <w:t>Tottenham, un barrio pobre y diverso (Londres - Reino Unido)</w:t>
      </w:r>
    </w:p>
    <w:p w:rsidR="00BB388E" w:rsidRDefault="00BB388E" w:rsidP="00036474">
      <w:pPr>
        <w:pStyle w:val="NormalWeb"/>
        <w:shd w:val="clear" w:color="auto" w:fill="FFFFFF"/>
        <w:spacing w:after="0"/>
        <w:jc w:val="both"/>
        <w:textAlignment w:val="baseline"/>
        <w:rPr>
          <w:color w:val="000000"/>
        </w:rPr>
      </w:pPr>
      <w:r>
        <w:rPr>
          <w:noProof/>
        </w:rPr>
        <w:drawing>
          <wp:inline distT="0" distB="0" distL="0" distR="0">
            <wp:extent cx="5731510" cy="2591475"/>
            <wp:effectExtent l="0" t="0" r="2540" b="0"/>
            <wp:docPr id="12" name="Imagen 12" descr="Image result for fotos de zonas peligrosas de birming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fotos de zonas peligrosas de birmingha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2591475"/>
                    </a:xfrm>
                    <a:prstGeom prst="rect">
                      <a:avLst/>
                    </a:prstGeom>
                    <a:noFill/>
                    <a:ln>
                      <a:noFill/>
                    </a:ln>
                  </pic:spPr>
                </pic:pic>
              </a:graphicData>
            </a:graphic>
          </wp:inline>
        </w:drawing>
      </w:r>
      <w:r>
        <w:rPr>
          <w:color w:val="000000"/>
        </w:rPr>
        <w:t>L</w:t>
      </w:r>
      <w:r w:rsidR="00E84FE5">
        <w:rPr>
          <w:color w:val="000000"/>
        </w:rPr>
        <w:t>iverpool</w:t>
      </w:r>
      <w:r>
        <w:rPr>
          <w:color w:val="000000"/>
        </w:rPr>
        <w:t>, el reino de las pandillas juveniles</w:t>
      </w:r>
      <w:r w:rsidR="00E84FE5">
        <w:rPr>
          <w:color w:val="000000"/>
        </w:rPr>
        <w:t xml:space="preserve"> (Londres - Reino Unido)</w:t>
      </w:r>
    </w:p>
    <w:p w:rsidR="00A00613" w:rsidRDefault="00A00613" w:rsidP="00036474">
      <w:pPr>
        <w:pStyle w:val="NormalWeb"/>
        <w:shd w:val="clear" w:color="auto" w:fill="FFFFFF"/>
        <w:spacing w:after="0"/>
        <w:jc w:val="both"/>
        <w:textAlignment w:val="baseline"/>
      </w:pPr>
      <w:r>
        <w:rPr>
          <w:noProof/>
        </w:rPr>
        <w:drawing>
          <wp:inline distT="0" distB="0" distL="0" distR="0">
            <wp:extent cx="5734050" cy="2406650"/>
            <wp:effectExtent l="0" t="0" r="0" b="0"/>
            <wp:docPr id="13" name="Imagen 13" descr="http://www.sinembargo.mx/wp-content/uploads/2012/03/guerraperd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inembargo.mx/wp-content/uploads/2012/03/guerraperdida.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4050" cy="2406650"/>
                    </a:xfrm>
                    <a:prstGeom prst="rect">
                      <a:avLst/>
                    </a:prstGeom>
                    <a:noFill/>
                    <a:ln>
                      <a:noFill/>
                    </a:ln>
                  </pic:spPr>
                </pic:pic>
              </a:graphicData>
            </a:graphic>
          </wp:inline>
        </w:drawing>
      </w:r>
      <w:r w:rsidRPr="009B66FA">
        <w:rPr>
          <w:color w:val="000000"/>
        </w:rPr>
        <w:t>Manchester, Liverpool y Birmingham</w:t>
      </w:r>
      <w:r>
        <w:rPr>
          <w:color w:val="000000"/>
        </w:rPr>
        <w:t xml:space="preserve"> (Reino Unido)</w:t>
      </w:r>
      <w:r w:rsidRPr="009B66FA">
        <w:rPr>
          <w:color w:val="000000"/>
        </w:rPr>
        <w:t>: la otra guerra contra las drogas perdida</w:t>
      </w:r>
    </w:p>
    <w:p w:rsidR="00036474" w:rsidRDefault="00036474" w:rsidP="00036474">
      <w:pPr>
        <w:pStyle w:val="NormalWeb"/>
        <w:shd w:val="clear" w:color="auto" w:fill="FFFFFF"/>
        <w:spacing w:after="0"/>
        <w:jc w:val="both"/>
        <w:textAlignment w:val="baseline"/>
        <w:rPr>
          <w:shd w:val="clear" w:color="auto" w:fill="FFFFFF"/>
        </w:rPr>
      </w:pPr>
      <w:r>
        <w:rPr>
          <w:noProof/>
        </w:rPr>
        <w:lastRenderedPageBreak/>
        <w:drawing>
          <wp:inline distT="0" distB="0" distL="0" distR="0">
            <wp:extent cx="5727700" cy="2603500"/>
            <wp:effectExtent l="0" t="0" r="6350" b="6350"/>
            <wp:docPr id="6" name="Imagen 6" descr="Desplazados de Europa del Este en sus chabolas en 'Cuvrybrache', en el barrio berlinés de Kreuzberg, en julio p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plazados de Europa del Este en sus chabolas en 'Cuvrybrache', en el barrio berlinés de Kreuzberg, en julio pasa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7700" cy="2603500"/>
                    </a:xfrm>
                    <a:prstGeom prst="rect">
                      <a:avLst/>
                    </a:prstGeom>
                    <a:noFill/>
                    <a:ln>
                      <a:noFill/>
                    </a:ln>
                  </pic:spPr>
                </pic:pic>
              </a:graphicData>
            </a:graphic>
          </wp:inline>
        </w:drawing>
      </w:r>
      <w:r w:rsidRPr="00036474">
        <w:rPr>
          <w:shd w:val="clear" w:color="auto" w:fill="FFFFFF"/>
        </w:rPr>
        <w:t>Desplazados de Euro</w:t>
      </w:r>
      <w:r w:rsidR="006A2196">
        <w:rPr>
          <w:shd w:val="clear" w:color="auto" w:fill="FFFFFF"/>
        </w:rPr>
        <w:t>pa del Este en sus chabolas en “Cuvrybrache”</w:t>
      </w:r>
      <w:r w:rsidRPr="00036474">
        <w:rPr>
          <w:shd w:val="clear" w:color="auto" w:fill="FFFFFF"/>
        </w:rPr>
        <w:t>, en el barrio berlinés de Kreuzberg</w:t>
      </w:r>
      <w:r w:rsidR="006A2196">
        <w:rPr>
          <w:shd w:val="clear" w:color="auto" w:fill="FFFFFF"/>
        </w:rPr>
        <w:t xml:space="preserve"> (</w:t>
      </w:r>
      <w:r>
        <w:rPr>
          <w:shd w:val="clear" w:color="auto" w:fill="FFFFFF"/>
        </w:rPr>
        <w:t>Alemania)</w:t>
      </w:r>
    </w:p>
    <w:p w:rsidR="00A00613" w:rsidRDefault="00A00613" w:rsidP="00036474">
      <w:pPr>
        <w:pStyle w:val="NormalWeb"/>
        <w:shd w:val="clear" w:color="auto" w:fill="FFFFFF"/>
        <w:spacing w:after="0"/>
        <w:jc w:val="both"/>
        <w:textAlignment w:val="baseline"/>
        <w:rPr>
          <w:shd w:val="clear" w:color="auto" w:fill="FFFFFF"/>
        </w:rPr>
      </w:pPr>
      <w:r>
        <w:rPr>
          <w:noProof/>
        </w:rPr>
        <w:drawing>
          <wp:inline distT="0" distB="0" distL="0" distR="0">
            <wp:extent cx="5731510" cy="2920341"/>
            <wp:effectExtent l="0" t="0" r="2540" b="0"/>
            <wp:docPr id="17" name="Imagen 17" descr="Image result for fotos de Molenb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tos de Molenbeek"/>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2920341"/>
                    </a:xfrm>
                    <a:prstGeom prst="rect">
                      <a:avLst/>
                    </a:prstGeom>
                    <a:noFill/>
                    <a:ln>
                      <a:noFill/>
                    </a:ln>
                  </pic:spPr>
                </pic:pic>
              </a:graphicData>
            </a:graphic>
          </wp:inline>
        </w:drawing>
      </w:r>
      <w:r>
        <w:rPr>
          <w:shd w:val="clear" w:color="auto" w:fill="FFFFFF"/>
        </w:rPr>
        <w:t>Molenbeek, Bruselas (Bélgica)</w:t>
      </w:r>
    </w:p>
    <w:p w:rsidR="006A2196" w:rsidRDefault="00BB388E" w:rsidP="00036474">
      <w:pPr>
        <w:pStyle w:val="NormalWeb"/>
        <w:shd w:val="clear" w:color="auto" w:fill="FFFFFF"/>
        <w:spacing w:after="0"/>
        <w:jc w:val="both"/>
        <w:textAlignment w:val="baseline"/>
        <w:rPr>
          <w:shd w:val="clear" w:color="auto" w:fill="FFFFFF"/>
        </w:rPr>
      </w:pPr>
      <w:r>
        <w:rPr>
          <w:noProof/>
        </w:rPr>
        <w:drawing>
          <wp:inline distT="0" distB="0" distL="0" distR="0">
            <wp:extent cx="5727699" cy="2260600"/>
            <wp:effectExtent l="0" t="0" r="6985" b="6350"/>
            <wp:docPr id="7" name="Imagen 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2262104"/>
                    </a:xfrm>
                    <a:prstGeom prst="rect">
                      <a:avLst/>
                    </a:prstGeom>
                    <a:noFill/>
                    <a:ln>
                      <a:noFill/>
                    </a:ln>
                  </pic:spPr>
                </pic:pic>
              </a:graphicData>
            </a:graphic>
          </wp:inline>
        </w:drawing>
      </w:r>
      <w:r>
        <w:rPr>
          <w:color w:val="000000"/>
        </w:rPr>
        <w:t>Nápoles, Italia:</w:t>
      </w:r>
      <w:r>
        <w:rPr>
          <w:shd w:val="clear" w:color="auto" w:fill="FFFFFF"/>
        </w:rPr>
        <w:t xml:space="preserve"> e</w:t>
      </w:r>
      <w:r w:rsidR="006A2196">
        <w:rPr>
          <w:shd w:val="clear" w:color="auto" w:fill="FFFFFF"/>
        </w:rPr>
        <w:t>l norte y el sur de Italia, dos mundos muy diferentes</w:t>
      </w:r>
    </w:p>
    <w:p w:rsidR="006A2196" w:rsidRDefault="006A2196" w:rsidP="00036474">
      <w:pPr>
        <w:pStyle w:val="NormalWeb"/>
        <w:shd w:val="clear" w:color="auto" w:fill="FFFFFF"/>
        <w:spacing w:after="0"/>
        <w:jc w:val="both"/>
        <w:textAlignment w:val="baseline"/>
        <w:rPr>
          <w:color w:val="1A1A1A"/>
          <w:shd w:val="clear" w:color="auto" w:fill="FFFFFF"/>
        </w:rPr>
      </w:pPr>
      <w:r>
        <w:rPr>
          <w:noProof/>
        </w:rPr>
        <w:lastRenderedPageBreak/>
        <w:drawing>
          <wp:inline distT="0" distB="0" distL="0" distR="0">
            <wp:extent cx="5726022" cy="2508250"/>
            <wp:effectExtent l="0" t="0" r="8255" b="6350"/>
            <wp:docPr id="10" name="Imagen 10" descr="Foto: Ropa tendida en un barrio de Madrid.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to: Ropa tendida en un barrio de Madrid. (Reuter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2510654"/>
                    </a:xfrm>
                    <a:prstGeom prst="rect">
                      <a:avLst/>
                    </a:prstGeom>
                    <a:noFill/>
                    <a:ln>
                      <a:noFill/>
                    </a:ln>
                  </pic:spPr>
                </pic:pic>
              </a:graphicData>
            </a:graphic>
          </wp:inline>
        </w:drawing>
      </w:r>
      <w:r w:rsidRPr="006A2196">
        <w:rPr>
          <w:color w:val="1A1A1A"/>
          <w:shd w:val="clear" w:color="auto" w:fill="FFFFFF"/>
        </w:rPr>
        <w:t>Ropa tendida en un barrio de Madrid</w:t>
      </w:r>
      <w:r>
        <w:rPr>
          <w:color w:val="1A1A1A"/>
          <w:shd w:val="clear" w:color="auto" w:fill="FFFFFF"/>
        </w:rPr>
        <w:t xml:space="preserve"> (España)</w:t>
      </w:r>
    </w:p>
    <w:p w:rsidR="00BB388E" w:rsidRDefault="00BB388E" w:rsidP="00036474">
      <w:pPr>
        <w:pStyle w:val="NormalWeb"/>
        <w:shd w:val="clear" w:color="auto" w:fill="FFFFFF"/>
        <w:spacing w:after="0"/>
        <w:jc w:val="both"/>
        <w:textAlignment w:val="baseline"/>
        <w:rPr>
          <w:color w:val="1A1A1A"/>
          <w:shd w:val="clear" w:color="auto" w:fill="FFFFFF"/>
        </w:rPr>
      </w:pPr>
      <w:r>
        <w:rPr>
          <w:noProof/>
        </w:rPr>
        <w:drawing>
          <wp:inline distT="0" distB="0" distL="0" distR="0">
            <wp:extent cx="5731510" cy="2413933"/>
            <wp:effectExtent l="0" t="0" r="2540" b="5715"/>
            <wp:docPr id="8" name="Imagen 8" descr="Image result for fotos del raval barcel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fotos del raval barcelon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510" cy="2413933"/>
                    </a:xfrm>
                    <a:prstGeom prst="rect">
                      <a:avLst/>
                    </a:prstGeom>
                    <a:noFill/>
                    <a:ln>
                      <a:noFill/>
                    </a:ln>
                  </pic:spPr>
                </pic:pic>
              </a:graphicData>
            </a:graphic>
          </wp:inline>
        </w:drawing>
      </w:r>
      <w:r w:rsidRPr="009B66FA">
        <w:rPr>
          <w:color w:val="000000"/>
        </w:rPr>
        <w:t>Drogas, peleas y amenazas: el Raval se está convirtiendo en la favela del centro de Barcelona</w:t>
      </w:r>
      <w:r>
        <w:rPr>
          <w:color w:val="000000"/>
        </w:rPr>
        <w:t xml:space="preserve"> (España)</w:t>
      </w:r>
    </w:p>
    <w:p w:rsidR="00036474" w:rsidRDefault="006A2196" w:rsidP="00036474">
      <w:pPr>
        <w:pStyle w:val="NormalWeb"/>
        <w:shd w:val="clear" w:color="auto" w:fill="FFFFFF"/>
        <w:spacing w:after="0"/>
        <w:jc w:val="both"/>
        <w:textAlignment w:val="baseline"/>
        <w:rPr>
          <w:shd w:val="clear" w:color="auto" w:fill="FFFFFF"/>
        </w:rPr>
      </w:pPr>
      <w:r>
        <w:rPr>
          <w:noProof/>
        </w:rPr>
        <w:drawing>
          <wp:inline distT="0" distB="0" distL="0" distR="0">
            <wp:extent cx="5676900" cy="2552700"/>
            <wp:effectExtent l="0" t="0" r="0" b="0"/>
            <wp:docPr id="11" name="Imagen 11" descr="Rosengå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osengår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76900" cy="2552700"/>
                    </a:xfrm>
                    <a:prstGeom prst="rect">
                      <a:avLst/>
                    </a:prstGeom>
                    <a:noFill/>
                    <a:ln>
                      <a:noFill/>
                    </a:ln>
                  </pic:spPr>
                </pic:pic>
              </a:graphicData>
            </a:graphic>
          </wp:inline>
        </w:drawing>
      </w:r>
      <w:r w:rsidRPr="006A2196">
        <w:rPr>
          <w:shd w:val="clear" w:color="auto" w:fill="FFFFFF"/>
        </w:rPr>
        <w:t>Rosengard se encuentra en Malmö, la tercer</w:t>
      </w:r>
      <w:r w:rsidR="000919EF">
        <w:rPr>
          <w:shd w:val="clear" w:color="auto" w:fill="FFFFFF"/>
        </w:rPr>
        <w:t xml:space="preserve">a ciudad del país, y tiene </w:t>
      </w:r>
      <w:r w:rsidRPr="006A2196">
        <w:rPr>
          <w:shd w:val="clear" w:color="auto" w:fill="FFFFFF"/>
        </w:rPr>
        <w:t>300.000</w:t>
      </w:r>
      <w:r w:rsidR="000919EF">
        <w:rPr>
          <w:shd w:val="clear" w:color="auto" w:fill="FFFFFF"/>
        </w:rPr>
        <w:t xml:space="preserve"> </w:t>
      </w:r>
      <w:r w:rsidRPr="006A2196">
        <w:rPr>
          <w:shd w:val="clear" w:color="auto" w:fill="FFFFFF"/>
        </w:rPr>
        <w:t>habitantes, muchos de ellos inmigrantes musulmanes de origen liban</w:t>
      </w:r>
      <w:r w:rsidR="000919EF">
        <w:rPr>
          <w:shd w:val="clear" w:color="auto" w:fill="FFFFFF"/>
        </w:rPr>
        <w:t>és, bosnio, iraquí y kosovar (Suecia)</w:t>
      </w:r>
    </w:p>
    <w:p w:rsidR="00EF7E1C" w:rsidRPr="00EF7E1C" w:rsidRDefault="00EF7E1C" w:rsidP="00EF7E1C">
      <w:pPr>
        <w:pStyle w:val="NormalWeb"/>
        <w:shd w:val="clear" w:color="auto" w:fill="FFFFFF"/>
        <w:spacing w:after="0"/>
        <w:jc w:val="both"/>
        <w:textAlignment w:val="baseline"/>
        <w:rPr>
          <w:b/>
        </w:rPr>
      </w:pPr>
      <w:r w:rsidRPr="00EF7E1C">
        <w:rPr>
          <w:b/>
        </w:rPr>
        <w:lastRenderedPageBreak/>
        <w:t xml:space="preserve">- </w:t>
      </w:r>
      <w:r>
        <w:rPr>
          <w:b/>
        </w:rPr>
        <w:t xml:space="preserve">La “tanguedia” europea: entre </w:t>
      </w:r>
      <w:r w:rsidR="00B805CC">
        <w:rPr>
          <w:b/>
        </w:rPr>
        <w:t>“</w:t>
      </w:r>
      <w:r>
        <w:rPr>
          <w:b/>
        </w:rPr>
        <w:t>l</w:t>
      </w:r>
      <w:r w:rsidRPr="00EF7E1C">
        <w:rPr>
          <w:b/>
        </w:rPr>
        <w:t>a vergüenza de haber sido y el dolor de ya no ser</w:t>
      </w:r>
      <w:r w:rsidR="00B805CC">
        <w:rPr>
          <w:b/>
        </w:rPr>
        <w:t>”</w:t>
      </w:r>
    </w:p>
    <w:p w:rsidR="00EF7E1C" w:rsidRPr="00E202FE" w:rsidRDefault="00EF7E1C" w:rsidP="00EF7E1C">
      <w:pPr>
        <w:pStyle w:val="NormalWeb"/>
        <w:shd w:val="clear" w:color="auto" w:fill="FFFFFF"/>
        <w:spacing w:after="0"/>
        <w:jc w:val="both"/>
        <w:textAlignment w:val="baseline"/>
      </w:pPr>
      <w:r>
        <w:t xml:space="preserve">- </w:t>
      </w:r>
      <w:r w:rsidRPr="00400F02">
        <w:rPr>
          <w:u w:val="single"/>
        </w:rPr>
        <w:t>La precariedad mata: el intento de suicidio de Anas K</w:t>
      </w:r>
      <w:r w:rsidRPr="00E202FE">
        <w:t>.</w:t>
      </w:r>
      <w:r>
        <w:t xml:space="preserve"> (El Confidencial - </w:t>
      </w:r>
      <w:r w:rsidRPr="00400F02">
        <w:rPr>
          <w:b/>
        </w:rPr>
        <w:t>23/11/19</w:t>
      </w:r>
      <w:r>
        <w:t>)</w:t>
      </w:r>
    </w:p>
    <w:p w:rsidR="00EF7E1C" w:rsidRPr="00C30700" w:rsidRDefault="00EF7E1C" w:rsidP="00EF7E1C">
      <w:pPr>
        <w:pStyle w:val="NormalWeb"/>
        <w:shd w:val="clear" w:color="auto" w:fill="FFFFFF"/>
        <w:spacing w:after="0"/>
        <w:jc w:val="both"/>
        <w:textAlignment w:val="baseline"/>
        <w:rPr>
          <w:color w:val="FF0000"/>
        </w:rPr>
      </w:pPr>
      <w:r w:rsidRPr="00C30700">
        <w:rPr>
          <w:color w:val="FF0000"/>
        </w:rPr>
        <w:t>La precariedad y la inseguridad son una pesadilla. El intento de suicidio de un estudiante francés ha vuelto a revelar la situación en que viven millones de jóvenes en toda Europa</w:t>
      </w:r>
    </w:p>
    <w:p w:rsidR="00EF7E1C" w:rsidRDefault="00EF7E1C" w:rsidP="00EF7E1C">
      <w:pPr>
        <w:pStyle w:val="NormalWeb"/>
        <w:shd w:val="clear" w:color="auto" w:fill="FFFFFF"/>
        <w:spacing w:after="0"/>
        <w:jc w:val="both"/>
        <w:textAlignment w:val="baseline"/>
      </w:pPr>
      <w:r>
        <w:t>(Por Carlos Sánchez)</w:t>
      </w:r>
    </w:p>
    <w:p w:rsidR="00EF7E1C" w:rsidRPr="00C30700" w:rsidRDefault="00EF7E1C" w:rsidP="00EF7E1C">
      <w:pPr>
        <w:spacing w:line="240" w:lineRule="auto"/>
        <w:jc w:val="both"/>
        <w:textAlignment w:val="baseline"/>
        <w:rPr>
          <w:rFonts w:ascii="Times New Roman" w:hAnsi="Times New Roman" w:cs="Times New Roman"/>
          <w:color w:val="1A1A1A"/>
          <w:sz w:val="24"/>
          <w:szCs w:val="24"/>
          <w:u w:val="single"/>
        </w:rPr>
      </w:pPr>
      <w:r w:rsidRPr="00C30700">
        <w:rPr>
          <w:rFonts w:ascii="Times New Roman" w:hAnsi="Times New Roman" w:cs="Times New Roman"/>
          <w:color w:val="1A1A1A"/>
          <w:sz w:val="24"/>
          <w:szCs w:val="24"/>
          <w:u w:val="single"/>
        </w:rPr>
        <w:t>El pasado ocho de noviembre, en Lyon, un joven estudiante de ciencias políticas, muy activo en el sindicato Solidaires, intentó suicidarse prendiéndose fuego para protestar contra la precariedad en la que viven muchos jóvenes franceses. Anas K., que sufre quemaduras en el 90% de su cuerpo, no eligió al azar el lugar. Lo hizo ante un centro oficial encargado de ofrecer asistencia social a los estudiantes.</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C30700">
        <w:rPr>
          <w:rFonts w:ascii="Times New Roman" w:hAnsi="Times New Roman" w:cs="Times New Roman"/>
          <w:b/>
          <w:color w:val="FF0000"/>
          <w:sz w:val="24"/>
          <w:szCs w:val="24"/>
          <w:u w:val="single"/>
        </w:rPr>
        <w:t>Anas K. (22 años) dijo en su cuenta de Facebook que culpaba a Macron, Hollande, Sarkozy y a l</w:t>
      </w:r>
      <w:r w:rsidR="00B805CC">
        <w:rPr>
          <w:rFonts w:ascii="Times New Roman" w:hAnsi="Times New Roman" w:cs="Times New Roman"/>
          <w:b/>
          <w:color w:val="FF0000"/>
          <w:sz w:val="24"/>
          <w:szCs w:val="24"/>
          <w:u w:val="single"/>
        </w:rPr>
        <w:t>a Unión Europea “</w:t>
      </w:r>
      <w:r w:rsidRPr="00C30700">
        <w:rPr>
          <w:rFonts w:ascii="Times New Roman" w:hAnsi="Times New Roman" w:cs="Times New Roman"/>
          <w:b/>
          <w:color w:val="FF0000"/>
          <w:sz w:val="24"/>
          <w:szCs w:val="24"/>
          <w:u w:val="single"/>
        </w:rPr>
        <w:t>por matarme creando incerti</w:t>
      </w:r>
      <w:r w:rsidR="00B805CC">
        <w:rPr>
          <w:rFonts w:ascii="Times New Roman" w:hAnsi="Times New Roman" w:cs="Times New Roman"/>
          <w:b/>
          <w:color w:val="FF0000"/>
          <w:sz w:val="24"/>
          <w:szCs w:val="24"/>
          <w:u w:val="single"/>
        </w:rPr>
        <w:t>dumbre sobre el futuro de todos”</w:t>
      </w:r>
      <w:r w:rsidRPr="00C30700">
        <w:rPr>
          <w:rFonts w:ascii="Times New Roman" w:hAnsi="Times New Roman" w:cs="Times New Roman"/>
          <w:b/>
          <w:color w:val="FF0000"/>
          <w:sz w:val="24"/>
          <w:szCs w:val="24"/>
          <w:u w:val="single"/>
        </w:rPr>
        <w:t>.</w:t>
      </w:r>
      <w:r w:rsidRPr="00E202FE">
        <w:rPr>
          <w:rFonts w:ascii="Times New Roman" w:hAnsi="Times New Roman" w:cs="Times New Roman"/>
          <w:color w:val="1A1A1A"/>
          <w:sz w:val="24"/>
          <w:szCs w:val="24"/>
        </w:rPr>
        <w:t xml:space="preserve"> También acuso a Le Pen y a los medios por crear miedo en lugar de procurar mejorar el sistema universitario. Recordó, asimismo, que su subvención mensual de 450 euros, que le permitía vivir, había sido revocada porque inició un segundo año de licenciatura por tercera vez.</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E202FE">
        <w:rPr>
          <w:rFonts w:ascii="Times New Roman" w:hAnsi="Times New Roman" w:cs="Times New Roman"/>
          <w:color w:val="1A1A1A"/>
          <w:sz w:val="24"/>
          <w:szCs w:val="24"/>
        </w:rPr>
        <w:t>El joven, ha conocido la prensa francesa, vivió hasta el pasado verano en una habitación de estudi</w:t>
      </w:r>
      <w:r w:rsidR="00B805CC">
        <w:rPr>
          <w:rFonts w:ascii="Times New Roman" w:hAnsi="Times New Roman" w:cs="Times New Roman"/>
          <w:color w:val="1A1A1A"/>
          <w:sz w:val="24"/>
          <w:szCs w:val="24"/>
        </w:rPr>
        <w:t>antes en un edificio insalubre “</w:t>
      </w:r>
      <w:r w:rsidRPr="00E202FE">
        <w:rPr>
          <w:rFonts w:ascii="Times New Roman" w:hAnsi="Times New Roman" w:cs="Times New Roman"/>
          <w:color w:val="1A1A1A"/>
          <w:sz w:val="24"/>
          <w:szCs w:val="24"/>
        </w:rPr>
        <w:t>con cucarachas, chinches y hume</w:t>
      </w:r>
      <w:r w:rsidR="00B805CC">
        <w:rPr>
          <w:rFonts w:ascii="Times New Roman" w:hAnsi="Times New Roman" w:cs="Times New Roman"/>
          <w:color w:val="1A1A1A"/>
          <w:sz w:val="24"/>
          <w:szCs w:val="24"/>
        </w:rPr>
        <w:t>dad”, dijo uno de sus compañeros a “Le Parisien”</w:t>
      </w:r>
      <w:r w:rsidRPr="00E202FE">
        <w:rPr>
          <w:rFonts w:ascii="Times New Roman" w:hAnsi="Times New Roman" w:cs="Times New Roman"/>
          <w:color w:val="1A1A1A"/>
          <w:sz w:val="24"/>
          <w:szCs w:val="24"/>
        </w:rPr>
        <w:t xml:space="preserve">. </w:t>
      </w:r>
      <w:r w:rsidRPr="00C30700">
        <w:rPr>
          <w:rFonts w:ascii="Times New Roman" w:hAnsi="Times New Roman" w:cs="Times New Roman"/>
          <w:color w:val="FF0000"/>
          <w:sz w:val="24"/>
          <w:szCs w:val="24"/>
          <w:u w:val="single"/>
        </w:rPr>
        <w:t>El sindicato de estudiantes ha calculado que la mitad de los universitarios franceses tiene que trabajar y estudiar al mismo tiempo para sobrevivir, ya que el Estado ha recortado las ayudas, haciendo más onerosa la Universidad. Algunos estudios han acreditado que el rendimiento escolar es peor cuando el estudiante tiene que compatibilizar clases y trabajo, normalmente en horarios intempestivos.</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E202FE">
        <w:rPr>
          <w:rFonts w:ascii="Times New Roman" w:hAnsi="Times New Roman" w:cs="Times New Roman"/>
          <w:color w:val="1A1A1A"/>
          <w:sz w:val="24"/>
          <w:szCs w:val="24"/>
        </w:rPr>
        <w:t>Tras el acto, los estudiantes se han movilizado en las redes y h</w:t>
      </w:r>
      <w:r w:rsidR="00B805CC">
        <w:rPr>
          <w:rFonts w:ascii="Times New Roman" w:hAnsi="Times New Roman" w:cs="Times New Roman"/>
          <w:color w:val="1A1A1A"/>
          <w:sz w:val="24"/>
          <w:szCs w:val="24"/>
        </w:rPr>
        <w:t>an creado el “hashtag”</w:t>
      </w:r>
      <w:r w:rsidRPr="00E202FE">
        <w:rPr>
          <w:rFonts w:ascii="Times New Roman" w:hAnsi="Times New Roman" w:cs="Times New Roman"/>
          <w:color w:val="1A1A1A"/>
          <w:sz w:val="24"/>
          <w:szCs w:val="24"/>
        </w:rPr>
        <w:t xml:space="preserve"> #</w:t>
      </w:r>
      <w:r w:rsidRPr="00C30700">
        <w:rPr>
          <w:rFonts w:ascii="Times New Roman" w:hAnsi="Times New Roman" w:cs="Times New Roman"/>
          <w:b/>
          <w:color w:val="FF0000"/>
          <w:sz w:val="24"/>
          <w:szCs w:val="24"/>
        </w:rPr>
        <w:t>LaPrecariteTue (la precariedad mata)</w:t>
      </w:r>
      <w:r w:rsidRPr="00E202FE">
        <w:rPr>
          <w:rFonts w:ascii="Times New Roman" w:hAnsi="Times New Roman" w:cs="Times New Roman"/>
          <w:color w:val="1A1A1A"/>
          <w:sz w:val="24"/>
          <w:szCs w:val="24"/>
        </w:rPr>
        <w:t xml:space="preserve"> que desembocará en una huelga general el 5 de diciembre en todo el país, y que coincidirá con la convocada por los sindicatos contra la reforma de las pensiones de Macron. Hace unos días, y en el marco de las protestas, decenas de estudiantes irrumpieron en la Universidad de Lille en un acto en el que participaba el expresidente Hollande rompiendo públicamente su último libro.</w:t>
      </w:r>
    </w:p>
    <w:p w:rsidR="00EF7E1C" w:rsidRPr="00C30700" w:rsidRDefault="00EF7E1C" w:rsidP="00EF7E1C">
      <w:pPr>
        <w:spacing w:line="240" w:lineRule="auto"/>
        <w:jc w:val="both"/>
        <w:textAlignment w:val="baseline"/>
        <w:rPr>
          <w:rFonts w:ascii="Times New Roman" w:hAnsi="Times New Roman" w:cs="Times New Roman"/>
          <w:color w:val="1A1A1A"/>
          <w:sz w:val="24"/>
          <w:szCs w:val="24"/>
          <w:u w:val="single"/>
        </w:rPr>
      </w:pPr>
      <w:r w:rsidRPr="00C30700">
        <w:rPr>
          <w:rFonts w:ascii="Times New Roman" w:hAnsi="Times New Roman" w:cs="Times New Roman"/>
          <w:color w:val="1A1A1A"/>
          <w:sz w:val="24"/>
          <w:szCs w:val="24"/>
          <w:u w:val="single"/>
        </w:rPr>
        <w:t>El Ministerio de Educación Superior ha recordado, sin embargo, que el Estado gasta 5.700 millones de euros al año en asist</w:t>
      </w:r>
      <w:r w:rsidR="00B805CC">
        <w:rPr>
          <w:rFonts w:ascii="Times New Roman" w:hAnsi="Times New Roman" w:cs="Times New Roman"/>
          <w:color w:val="1A1A1A"/>
          <w:sz w:val="24"/>
          <w:szCs w:val="24"/>
          <w:u w:val="single"/>
        </w:rPr>
        <w:t>encia social para estudiantes, “</w:t>
      </w:r>
      <w:r w:rsidRPr="00C30700">
        <w:rPr>
          <w:rFonts w:ascii="Times New Roman" w:hAnsi="Times New Roman" w:cs="Times New Roman"/>
          <w:color w:val="1A1A1A"/>
          <w:sz w:val="24"/>
          <w:szCs w:val="24"/>
          <w:u w:val="single"/>
        </w:rPr>
        <w:t>más que el pr</w:t>
      </w:r>
      <w:r w:rsidR="00B805CC">
        <w:rPr>
          <w:rFonts w:ascii="Times New Roman" w:hAnsi="Times New Roman" w:cs="Times New Roman"/>
          <w:color w:val="1A1A1A"/>
          <w:sz w:val="24"/>
          <w:szCs w:val="24"/>
          <w:u w:val="single"/>
        </w:rPr>
        <w:t>esupuesto de Asuntos Exteriores”</w:t>
      </w:r>
      <w:r w:rsidRPr="00C30700">
        <w:rPr>
          <w:rFonts w:ascii="Times New Roman" w:hAnsi="Times New Roman" w:cs="Times New Roman"/>
          <w:color w:val="1A1A1A"/>
          <w:sz w:val="24"/>
          <w:szCs w:val="24"/>
          <w:u w:val="single"/>
        </w:rPr>
        <w:t xml:space="preserve"> y que el 40% de los estudiantes universitarios, más de 700.000, reciben ayudas sociales por dificultades económicas que no les permiten emprender o continuar sus estudios superiores.</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C30700">
        <w:rPr>
          <w:rFonts w:ascii="Times New Roman" w:hAnsi="Times New Roman" w:cs="Times New Roman"/>
          <w:color w:val="1A1A1A"/>
          <w:sz w:val="24"/>
          <w:szCs w:val="24"/>
          <w:u w:val="single"/>
        </w:rPr>
        <w:t>Las ayudas, sin embargo, son insuficientes (234 euros de media) y no bastan para financiar una residencia (una habitación o un estudio de menos de 20 metros cuadrados) y, al mismo tiempo, pagarse la comida o vivir con decencia</w:t>
      </w:r>
      <w:r w:rsidRPr="00E202FE">
        <w:rPr>
          <w:rFonts w:ascii="Times New Roman" w:hAnsi="Times New Roman" w:cs="Times New Roman"/>
          <w:color w:val="1A1A1A"/>
          <w:sz w:val="24"/>
          <w:szCs w:val="24"/>
        </w:rPr>
        <w:t>. Una habitación cuesta a un estudiante en promedio 80 euros al mes y un estudio equipado de 18 m2, entre 150 y 200 euros al mes, según el centro nacional para ayudas estudiantiles, Crous, el lugar, precisamente, en el que Anas K. intento suicidarse.</w:t>
      </w:r>
    </w:p>
    <w:p w:rsidR="00EF7E1C" w:rsidRPr="00C30700" w:rsidRDefault="00EF7E1C" w:rsidP="00EF7E1C">
      <w:pPr>
        <w:spacing w:line="240" w:lineRule="auto"/>
        <w:jc w:val="both"/>
        <w:textAlignment w:val="baseline"/>
        <w:rPr>
          <w:rFonts w:ascii="Times New Roman" w:hAnsi="Times New Roman" w:cs="Times New Roman"/>
          <w:color w:val="FF0000"/>
          <w:sz w:val="24"/>
          <w:szCs w:val="24"/>
          <w:u w:val="single"/>
        </w:rPr>
      </w:pPr>
      <w:r w:rsidRPr="00C30700">
        <w:rPr>
          <w:rFonts w:ascii="Times New Roman" w:hAnsi="Times New Roman" w:cs="Times New Roman"/>
          <w:color w:val="FF0000"/>
          <w:sz w:val="24"/>
          <w:szCs w:val="24"/>
          <w:u w:val="single"/>
        </w:rPr>
        <w:t>La precariedad no es un a</w:t>
      </w:r>
      <w:r w:rsidR="00B805CC">
        <w:rPr>
          <w:rFonts w:ascii="Times New Roman" w:hAnsi="Times New Roman" w:cs="Times New Roman"/>
          <w:color w:val="FF0000"/>
          <w:sz w:val="24"/>
          <w:szCs w:val="24"/>
          <w:u w:val="single"/>
        </w:rPr>
        <w:t xml:space="preserve">sunto nuevo. Como ha recordado </w:t>
      </w:r>
      <w:r w:rsidRPr="00C30700">
        <w:rPr>
          <w:rFonts w:ascii="Times New Roman" w:hAnsi="Times New Roman" w:cs="Times New Roman"/>
          <w:color w:val="FF0000"/>
          <w:sz w:val="24"/>
          <w:szCs w:val="24"/>
          <w:u w:val="single"/>
        </w:rPr>
        <w:t>el profesor Rafael Muñoz de Bustillo</w:t>
      </w:r>
      <w:r w:rsidR="00B805CC">
        <w:rPr>
          <w:rFonts w:ascii="Times New Roman" w:hAnsi="Times New Roman" w:cs="Times New Roman"/>
          <w:color w:val="FF0000"/>
          <w:sz w:val="24"/>
          <w:szCs w:val="24"/>
          <w:u w:val="single"/>
        </w:rPr>
        <w:t xml:space="preserve"> (</w:t>
      </w:r>
      <w:r w:rsidR="00B805CC" w:rsidRPr="00C30700">
        <w:rPr>
          <w:rFonts w:ascii="Times New Roman" w:hAnsi="Times New Roman" w:cs="Times New Roman"/>
          <w:color w:val="FF0000"/>
          <w:sz w:val="24"/>
          <w:szCs w:val="24"/>
          <w:u w:val="single"/>
        </w:rPr>
        <w:t>*</w:t>
      </w:r>
      <w:r w:rsidR="00B805CC">
        <w:rPr>
          <w:rFonts w:ascii="Times New Roman" w:hAnsi="Times New Roman" w:cs="Times New Roman"/>
          <w:color w:val="FF0000"/>
          <w:sz w:val="24"/>
          <w:szCs w:val="24"/>
          <w:u w:val="single"/>
        </w:rPr>
        <w:t>)</w:t>
      </w:r>
      <w:r w:rsidRPr="00C30700">
        <w:rPr>
          <w:rFonts w:ascii="Times New Roman" w:hAnsi="Times New Roman" w:cs="Times New Roman"/>
          <w:color w:val="FF0000"/>
          <w:sz w:val="24"/>
          <w:szCs w:val="24"/>
          <w:u w:val="single"/>
        </w:rPr>
        <w:t xml:space="preserve">, ya Engels, en 1845, decía que “mucho más desmoralizador que la pobreza es el </w:t>
      </w:r>
      <w:r w:rsidRPr="00C30700">
        <w:rPr>
          <w:rFonts w:ascii="Times New Roman" w:hAnsi="Times New Roman" w:cs="Times New Roman"/>
          <w:color w:val="FF0000"/>
          <w:sz w:val="24"/>
          <w:szCs w:val="24"/>
          <w:u w:val="single"/>
        </w:rPr>
        <w:lastRenderedPageBreak/>
        <w:t>efecto que tiene sobre los obreros ingleses la incertidumbre sobre su situación vital”. Mientras los campesinos en Alemania eran pobres y a menudo sufrían estrecheces, decía el pensador germano, su situación era mejor ya que, al menos, no dependían del azar, sino de su trabajo.</w:t>
      </w:r>
    </w:p>
    <w:p w:rsidR="00EF7E1C" w:rsidRPr="00C30700" w:rsidRDefault="00EF7E1C" w:rsidP="00EF7E1C">
      <w:pPr>
        <w:spacing w:line="240" w:lineRule="auto"/>
        <w:jc w:val="both"/>
        <w:textAlignment w:val="baseline"/>
        <w:rPr>
          <w:rFonts w:ascii="Times New Roman" w:hAnsi="Times New Roman" w:cs="Times New Roman"/>
          <w:b/>
          <w:color w:val="FF0000"/>
          <w:sz w:val="24"/>
          <w:szCs w:val="24"/>
          <w:u w:val="single"/>
        </w:rPr>
      </w:pPr>
      <w:r w:rsidRPr="00C30700">
        <w:rPr>
          <w:rFonts w:ascii="Times New Roman" w:hAnsi="Times New Roman" w:cs="Times New Roman"/>
          <w:b/>
          <w:color w:val="FF0000"/>
          <w:sz w:val="24"/>
          <w:szCs w:val="24"/>
          <w:u w:val="single"/>
        </w:rPr>
        <w:t>La incertidumbre y la precariedad, que no solo se circunscriben al ámbito laboral, son las dos caras de una misma moneda</w:t>
      </w:r>
      <w:r w:rsidRPr="00E202FE">
        <w:rPr>
          <w:rFonts w:ascii="Times New Roman" w:hAnsi="Times New Roman" w:cs="Times New Roman"/>
          <w:color w:val="1A1A1A"/>
          <w:sz w:val="24"/>
          <w:szCs w:val="24"/>
        </w:rPr>
        <w:t xml:space="preserve">. </w:t>
      </w:r>
      <w:r w:rsidRPr="00C30700">
        <w:rPr>
          <w:rFonts w:ascii="Times New Roman" w:hAnsi="Times New Roman" w:cs="Times New Roman"/>
          <w:color w:val="1A1A1A"/>
          <w:sz w:val="24"/>
          <w:szCs w:val="24"/>
          <w:u w:val="single"/>
        </w:rPr>
        <w:t>Y el caso de Anas K. no es más que una señal de que algo está fallando.</w:t>
      </w:r>
      <w:r w:rsidRPr="00E202FE">
        <w:rPr>
          <w:rFonts w:ascii="Times New Roman" w:hAnsi="Times New Roman" w:cs="Times New Roman"/>
          <w:color w:val="1A1A1A"/>
          <w:sz w:val="24"/>
          <w:szCs w:val="24"/>
        </w:rPr>
        <w:t xml:space="preserve"> Como han puesto de relieve algunos estudiosos, el problema de fondo no es tanto que Francia no destine suficientes recursos a la asistencia social de los estudiantes, o que se despreocupe de las universidades. Al contrario, Francia es uno de los países que más gastan, pero </w:t>
      </w:r>
      <w:r w:rsidRPr="00C30700">
        <w:rPr>
          <w:rFonts w:ascii="Times New Roman" w:hAnsi="Times New Roman" w:cs="Times New Roman"/>
          <w:b/>
          <w:color w:val="FF0000"/>
          <w:sz w:val="24"/>
          <w:szCs w:val="24"/>
          <w:u w:val="single"/>
        </w:rPr>
        <w:t>el problema es la desbordante sensación de que la universidad ha segregado entre quienes pueden pagarse una buena licenciatura (en centros privados) y entre quienes no tienen más remedio que acudir a centros públicos, dotados de menos recursos y, por ende, menos útiles para encontrar un empleo.</w:t>
      </w:r>
    </w:p>
    <w:p w:rsidR="00EF7E1C" w:rsidRPr="00C30700" w:rsidRDefault="00EF7E1C" w:rsidP="00EF7E1C">
      <w:pPr>
        <w:spacing w:line="240" w:lineRule="auto"/>
        <w:jc w:val="both"/>
        <w:textAlignment w:val="baseline"/>
        <w:rPr>
          <w:rFonts w:ascii="Times New Roman" w:hAnsi="Times New Roman" w:cs="Times New Roman"/>
          <w:b/>
          <w:color w:val="FF0000"/>
          <w:sz w:val="24"/>
          <w:szCs w:val="24"/>
          <w:u w:val="single"/>
        </w:rPr>
      </w:pPr>
      <w:r w:rsidRPr="00C30700">
        <w:rPr>
          <w:rFonts w:ascii="Times New Roman" w:hAnsi="Times New Roman" w:cs="Times New Roman"/>
          <w:b/>
          <w:color w:val="FF0000"/>
          <w:sz w:val="24"/>
          <w:szCs w:val="24"/>
          <w:u w:val="single"/>
        </w:rPr>
        <w:t>La cualificación profesional, por lo tanto, ya no garantiza un empleo decente, sino que depende de las redes sociales que cada familia sea capaz de tejer en un mercado laboral cada vez más fragmentado y estratificado por clases. Y las más pobres, en este sentido, tienen todas las de perder.</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E202FE">
        <w:rPr>
          <w:rFonts w:ascii="Times New Roman" w:hAnsi="Times New Roman" w:cs="Times New Roman"/>
          <w:color w:val="1A1A1A"/>
          <w:sz w:val="24"/>
          <w:szCs w:val="24"/>
        </w:rPr>
        <w:t>Francia no es una isla en el descontento. En países como España aún no ha estallado una revuelta similar, pero ya existen condiciones objetivas que la hacen posible. Y es probable que, cuando se produzca, la historia tiende a repetirse, el sistema político habrá llegado, de nuevo, demasiado tarde.</w:t>
      </w:r>
    </w:p>
    <w:p w:rsidR="00EF7E1C" w:rsidRPr="00C30700" w:rsidRDefault="00EF7E1C" w:rsidP="00EF7E1C">
      <w:pPr>
        <w:spacing w:line="240" w:lineRule="auto"/>
        <w:jc w:val="both"/>
        <w:textAlignment w:val="baseline"/>
        <w:rPr>
          <w:rFonts w:ascii="Times New Roman" w:hAnsi="Times New Roman" w:cs="Times New Roman"/>
          <w:b/>
          <w:color w:val="FF0000"/>
          <w:sz w:val="24"/>
          <w:szCs w:val="24"/>
          <w:u w:val="single"/>
        </w:rPr>
      </w:pPr>
      <w:r w:rsidRPr="00C30700">
        <w:rPr>
          <w:rFonts w:ascii="Times New Roman" w:hAnsi="Times New Roman" w:cs="Times New Roman"/>
          <w:b/>
          <w:color w:val="FF0000"/>
          <w:sz w:val="24"/>
          <w:szCs w:val="24"/>
          <w:u w:val="single"/>
        </w:rPr>
        <w:t>La precariedad, de hecho, ya no se explica por la crisis, que ha sido el discurso que durante años se empleó para justificar la temporalidad, sino que tiene un carácter permanente, estructural. La generación mejor preparada, como se repite de forma tópica, es, a la vez, la que sufre más angustia por un futuro incierto que impide su emancipación.</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C30700">
        <w:rPr>
          <w:rFonts w:ascii="Times New Roman" w:hAnsi="Times New Roman" w:cs="Times New Roman"/>
          <w:color w:val="1A1A1A"/>
          <w:sz w:val="24"/>
          <w:szCs w:val="24"/>
          <w:u w:val="single"/>
        </w:rPr>
        <w:t>Nada indica que el futuro será mejor para los que hoy estudian, y que, afortunadamente, son muchos.</w:t>
      </w:r>
      <w:r w:rsidRPr="00E202FE">
        <w:rPr>
          <w:rFonts w:ascii="Times New Roman" w:hAnsi="Times New Roman" w:cs="Times New Roman"/>
          <w:color w:val="1A1A1A"/>
          <w:sz w:val="24"/>
          <w:szCs w:val="24"/>
        </w:rPr>
        <w:t xml:space="preserve"> Nada menos que el 88% de la población de 16 a 19 años y el 58% de la población de 20 a 24 años </w:t>
      </w:r>
      <w:r w:rsidR="00C13914">
        <w:rPr>
          <w:rFonts w:ascii="Times New Roman" w:hAnsi="Times New Roman" w:cs="Times New Roman"/>
          <w:color w:val="1A1A1A"/>
          <w:sz w:val="24"/>
          <w:szCs w:val="24"/>
        </w:rPr>
        <w:t>cursaban</w:t>
      </w:r>
      <w:r w:rsidRPr="00E202FE">
        <w:rPr>
          <w:rFonts w:ascii="Times New Roman" w:hAnsi="Times New Roman" w:cs="Times New Roman"/>
          <w:color w:val="1A1A1A"/>
          <w:sz w:val="24"/>
          <w:szCs w:val="24"/>
        </w:rPr>
        <w:t xml:space="preserve"> estudios al cierre de 2017, según un informe de CCOO, porcentajes muy superiores a los que había una década antes.</w:t>
      </w:r>
    </w:p>
    <w:p w:rsidR="00EF7E1C" w:rsidRPr="002E6874" w:rsidRDefault="00EF7E1C" w:rsidP="00EF7E1C">
      <w:pPr>
        <w:spacing w:line="240" w:lineRule="auto"/>
        <w:jc w:val="both"/>
        <w:textAlignment w:val="baseline"/>
        <w:rPr>
          <w:rFonts w:ascii="Times New Roman" w:hAnsi="Times New Roman" w:cs="Times New Roman"/>
          <w:b/>
          <w:color w:val="FF0000"/>
          <w:sz w:val="24"/>
          <w:szCs w:val="24"/>
          <w:u w:val="single"/>
        </w:rPr>
      </w:pPr>
      <w:r w:rsidRPr="00C30700">
        <w:rPr>
          <w:rFonts w:ascii="Times New Roman" w:hAnsi="Times New Roman" w:cs="Times New Roman"/>
          <w:b/>
          <w:color w:val="FF0000"/>
          <w:sz w:val="24"/>
          <w:szCs w:val="24"/>
          <w:u w:val="single"/>
        </w:rPr>
        <w:t>Algunos datos, sin embargo, dan cuenta de la situación de precariedad e incertidumbre -una mezcla que puede llegar a ser explosiva- en que viven muchos jóvenes que ven cómo los ascensores sociales, esos que procuraban la igualdad de oportunidades, se han averiado. Entre otras cosas, porque los estados de bienestar nacidos desde 1945 son incompatibles con la competencia de los países emergentes y con la elusión fiscal en la que vive la nueva economía digital, cuyo rendimiento no pasa por las haciendas nacionales.</w:t>
      </w:r>
    </w:p>
    <w:p w:rsidR="00EF7E1C" w:rsidRPr="00E202FE" w:rsidRDefault="00EF7E1C" w:rsidP="00EF7E1C">
      <w:pPr>
        <w:spacing w:line="240" w:lineRule="auto"/>
        <w:jc w:val="both"/>
        <w:textAlignment w:val="baseline"/>
        <w:rPr>
          <w:rFonts w:ascii="Times New Roman" w:hAnsi="Times New Roman" w:cs="Times New Roman"/>
          <w:color w:val="1A1A1A"/>
          <w:sz w:val="24"/>
          <w:szCs w:val="24"/>
        </w:rPr>
      </w:pPr>
      <w:r w:rsidRPr="00E202FE">
        <w:rPr>
          <w:rFonts w:ascii="Times New Roman" w:hAnsi="Times New Roman" w:cs="Times New Roman"/>
          <w:color w:val="1A1A1A"/>
          <w:sz w:val="24"/>
          <w:szCs w:val="24"/>
        </w:rPr>
        <w:t>La Agencia Tributaria acaba</w:t>
      </w:r>
      <w:r w:rsidR="00DB7F4B">
        <w:rPr>
          <w:rFonts w:ascii="Times New Roman" w:hAnsi="Times New Roman" w:cs="Times New Roman"/>
          <w:color w:val="1A1A1A"/>
          <w:sz w:val="24"/>
          <w:szCs w:val="24"/>
        </w:rPr>
        <w:t xml:space="preserve"> de publicar que la renta media</w:t>
      </w:r>
      <w:r w:rsidRPr="00E202FE">
        <w:rPr>
          <w:rFonts w:ascii="Times New Roman" w:hAnsi="Times New Roman" w:cs="Times New Roman"/>
          <w:color w:val="1A1A1A"/>
          <w:sz w:val="24"/>
          <w:szCs w:val="24"/>
        </w:rPr>
        <w:t xml:space="preserve"> anual de los jóvenes asalariados entre 18 y 25 años se situó el año pasado en 6.881 euros. Pero es que en el caso de quienes tienen entre 26 y 35 años (ya más integrados en el mercado laboral) apenas alcanza los 15.731 euros al año. Ambos colectivos suman algo más de seis millones de asalariados, casi la tercera parte de la fuerza laboral. Lo llamativo no es sólo la cifra, sino que es, incluso, inferior a la renta media de los mayores de 65 años (16.422 euros).</w:t>
      </w:r>
    </w:p>
    <w:p w:rsidR="00EF7E1C" w:rsidRPr="00F15066" w:rsidRDefault="00EF7E1C" w:rsidP="00EF7E1C">
      <w:pPr>
        <w:spacing w:line="240" w:lineRule="auto"/>
        <w:jc w:val="both"/>
        <w:textAlignment w:val="baseline"/>
        <w:rPr>
          <w:rFonts w:ascii="Times New Roman" w:hAnsi="Times New Roman" w:cs="Times New Roman"/>
          <w:color w:val="1A1A1A"/>
          <w:sz w:val="24"/>
          <w:szCs w:val="24"/>
          <w:u w:val="single"/>
        </w:rPr>
      </w:pPr>
      <w:r w:rsidRPr="00F15066">
        <w:rPr>
          <w:rFonts w:ascii="Times New Roman" w:hAnsi="Times New Roman" w:cs="Times New Roman"/>
          <w:color w:val="1A1A1A"/>
          <w:sz w:val="24"/>
          <w:szCs w:val="24"/>
          <w:u w:val="single"/>
        </w:rPr>
        <w:lastRenderedPageBreak/>
        <w:t>Esta precariedad salarial, que limita la autonomía del individuo y los hace más vulnerables ante una ralentización del crecimiento, coincide, además, con otra característica muy acendrada en el mercado laboral español, en el que la temporalidad es el deporte nacional.</w:t>
      </w:r>
    </w:p>
    <w:p w:rsidR="002E6874" w:rsidRDefault="00EF7E1C" w:rsidP="00EF7E1C">
      <w:pPr>
        <w:spacing w:line="240" w:lineRule="auto"/>
        <w:jc w:val="both"/>
        <w:textAlignment w:val="baseline"/>
        <w:rPr>
          <w:rFonts w:ascii="Times New Roman" w:hAnsi="Times New Roman" w:cs="Times New Roman"/>
          <w:color w:val="1A1A1A"/>
          <w:sz w:val="24"/>
          <w:szCs w:val="24"/>
        </w:rPr>
      </w:pPr>
      <w:r w:rsidRPr="00F15066">
        <w:rPr>
          <w:rFonts w:ascii="Times New Roman" w:hAnsi="Times New Roman" w:cs="Times New Roman"/>
          <w:color w:val="1A1A1A"/>
          <w:sz w:val="24"/>
          <w:szCs w:val="24"/>
          <w:u w:val="single"/>
        </w:rPr>
        <w:t>Un estudio del Ministerio de Trabajo recordaba que la tasa de temporalidad entre los más jóvenes alcanza el 71%, pero es que aunque se amplíe hasta los 29 años, nada menos que el 56% vive con la incertidumbre de si su contrato será renovado por el patrón.</w:t>
      </w:r>
      <w:r w:rsidR="002E6874">
        <w:rPr>
          <w:rFonts w:ascii="Times New Roman" w:hAnsi="Times New Roman" w:cs="Times New Roman"/>
          <w:color w:val="1A1A1A"/>
          <w:sz w:val="24"/>
          <w:szCs w:val="24"/>
        </w:rPr>
        <w:t xml:space="preserve"> </w:t>
      </w:r>
    </w:p>
    <w:p w:rsidR="00EF7E1C" w:rsidRPr="002E6874" w:rsidRDefault="00EF7E1C" w:rsidP="00EF7E1C">
      <w:pPr>
        <w:spacing w:line="240" w:lineRule="auto"/>
        <w:jc w:val="both"/>
        <w:textAlignment w:val="baseline"/>
        <w:rPr>
          <w:rFonts w:ascii="Times New Roman" w:hAnsi="Times New Roman" w:cs="Times New Roman"/>
          <w:color w:val="1A1A1A"/>
          <w:sz w:val="24"/>
          <w:szCs w:val="24"/>
          <w:u w:val="single"/>
        </w:rPr>
      </w:pPr>
      <w:r w:rsidRPr="00E202FE">
        <w:rPr>
          <w:rFonts w:ascii="Times New Roman" w:hAnsi="Times New Roman" w:cs="Times New Roman"/>
          <w:color w:val="1A1A1A"/>
          <w:sz w:val="24"/>
          <w:szCs w:val="24"/>
        </w:rPr>
        <w:t>Un problema que se convierte en una tragedia en un país en el que las migraciones interiores, de campo a la ciudad, han vuelto a resurgir con fuerza a la luz del despoblamiento que sufre gran parte del país, lo que obliga a los jóvenes (estudiantes o asalariados) a trasladarse (un auténtico éxodo) a las grandes urbes en condiciones extremadamente precarias.</w:t>
      </w:r>
    </w:p>
    <w:p w:rsidR="00EF7E1C" w:rsidRPr="002E6874" w:rsidRDefault="00EF7E1C" w:rsidP="00EF7E1C">
      <w:pPr>
        <w:spacing w:line="240" w:lineRule="auto"/>
        <w:jc w:val="both"/>
        <w:textAlignment w:val="baseline"/>
        <w:rPr>
          <w:rFonts w:ascii="Times New Roman" w:hAnsi="Times New Roman" w:cs="Times New Roman"/>
          <w:color w:val="1A1A1A"/>
          <w:sz w:val="24"/>
          <w:szCs w:val="24"/>
          <w:u w:val="single"/>
        </w:rPr>
      </w:pPr>
      <w:r w:rsidRPr="00F15066">
        <w:rPr>
          <w:rFonts w:ascii="Times New Roman" w:hAnsi="Times New Roman" w:cs="Times New Roman"/>
          <w:color w:val="1A1A1A"/>
          <w:sz w:val="24"/>
          <w:szCs w:val="24"/>
          <w:u w:val="single"/>
        </w:rPr>
        <w:t>Es más, como admitía el propio Gobierno, la tasa de temporalidad involuntaria de los jóvenes en España es más del doble de la media de la Unión Europea.</w:t>
      </w:r>
      <w:r w:rsidR="002E6874">
        <w:rPr>
          <w:rFonts w:ascii="Times New Roman" w:hAnsi="Times New Roman" w:cs="Times New Roman"/>
          <w:color w:val="1A1A1A"/>
          <w:sz w:val="24"/>
          <w:szCs w:val="24"/>
        </w:rPr>
        <w:t xml:space="preserve"> </w:t>
      </w:r>
      <w:r w:rsidRPr="00E202FE">
        <w:rPr>
          <w:rFonts w:ascii="Times New Roman" w:hAnsi="Times New Roman" w:cs="Times New Roman"/>
          <w:color w:val="1A1A1A"/>
          <w:sz w:val="24"/>
          <w:szCs w:val="24"/>
        </w:rPr>
        <w:t>Se trata, por lo tanto, de un mal español al que nadie es capaz de poner coto. No está claro si habrá que esperar a alguna tragedia para tomar cartas en el asunto.</w:t>
      </w:r>
    </w:p>
    <w:p w:rsidR="00EF7E1C" w:rsidRPr="00CD593B" w:rsidRDefault="00EF7E1C" w:rsidP="00EF7E1C">
      <w:pPr>
        <w:spacing w:line="240" w:lineRule="auto"/>
        <w:jc w:val="both"/>
        <w:textAlignment w:val="baseline"/>
        <w:rPr>
          <w:rFonts w:ascii="Times New Roman" w:hAnsi="Times New Roman" w:cs="Times New Roman"/>
          <w:color w:val="1A1A1A"/>
          <w:sz w:val="20"/>
          <w:szCs w:val="20"/>
        </w:rPr>
      </w:pPr>
      <w:r w:rsidRPr="00CD593B">
        <w:rPr>
          <w:rFonts w:ascii="Times New Roman" w:hAnsi="Times New Roman" w:cs="Times New Roman"/>
          <w:sz w:val="20"/>
          <w:szCs w:val="20"/>
        </w:rPr>
        <w:t>(</w:t>
      </w:r>
      <w:r w:rsidR="00B805CC" w:rsidRPr="00CD593B">
        <w:rPr>
          <w:rFonts w:ascii="Times New Roman" w:hAnsi="Times New Roman" w:cs="Times New Roman"/>
          <w:sz w:val="20"/>
          <w:szCs w:val="20"/>
        </w:rPr>
        <w:t xml:space="preserve">*) </w:t>
      </w:r>
      <w:r w:rsidRPr="00CD593B">
        <w:rPr>
          <w:rFonts w:ascii="Times New Roman" w:hAnsi="Times New Roman" w:cs="Times New Roman"/>
          <w:color w:val="1A1A1A"/>
          <w:sz w:val="20"/>
          <w:szCs w:val="20"/>
        </w:rPr>
        <w:t>Rafael Muñoz de Bustillo. Mitos y realidades del Estado de bienestar. Alianza Edito</w:t>
      </w:r>
      <w:r w:rsidR="00B805CC" w:rsidRPr="00CD593B">
        <w:rPr>
          <w:rFonts w:ascii="Times New Roman" w:hAnsi="Times New Roman" w:cs="Times New Roman"/>
          <w:color w:val="1A1A1A"/>
          <w:sz w:val="20"/>
          <w:szCs w:val="20"/>
        </w:rPr>
        <w:t>rial 2019</w:t>
      </w:r>
    </w:p>
    <w:p w:rsidR="00EB4A2A" w:rsidRPr="00DB1928" w:rsidRDefault="00EB4A2A" w:rsidP="00EB4A2A">
      <w:pPr>
        <w:pStyle w:val="NormalWeb"/>
        <w:shd w:val="clear" w:color="auto" w:fill="FFFFFF"/>
        <w:spacing w:after="0"/>
        <w:jc w:val="both"/>
        <w:textAlignment w:val="baseline"/>
        <w:rPr>
          <w:b/>
        </w:rPr>
      </w:pPr>
      <w:r>
        <w:rPr>
          <w:b/>
        </w:rPr>
        <w:t>¿Dónde estaban los gobernantes mientras se levantaban los muros de la vergüenza</w:t>
      </w:r>
      <w:r w:rsidRPr="00DB1928">
        <w:rPr>
          <w:b/>
        </w:rPr>
        <w:t>?</w:t>
      </w:r>
    </w:p>
    <w:p w:rsidR="00EB4A2A" w:rsidRDefault="00EB4A2A" w:rsidP="00EB4A2A">
      <w:pPr>
        <w:pStyle w:val="NormalWeb"/>
        <w:shd w:val="clear" w:color="auto" w:fill="FFFFFF"/>
        <w:spacing w:after="0"/>
        <w:jc w:val="both"/>
        <w:textAlignment w:val="baseline"/>
      </w:pPr>
      <w:r>
        <w:t xml:space="preserve">A todos estos burócratas de plastilina, a todos estos pigmeos políticos, que se autoproclaman líderes de los países miembro de la Unión Europea les pregunto: ¿dónde estaban todos ustedes cuando Europa se desindustrializaba, consecuencia del papel que ustedes mismos le asignaron en el proceso de globalización? ¿dónde estaban todos ustedes cuando se formó la burbuja anterior a la crisis del año 2008? ¿dónde estaban todos ustedes cuando el bienestar de los jóvenes, día tras día, empeoraba? ¿conocen la evolución de la renta y riqueza de las familias jóvenes? ¿dónde estaban todos ustedes cuando desahuciaban a miles de ciudadanos que no podían pagar sus viviendas? ¿dónde estaban todos ustedes cuando los mejores estudiantes universitarios de su país tuvieron que abandonarlo por falta de expectativas? ¿dónde estaban ustedes cuando las élites económicas y políticas expoliaban los recursos públicos? ¿han hecho algo frente al deterioro brutal de la sanidad, </w:t>
      </w:r>
      <w:r w:rsidR="001B0DFC">
        <w:t xml:space="preserve">la </w:t>
      </w:r>
      <w:r>
        <w:t>educación, y demás servicios públicos? ¿dónde estaban ustedes mientras la desigualdad y</w:t>
      </w:r>
      <w:r w:rsidR="001B0DFC">
        <w:t xml:space="preserve"> la</w:t>
      </w:r>
      <w:r>
        <w:t xml:space="preserve"> pobreza se extendían como una mancha de aceite por la geografía de su país? ¿dónde</w:t>
      </w:r>
      <w:r w:rsidR="001B0DFC">
        <w:t xml:space="preserve"> estaban ustedes cuando la banca norteamericana, bajo una financie</w:t>
      </w:r>
      <w:r>
        <w:t>rización extrema, infectó el mercado de su país hasta contagiar el sida de la crisis de las hipotecas subprime? ¿dónde están ustedes ahora</w:t>
      </w:r>
      <w:r w:rsidR="001B0DFC">
        <w:t>,</w:t>
      </w:r>
      <w:r>
        <w:t xml:space="preserve"> mientras su país atraviesa una profunda crisis moral, política, social y económica?</w:t>
      </w:r>
    </w:p>
    <w:p w:rsidR="00EB4A2A" w:rsidRDefault="00EB4A2A" w:rsidP="00EB4A2A">
      <w:pPr>
        <w:pStyle w:val="NormalWeb"/>
        <w:shd w:val="clear" w:color="auto" w:fill="FFFFFF"/>
        <w:spacing w:after="0"/>
        <w:jc w:val="both"/>
        <w:textAlignment w:val="baseline"/>
      </w:pPr>
      <w:r>
        <w:t xml:space="preserve">Frente a tantos muros (cínicamente) levantados, visibles o invisibles, pero evidentes, innegables, vergonzantes, y humillantes… ¿harán algo racional, provechoso, justo y necesario, o continuaran engañando a la parte más débil de la sociedad, extrayendo rentas a la ciudadanía, sometiéndola a la represión financiera, socializando las pérdidas y privatizando las ganancias, permitiendo que el ganador se lleve todo?... ¿seguirán con el falaz promesa de la lluvia fina? ¿continuarán fingiendo sobre los daños colaterales y los efectos no deseados? </w:t>
      </w:r>
    </w:p>
    <w:p w:rsidR="00EB4A2A" w:rsidRDefault="00EB4A2A" w:rsidP="00EB4A2A">
      <w:pPr>
        <w:pStyle w:val="NormalWeb"/>
        <w:shd w:val="clear" w:color="auto" w:fill="FFFFFF"/>
        <w:spacing w:after="0"/>
        <w:jc w:val="both"/>
        <w:textAlignment w:val="baseline"/>
      </w:pPr>
      <w:r>
        <w:t>De proseguir con “más de lo mismo” (</w:t>
      </w:r>
      <w:r w:rsidR="00CD593B">
        <w:t xml:space="preserve">superioridad moral, </w:t>
      </w:r>
      <w:r>
        <w:t xml:space="preserve">pedantería y quimeras), se </w:t>
      </w:r>
      <w:r w:rsidR="00CD593B">
        <w:t>agradecería que al menos no fueran</w:t>
      </w:r>
      <w:r>
        <w:t xml:space="preserve"> tan hipócritas, para mostrarse “sorprendidos” p</w:t>
      </w:r>
      <w:r w:rsidR="002E6874">
        <w:t>or la reacción social. No actuaran</w:t>
      </w:r>
      <w:r>
        <w:t xml:space="preserve"> como ciegos voluntarios ante las consecuencias de aquello que han promovido, tolerado, sos</w:t>
      </w:r>
      <w:r w:rsidR="002E6874">
        <w:t>tenido o aprovechado. No negaran</w:t>
      </w:r>
      <w:r>
        <w:t xml:space="preserve"> que son ustedes (mismos) los que alzan las piedras que luego caerán al suelo (estallido social).  </w:t>
      </w:r>
    </w:p>
    <w:p w:rsidR="00EB4A2A" w:rsidRDefault="00EB4A2A" w:rsidP="00EB4A2A">
      <w:pPr>
        <w:pStyle w:val="NormalWeb"/>
        <w:shd w:val="clear" w:color="auto" w:fill="FFFFFF"/>
        <w:spacing w:after="0"/>
        <w:jc w:val="both"/>
        <w:textAlignment w:val="baseline"/>
      </w:pPr>
      <w:r>
        <w:lastRenderedPageBreak/>
        <w:t xml:space="preserve">Puede que hayan percibido que un suceso sigue a otro en el tiempo pero no han percibido que el segundo suceso ocurra a causa del primero. ¿No es eso un poco absurdo, o tal vez, cínico? </w:t>
      </w:r>
    </w:p>
    <w:p w:rsidR="00EB4A2A" w:rsidRDefault="00EB4A2A" w:rsidP="00EB4A2A">
      <w:pPr>
        <w:pStyle w:val="NormalWeb"/>
        <w:shd w:val="clear" w:color="auto" w:fill="FFFFFF"/>
        <w:spacing w:after="0"/>
        <w:jc w:val="both"/>
        <w:textAlignment w:val="baseline"/>
      </w:pPr>
      <w:r>
        <w:t>Actuar responsablemente no equivale a agudizar la razón, sino a agudizar los sentimientos que uno tiene hacia los demás.  Ni racionalidad, ni emociones, ni empatía… pura avaricia, puro cálculo tremendamente frío, detrás de las decisiones más crueles e insensibles.</w:t>
      </w:r>
    </w:p>
    <w:p w:rsidR="00025FDF" w:rsidRDefault="00025FDF" w:rsidP="00EB4A2A">
      <w:pPr>
        <w:pStyle w:val="NormalWeb"/>
        <w:shd w:val="clear" w:color="auto" w:fill="FFFFFF"/>
        <w:spacing w:after="0"/>
        <w:jc w:val="both"/>
        <w:textAlignment w:val="baseline"/>
        <w:rPr>
          <w:b/>
        </w:rPr>
      </w:pPr>
      <w:r w:rsidRPr="00025FDF">
        <w:rPr>
          <w:b/>
        </w:rPr>
        <w:t>Paredes infranqueables</w:t>
      </w:r>
    </w:p>
    <w:p w:rsidR="00174E6A" w:rsidRDefault="00025FDF" w:rsidP="00EB4A2A">
      <w:pPr>
        <w:pStyle w:val="NormalWeb"/>
        <w:shd w:val="clear" w:color="auto" w:fill="FFFFFF"/>
        <w:spacing w:after="0"/>
        <w:jc w:val="both"/>
        <w:textAlignment w:val="baseline"/>
      </w:pPr>
      <w:r>
        <w:t xml:space="preserve">Hay “muros” dentro de cada país europeo por </w:t>
      </w:r>
      <w:r w:rsidR="00174E6A">
        <w:t xml:space="preserve">avaricia, </w:t>
      </w:r>
      <w:r>
        <w:t>egoísmo,</w:t>
      </w:r>
      <w:r w:rsidR="00174E6A">
        <w:t xml:space="preserve"> miopía,</w:t>
      </w:r>
      <w:r>
        <w:t xml:space="preserve"> indiferencia,</w:t>
      </w:r>
      <w:r w:rsidR="00174E6A">
        <w:t xml:space="preserve"> incompetencia, burocracia, mala gestión, corrupción, interés político, clientelismo… o porque “no saben” qué hacer, cómo hacerlo y dónde hacerlo (siendo benévolo en el juicio).</w:t>
      </w:r>
    </w:p>
    <w:p w:rsidR="00D861EF" w:rsidRDefault="00174E6A" w:rsidP="00174E6A">
      <w:pPr>
        <w:pStyle w:val="NormalWeb"/>
        <w:shd w:val="clear" w:color="auto" w:fill="FFFFFF"/>
        <w:spacing w:after="0"/>
        <w:jc w:val="both"/>
        <w:textAlignment w:val="baseline"/>
      </w:pPr>
      <w:r>
        <w:t>Hay “muros” entre países europeos por egoísmo, miopía, indiferencia, interés político… a lo que se deben agregar los problemas causados por la globalización, donde no todos</w:t>
      </w:r>
      <w:r w:rsidR="00D861EF">
        <w:t xml:space="preserve"> los países</w:t>
      </w:r>
      <w:r>
        <w:t xml:space="preserve"> están prep</w:t>
      </w:r>
      <w:r w:rsidR="00D861EF">
        <w:t>arados para la competitividad</w:t>
      </w:r>
      <w:r>
        <w:t xml:space="preserve">. En este caso, </w:t>
      </w:r>
      <w:r w:rsidR="00D861EF">
        <w:t>aunque supieran “que hacer” (lo cual</w:t>
      </w:r>
      <w:r w:rsidR="001A15D0">
        <w:t>,</w:t>
      </w:r>
      <w:r w:rsidR="00D861EF">
        <w:t xml:space="preserve"> es bastante suponer), “no pueden hacer” porque la Unión Europea impone la estrategia.</w:t>
      </w:r>
    </w:p>
    <w:p w:rsidR="00E06FE5" w:rsidRDefault="00D861EF" w:rsidP="00174E6A">
      <w:pPr>
        <w:pStyle w:val="NormalWeb"/>
        <w:shd w:val="clear" w:color="auto" w:fill="FFFFFF"/>
        <w:spacing w:after="0"/>
        <w:jc w:val="both"/>
        <w:textAlignment w:val="baseline"/>
      </w:pPr>
      <w:r>
        <w:t xml:space="preserve">En mi opinión, la Unión Europea ha salido más perjudicada de la crisis financiera del año 2008 (que no causó, pero padeció), que los Estados Unidos (que la causó y propagó). Y en el caso del proceso de globalización económica (librecambio, desregulación, privatización, deslocalización, financierización), salvo en el caso de Alemania (gran país exportador), las consecuencias laborales, </w:t>
      </w:r>
      <w:r w:rsidR="00E06FE5">
        <w:t>sociales, de servicios públicos</w:t>
      </w:r>
      <w:r>
        <w:t xml:space="preserve">, de distribución de los ingresos, </w:t>
      </w:r>
      <w:r w:rsidR="00E06FE5">
        <w:t>también se vieron más afectadas que en los Estados Unidos, porque por su</w:t>
      </w:r>
      <w:r w:rsidR="00CD593B">
        <w:t xml:space="preserve"> política social demócrata</w:t>
      </w:r>
      <w:r w:rsidR="00E06FE5">
        <w:t>, no pudo realizar los ajustes competitivos necesarios (en tiempo y forma).</w:t>
      </w:r>
    </w:p>
    <w:p w:rsidR="00632C66" w:rsidRDefault="00E06FE5" w:rsidP="00174E6A">
      <w:pPr>
        <w:pStyle w:val="NormalWeb"/>
        <w:shd w:val="clear" w:color="auto" w:fill="FFFFFF"/>
        <w:spacing w:after="0"/>
        <w:jc w:val="both"/>
        <w:textAlignment w:val="baseline"/>
      </w:pPr>
      <w:r>
        <w:t>Los ingentes fondos públicos que los países miembro de la UE utilizaron para rescatar a los bancos afect</w:t>
      </w:r>
      <w:r w:rsidR="002E6874">
        <w:t>ados por la crisis del año 2008 (</w:t>
      </w:r>
      <w:r w:rsidR="002E6874" w:rsidRPr="008C40F7">
        <w:rPr>
          <w:bdr w:val="none" w:sz="0" w:space="0" w:color="auto" w:frame="1"/>
          <w:shd w:val="clear" w:color="auto" w:fill="FFFFFF"/>
        </w:rPr>
        <w:t>aproximadamente 2,7 billones de euros</w:t>
      </w:r>
      <w:r w:rsidR="002E6874">
        <w:rPr>
          <w:bdr w:val="none" w:sz="0" w:space="0" w:color="auto" w:frame="1"/>
          <w:shd w:val="clear" w:color="auto" w:fill="FFFFFF"/>
        </w:rPr>
        <w:t>)</w:t>
      </w:r>
      <w:r>
        <w:t xml:space="preserve"> se re</w:t>
      </w:r>
      <w:r w:rsidR="00CD593B">
        <w:t>staron de</w:t>
      </w:r>
      <w:r w:rsidR="00975E37">
        <w:t xml:space="preserve"> la inversión en infraestructuras</w:t>
      </w:r>
      <w:r>
        <w:t xml:space="preserve">, </w:t>
      </w:r>
      <w:r w:rsidR="002E6874">
        <w:t xml:space="preserve">del </w:t>
      </w:r>
      <w:r>
        <w:t xml:space="preserve">estado de bienestar, </w:t>
      </w:r>
      <w:r w:rsidR="002E6874">
        <w:t xml:space="preserve">del </w:t>
      </w:r>
      <w:r>
        <w:t xml:space="preserve">servicio público, </w:t>
      </w:r>
      <w:r w:rsidR="002E6874">
        <w:t xml:space="preserve">del </w:t>
      </w:r>
      <w:r>
        <w:t xml:space="preserve">servicio social, </w:t>
      </w:r>
      <w:r w:rsidR="002E6874">
        <w:t xml:space="preserve">del </w:t>
      </w:r>
      <w:r>
        <w:t>desarrollo y</w:t>
      </w:r>
      <w:r w:rsidR="002E6874">
        <w:t xml:space="preserve"> la</w:t>
      </w:r>
      <w:r>
        <w:t xml:space="preserve"> cohesión territorial.</w:t>
      </w:r>
      <w:r w:rsidR="004A3E65">
        <w:t xml:space="preserve"> </w:t>
      </w:r>
      <w:r>
        <w:t>Déficit público creciente y deuda pública</w:t>
      </w:r>
      <w:r w:rsidR="00632C66">
        <w:t xml:space="preserve"> insostenible, formaron el coctel ex</w:t>
      </w:r>
      <w:r w:rsidR="00975E37">
        <w:t>plosivo con el que se “fusiló” a</w:t>
      </w:r>
      <w:r w:rsidR="00632C66">
        <w:t>l Estado de Bienestar en casi todos (podría decir</w:t>
      </w:r>
      <w:r w:rsidR="001A15D0">
        <w:t>,</w:t>
      </w:r>
      <w:r w:rsidR="00632C66">
        <w:t xml:space="preserve"> todos) los países de la UE.</w:t>
      </w:r>
    </w:p>
    <w:p w:rsidR="00632C66" w:rsidRDefault="00632C66" w:rsidP="00174E6A">
      <w:pPr>
        <w:pStyle w:val="NormalWeb"/>
        <w:shd w:val="clear" w:color="auto" w:fill="FFFFFF"/>
        <w:spacing w:after="0"/>
        <w:jc w:val="both"/>
        <w:textAlignment w:val="baseline"/>
      </w:pPr>
      <w:r>
        <w:t>El rescate de la banca se comió los recursos que antes se utilizaban para desarrollo económico y social. La globalización económica laminó el e</w:t>
      </w:r>
      <w:r w:rsidR="00975E37">
        <w:t>mpleo, los salarios, y justificó</w:t>
      </w:r>
      <w:r>
        <w:t xml:space="preserve"> la pre</w:t>
      </w:r>
      <w:r w:rsidR="00975E37">
        <w:t xml:space="preserve">cariedad laboral, el subempleo, </w:t>
      </w:r>
      <w:r>
        <w:t>la subcon</w:t>
      </w:r>
      <w:r w:rsidR="00975E37">
        <w:t xml:space="preserve">tratación, los falsos autónomos, y </w:t>
      </w:r>
      <w:r w:rsidR="004A3E65">
        <w:t>la inseguridad.</w:t>
      </w:r>
      <w:r w:rsidR="00975E37">
        <w:t xml:space="preserve"> </w:t>
      </w:r>
    </w:p>
    <w:p w:rsidR="004A3E65" w:rsidRDefault="00632C66" w:rsidP="00A00613">
      <w:pPr>
        <w:pStyle w:val="NormalWeb"/>
        <w:shd w:val="clear" w:color="auto" w:fill="FFFFFF"/>
        <w:spacing w:after="0"/>
        <w:jc w:val="both"/>
        <w:textAlignment w:val="baseline"/>
      </w:pPr>
      <w:r>
        <w:t xml:space="preserve">Con todos estos lastres quien se iba a preocupar por los “muros”… No había interés, ni tiempo, ni recursos, para ocuparse de los que viven del lado malo de las vías del tren. Primero había que restablecer la </w:t>
      </w:r>
      <w:r w:rsidR="001A15D0">
        <w:t>tranquilidad</w:t>
      </w:r>
      <w:r w:rsidR="00CD593B">
        <w:t xml:space="preserve"> de los mercados y después se</w:t>
      </w:r>
      <w:r>
        <w:t xml:space="preserve"> atendería lo demás. Pero resulta que</w:t>
      </w:r>
      <w:r w:rsidR="001D58E9">
        <w:t>,</w:t>
      </w:r>
      <w:r>
        <w:t xml:space="preserve"> una vez </w:t>
      </w:r>
      <w:r w:rsidR="001D58E9">
        <w:t>que se había rescatado a la banca, nunca se recuperaron los recursos públicos aportados, y nunca más se dispuso de los fondos necesarios para derribar los muros.</w:t>
      </w:r>
    </w:p>
    <w:p w:rsidR="00CD593B" w:rsidRDefault="004A3E65" w:rsidP="00A00613">
      <w:pPr>
        <w:pStyle w:val="NormalWeb"/>
        <w:shd w:val="clear" w:color="auto" w:fill="FFFFFF"/>
        <w:spacing w:after="0"/>
        <w:jc w:val="both"/>
        <w:textAlignment w:val="baseline"/>
      </w:pPr>
      <w:r>
        <w:t>Los muros, crearon los guetos; los muros, generaron las banlieu</w:t>
      </w:r>
      <w:r w:rsidR="001A15D0">
        <w:t>e</w:t>
      </w:r>
      <w:r>
        <w:t xml:space="preserve">s; los muros, </w:t>
      </w:r>
      <w:r w:rsidR="00F91A73">
        <w:t>frenaron</w:t>
      </w:r>
      <w:r>
        <w:t xml:space="preserve"> el progreso social; los muros, asaltaron la ilusión</w:t>
      </w:r>
      <w:r w:rsidR="00F91A73">
        <w:t>;</w:t>
      </w:r>
      <w:r>
        <w:t xml:space="preserve"> los muros</w:t>
      </w:r>
      <w:r w:rsidR="00F91A73">
        <w:t>, paralizaron</w:t>
      </w:r>
      <w:r>
        <w:t xml:space="preserve"> a</w:t>
      </w:r>
      <w:r w:rsidR="00F91A73">
        <w:t xml:space="preserve"> la Unión Europea.</w:t>
      </w:r>
      <w:r>
        <w:t xml:space="preserve"> </w:t>
      </w:r>
    </w:p>
    <w:p w:rsidR="004A3E65" w:rsidRPr="00E42144" w:rsidRDefault="00E42144" w:rsidP="00A00613">
      <w:pPr>
        <w:pStyle w:val="NormalWeb"/>
        <w:shd w:val="clear" w:color="auto" w:fill="FFFFFF"/>
        <w:spacing w:after="0"/>
        <w:jc w:val="both"/>
        <w:textAlignment w:val="baseline"/>
      </w:pPr>
      <w:r w:rsidRPr="00E42144">
        <w:rPr>
          <w:bdr w:val="none" w:sz="0" w:space="0" w:color="auto" w:frame="1"/>
          <w:shd w:val="clear" w:color="auto" w:fill="FFFFFF"/>
        </w:rPr>
        <w:t>Sin duda, la UE</w:t>
      </w:r>
      <w:r w:rsidR="002E6874" w:rsidRPr="00E42144">
        <w:rPr>
          <w:bdr w:val="none" w:sz="0" w:space="0" w:color="auto" w:frame="1"/>
          <w:shd w:val="clear" w:color="auto" w:fill="FFFFFF"/>
        </w:rPr>
        <w:t xml:space="preserve"> tiene el mercado más grande del mundo, el segundo gasto en defensa más alto (después de Estados Unidos), 55.000 diplomáticos y el mayor presupuesto de asistencia para el desarrollo del mundo. Pero estas fortalezas están limitadas por la fragmentación del poder europeo entre y al interior de los estados miembro y las instituciones de la UE.</w:t>
      </w:r>
    </w:p>
    <w:p w:rsidR="004E7BF6" w:rsidRPr="001D58E9" w:rsidRDefault="00A00613" w:rsidP="00A00613">
      <w:pPr>
        <w:pStyle w:val="NormalWeb"/>
        <w:shd w:val="clear" w:color="auto" w:fill="FFFFFF"/>
        <w:spacing w:after="0"/>
        <w:jc w:val="both"/>
        <w:textAlignment w:val="baseline"/>
      </w:pPr>
      <w:r w:rsidRPr="00A00613">
        <w:rPr>
          <w:b/>
          <w:shd w:val="clear" w:color="auto" w:fill="FFFFFF"/>
        </w:rPr>
        <w:lastRenderedPageBreak/>
        <w:t xml:space="preserve">- </w:t>
      </w:r>
      <w:r w:rsidR="004E7BF6">
        <w:rPr>
          <w:b/>
          <w:shd w:val="clear" w:color="auto" w:fill="FFFFFF"/>
        </w:rPr>
        <w:t>F</w:t>
      </w:r>
      <w:r>
        <w:rPr>
          <w:b/>
          <w:shd w:val="clear" w:color="auto" w:fill="FFFFFF"/>
        </w:rPr>
        <w:t>racasados todos los modelos de “ingeniería social”</w:t>
      </w:r>
      <w:r w:rsidR="00A55169">
        <w:rPr>
          <w:b/>
          <w:shd w:val="clear" w:color="auto" w:fill="FFFFFF"/>
        </w:rPr>
        <w:t xml:space="preserve"> aplicados en la sociedad europea: integración, </w:t>
      </w:r>
      <w:r>
        <w:rPr>
          <w:b/>
          <w:shd w:val="clear" w:color="auto" w:fill="FFFFFF"/>
        </w:rPr>
        <w:t xml:space="preserve"> multiculturalismo</w:t>
      </w:r>
      <w:r w:rsidR="00A55169">
        <w:rPr>
          <w:b/>
          <w:shd w:val="clear" w:color="auto" w:fill="FFFFFF"/>
        </w:rPr>
        <w:t xml:space="preserve">, </w:t>
      </w:r>
      <w:r w:rsidR="004E7BF6">
        <w:rPr>
          <w:b/>
          <w:shd w:val="clear" w:color="auto" w:fill="FFFFFF"/>
        </w:rPr>
        <w:t xml:space="preserve">desarrollo del capital humano… ¿qué se puede hacer? </w:t>
      </w:r>
    </w:p>
    <w:p w:rsidR="00A55169" w:rsidRDefault="004E7BF6" w:rsidP="00A00613">
      <w:pPr>
        <w:pStyle w:val="NormalWeb"/>
        <w:shd w:val="clear" w:color="auto" w:fill="FFFFFF"/>
        <w:spacing w:after="0"/>
        <w:jc w:val="both"/>
        <w:textAlignment w:val="baseline"/>
        <w:rPr>
          <w:b/>
          <w:shd w:val="clear" w:color="auto" w:fill="FFFFFF"/>
        </w:rPr>
      </w:pPr>
      <w:r>
        <w:rPr>
          <w:noProof/>
        </w:rPr>
        <w:drawing>
          <wp:inline distT="0" distB="0" distL="0" distR="0">
            <wp:extent cx="5731510" cy="2843855"/>
            <wp:effectExtent l="0" t="0" r="2540" b="0"/>
            <wp:docPr id="48" name="Imagen 48" descr="Image result for fotos de la caida de muro del b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 result for fotos de la caida de muro del berli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2843855"/>
                    </a:xfrm>
                    <a:prstGeom prst="rect">
                      <a:avLst/>
                    </a:prstGeom>
                    <a:noFill/>
                    <a:ln>
                      <a:noFill/>
                    </a:ln>
                  </pic:spPr>
                </pic:pic>
              </a:graphicData>
            </a:graphic>
          </wp:inline>
        </w:drawing>
      </w:r>
    </w:p>
    <w:p w:rsidR="00B614D8" w:rsidRDefault="001A030D" w:rsidP="00A00613">
      <w:pPr>
        <w:pStyle w:val="NormalWeb"/>
        <w:shd w:val="clear" w:color="auto" w:fill="FFFFFF"/>
        <w:spacing w:after="0"/>
        <w:jc w:val="both"/>
        <w:textAlignment w:val="baseline"/>
        <w:rPr>
          <w:b/>
          <w:shd w:val="clear" w:color="auto" w:fill="FFFFFF"/>
        </w:rPr>
      </w:pPr>
      <w:r>
        <w:rPr>
          <w:b/>
          <w:shd w:val="clear" w:color="auto" w:fill="FFFFFF"/>
        </w:rPr>
        <w:t xml:space="preserve">¿Puede </w:t>
      </w:r>
      <w:r w:rsidR="00E84FE5">
        <w:rPr>
          <w:b/>
          <w:shd w:val="clear" w:color="auto" w:fill="FFFFFF"/>
        </w:rPr>
        <w:t>decirse que todos estos (bochornosos</w:t>
      </w:r>
      <w:r>
        <w:rPr>
          <w:b/>
          <w:shd w:val="clear" w:color="auto" w:fill="FFFFFF"/>
        </w:rPr>
        <w:t>) fracasos son “externalidades negativas” (“daños colaterales”) del modelo económico neoliberal, qué no disminuyen el capital de la sociedad?</w:t>
      </w:r>
      <w:r w:rsidR="004E7BF6">
        <w:rPr>
          <w:b/>
          <w:shd w:val="clear" w:color="auto" w:fill="FFFFFF"/>
        </w:rPr>
        <w:t xml:space="preserve"> </w:t>
      </w:r>
      <w:r>
        <w:rPr>
          <w:b/>
          <w:shd w:val="clear" w:color="auto" w:fill="FFFFFF"/>
        </w:rPr>
        <w:t>¿Pueden estos</w:t>
      </w:r>
      <w:r w:rsidRPr="001A030D">
        <w:rPr>
          <w:b/>
          <w:shd w:val="clear" w:color="auto" w:fill="FFFFFF"/>
        </w:rPr>
        <w:t xml:space="preserve"> problema</w:t>
      </w:r>
      <w:r>
        <w:rPr>
          <w:b/>
          <w:shd w:val="clear" w:color="auto" w:fill="FFFFFF"/>
        </w:rPr>
        <w:t>s ser tratados</w:t>
      </w:r>
      <w:r w:rsidRPr="001A030D">
        <w:rPr>
          <w:b/>
          <w:shd w:val="clear" w:color="auto" w:fill="FFFFFF"/>
        </w:rPr>
        <w:t xml:space="preserve"> con la lógica económica estándar</w:t>
      </w:r>
      <w:r>
        <w:rPr>
          <w:b/>
          <w:shd w:val="clear" w:color="auto" w:fill="FFFFFF"/>
        </w:rPr>
        <w:t>? ¿Q</w:t>
      </w:r>
      <w:r w:rsidRPr="001A030D">
        <w:rPr>
          <w:b/>
          <w:shd w:val="clear" w:color="auto" w:fill="FFFFFF"/>
        </w:rPr>
        <w:t xml:space="preserve">ué porcentaje de </w:t>
      </w:r>
      <w:r w:rsidR="00B614D8">
        <w:rPr>
          <w:b/>
          <w:shd w:val="clear" w:color="auto" w:fill="FFFFFF"/>
        </w:rPr>
        <w:t>la asignación al</w:t>
      </w:r>
      <w:r>
        <w:rPr>
          <w:b/>
          <w:shd w:val="clear" w:color="auto" w:fill="FFFFFF"/>
        </w:rPr>
        <w:t xml:space="preserve"> desarrollo social</w:t>
      </w:r>
      <w:r w:rsidRPr="001A030D">
        <w:rPr>
          <w:b/>
          <w:shd w:val="clear" w:color="auto" w:fill="FFFFFF"/>
        </w:rPr>
        <w:t xml:space="preserve"> debería dejarse en manos d</w:t>
      </w:r>
      <w:r w:rsidR="00B614D8">
        <w:rPr>
          <w:b/>
          <w:shd w:val="clear" w:color="auto" w:fill="FFFFFF"/>
        </w:rPr>
        <w:t>e los mercados, donde cada euro</w:t>
      </w:r>
      <w:r w:rsidRPr="001A030D">
        <w:rPr>
          <w:b/>
          <w:shd w:val="clear" w:color="auto" w:fill="FFFFFF"/>
        </w:rPr>
        <w:t xml:space="preserve"> vale lo mismo, y cuánto dedicarse a un mecanismo que trate a todos los ciudadanos por igual?</w:t>
      </w:r>
    </w:p>
    <w:p w:rsidR="00B614D8" w:rsidRDefault="00B614D8" w:rsidP="00A00613">
      <w:pPr>
        <w:pStyle w:val="NormalWeb"/>
        <w:shd w:val="clear" w:color="auto" w:fill="FFFFFF"/>
        <w:spacing w:after="0"/>
        <w:jc w:val="both"/>
        <w:textAlignment w:val="baseline"/>
        <w:rPr>
          <w:b/>
          <w:shd w:val="clear" w:color="auto" w:fill="FFFFFF"/>
        </w:rPr>
      </w:pPr>
      <w:r w:rsidRPr="00B614D8">
        <w:rPr>
          <w:b/>
          <w:shd w:val="clear" w:color="auto" w:fill="FFFFFF"/>
        </w:rPr>
        <w:t>Si el acceso a barrios seguros, buenos empleos y espacios públicos está limitado por la falta de dinero, los pobres tenderán a considerar injusta la asignación que resulte del mercado.</w:t>
      </w:r>
      <w:r>
        <w:rPr>
          <w:b/>
          <w:shd w:val="clear" w:color="auto" w:fill="FFFFFF"/>
        </w:rPr>
        <w:t xml:space="preserve"> Al menos, los</w:t>
      </w:r>
      <w:r w:rsidRPr="00B614D8">
        <w:rPr>
          <w:b/>
          <w:shd w:val="clear" w:color="auto" w:fill="FFFFFF"/>
        </w:rPr>
        <w:t xml:space="preserve"> recursos</w:t>
      </w:r>
      <w:r>
        <w:rPr>
          <w:b/>
          <w:shd w:val="clear" w:color="auto" w:fill="FFFFFF"/>
        </w:rPr>
        <w:t xml:space="preserve"> públicos</w:t>
      </w:r>
      <w:r w:rsidRPr="00B614D8">
        <w:rPr>
          <w:b/>
          <w:shd w:val="clear" w:color="auto" w:fill="FFFFFF"/>
        </w:rPr>
        <w:t xml:space="preserve"> deberían utilizarse de maner</w:t>
      </w:r>
      <w:r>
        <w:rPr>
          <w:b/>
          <w:shd w:val="clear" w:color="auto" w:fill="FFFFFF"/>
        </w:rPr>
        <w:t>a mucho más eficiente y justa, para garantizar que la mayor parte de la sociedad tenga</w:t>
      </w:r>
      <w:r w:rsidRPr="00B614D8">
        <w:rPr>
          <w:b/>
          <w:shd w:val="clear" w:color="auto" w:fill="FFFFFF"/>
        </w:rPr>
        <w:t xml:space="preserve"> acceso a las oportunidades y placeres de la vida social.</w:t>
      </w:r>
      <w:r w:rsidR="003622F6">
        <w:rPr>
          <w:b/>
          <w:shd w:val="clear" w:color="auto" w:fill="FFFFFF"/>
        </w:rPr>
        <w:t xml:space="preserve"> Mejorar la asignación, sin aumento del gasto.</w:t>
      </w:r>
    </w:p>
    <w:p w:rsidR="00C7503E" w:rsidRDefault="00EA63AD" w:rsidP="00A00613">
      <w:pPr>
        <w:pStyle w:val="NormalWeb"/>
        <w:shd w:val="clear" w:color="auto" w:fill="FFFFFF"/>
        <w:spacing w:after="0"/>
        <w:jc w:val="both"/>
        <w:textAlignment w:val="baseline"/>
        <w:rPr>
          <w:b/>
          <w:shd w:val="clear" w:color="auto" w:fill="FFFFFF"/>
        </w:rPr>
      </w:pPr>
      <w:r>
        <w:rPr>
          <w:b/>
          <w:shd w:val="clear" w:color="auto" w:fill="FFFFFF"/>
        </w:rPr>
        <w:t>Esto ayudaría a</w:t>
      </w:r>
      <w:r w:rsidR="00B614D8">
        <w:rPr>
          <w:b/>
          <w:shd w:val="clear" w:color="auto" w:fill="FFFFFF"/>
        </w:rPr>
        <w:t xml:space="preserve"> una verdadera </w:t>
      </w:r>
      <w:r>
        <w:rPr>
          <w:b/>
          <w:shd w:val="clear" w:color="auto" w:fill="FFFFFF"/>
        </w:rPr>
        <w:t xml:space="preserve">“inclusión social” (con igualdad de oportunidades) y no como la </w:t>
      </w:r>
      <w:r w:rsidR="00E84FE5">
        <w:rPr>
          <w:b/>
          <w:shd w:val="clear" w:color="auto" w:fill="FFFFFF"/>
        </w:rPr>
        <w:t>“proclamada” economía colaborativa</w:t>
      </w:r>
      <w:r w:rsidR="00F9340A">
        <w:rPr>
          <w:b/>
          <w:shd w:val="clear" w:color="auto" w:fill="FFFFFF"/>
        </w:rPr>
        <w:t>-disruptiva</w:t>
      </w:r>
      <w:r>
        <w:rPr>
          <w:b/>
          <w:shd w:val="clear" w:color="auto" w:fill="FFFFFF"/>
        </w:rPr>
        <w:t xml:space="preserve"> (de precarización eterna).</w:t>
      </w:r>
    </w:p>
    <w:p w:rsidR="00C7503E" w:rsidRDefault="00C7503E" w:rsidP="00A00613">
      <w:pPr>
        <w:pStyle w:val="NormalWeb"/>
        <w:shd w:val="clear" w:color="auto" w:fill="FFFFFF"/>
        <w:spacing w:after="0"/>
        <w:jc w:val="both"/>
        <w:textAlignment w:val="baseline"/>
        <w:rPr>
          <w:shd w:val="clear" w:color="auto" w:fill="FFFFFF"/>
        </w:rPr>
      </w:pPr>
      <w:r w:rsidRPr="00C7503E">
        <w:rPr>
          <w:shd w:val="clear" w:color="auto" w:fill="FFFFFF"/>
        </w:rPr>
        <w:t>La fuerte destrucción de empleo durante los años de la crisis, centrada en los trabajadores más precarios (frente a la protección de los que tenían mejores salarios), disparó la desigualdad en la distribución primaria de los ingresos.</w:t>
      </w:r>
    </w:p>
    <w:p w:rsidR="00C7503E" w:rsidRDefault="00C7503E" w:rsidP="00A00613">
      <w:pPr>
        <w:pStyle w:val="NormalWeb"/>
        <w:shd w:val="clear" w:color="auto" w:fill="FFFFFF"/>
        <w:spacing w:after="0"/>
        <w:jc w:val="both"/>
        <w:textAlignment w:val="baseline"/>
        <w:rPr>
          <w:shd w:val="clear" w:color="auto" w:fill="FFFFFF"/>
        </w:rPr>
      </w:pPr>
      <w:r w:rsidRPr="00C7503E">
        <w:rPr>
          <w:shd w:val="clear" w:color="auto" w:fill="FFFFFF"/>
        </w:rPr>
        <w:t>Durante los años de crisis y los posteriores de recuperación, la evolución de la renta de mercado de los hogares (incluyendo la imputación de alquileres de los propietarios de vivienda) mostró una tendencia hacia la polarización como consecuencia de la disminución de las clases medias, generando un fuerte crecimiento de la desigualdad. Esta renta de mercado es la que obtiene cada individuo antes de la intervención del gobierno.</w:t>
      </w:r>
    </w:p>
    <w:p w:rsidR="00582E1D" w:rsidRDefault="00C7503E" w:rsidP="00A00613">
      <w:pPr>
        <w:pStyle w:val="NormalWeb"/>
        <w:shd w:val="clear" w:color="auto" w:fill="FFFFFF"/>
        <w:spacing w:after="0"/>
        <w:jc w:val="both"/>
        <w:textAlignment w:val="baseline"/>
        <w:rPr>
          <w:shd w:val="clear" w:color="auto" w:fill="FFFFFF"/>
        </w:rPr>
      </w:pPr>
      <w:r w:rsidRPr="00C7503E">
        <w:rPr>
          <w:shd w:val="clear" w:color="auto" w:fill="FFFFFF"/>
        </w:rPr>
        <w:t>Este fuerte incremento de la desigualdad se produce por la elevada destrucción de empleo, que además tiene especial intensidad en las que ya eran rentas más bajas (muchas de ellas de contratos temporales), mientras que las rentas medias y altas no sufren de igual forma la crisis.</w:t>
      </w:r>
      <w:r w:rsidR="00EA63AD" w:rsidRPr="00C7503E">
        <w:rPr>
          <w:shd w:val="clear" w:color="auto" w:fill="FFFFFF"/>
        </w:rPr>
        <w:t xml:space="preserve"> </w:t>
      </w:r>
    </w:p>
    <w:p w:rsidR="00C7503E" w:rsidRPr="00C7503E" w:rsidRDefault="00A543FA" w:rsidP="00C7503E">
      <w:pPr>
        <w:pStyle w:val="NormalWeb"/>
        <w:shd w:val="clear" w:color="auto" w:fill="FFFFFF"/>
        <w:spacing w:after="0"/>
        <w:jc w:val="both"/>
        <w:textAlignment w:val="baseline"/>
        <w:rPr>
          <w:shd w:val="clear" w:color="auto" w:fill="FFFFFF"/>
        </w:rPr>
      </w:pPr>
      <w:r>
        <w:rPr>
          <w:shd w:val="clear" w:color="auto" w:fill="FFFFFF"/>
        </w:rPr>
        <w:lastRenderedPageBreak/>
        <w:t>L</w:t>
      </w:r>
      <w:r w:rsidR="00C7503E" w:rsidRPr="00C7503E">
        <w:rPr>
          <w:shd w:val="clear" w:color="auto" w:fill="FFFFFF"/>
        </w:rPr>
        <w:t xml:space="preserve">a crisis económica, que condujo a una pérdida de ingresos en general, no afectó en la misma medida a todos los hogares. Los hogares cuyas rentas quedan por debajo de la renta mediana de la distribución son los que experimentan mayor incremento en la desigualdad, y pérdida de rentas. Particularmente el </w:t>
      </w:r>
      <w:r>
        <w:rPr>
          <w:shd w:val="clear" w:color="auto" w:fill="FFFFFF"/>
        </w:rPr>
        <w:t>20% de los hogares más pobres.</w:t>
      </w:r>
      <w:r w:rsidR="00C7503E" w:rsidRPr="00C7503E">
        <w:rPr>
          <w:shd w:val="clear" w:color="auto" w:fill="FFFFFF"/>
        </w:rPr>
        <w:t xml:space="preserve"> </w:t>
      </w:r>
      <w:r>
        <w:rPr>
          <w:shd w:val="clear" w:color="auto" w:fill="FFFFFF"/>
        </w:rPr>
        <w:t xml:space="preserve">Además, </w:t>
      </w:r>
      <w:r w:rsidR="00C7503E" w:rsidRPr="00C7503E">
        <w:rPr>
          <w:shd w:val="clear" w:color="auto" w:fill="FFFFFF"/>
        </w:rPr>
        <w:t>parte del incremento de la desiguald</w:t>
      </w:r>
      <w:r>
        <w:rPr>
          <w:shd w:val="clear" w:color="auto" w:fill="FFFFFF"/>
        </w:rPr>
        <w:t xml:space="preserve">ad de la renta proviene </w:t>
      </w:r>
      <w:r w:rsidR="00C7503E" w:rsidRPr="00C7503E">
        <w:rPr>
          <w:shd w:val="clear" w:color="auto" w:fill="FFFFFF"/>
        </w:rPr>
        <w:t>del aumento de la desigualdad salarial entre los trabajadores empleados, particularmente entre aquellos asalariados con contratos temporales y con contratos pe</w:t>
      </w:r>
      <w:r>
        <w:rPr>
          <w:shd w:val="clear" w:color="auto" w:fill="FFFFFF"/>
        </w:rPr>
        <w:t>rmanentes</w:t>
      </w:r>
      <w:r w:rsidR="00C7503E" w:rsidRPr="00C7503E">
        <w:rPr>
          <w:shd w:val="clear" w:color="auto" w:fill="FFFFFF"/>
        </w:rPr>
        <w:t>.</w:t>
      </w:r>
    </w:p>
    <w:p w:rsidR="00C7503E" w:rsidRPr="00C7503E" w:rsidRDefault="00A543FA" w:rsidP="00C7503E">
      <w:pPr>
        <w:pStyle w:val="NormalWeb"/>
        <w:shd w:val="clear" w:color="auto" w:fill="FFFFFF"/>
        <w:spacing w:after="0"/>
        <w:jc w:val="both"/>
        <w:textAlignment w:val="baseline"/>
        <w:rPr>
          <w:shd w:val="clear" w:color="auto" w:fill="FFFFFF"/>
        </w:rPr>
      </w:pPr>
      <w:r>
        <w:rPr>
          <w:shd w:val="clear" w:color="auto" w:fill="FFFFFF"/>
        </w:rPr>
        <w:t xml:space="preserve">Por todo ello, </w:t>
      </w:r>
      <w:r w:rsidR="00C7503E" w:rsidRPr="00C7503E">
        <w:rPr>
          <w:shd w:val="clear" w:color="auto" w:fill="FFFFFF"/>
        </w:rPr>
        <w:t>las políticas públicas deberían centrarse en reducir la desigualdad de las rentas de mercad</w:t>
      </w:r>
      <w:r>
        <w:rPr>
          <w:shd w:val="clear" w:color="auto" w:fill="FFFFFF"/>
        </w:rPr>
        <w:t xml:space="preserve">o (donde nace la desigualdad), </w:t>
      </w:r>
      <w:r w:rsidR="00C7503E" w:rsidRPr="00C7503E">
        <w:rPr>
          <w:shd w:val="clear" w:color="auto" w:fill="FFFFFF"/>
        </w:rPr>
        <w:t>dejando así margen a las polític</w:t>
      </w:r>
      <w:r>
        <w:rPr>
          <w:shd w:val="clear" w:color="auto" w:fill="FFFFFF"/>
        </w:rPr>
        <w:t>as de distribución a posteriori. Sin entrar</w:t>
      </w:r>
      <w:r w:rsidR="00C7503E" w:rsidRPr="00C7503E">
        <w:rPr>
          <w:shd w:val="clear" w:color="auto" w:fill="FFFFFF"/>
        </w:rPr>
        <w:t xml:space="preserve"> a debatir cómo reducir este tipo de desigualdad, normalmente se suele aludir a la reducción del empleo temporal (mucho peor remunerado e inestable), a la formación del capital humano a través de la educación y la enseñanza en el propio puesto de trabajo o a la búsqueda de un sistema productivo que genere mayor va</w:t>
      </w:r>
      <w:r>
        <w:rPr>
          <w:shd w:val="clear" w:color="auto" w:fill="FFFFFF"/>
        </w:rPr>
        <w:t xml:space="preserve">lor añadido en todas sus ramas. Siempre relacionado con </w:t>
      </w:r>
      <w:r w:rsidR="00C7503E" w:rsidRPr="00C7503E">
        <w:rPr>
          <w:shd w:val="clear" w:color="auto" w:fill="FFFFFF"/>
        </w:rPr>
        <w:t>el crecimien</w:t>
      </w:r>
      <w:r>
        <w:rPr>
          <w:shd w:val="clear" w:color="auto" w:fill="FFFFFF"/>
        </w:rPr>
        <w:t>to de la productividad</w:t>
      </w:r>
      <w:r w:rsidR="00C7503E" w:rsidRPr="00C7503E">
        <w:rPr>
          <w:shd w:val="clear" w:color="auto" w:fill="FFFFFF"/>
        </w:rPr>
        <w:t>, un problema que acompaña a la econo</w:t>
      </w:r>
      <w:r>
        <w:rPr>
          <w:shd w:val="clear" w:color="auto" w:fill="FFFFFF"/>
        </w:rPr>
        <w:t>mía de varios países miembro de la Unión Europea, desde hace décadas.</w:t>
      </w:r>
    </w:p>
    <w:p w:rsidR="0019347A" w:rsidRPr="0019347A" w:rsidRDefault="0019347A" w:rsidP="0019347A">
      <w:pPr>
        <w:pStyle w:val="NormalWeb"/>
        <w:shd w:val="clear" w:color="auto" w:fill="FFFFFF"/>
        <w:spacing w:after="396"/>
        <w:jc w:val="both"/>
        <w:textAlignment w:val="baseline"/>
      </w:pPr>
      <w:r w:rsidRPr="0019347A">
        <w:t>“En términos generales, el crecimiento de los ingresos en los últimos 40 años ha sido más veloz en Estados Unidos que en Europa. Entre 1980 y 2017, el ingreso nacional promedio por adulto creció un 65% en Estados Unidos contra 51% en Europa. La diferencia es en gran medida (pero no exclusivamente) reflejo de la incapacidad de la UE para coordinar un estímulo económico pancontinental después de la crisis financiera de 2007</w:t>
      </w:r>
      <w:r w:rsidRPr="0019347A">
        <w:rPr>
          <w:rFonts w:ascii="Cambria Math" w:hAnsi="Cambria Math" w:cs="Cambria Math"/>
        </w:rPr>
        <w:t>‑</w:t>
      </w:r>
      <w:r w:rsidRPr="0019347A">
        <w:t>2008. En comparaci</w:t>
      </w:r>
      <w:r w:rsidRPr="0019347A">
        <w:rPr>
          <w:rFonts w:ascii="Calibri" w:hAnsi="Calibri" w:cs="Calibri"/>
        </w:rPr>
        <w:t>ó</w:t>
      </w:r>
      <w:r w:rsidRPr="0019347A">
        <w:t>n con Europa occidental, que tras la crisis sufri</w:t>
      </w:r>
      <w:r w:rsidRPr="0019347A">
        <w:rPr>
          <w:rFonts w:ascii="Calibri" w:hAnsi="Calibri" w:cs="Calibri"/>
        </w:rPr>
        <w:t>ó</w:t>
      </w:r>
      <w:r w:rsidRPr="0019347A">
        <w:t xml:space="preserve"> una d</w:t>
      </w:r>
      <w:r w:rsidRPr="0019347A">
        <w:rPr>
          <w:rFonts w:ascii="Calibri" w:hAnsi="Calibri" w:cs="Calibri"/>
        </w:rPr>
        <w:t>é</w:t>
      </w:r>
      <w:r w:rsidRPr="0019347A">
        <w:t>cada perdida (2007</w:t>
      </w:r>
      <w:r w:rsidRPr="0019347A">
        <w:rPr>
          <w:rFonts w:ascii="Cambria Math" w:hAnsi="Cambria Math" w:cs="Cambria Math"/>
        </w:rPr>
        <w:t>‑</w:t>
      </w:r>
      <w:r w:rsidRPr="0019347A">
        <w:t>2017) en la que el ingreso nacional promedio por adulto creci</w:t>
      </w:r>
      <w:r w:rsidRPr="0019347A">
        <w:rPr>
          <w:rFonts w:ascii="Calibri" w:hAnsi="Calibri" w:cs="Calibri"/>
        </w:rPr>
        <w:t>ó</w:t>
      </w:r>
      <w:r w:rsidRPr="0019347A">
        <w:t xml:space="preserve"> a menos del 5%, Estados Unidos creci</w:t>
      </w:r>
      <w:r w:rsidRPr="0019347A">
        <w:rPr>
          <w:rFonts w:ascii="Calibri" w:hAnsi="Calibri" w:cs="Calibri"/>
        </w:rPr>
        <w:t>ó</w:t>
      </w:r>
      <w:r w:rsidRPr="0019347A">
        <w:t xml:space="preserve"> cinco veces m</w:t>
      </w:r>
      <w:r w:rsidRPr="0019347A">
        <w:rPr>
          <w:rFonts w:ascii="Calibri" w:hAnsi="Calibri" w:cs="Calibri"/>
        </w:rPr>
        <w:t>á</w:t>
      </w:r>
      <w:r w:rsidRPr="0019347A">
        <w:t>s r</w:t>
      </w:r>
      <w:r w:rsidRPr="0019347A">
        <w:rPr>
          <w:rFonts w:ascii="Calibri" w:hAnsi="Calibri" w:cs="Calibri"/>
        </w:rPr>
        <w:t>á</w:t>
      </w:r>
      <w:r w:rsidRPr="0019347A">
        <w:t>pido.</w:t>
      </w:r>
    </w:p>
    <w:p w:rsidR="0019347A" w:rsidRPr="0019347A" w:rsidRDefault="0019347A" w:rsidP="0019347A">
      <w:pPr>
        <w:pStyle w:val="NormalWeb"/>
        <w:shd w:val="clear" w:color="auto" w:fill="FFFFFF"/>
        <w:spacing w:after="396"/>
        <w:jc w:val="both"/>
        <w:textAlignment w:val="baseline"/>
      </w:pPr>
      <w:r w:rsidRPr="0019347A">
        <w:t>Pero estas tasas de crecimiento promedio ocultan el enorme aumento de la desigualdad de ingresos que hubo en Estados Unidos en las últimas cuatro décadas, desigualdad que se mantuvo mucho más contenida en Europa. Tomando como indicador el promedio de ingresos antes de impuestos, el del 50% de estadounidenses que más ganan aumentó a más del doble desde 1980, mientras que el de la mitad inferior creció apenas un 3%. En Europa, por otra parte, el mismo indicador para la mitad inferior de la población aumentó un 40% en el mismo período, más de diez veces más que en Estados Unidos (aunque todavía por debajo del crecimiento general promedio del ingreso europeo).</w:t>
      </w:r>
    </w:p>
    <w:p w:rsidR="0019347A" w:rsidRDefault="0019347A" w:rsidP="0019347A">
      <w:pPr>
        <w:pStyle w:val="NormalWeb"/>
        <w:shd w:val="clear" w:color="auto" w:fill="FFFFFF"/>
        <w:spacing w:after="396"/>
        <w:jc w:val="both"/>
        <w:textAlignment w:val="baseline"/>
      </w:pPr>
      <w:r w:rsidRPr="0019347A">
        <w:t>La situación no se modifica significativamente si se tienen en cuenta las diferencias entre los sistemas tributarios y de transferencias europeo y estadounidense. El ingreso después de impuestos del 50% de la población que menos gana ha crecido apenas un 14% en Estados Unidos desde 1980 (todavía muy por debajo del crecimiento general de ingresos) y hasta un 40% en Europa.</w:t>
      </w:r>
    </w:p>
    <w:p w:rsidR="0019347A" w:rsidRPr="0019347A" w:rsidRDefault="0019347A" w:rsidP="0019347A">
      <w:pPr>
        <w:pStyle w:val="NormalWeb"/>
        <w:shd w:val="clear" w:color="auto" w:fill="FFFFFF"/>
        <w:spacing w:after="396"/>
        <w:jc w:val="both"/>
        <w:textAlignment w:val="baseline"/>
      </w:pPr>
      <w:r w:rsidRPr="0019347A">
        <w:t>Los economistas suelen atribuir el aumento de la desigualdad al cambio tecnológico o al incremento del comercio internacional. Pero esto no explica por qué la desigualdad en Estados Unidos y Europa siguió trayectorias tan diferentes a lo largo de los últimos 40 años, ya que durante ese período ambas partes experimentaron shocks tecnológicos similares y enfrentaron un incremento de la competencia de los países en desarrollo. Más bien, el contraste entre Europa y Estados Unidos es reflejo de opciones políticas diferentes</w:t>
      </w:r>
      <w:r>
        <w:t>…</w:t>
      </w:r>
    </w:p>
    <w:p w:rsidR="00582E1D" w:rsidRDefault="00582E1D" w:rsidP="00A00613">
      <w:pPr>
        <w:pStyle w:val="NormalWeb"/>
        <w:shd w:val="clear" w:color="auto" w:fill="FFFFFF"/>
        <w:spacing w:after="0"/>
        <w:jc w:val="both"/>
        <w:textAlignment w:val="baseline"/>
        <w:rPr>
          <w:shd w:val="clear" w:color="auto" w:fill="FFFFFF"/>
        </w:rPr>
      </w:pPr>
      <w:r w:rsidRPr="00582E1D">
        <w:rPr>
          <w:shd w:val="clear" w:color="auto" w:fill="FFFFFF"/>
        </w:rPr>
        <w:t xml:space="preserve">Frente a la desigualdad de ingresos, a las autoridades se les presentan dos grandes opciones. Las políticas predistributivas buscan crear condiciones para una distribución futura de los </w:t>
      </w:r>
      <w:r w:rsidRPr="00582E1D">
        <w:rPr>
          <w:shd w:val="clear" w:color="auto" w:fill="FFFFFF"/>
        </w:rPr>
        <w:lastRenderedPageBreak/>
        <w:t>ingresos más pareja, por ejemplo mediante inversiones en salud y educación, normas laborales y de defensa de la competencia eficaces</w:t>
      </w:r>
      <w:r w:rsidR="00A11F58">
        <w:rPr>
          <w:shd w:val="clear" w:color="auto" w:fill="FFFFFF"/>
        </w:rPr>
        <w:t>,</w:t>
      </w:r>
      <w:r w:rsidRPr="00582E1D">
        <w:rPr>
          <w:shd w:val="clear" w:color="auto" w:fill="FFFFFF"/>
        </w:rPr>
        <w:t xml:space="preserve"> y sindicatos relativamente fuertes. Las políticas redistributivas, en tanto, apuntan a reducir la desigualdad presente mediante impuestos progresivos (más altos para los más ricos) y transferencias sociales a los más pobres</w:t>
      </w:r>
      <w:r>
        <w:rPr>
          <w:shd w:val="clear" w:color="auto" w:fill="FFFFFF"/>
        </w:rPr>
        <w:t>…</w:t>
      </w:r>
    </w:p>
    <w:p w:rsidR="00582E1D" w:rsidRPr="00851FA4" w:rsidRDefault="00582E1D" w:rsidP="00582E1D">
      <w:pPr>
        <w:pStyle w:val="NormalWeb"/>
        <w:shd w:val="clear" w:color="auto" w:fill="FFFFFF"/>
        <w:spacing w:after="396"/>
        <w:jc w:val="both"/>
        <w:textAlignment w:val="baseline"/>
        <w:rPr>
          <w:color w:val="000000"/>
        </w:rPr>
      </w:pPr>
      <w:r w:rsidRPr="00851FA4">
        <w:rPr>
          <w:color w:val="000000"/>
        </w:rPr>
        <w:t xml:space="preserve">El informe How Unequal Is Europe? del World Inequality Lab sugiere que la relativa equidad de la distribución de ingresos en Europa es en gran medida resultado de políticas predistributivas como el salario mínimo nacional, mejores mecanismos de protección de los trabajadores y el acceso gratuito a salud y educación públicas. Pero la tributación progresiva sigue siendo esencial para reducir la desigualdad de ingresos antes y después de impuestos. Por ejemplo, alícuotas marginales altas pueden poner límites a una acumulación desigual de capital en la actualidad, y de ese modo emparejar más </w:t>
      </w:r>
      <w:r>
        <w:rPr>
          <w:color w:val="000000"/>
        </w:rPr>
        <w:t>los flujos futuros de ingresos.</w:t>
      </w:r>
    </w:p>
    <w:p w:rsidR="00582E1D" w:rsidRPr="00851FA4" w:rsidRDefault="00582E1D" w:rsidP="00582E1D">
      <w:pPr>
        <w:pStyle w:val="NormalWeb"/>
        <w:shd w:val="clear" w:color="auto" w:fill="FFFFFF"/>
        <w:spacing w:after="396"/>
        <w:jc w:val="both"/>
        <w:textAlignment w:val="baseline"/>
        <w:rPr>
          <w:color w:val="000000"/>
        </w:rPr>
      </w:pPr>
      <w:r w:rsidRPr="00851FA4">
        <w:rPr>
          <w:color w:val="000000"/>
        </w:rPr>
        <w:t>En un nivel más fundamental, la tributación progresiva es esencial para la sostenibilidad política de los sistemas fiscales. El detonante de las protestas de los “chalecos amarillos” que</w:t>
      </w:r>
      <w:r w:rsidR="00A11F58">
        <w:rPr>
          <w:color w:val="000000"/>
        </w:rPr>
        <w:t xml:space="preserve"> estallaron en Francia en</w:t>
      </w:r>
      <w:r w:rsidRPr="00851FA4">
        <w:rPr>
          <w:color w:val="000000"/>
        </w:rPr>
        <w:t xml:space="preserve"> noviembre</w:t>
      </w:r>
      <w:r w:rsidR="00A11F58">
        <w:rPr>
          <w:color w:val="000000"/>
        </w:rPr>
        <w:t xml:space="preserve"> de 2019 </w:t>
      </w:r>
      <w:r w:rsidRPr="00851FA4">
        <w:rPr>
          <w:color w:val="000000"/>
        </w:rPr>
        <w:t>(y después se replicaron en otras partes de Europa) fue una sensación de injusticia tributaria.</w:t>
      </w:r>
    </w:p>
    <w:p w:rsidR="00582E1D" w:rsidRPr="00851FA4" w:rsidRDefault="00582E1D" w:rsidP="00582E1D">
      <w:pPr>
        <w:pStyle w:val="NormalWeb"/>
        <w:shd w:val="clear" w:color="auto" w:fill="FFFFFF"/>
        <w:spacing w:after="396"/>
        <w:jc w:val="both"/>
        <w:textAlignment w:val="baseline"/>
        <w:rPr>
          <w:color w:val="000000"/>
        </w:rPr>
      </w:pPr>
      <w:r w:rsidRPr="00851FA4">
        <w:rPr>
          <w:color w:val="000000"/>
        </w:rPr>
        <w:t>Finalmente, la tributación progresiva también cumple una función predistributiva en Europa al ayudar a financiar programas universales de salud y educación pública. Estos a su vez promueven una mayor igualdad de oportunidades, y por ende, una distribución posterior más equitativa de los ingresos. El riesgo, entonces, es que la tendencia general hacia una tributación menos progresiva obstaculice la contención futura de la desigual</w:t>
      </w:r>
      <w:r>
        <w:rPr>
          <w:color w:val="000000"/>
        </w:rPr>
        <w:t>dad en Europa…</w:t>
      </w:r>
    </w:p>
    <w:p w:rsidR="009770C4" w:rsidRDefault="00582E1D" w:rsidP="0019347A">
      <w:pPr>
        <w:pStyle w:val="NormalWeb"/>
        <w:shd w:val="clear" w:color="auto" w:fill="FFFFFF"/>
        <w:spacing w:after="396"/>
        <w:jc w:val="both"/>
        <w:textAlignment w:val="baseline"/>
        <w:rPr>
          <w:color w:val="000000"/>
          <w:lang w:val="en-US"/>
        </w:rPr>
      </w:pPr>
      <w:r w:rsidRPr="00851FA4">
        <w:rPr>
          <w:color w:val="000000"/>
        </w:rPr>
        <w:t>Pero no es inevitable</w:t>
      </w:r>
      <w:r>
        <w:rPr>
          <w:color w:val="000000"/>
        </w:rPr>
        <w:t>…</w:t>
      </w:r>
      <w:r w:rsidRPr="00851FA4">
        <w:rPr>
          <w:color w:val="000000"/>
        </w:rPr>
        <w:t xml:space="preserve"> Si</w:t>
      </w:r>
      <w:r>
        <w:rPr>
          <w:color w:val="000000"/>
        </w:rPr>
        <w:t xml:space="preserve"> Europa puede aprender</w:t>
      </w:r>
      <w:r w:rsidR="001B3F78">
        <w:rPr>
          <w:color w:val="000000"/>
        </w:rPr>
        <w:t xml:space="preserve"> de su </w:t>
      </w:r>
      <w:r>
        <w:rPr>
          <w:color w:val="000000"/>
        </w:rPr>
        <w:t>experiencia</w:t>
      </w:r>
      <w:r w:rsidR="001B3F78">
        <w:rPr>
          <w:color w:val="000000"/>
        </w:rPr>
        <w:t xml:space="preserve"> anterior</w:t>
      </w:r>
      <w:r w:rsidRPr="00851FA4">
        <w:rPr>
          <w:color w:val="000000"/>
        </w:rPr>
        <w:t>, propuestas aparentemente radicales para la solución de la desigualdad pueden comenzar a parecer más pragmáticas y via</w:t>
      </w:r>
      <w:r w:rsidR="001B3F78">
        <w:rPr>
          <w:color w:val="000000"/>
        </w:rPr>
        <w:t>bles</w:t>
      </w:r>
      <w:r w:rsidRPr="00851FA4">
        <w:rPr>
          <w:color w:val="000000"/>
        </w:rPr>
        <w:t>. Y tal vez las próximas cuatro décadas sean menos desigu</w:t>
      </w:r>
      <w:r w:rsidR="0019347A">
        <w:rPr>
          <w:color w:val="000000"/>
        </w:rPr>
        <w:t xml:space="preserve">ales que las cuatro que pasaron”… </w:t>
      </w:r>
      <w:r w:rsidR="0019347A" w:rsidRPr="0019347A">
        <w:rPr>
          <w:color w:val="000000"/>
          <w:u w:val="single"/>
          <w:lang w:val="en-US"/>
        </w:rPr>
        <w:t>Por qué Estados Unidos es más desigual que Europa</w:t>
      </w:r>
      <w:r w:rsidR="0019347A" w:rsidRPr="0019347A">
        <w:rPr>
          <w:color w:val="000000"/>
          <w:lang w:val="en-US"/>
        </w:rPr>
        <w:t xml:space="preserve"> (Project Syndicate - </w:t>
      </w:r>
      <w:r w:rsidR="0019347A" w:rsidRPr="0019347A">
        <w:rPr>
          <w:b/>
          <w:color w:val="000000"/>
          <w:lang w:val="en-US"/>
        </w:rPr>
        <w:t>12/11/19</w:t>
      </w:r>
      <w:r w:rsidR="0019347A" w:rsidRPr="0019347A">
        <w:rPr>
          <w:color w:val="000000"/>
          <w:lang w:val="en-US"/>
        </w:rPr>
        <w:t xml:space="preserve">) </w:t>
      </w:r>
      <w:r w:rsidR="0019347A">
        <w:rPr>
          <w:color w:val="000000"/>
          <w:lang w:val="en-US"/>
        </w:rPr>
        <w:t>(</w:t>
      </w:r>
      <w:r w:rsidR="0019347A" w:rsidRPr="00851FA4">
        <w:rPr>
          <w:color w:val="000000"/>
          <w:lang w:val="en-US"/>
        </w:rPr>
        <w:t>Thomas Blanchet is Statistical Tools and Methods Coordinat</w:t>
      </w:r>
      <w:r w:rsidR="0019347A">
        <w:rPr>
          <w:color w:val="000000"/>
          <w:lang w:val="en-US"/>
        </w:rPr>
        <w:t xml:space="preserve">or at the World Inequality Lab. </w:t>
      </w:r>
      <w:r w:rsidR="0019347A" w:rsidRPr="00851FA4">
        <w:rPr>
          <w:color w:val="000000"/>
          <w:lang w:val="en-US"/>
        </w:rPr>
        <w:t>Lucas Chancel, Co-Director of the World Inequality Lab, is a lecturer at Sciences Po and a research fellow at the Institute for Sustainable Developme</w:t>
      </w:r>
      <w:r w:rsidR="0019347A">
        <w:rPr>
          <w:color w:val="000000"/>
          <w:lang w:val="en-US"/>
        </w:rPr>
        <w:t xml:space="preserve">nt and International Relations. </w:t>
      </w:r>
      <w:r w:rsidR="0019347A" w:rsidRPr="00851FA4">
        <w:rPr>
          <w:color w:val="000000"/>
          <w:lang w:val="en-US"/>
        </w:rPr>
        <w:t>Amory Gethin is a research fel</w:t>
      </w:r>
      <w:r w:rsidR="0019347A">
        <w:rPr>
          <w:color w:val="000000"/>
          <w:lang w:val="en-US"/>
        </w:rPr>
        <w:t>low at the World Inequality Lab)</w:t>
      </w:r>
    </w:p>
    <w:p w:rsidR="009770C4" w:rsidRDefault="009770C4" w:rsidP="0019347A">
      <w:pPr>
        <w:pStyle w:val="NormalWeb"/>
        <w:shd w:val="clear" w:color="auto" w:fill="FFFFFF"/>
        <w:spacing w:after="396"/>
        <w:jc w:val="both"/>
        <w:textAlignment w:val="baseline"/>
        <w:rPr>
          <w:b/>
          <w:color w:val="000000"/>
        </w:rPr>
      </w:pPr>
      <w:r w:rsidRPr="009770C4">
        <w:rPr>
          <w:b/>
          <w:color w:val="000000"/>
        </w:rPr>
        <w:t>La Europa que no fue</w:t>
      </w:r>
    </w:p>
    <w:p w:rsidR="00F0679B" w:rsidRDefault="009770C4" w:rsidP="0019347A">
      <w:pPr>
        <w:pStyle w:val="NormalWeb"/>
        <w:shd w:val="clear" w:color="auto" w:fill="FFFFFF"/>
        <w:spacing w:after="396"/>
        <w:jc w:val="both"/>
        <w:textAlignment w:val="baseline"/>
        <w:rPr>
          <w:b/>
        </w:rPr>
      </w:pPr>
      <w:r w:rsidRPr="009770C4">
        <w:rPr>
          <w:b/>
        </w:rPr>
        <w:t>La crítica hacia el proyecto comunitario se ha convertido, en algunos casos, en un rechazo frontal a la Unión Europea. La amenaza a las soberanías estatales, unas regulaciones económicas que se sienten injustas, el deseo de algu</w:t>
      </w:r>
      <w:r>
        <w:rPr>
          <w:b/>
        </w:rPr>
        <w:t>nos miembros de que exista una “Europa a dos velocidades”</w:t>
      </w:r>
      <w:r w:rsidRPr="009770C4">
        <w:rPr>
          <w:b/>
        </w:rPr>
        <w:t xml:space="preserve"> y una clase media transnacional que no se siente representada encuentran en la Unión Europea el escenario perfecto para dar voz a un movimiento que cada vez gana más fuerza.</w:t>
      </w:r>
      <w:r w:rsidR="0019347A" w:rsidRPr="009770C4">
        <w:rPr>
          <w:b/>
        </w:rPr>
        <w:t xml:space="preserve"> </w:t>
      </w:r>
    </w:p>
    <w:p w:rsidR="009770C4" w:rsidRPr="009770C4" w:rsidRDefault="009770C4" w:rsidP="009770C4">
      <w:pPr>
        <w:pStyle w:val="NormalWeb"/>
        <w:shd w:val="clear" w:color="auto" w:fill="FFFFFF"/>
        <w:spacing w:after="396"/>
        <w:jc w:val="both"/>
        <w:textAlignment w:val="baseline"/>
      </w:pPr>
      <w:r w:rsidRPr="009770C4">
        <w:t xml:space="preserve">No cabe duda de que la Unión Europea y el proyecto que integra es producto, en mayor o menor medida, de las pretensiones de sus países miembros. El camino que ha seguido a lo largo de estos años y los obstáculos a los que se ha enfrentado han sido, en gran parte, piedras en el camino que han colocado uno o varios de los países miembros en un intento por cambiar la dirección del proyecto europeo hacia algo que los beneficiara más. Sin embargo, también se ha dado el proceso a la inversa. La Unión Europea, su esencia, su idea y la postura frente a ella han modificado, a lo largo de todo el proceso de integración, la estructura más </w:t>
      </w:r>
      <w:r w:rsidRPr="009770C4">
        <w:lastRenderedPageBreak/>
        <w:t>básica de los Gobiernos nacionales y su manera de hacer política. En algunos casos, ha transformado el proceso de toma de decisiones en algo más transparente y más cercano al ciudadano de a pie. En otros, la Unión Europea ha servido de cortina de humo y responsable de la implementación de ciertas políticas poco populares entre las poblaciones sobre las que se aplicaban. El uso de la Unión y su presencia en la vida diaria de los ciudadanos ha ocasionado, para bien y para mal, que la política nacional ya no se entienda si parte de ella no está relacionada con Europa.</w:t>
      </w:r>
    </w:p>
    <w:p w:rsidR="009770C4" w:rsidRPr="009770C4" w:rsidRDefault="009770C4" w:rsidP="009770C4">
      <w:pPr>
        <w:pStyle w:val="NormalWeb"/>
        <w:shd w:val="clear" w:color="auto" w:fill="FFFFFF"/>
        <w:spacing w:after="396"/>
        <w:jc w:val="both"/>
        <w:textAlignment w:val="baseline"/>
      </w:pPr>
      <w:r w:rsidRPr="009770C4">
        <w:t>Tanto es así que a los clivajes o esc</w:t>
      </w:r>
      <w:r>
        <w:t>isiones tradicionales del voto -</w:t>
      </w:r>
      <w:r w:rsidRPr="009770C4">
        <w:t>com</w:t>
      </w:r>
      <w:r>
        <w:t>o la religión o la clase social-</w:t>
      </w:r>
      <w:r w:rsidRPr="009770C4">
        <w:t xml:space="preserve"> podríamos añadirle uno nuevo: la postura con respecto a Europa. Como novedad, esta división no tiene por qué adherirse a una ideología concreta y supera la dicotomía izquierda-derecha. Sin embargo, puede resultar decisiva en algunas campañas electorales, como ya se demostró en Grecia y, en general, en las campañas nacionales de la mayor parte de los países europeos en los últimos años. Este efecto no solo provoca que partidos políticos ya existentes tengan que modificar algunas de sus promesas o centrar sus campañas en el aspecto europeo; la aparición de nuevos partidos es otra consecuencia de ello y, en este caso, la Unión Europea casi nunca sale bi</w:t>
      </w:r>
      <w:r>
        <w:t>en parada. Los nuevos partidos -y algunos antiguos-</w:t>
      </w:r>
      <w:r w:rsidRPr="009770C4">
        <w:t xml:space="preserve"> con presencia en las instituciones europeas hacen tambalearse un equilibro ya de por sí delicado.</w:t>
      </w:r>
    </w:p>
    <w:p w:rsidR="009770C4" w:rsidRPr="009770C4" w:rsidRDefault="009770C4" w:rsidP="009770C4">
      <w:pPr>
        <w:pStyle w:val="NormalWeb"/>
        <w:shd w:val="clear" w:color="auto" w:fill="FFFFFF"/>
        <w:spacing w:after="396"/>
        <w:jc w:val="both"/>
        <w:textAlignment w:val="baseline"/>
      </w:pPr>
      <w:r w:rsidRPr="009770C4">
        <w:t xml:space="preserve">A menudo se trata de organizaciones electorales cuyo éxito y extensión se encuentran en las crisis que la Unión Europea no ha sabido enfrentar como institución: la financiera desde 2008 y la crisis </w:t>
      </w:r>
      <w:r>
        <w:t>de los refugiados que llegaban -y siguen llegando-</w:t>
      </w:r>
      <w:r w:rsidRPr="009770C4">
        <w:t xml:space="preserve"> desde Siria, Libia y otros países en guerra. Esta última puso en evidencia la división interna en el proyecto comunitario y la visión que muchos de ellos tienen de la Unión como mero mediador de conflictos sin ningún poder real y un organismo del que beneficiarse, no un ente que emita normas de conducta internacional. Este tipo de partidos no suelen considerarse eurófobos, pero sí críticos con el proyecto. Encuentran su fuerza en haber sido votados directamente por los ciudadanos de sus respectivos países de origen y, dependiendo de su corte ideológico, luchan en distintos frentes. Algunos de ellos critican la teórica política de puertas abiertas hacia los inmigrantes y </w:t>
      </w:r>
      <w:r>
        <w:t>refugiados de la Unión Europea -</w:t>
      </w:r>
      <w:r w:rsidRPr="009770C4">
        <w:t>casi ningún país miembro de la UE ha cumplido con la c</w:t>
      </w:r>
      <w:r>
        <w:t>uota de recepción de refugiados-</w:t>
      </w:r>
      <w:r w:rsidRPr="009770C4">
        <w:t xml:space="preserve">. Otros recuerdan todas aquellas promesas de integración que no se han materializado, y la gran mayoría critica la ruptura entre el norte y el sur, especialmente desde 2008. Partidos como el de la Independencia del Reino Unido, campañas electorales como la francesa y la italiana o </w:t>
      </w:r>
      <w:r w:rsidR="00A11F58">
        <w:t>rupturas tan radicales como el B</w:t>
      </w:r>
      <w:r w:rsidRPr="009770C4">
        <w:t>rexit demuestran que el euroescepticismo es un movimiento que ha llegado para quedarse.</w:t>
      </w:r>
    </w:p>
    <w:p w:rsidR="009770C4" w:rsidRPr="009770C4" w:rsidRDefault="009770C4" w:rsidP="009770C4">
      <w:pPr>
        <w:pStyle w:val="NormalWeb"/>
        <w:shd w:val="clear" w:color="auto" w:fill="FFFFFF"/>
        <w:spacing w:after="396"/>
        <w:jc w:val="both"/>
        <w:textAlignment w:val="baseline"/>
      </w:pPr>
      <w:r w:rsidRPr="009770C4">
        <w:t>Este discurso cala muy bien entre las clases medias de toda Europa, que comparten una característica: haber sido golpeadas muy duramente por la crisis financiera. Sin seguridad económica ni perspectivas de futuro, culpan en gran medida a la Unión Europea y sus políticas económicas de las consecuencias personales que sufren ahora. Un movimiento con un amplio espectro de crítica al proyecto comunitario, pero con un mismo origen: el rechazo a la Unión Europea. El terreno lo ha ido ganando poco a poco con la introducción de diversas medidas que manifiestan este rechazo; la más radical es la salida completa del club. Otras vertientes rechazan políticas comunitarias</w:t>
      </w:r>
      <w:r>
        <w:t xml:space="preserve"> concretas, como la migratoria -de las más rechazadas-</w:t>
      </w:r>
      <w:r w:rsidRPr="009770C4">
        <w:t>, el euro, la energética, etc., y otros rechazan el sistema político comunitario o su posición dentro de la Unión, deseosos de más presencia o poder.</w:t>
      </w:r>
    </w:p>
    <w:p w:rsidR="00825A59" w:rsidRDefault="009770C4" w:rsidP="009770C4">
      <w:pPr>
        <w:pStyle w:val="NormalWeb"/>
        <w:shd w:val="clear" w:color="auto" w:fill="FFFFFF"/>
        <w:spacing w:after="396"/>
        <w:jc w:val="both"/>
        <w:textAlignment w:val="baseline"/>
      </w:pPr>
      <w:r w:rsidRPr="009770C4">
        <w:t xml:space="preserve">Es un movimiento que configura su discurso en un pasado nacional glorioso, que defiende la soberanía estatal y que ve en la Unión Europea una amenaza al paradigma existente. Un movimiento que busca luchar por sus intereses económicos nacionales más que por los </w:t>
      </w:r>
      <w:r w:rsidRPr="009770C4">
        <w:lastRenderedPageBreak/>
        <w:t>comunitarios y que, en algunos casos, apoya una “Europa a dos velocidades” porque no considera adecuado tratar a todos los países por igual partiendo de unas características tan diferentes. Un movimiento que rechaza, en algunos casos, el enfoque neoliberal de la Unión Europea o que tacha al proyecto de “imperialista”, que exige de Europa paquetes de políticas más sociales u orientadas a la cohesión de todos los países. Un movimiento, en definitiva, que critica todo lo que esperaban que el proyecto comunitario fuera y ha terminado no siendo. El euroescepticismo y la eurofobia parten de unas promesas que creen incumplidas, de un proyecto con el que no se ven representados y de un escenario, el europeo, donde creen que se diluyen todas las soberanías estatales.</w:t>
      </w:r>
    </w:p>
    <w:p w:rsidR="009770C4" w:rsidRPr="009770C4" w:rsidRDefault="009770C4" w:rsidP="009770C4">
      <w:pPr>
        <w:pStyle w:val="NormalWeb"/>
        <w:shd w:val="clear" w:color="auto" w:fill="FFFFFF"/>
        <w:spacing w:after="396"/>
        <w:jc w:val="both"/>
        <w:textAlignment w:val="baseline"/>
        <w:rPr>
          <w:b/>
        </w:rPr>
      </w:pPr>
      <w:r w:rsidRPr="009770C4">
        <w:rPr>
          <w:b/>
        </w:rPr>
        <w:t>La Europa de las dos velocidades</w:t>
      </w:r>
    </w:p>
    <w:p w:rsidR="00825A59" w:rsidRPr="00825A59" w:rsidRDefault="00825A59" w:rsidP="00825A59">
      <w:pPr>
        <w:pStyle w:val="NormalWeb"/>
        <w:shd w:val="clear" w:color="auto" w:fill="FFFFFF"/>
        <w:spacing w:before="0" w:beforeAutospacing="0"/>
        <w:jc w:val="both"/>
      </w:pPr>
      <w:r w:rsidRPr="00825A59">
        <w:t>Uno de los mayores obstáculos que todavía existen en la Unión Europea para una mayor integración es el elevado número de asimetrías que encontramos en multitud de ámbitos entre los distintos países de la comunidad europea. Aquellos del plano económico son los más evidentes, y </w:t>
      </w:r>
      <w:hyperlink r:id="rId25" w:history="1">
        <w:r w:rsidRPr="00825A59">
          <w:rPr>
            <w:rStyle w:val="Hipervnculo"/>
            <w:color w:val="auto"/>
            <w:u w:val="none"/>
          </w:rPr>
          <w:t>han dificultado, por ejemplo, avanzar en los planteamientos de una futura unión fiscal</w:t>
        </w:r>
      </w:hyperlink>
      <w:r w:rsidRPr="00825A59">
        <w:t>.</w:t>
      </w:r>
    </w:p>
    <w:p w:rsidR="00825A59" w:rsidRDefault="00825A59" w:rsidP="00825A59">
      <w:pPr>
        <w:pStyle w:val="NormalWeb"/>
        <w:shd w:val="clear" w:color="auto" w:fill="FFFFFF"/>
        <w:spacing w:before="0" w:beforeAutospacing="0"/>
        <w:jc w:val="both"/>
      </w:pPr>
      <w:r w:rsidRPr="00825A59">
        <w:t>Más allá de cuestiones tributarias o de voluntad política, es evidente que, a pesar de encontrarse entre las economías más potentes de la Unión, el modelo productivo alemán y el español tienen poco que ver. </w:t>
      </w:r>
      <w:hyperlink r:id="rId26" w:history="1">
        <w:r>
          <w:rPr>
            <w:rStyle w:val="Hipervnculo"/>
            <w:color w:val="auto"/>
            <w:u w:val="none"/>
          </w:rPr>
          <w:t>Variables como el PIB -</w:t>
        </w:r>
        <w:r w:rsidRPr="00825A59">
          <w:rPr>
            <w:rStyle w:val="Hipervnculo"/>
            <w:color w:val="auto"/>
            <w:u w:val="none"/>
          </w:rPr>
          <w:t>o su derivada </w:t>
        </w:r>
        <w:r w:rsidRPr="00825A59">
          <w:rPr>
            <w:rStyle w:val="nfasis"/>
          </w:rPr>
          <w:t>per cápita</w:t>
        </w:r>
        <w:r>
          <w:rPr>
            <w:rStyle w:val="Hipervnculo"/>
            <w:color w:val="auto"/>
            <w:u w:val="none"/>
          </w:rPr>
          <w:t>-</w:t>
        </w:r>
        <w:r w:rsidRPr="00825A59">
          <w:rPr>
            <w:rStyle w:val="Hipervnculo"/>
            <w:color w:val="auto"/>
            <w:u w:val="none"/>
          </w:rPr>
          <w:t xml:space="preserve"> nos ayudan a entender este fenómeno</w:t>
        </w:r>
      </w:hyperlink>
      <w:r w:rsidRPr="00825A59">
        <w:t>, pero el músculo económico de un país es todavía más claro si repasamos el valor añadido que generan, ya que se pueden extraer conclusiones que abarcan desde la productividad hasta la propia estructura económica.</w:t>
      </w:r>
    </w:p>
    <w:p w:rsidR="009770C4" w:rsidRDefault="009770C4" w:rsidP="00825A59">
      <w:pPr>
        <w:pStyle w:val="NormalWeb"/>
        <w:shd w:val="clear" w:color="auto" w:fill="FFFFFF"/>
        <w:spacing w:before="0" w:beforeAutospacing="0"/>
        <w:jc w:val="both"/>
      </w:pPr>
      <w:r>
        <w:rPr>
          <w:noProof/>
        </w:rPr>
        <w:drawing>
          <wp:inline distT="0" distB="0" distL="0" distR="0">
            <wp:extent cx="5734050" cy="3797300"/>
            <wp:effectExtent l="0" t="0" r="0" b="0"/>
            <wp:docPr id="127" name="Imagen 127" descr="https://elordenmundial.com/wp-content/uploads/2019/02/Europa-Uni%C3%B3n-Europea-Econom%C3%ADa-Desarrollo-Empleo-Tecnolog%C3%ADa-Banana-azul-europ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lordenmundial.com/wp-content/uploads/2019/02/Europa-Uni%C3%B3n-Europea-Econom%C3%ADa-Desarrollo-Empleo-Tecnolog%C3%ADa-Banana-azul-europea.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795618"/>
                    </a:xfrm>
                    <a:prstGeom prst="rect">
                      <a:avLst/>
                    </a:prstGeom>
                    <a:noFill/>
                    <a:ln>
                      <a:noFill/>
                    </a:ln>
                  </pic:spPr>
                </pic:pic>
              </a:graphicData>
            </a:graphic>
          </wp:inline>
        </w:drawing>
      </w:r>
    </w:p>
    <w:p w:rsidR="009770C4" w:rsidRPr="00825A59" w:rsidRDefault="009770C4" w:rsidP="009770C4">
      <w:pPr>
        <w:shd w:val="clear" w:color="auto" w:fill="FFFFFF"/>
        <w:spacing w:line="240" w:lineRule="auto"/>
        <w:jc w:val="both"/>
        <w:rPr>
          <w:rFonts w:ascii="Times New Roman" w:hAnsi="Times New Roman" w:cs="Times New Roman"/>
          <w:sz w:val="24"/>
          <w:szCs w:val="24"/>
        </w:rPr>
      </w:pPr>
      <w:r w:rsidRPr="00825A59">
        <w:rPr>
          <w:rFonts w:ascii="Times New Roman" w:hAnsi="Times New Roman" w:cs="Times New Roman"/>
          <w:sz w:val="24"/>
          <w:szCs w:val="24"/>
        </w:rPr>
        <w:t>Las zonas de mayor riqueza de la Unión coinciden, en buena medida, con las de mayor valor añadido, lo cual no es casual. </w:t>
      </w:r>
      <w:r>
        <w:rPr>
          <w:rFonts w:ascii="Times New Roman" w:hAnsi="Times New Roman" w:cs="Times New Roman"/>
          <w:sz w:val="24"/>
          <w:szCs w:val="24"/>
        </w:rPr>
        <w:t>(</w:t>
      </w:r>
      <w:hyperlink r:id="rId28" w:history="1">
        <w:r w:rsidRPr="00825A59">
          <w:rPr>
            <w:rStyle w:val="Hipervnculo"/>
            <w:rFonts w:ascii="Times New Roman" w:hAnsi="Times New Roman" w:cs="Times New Roman"/>
            <w:color w:val="auto"/>
            <w:sz w:val="24"/>
            <w:szCs w:val="24"/>
            <w:u w:val="none"/>
          </w:rPr>
          <w:t>Fuente: El Orden Mundial</w:t>
        </w:r>
      </w:hyperlink>
      <w:r>
        <w:rPr>
          <w:rFonts w:ascii="Times New Roman" w:hAnsi="Times New Roman" w:cs="Times New Roman"/>
          <w:sz w:val="24"/>
          <w:szCs w:val="24"/>
        </w:rPr>
        <w:t xml:space="preserve"> - 30/4/19)</w:t>
      </w:r>
    </w:p>
    <w:p w:rsidR="00825A59" w:rsidRDefault="00825A59" w:rsidP="00825A59">
      <w:pPr>
        <w:pStyle w:val="NormalWeb"/>
        <w:shd w:val="clear" w:color="auto" w:fill="FFFFFF"/>
        <w:spacing w:before="0" w:beforeAutospacing="0"/>
        <w:jc w:val="both"/>
      </w:pPr>
      <w:r w:rsidRPr="00825A59">
        <w:lastRenderedPageBreak/>
        <w:t xml:space="preserve">A vista de mapa, la generación de valor añadido en la Unión Europea arroja una clara brecha entre el centro de la comunidad y la periferia de esta. Mientras que zonas económicamente muy pujantes como Alemania </w:t>
      </w:r>
      <w:r>
        <w:t>-</w:t>
      </w:r>
      <w:hyperlink r:id="rId29" w:history="1">
        <w:r w:rsidRPr="00825A59">
          <w:rPr>
            <w:rStyle w:val="Hipervnculo"/>
            <w:color w:val="auto"/>
            <w:u w:val="none"/>
          </w:rPr>
          <w:t>especialmente Baviera, un motor de primer nivel</w:t>
        </w:r>
      </w:hyperlink>
      <w:r>
        <w:t>-</w:t>
      </w:r>
      <w:r w:rsidRPr="00825A59">
        <w:t>, el norte de Italia, F</w:t>
      </w:r>
      <w:r w:rsidR="00BC2883">
        <w:t>rancia, los países del Benelux,</w:t>
      </w:r>
      <w:r w:rsidRPr="00825A59">
        <w:t> y los países nórdicos presentan niveles de valor añadido muy elevados y claramente superiores a la media comunitaria, otras regiones, sobre todo los antiguos países de la órbita soviética, Grecia, el centro y sur de Italia y prácticamente toda la península ibérica están por debajo de los estándares medios de la Unión.</w:t>
      </w:r>
    </w:p>
    <w:p w:rsidR="00825A59" w:rsidRPr="00825A59" w:rsidRDefault="00825A59" w:rsidP="009770C4">
      <w:pPr>
        <w:pStyle w:val="NormalWeb"/>
        <w:shd w:val="clear" w:color="auto" w:fill="FFFFFF"/>
        <w:spacing w:before="0" w:beforeAutospacing="0"/>
        <w:jc w:val="both"/>
      </w:pPr>
      <w:r w:rsidRPr="00825A59">
        <w:t xml:space="preserve">La explicación a este fenómeno tiene buena parte de su base en la disparidad de modelos productivos existentes en los distintos países. Mientras que aquellos de las economías más avanzadas se basan en una mayor aportación de la industria tecnológica, el I+D y un mercado más integrado, los países del este de Europa todavía se encuentran en transición, ya que provienen de modelos productivos con poco rendimiento; de igual manera, los países del sur de Europa aún presentan debilidades en sus modelos, como la dependencia de </w:t>
      </w:r>
      <w:r>
        <w:t>sectores de poco valor añadido -</w:t>
      </w:r>
      <w:r w:rsidRPr="00825A59">
        <w:t>pero que generan muc</w:t>
      </w:r>
      <w:r>
        <w:t>ha actividad económica y empleo-</w:t>
      </w:r>
      <w:r w:rsidRPr="00825A59">
        <w:t xml:space="preserve"> como el turismo.</w:t>
      </w:r>
    </w:p>
    <w:p w:rsidR="006E5F74" w:rsidRDefault="00825A59" w:rsidP="0019347A">
      <w:pPr>
        <w:pStyle w:val="NormalWeb"/>
        <w:shd w:val="clear" w:color="auto" w:fill="FFFFFF"/>
        <w:spacing w:after="396"/>
        <w:jc w:val="both"/>
        <w:textAlignment w:val="baseline"/>
        <w:rPr>
          <w:lang w:val="en-US"/>
        </w:rPr>
      </w:pPr>
      <w:r>
        <w:rPr>
          <w:noProof/>
        </w:rPr>
        <w:drawing>
          <wp:inline distT="0" distB="0" distL="0" distR="0">
            <wp:extent cx="5731510" cy="4060184"/>
            <wp:effectExtent l="0" t="0" r="2540" b="0"/>
            <wp:docPr id="121" name="Imagen 121" descr="https://elordenmundial.com/wp-content/uploads/2019/04/Europa-Uni%C3%B3n-Europea-Econom%C3%ADa-Desarrollo-Trabajo-Valor-a%C3%B1adido-por-hora-de-trabajo-1310x9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lordenmundial.com/wp-content/uploads/2019/04/Europa-Uni%C3%B3n-Europea-Econom%C3%ADa-Desarrollo-Trabajo-Valor-a%C3%B1adido-por-hora-de-trabajo-1310x928.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060184"/>
                    </a:xfrm>
                    <a:prstGeom prst="rect">
                      <a:avLst/>
                    </a:prstGeom>
                    <a:noFill/>
                    <a:ln>
                      <a:noFill/>
                    </a:ln>
                  </pic:spPr>
                </pic:pic>
              </a:graphicData>
            </a:graphic>
          </wp:inline>
        </w:drawing>
      </w:r>
    </w:p>
    <w:p w:rsidR="006E5F74" w:rsidRDefault="006E5F74" w:rsidP="0019347A">
      <w:pPr>
        <w:pStyle w:val="NormalWeb"/>
        <w:shd w:val="clear" w:color="auto" w:fill="FFFFFF"/>
        <w:spacing w:after="396"/>
        <w:jc w:val="both"/>
        <w:textAlignment w:val="baseline"/>
        <w:rPr>
          <w:lang w:val="en-US"/>
        </w:rPr>
      </w:pPr>
    </w:p>
    <w:p w:rsidR="006E5F74" w:rsidRDefault="006E5F74" w:rsidP="0019347A">
      <w:pPr>
        <w:pStyle w:val="NormalWeb"/>
        <w:shd w:val="clear" w:color="auto" w:fill="FFFFFF"/>
        <w:spacing w:after="396"/>
        <w:jc w:val="both"/>
        <w:textAlignment w:val="baseline"/>
        <w:rPr>
          <w:lang w:val="en-US"/>
        </w:rPr>
      </w:pPr>
    </w:p>
    <w:p w:rsidR="006E5F74" w:rsidRDefault="006E5F74" w:rsidP="0019347A">
      <w:pPr>
        <w:pStyle w:val="NormalWeb"/>
        <w:shd w:val="clear" w:color="auto" w:fill="FFFFFF"/>
        <w:spacing w:after="396"/>
        <w:jc w:val="both"/>
        <w:textAlignment w:val="baseline"/>
        <w:rPr>
          <w:lang w:val="en-US"/>
        </w:rPr>
      </w:pPr>
    </w:p>
    <w:p w:rsidR="006E5F74" w:rsidRDefault="006E5F74" w:rsidP="0019347A">
      <w:pPr>
        <w:pStyle w:val="NormalWeb"/>
        <w:shd w:val="clear" w:color="auto" w:fill="FFFFFF"/>
        <w:spacing w:after="396"/>
        <w:jc w:val="both"/>
        <w:textAlignment w:val="baseline"/>
        <w:rPr>
          <w:lang w:val="en-US"/>
        </w:rPr>
      </w:pPr>
    </w:p>
    <w:p w:rsidR="006E5F74" w:rsidRDefault="006E5F74" w:rsidP="0019347A">
      <w:pPr>
        <w:pStyle w:val="NormalWeb"/>
        <w:shd w:val="clear" w:color="auto" w:fill="FFFFFF"/>
        <w:spacing w:after="396"/>
        <w:jc w:val="both"/>
        <w:textAlignment w:val="baseline"/>
        <w:rPr>
          <w:lang w:val="en-US"/>
        </w:rPr>
      </w:pPr>
    </w:p>
    <w:p w:rsidR="006E5F74" w:rsidRPr="004D78C9" w:rsidRDefault="006E5F74" w:rsidP="0019347A">
      <w:pPr>
        <w:pStyle w:val="NormalWeb"/>
        <w:shd w:val="clear" w:color="auto" w:fill="FFFFFF"/>
        <w:spacing w:after="396"/>
        <w:jc w:val="both"/>
        <w:textAlignment w:val="baseline"/>
        <w:rPr>
          <w:b/>
          <w:lang w:val="en-US"/>
        </w:rPr>
      </w:pPr>
      <w:r w:rsidRPr="004D78C9">
        <w:rPr>
          <w:b/>
          <w:lang w:val="en-US"/>
        </w:rPr>
        <w:lastRenderedPageBreak/>
        <w:t>- ¿The end?</w:t>
      </w:r>
      <w:r w:rsidR="00CA7F1C" w:rsidRPr="004D78C9">
        <w:rPr>
          <w:b/>
          <w:lang w:val="en-US"/>
        </w:rPr>
        <w:t>...</w:t>
      </w:r>
      <w:r w:rsidRPr="004D78C9">
        <w:rPr>
          <w:b/>
          <w:lang w:val="en-US"/>
        </w:rPr>
        <w:t xml:space="preserve"> or ¿Begin the beguine (over and over)</w:t>
      </w:r>
      <w:r w:rsidR="00E84FE5">
        <w:rPr>
          <w:b/>
          <w:lang w:val="en-US"/>
        </w:rPr>
        <w:t>?</w:t>
      </w:r>
    </w:p>
    <w:p w:rsidR="00F0679B" w:rsidRPr="00CA7F1C" w:rsidRDefault="00F0679B" w:rsidP="00F0679B">
      <w:pPr>
        <w:pStyle w:val="NormalWeb"/>
        <w:shd w:val="clear" w:color="auto" w:fill="FFFFFF"/>
        <w:spacing w:after="396"/>
        <w:jc w:val="both"/>
        <w:textAlignment w:val="baseline"/>
        <w:rPr>
          <w:b/>
          <w:color w:val="FF0000"/>
        </w:rPr>
      </w:pPr>
      <w:r>
        <w:rPr>
          <w:noProof/>
        </w:rPr>
        <w:drawing>
          <wp:inline distT="0" distB="0" distL="0" distR="0">
            <wp:extent cx="5727201" cy="2590800"/>
            <wp:effectExtent l="0" t="0" r="6985" b="0"/>
            <wp:docPr id="9" name="Imagen 9" descr="acemoglu13_Mlenny Getty Images_berlinwalltheend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emoglu13_Mlenny Getty Images_berlinwalltheendsig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2592749"/>
                    </a:xfrm>
                    <a:prstGeom prst="rect">
                      <a:avLst/>
                    </a:prstGeom>
                    <a:noFill/>
                    <a:ln>
                      <a:noFill/>
                    </a:ln>
                  </pic:spPr>
                </pic:pic>
              </a:graphicData>
            </a:graphic>
          </wp:inline>
        </w:drawing>
      </w:r>
    </w:p>
    <w:p w:rsidR="00CA7F1C" w:rsidRDefault="00CA7F1C" w:rsidP="00CA7F1C">
      <w:pPr>
        <w:pStyle w:val="NormalWeb"/>
        <w:shd w:val="clear" w:color="auto" w:fill="FFFFFF"/>
        <w:spacing w:after="396"/>
        <w:jc w:val="both"/>
        <w:textAlignment w:val="baseline"/>
        <w:rPr>
          <w:b/>
        </w:rPr>
      </w:pPr>
      <w:r>
        <w:rPr>
          <w:b/>
        </w:rPr>
        <w:t>Financiación de la Unión Europea</w:t>
      </w:r>
      <w:r w:rsidR="009413E4">
        <w:rPr>
          <w:b/>
        </w:rPr>
        <w:t xml:space="preserve"> para el desarrollo (y cohesión) regional</w:t>
      </w:r>
    </w:p>
    <w:p w:rsidR="00CA7F1C" w:rsidRPr="009413E4" w:rsidRDefault="009413E4" w:rsidP="00CA7F1C">
      <w:pPr>
        <w:pStyle w:val="NormalWeb"/>
        <w:shd w:val="clear" w:color="auto" w:fill="FFFFFF"/>
        <w:spacing w:after="396"/>
        <w:jc w:val="both"/>
        <w:textAlignment w:val="baseline"/>
      </w:pPr>
      <w:r w:rsidRPr="009413E4">
        <w:t>“</w:t>
      </w:r>
      <w:r w:rsidR="00CA7F1C" w:rsidRPr="009413E4">
        <w:t>La política regional es la política de inversión principal de la UE</w:t>
      </w:r>
      <w:r w:rsidRPr="009413E4">
        <w:t>”</w:t>
      </w:r>
      <w:r w:rsidR="00CA7F1C" w:rsidRPr="009413E4">
        <w:t xml:space="preserve"> (sic)</w:t>
      </w:r>
    </w:p>
    <w:p w:rsidR="00CA7F1C" w:rsidRDefault="00CA7F1C" w:rsidP="00CA7F1C">
      <w:pPr>
        <w:pStyle w:val="NormalWeb"/>
        <w:shd w:val="clear" w:color="auto" w:fill="FFFFFF"/>
        <w:spacing w:after="396"/>
        <w:jc w:val="both"/>
        <w:textAlignment w:val="baseline"/>
      </w:pPr>
      <w:r>
        <w:t xml:space="preserve">Los objetivos de la política regional son apoyar la creación de empleo, la competitividad empresarial, el crecimiento económico, el desarrollo sostenible y la mejora de la calidad de vida de los ciudadanos en todas las regiones y ciudades de la Unión Europea.  </w:t>
      </w:r>
    </w:p>
    <w:p w:rsidR="00CA7F1C" w:rsidRDefault="00CA7F1C" w:rsidP="00CA7F1C">
      <w:pPr>
        <w:pStyle w:val="NormalWeb"/>
        <w:shd w:val="clear" w:color="auto" w:fill="FFFFFF"/>
        <w:spacing w:after="396"/>
        <w:jc w:val="both"/>
        <w:textAlignment w:val="baseline"/>
      </w:pPr>
      <w:r>
        <w:t xml:space="preserve">A fin de lograr estos objetivos y responder a las diversas necesidades en materia de desarrollo de todas las regiones de la UE, se han reservado 355 100 millones EUR -casi un tercio del presupuesto total de la UE- para la política de cohesión entre 2014-2020. </w:t>
      </w:r>
    </w:p>
    <w:p w:rsidR="00CA7F1C" w:rsidRDefault="00CA7F1C" w:rsidP="00CA7F1C">
      <w:pPr>
        <w:pStyle w:val="NormalWeb"/>
        <w:shd w:val="clear" w:color="auto" w:fill="FFFFFF"/>
        <w:spacing w:after="396"/>
        <w:jc w:val="both"/>
        <w:textAlignment w:val="baseline"/>
      </w:pPr>
      <w:r>
        <w:t>Cómo se distribuye la financiación</w:t>
      </w:r>
    </w:p>
    <w:p w:rsidR="00CA7F1C" w:rsidRDefault="00CA7F1C" w:rsidP="00CA7F1C">
      <w:pPr>
        <w:pStyle w:val="NormalWeb"/>
        <w:shd w:val="clear" w:color="auto" w:fill="FFFFFF"/>
        <w:spacing w:after="396"/>
        <w:jc w:val="both"/>
        <w:textAlignment w:val="baseline"/>
      </w:pPr>
      <w:r>
        <w:t>La política regional se ejecuta a través de dos fondos principales: el Fondo Europeo de Desarrollo Regional (FEDER) y el Fondo de Cohesión (FC).</w:t>
      </w:r>
    </w:p>
    <w:p w:rsidR="00CA7F1C" w:rsidRDefault="00CA7F1C" w:rsidP="00CA7F1C">
      <w:pPr>
        <w:pStyle w:val="NormalWeb"/>
        <w:shd w:val="clear" w:color="auto" w:fill="FFFFFF"/>
        <w:spacing w:after="396"/>
        <w:jc w:val="both"/>
        <w:textAlignment w:val="baseline"/>
      </w:pPr>
      <w:r>
        <w:t>Junto con el Fondo Social Europeo (FSE), el Fondo Europeo Agrícola de Desarrollo Rural (FEADER) y el Fondo Europeo Marítimo y de P</w:t>
      </w:r>
      <w:r w:rsidR="00C36FBA">
        <w:t>esca (FEMP), constituyen los</w:t>
      </w:r>
      <w:r>
        <w:t xml:space="preserve"> Fondos Estructurales y de Inversión Europeos.</w:t>
      </w:r>
    </w:p>
    <w:p w:rsidR="00814F29" w:rsidRPr="00814F29" w:rsidRDefault="00814F29" w:rsidP="00814F29">
      <w:pPr>
        <w:pStyle w:val="NormalWeb"/>
        <w:shd w:val="clear" w:color="auto" w:fill="FFFFFF"/>
        <w:spacing w:after="396"/>
        <w:jc w:val="both"/>
        <w:textAlignment w:val="baseline"/>
        <w:rPr>
          <w:b/>
        </w:rPr>
      </w:pPr>
      <w:r w:rsidRPr="00814F29">
        <w:rPr>
          <w:b/>
        </w:rPr>
        <w:t>Fondos estructurales y de inversión</w:t>
      </w:r>
    </w:p>
    <w:p w:rsidR="00814F29" w:rsidRDefault="00814F29" w:rsidP="00814F29">
      <w:pPr>
        <w:pStyle w:val="NormalWeb"/>
        <w:shd w:val="clear" w:color="auto" w:fill="FFFFFF"/>
        <w:spacing w:after="396"/>
        <w:jc w:val="both"/>
        <w:textAlignment w:val="baseline"/>
      </w:pPr>
      <w:r>
        <w:t>Los Fondos Estructurales y de Inversión Europeos son unos fondos que funcionan de modo conjunto a fin de apoyar la cohesión económica, social y territorial y alcanzar los objetivos de la Estrategia Europa 2020 de la Unión Europea (UE) para un crecimiento inteligente, sostenible e integrador.</w:t>
      </w:r>
    </w:p>
    <w:p w:rsidR="00814F29" w:rsidRDefault="00814F29" w:rsidP="00814F29">
      <w:pPr>
        <w:pStyle w:val="NormalWeb"/>
        <w:shd w:val="clear" w:color="auto" w:fill="FFFFFF"/>
        <w:spacing w:after="396"/>
        <w:jc w:val="both"/>
        <w:textAlignment w:val="baseline"/>
      </w:pPr>
      <w:r>
        <w:t>Existen cinco fondos:</w:t>
      </w:r>
    </w:p>
    <w:p w:rsidR="00315CAC" w:rsidRDefault="00315CAC" w:rsidP="00315CAC">
      <w:pPr>
        <w:pStyle w:val="NormalWeb"/>
        <w:shd w:val="clear" w:color="auto" w:fill="FFFFFF"/>
        <w:spacing w:after="396"/>
        <w:jc w:val="both"/>
        <w:textAlignment w:val="baseline"/>
      </w:pPr>
      <w:r>
        <w:t>Estos son los Fondos Estructurales y de Inversión Europeos:</w:t>
      </w:r>
    </w:p>
    <w:p w:rsidR="00315CAC" w:rsidRDefault="00315CAC" w:rsidP="00315CAC">
      <w:pPr>
        <w:pStyle w:val="NormalWeb"/>
        <w:shd w:val="clear" w:color="auto" w:fill="FFFFFF"/>
        <w:spacing w:after="396"/>
        <w:jc w:val="both"/>
        <w:textAlignment w:val="baseline"/>
      </w:pPr>
      <w:r>
        <w:lastRenderedPageBreak/>
        <w:t>Fondo Europeo de Desarrollo Regional (FEDER): fomenta el desarrollo equilibrado en las distintas regiones de la UE.</w:t>
      </w:r>
    </w:p>
    <w:p w:rsidR="00315CAC" w:rsidRDefault="00315CAC" w:rsidP="00315CAC">
      <w:pPr>
        <w:pStyle w:val="NormalWeb"/>
        <w:shd w:val="clear" w:color="auto" w:fill="FFFFFF"/>
        <w:spacing w:after="396"/>
        <w:jc w:val="both"/>
        <w:textAlignment w:val="baseline"/>
      </w:pPr>
      <w:r>
        <w:t>Fondo Social Europeo (FSE): apoya proyectos relacionados con el empleo en toda Europa e invierte en el capital humano europeo (trabajadores, jóvenes y demandantes de empleo).</w:t>
      </w:r>
    </w:p>
    <w:p w:rsidR="00315CAC" w:rsidRDefault="00315CAC" w:rsidP="00315CAC">
      <w:pPr>
        <w:pStyle w:val="NormalWeb"/>
        <w:shd w:val="clear" w:color="auto" w:fill="FFFFFF"/>
        <w:spacing w:after="396"/>
        <w:jc w:val="both"/>
        <w:textAlignment w:val="baseline"/>
      </w:pPr>
      <w:r>
        <w:t>Fondo de Cohesión (FC): financia proyectos de transporte y medio ambiente en países cuya renta nacional bruta (RNB) per cápita sea menor que el 90% de la media de la UE. En 2014-2020, estos países son Bulgaria, Chequia, Chipre, Croacia, Eslovaquia, Eslovenia, Estonia, Grecia, Hungría, Letonia, Lituania, Malta, Polonia, Portugal y Rumanía.</w:t>
      </w:r>
    </w:p>
    <w:p w:rsidR="00315CAC" w:rsidRDefault="00315CAC" w:rsidP="00315CAC">
      <w:pPr>
        <w:pStyle w:val="NormalWeb"/>
        <w:shd w:val="clear" w:color="auto" w:fill="FFFFFF"/>
        <w:spacing w:after="396"/>
        <w:jc w:val="both"/>
        <w:textAlignment w:val="baseline"/>
      </w:pPr>
      <w:r>
        <w:t>Fondo Europeo Agrícola de Desarrollo Rural (Feader): se centra en la resolución de problemas específicos de las zonas rurales de la UE.</w:t>
      </w:r>
    </w:p>
    <w:p w:rsidR="00315CAC" w:rsidRDefault="00315CAC" w:rsidP="00315CAC">
      <w:pPr>
        <w:pStyle w:val="NormalWeb"/>
        <w:shd w:val="clear" w:color="auto" w:fill="FFFFFF"/>
        <w:spacing w:after="396"/>
        <w:jc w:val="both"/>
        <w:textAlignment w:val="baseline"/>
      </w:pPr>
      <w:r>
        <w:t>Fondo Europeo Marítimo y de Pesca (FEMP): ayuda a los pescadores a practicar una pesca sostenible y a las comunidades costeras a diversificar sus economías, mejorando la calidad de vida en las zonas litorales europeas.</w:t>
      </w:r>
    </w:p>
    <w:p w:rsidR="00814F29" w:rsidRDefault="00814F29" w:rsidP="00814F29">
      <w:pPr>
        <w:pStyle w:val="NormalWeb"/>
        <w:shd w:val="clear" w:color="auto" w:fill="FFFFFF"/>
        <w:spacing w:after="396"/>
        <w:jc w:val="both"/>
        <w:textAlignment w:val="baseline"/>
      </w:pPr>
      <w:r>
        <w:t>Existen tres fondos enmarcados en la política de cohesión de la UE: el FEDER, el FSE y el FC. Todas las regiones de la UE son subvencionables por el FEDER y el FSE, pero solo las regiones menos desarrolladas pueden obtener la financiación del FC. Los fondos disponibles de la política de la UE para el pe</w:t>
      </w:r>
      <w:r w:rsidR="009413E4">
        <w:t>ríodo 2014-2020 ascienden a 351.</w:t>
      </w:r>
      <w:r>
        <w:t>800 millones EUR.</w:t>
      </w:r>
    </w:p>
    <w:p w:rsidR="00814F29" w:rsidRDefault="00814F29" w:rsidP="00814F29">
      <w:pPr>
        <w:pStyle w:val="NormalWeb"/>
        <w:shd w:val="clear" w:color="auto" w:fill="FFFFFF"/>
        <w:spacing w:after="396"/>
        <w:jc w:val="both"/>
        <w:textAlignment w:val="baseline"/>
      </w:pPr>
      <w:r>
        <w:t xml:space="preserve">Dos fondos adicionales, el Feader (en el marco de </w:t>
      </w:r>
      <w:r w:rsidR="009413E4">
        <w:t>la política agrícola común) (85.</w:t>
      </w:r>
      <w:r>
        <w:t>000 millones EUR) y el FEMP (en el marco de</w:t>
      </w:r>
      <w:r w:rsidR="009413E4">
        <w:t xml:space="preserve"> la política pesquera común) (6.</w:t>
      </w:r>
      <w:r>
        <w:t>500 millones EUR), se destinan específicamente a las necesidades de las regiones rurales y ma</w:t>
      </w:r>
      <w:r w:rsidR="009413E4">
        <w:t xml:space="preserve">rítimas, respectivamente. </w:t>
      </w:r>
      <w:r>
        <w:t>El presupuesto de estos fondos se complementará con el Fondo Europeo para Inversiones Estratégicas, anunciado en noviembre de 2014.</w:t>
      </w:r>
    </w:p>
    <w:p w:rsidR="00814F29" w:rsidRDefault="00814F29" w:rsidP="00814F29">
      <w:pPr>
        <w:pStyle w:val="NormalWeb"/>
        <w:shd w:val="clear" w:color="auto" w:fill="FFFFFF"/>
        <w:spacing w:after="396"/>
        <w:jc w:val="both"/>
        <w:textAlignment w:val="baseline"/>
      </w:pPr>
      <w:r>
        <w:t>Todos los fondos anteriores se destinan al objetivo de la UE de una cohesión económica, social y territorial, según lo establecido en el artículo 3 del Tratado de la Unión Europea y el artículo 174 del Tratado de Funcionamiento de la Unión Europea.</w:t>
      </w:r>
    </w:p>
    <w:p w:rsidR="00315CAC" w:rsidRDefault="00315CAC" w:rsidP="00315CAC">
      <w:pPr>
        <w:pStyle w:val="NormalWeb"/>
        <w:shd w:val="clear" w:color="auto" w:fill="FFFFFF"/>
        <w:spacing w:after="396"/>
        <w:jc w:val="both"/>
        <w:textAlignment w:val="baseline"/>
      </w:pPr>
      <w:r>
        <w:t>Apoyar el desarrollo económico</w:t>
      </w:r>
    </w:p>
    <w:p w:rsidR="00315CAC" w:rsidRDefault="00315CAC" w:rsidP="00315CAC">
      <w:pPr>
        <w:pStyle w:val="NormalWeb"/>
        <w:shd w:val="clear" w:color="auto" w:fill="FFFFFF"/>
        <w:spacing w:after="396"/>
        <w:jc w:val="both"/>
        <w:textAlignment w:val="baseline"/>
      </w:pPr>
      <w:r>
        <w:t xml:space="preserve">Más de la mitad de los fondos de la UE se canaliza a través de los cinco Fondos Estructurales y de Inversión Europeos (Fondos EIE), gestionados conjuntamente por la Comisión Europea y los países de la UE. </w:t>
      </w:r>
    </w:p>
    <w:p w:rsidR="00315CAC" w:rsidRDefault="00315CAC" w:rsidP="00315CAC">
      <w:pPr>
        <w:pStyle w:val="NormalWeb"/>
        <w:shd w:val="clear" w:color="auto" w:fill="FFFFFF"/>
        <w:spacing w:after="396"/>
        <w:jc w:val="both"/>
        <w:textAlignment w:val="baseline"/>
      </w:pPr>
      <w:r>
        <w:t>Todos esos fondos se destinan a invertir en la creación de empleo y en una economía y un medio ambiente europeos sostenibles y sanos.</w:t>
      </w:r>
    </w:p>
    <w:p w:rsidR="00315CAC" w:rsidRDefault="00315CAC" w:rsidP="00315CAC">
      <w:pPr>
        <w:pStyle w:val="NormalWeb"/>
        <w:shd w:val="clear" w:color="auto" w:fill="FFFFFF"/>
        <w:spacing w:after="396"/>
        <w:jc w:val="both"/>
        <w:textAlignment w:val="baseline"/>
      </w:pPr>
      <w:r>
        <w:t>Los Fondos EIE se concentran principalmente en cinco sectores:</w:t>
      </w:r>
    </w:p>
    <w:p w:rsidR="00315CAC" w:rsidRDefault="00315CAC" w:rsidP="00315CAC">
      <w:pPr>
        <w:pStyle w:val="NormalWeb"/>
        <w:numPr>
          <w:ilvl w:val="0"/>
          <w:numId w:val="12"/>
        </w:numPr>
        <w:shd w:val="clear" w:color="auto" w:fill="FFFFFF"/>
        <w:spacing w:after="396"/>
        <w:jc w:val="both"/>
        <w:textAlignment w:val="baseline"/>
      </w:pPr>
      <w:r>
        <w:t>investigación e innovación</w:t>
      </w:r>
    </w:p>
    <w:p w:rsidR="00315CAC" w:rsidRDefault="00315CAC" w:rsidP="00315CAC">
      <w:pPr>
        <w:pStyle w:val="NormalWeb"/>
        <w:numPr>
          <w:ilvl w:val="0"/>
          <w:numId w:val="12"/>
        </w:numPr>
        <w:shd w:val="clear" w:color="auto" w:fill="FFFFFF"/>
        <w:spacing w:after="396"/>
        <w:jc w:val="both"/>
        <w:textAlignment w:val="baseline"/>
      </w:pPr>
      <w:r>
        <w:t>tecnologías digitales</w:t>
      </w:r>
    </w:p>
    <w:p w:rsidR="00315CAC" w:rsidRDefault="00315CAC" w:rsidP="00315CAC">
      <w:pPr>
        <w:pStyle w:val="NormalWeb"/>
        <w:numPr>
          <w:ilvl w:val="0"/>
          <w:numId w:val="12"/>
        </w:numPr>
        <w:shd w:val="clear" w:color="auto" w:fill="FFFFFF"/>
        <w:spacing w:after="396"/>
        <w:jc w:val="both"/>
        <w:textAlignment w:val="baseline"/>
      </w:pPr>
      <w:r>
        <w:t>economía hipocarbónica</w:t>
      </w:r>
    </w:p>
    <w:p w:rsidR="00315CAC" w:rsidRDefault="00315CAC" w:rsidP="00315CAC">
      <w:pPr>
        <w:pStyle w:val="NormalWeb"/>
        <w:numPr>
          <w:ilvl w:val="0"/>
          <w:numId w:val="12"/>
        </w:numPr>
        <w:shd w:val="clear" w:color="auto" w:fill="FFFFFF"/>
        <w:spacing w:after="396"/>
        <w:jc w:val="both"/>
        <w:textAlignment w:val="baseline"/>
      </w:pPr>
      <w:r>
        <w:t>gestión sostenible de los recursos naturales</w:t>
      </w:r>
    </w:p>
    <w:p w:rsidR="00315CAC" w:rsidRDefault="00315CAC" w:rsidP="00315CAC">
      <w:pPr>
        <w:pStyle w:val="NormalWeb"/>
        <w:numPr>
          <w:ilvl w:val="0"/>
          <w:numId w:val="12"/>
        </w:numPr>
        <w:shd w:val="clear" w:color="auto" w:fill="FFFFFF"/>
        <w:spacing w:after="396"/>
        <w:jc w:val="both"/>
        <w:textAlignment w:val="baseline"/>
      </w:pPr>
      <w:r>
        <w:t>pequeñas empresas</w:t>
      </w:r>
    </w:p>
    <w:p w:rsidR="00315CAC" w:rsidRDefault="00315CAC" w:rsidP="00315CAC">
      <w:pPr>
        <w:pStyle w:val="NormalWeb"/>
        <w:shd w:val="clear" w:color="auto" w:fill="FFFFFF"/>
        <w:spacing w:after="396"/>
        <w:jc w:val="both"/>
        <w:textAlignment w:val="baseline"/>
      </w:pPr>
      <w:r>
        <w:lastRenderedPageBreak/>
        <w:t>Gestión de los fondos</w:t>
      </w:r>
    </w:p>
    <w:p w:rsidR="00315CAC" w:rsidRDefault="00315CAC" w:rsidP="00315CAC">
      <w:pPr>
        <w:pStyle w:val="NormalWeb"/>
        <w:shd w:val="clear" w:color="auto" w:fill="FFFFFF"/>
        <w:spacing w:after="396"/>
        <w:jc w:val="both"/>
        <w:textAlignment w:val="baseline"/>
      </w:pPr>
      <w:r>
        <w:t>Todos estos fondos los gestionan los propios países de la UE mediante acuerdos de asociación.</w:t>
      </w:r>
    </w:p>
    <w:p w:rsidR="00315CAC" w:rsidRDefault="00315CAC" w:rsidP="00315CAC">
      <w:pPr>
        <w:pStyle w:val="NormalWeb"/>
        <w:shd w:val="clear" w:color="auto" w:fill="FFFFFF"/>
        <w:spacing w:after="396"/>
        <w:jc w:val="both"/>
        <w:textAlignment w:val="baseline"/>
      </w:pPr>
      <w:r>
        <w:t>Cada país, en colaboración con la Comisión Europea, elabora un acuerdo que establece la manera en que se utilizarán los fondos durante el periodo actual de financiación (2014-2020).</w:t>
      </w:r>
    </w:p>
    <w:p w:rsidR="00315CAC" w:rsidRDefault="00315CAC" w:rsidP="00315CAC">
      <w:pPr>
        <w:pStyle w:val="NormalWeb"/>
        <w:shd w:val="clear" w:color="auto" w:fill="FFFFFF"/>
        <w:spacing w:after="396"/>
        <w:jc w:val="both"/>
        <w:textAlignment w:val="baseline"/>
      </w:pPr>
      <w:r>
        <w:t>Los acuerdos de asociación desembocan en una serie de programas de inversión que canalizan la financiación a las diferentes regiones y proyectos en los ámbitos de actuación correspondientes.</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Ámbitos de inversión</w:t>
      </w:r>
    </w:p>
    <w:p w:rsidR="005705EF"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xml:space="preserve">- </w:t>
      </w:r>
      <w:r>
        <w:rPr>
          <w:rFonts w:ascii="Times New Roman" w:hAnsi="Times New Roman" w:cs="Times New Roman"/>
          <w:sz w:val="24"/>
          <w:szCs w:val="24"/>
        </w:rPr>
        <w:t>Empleo, crecimiento e inversión</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Mercado único digital</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Unión de la energía y clima</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Mercado interior</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Unión económica y monetaria</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Justicia y derechos fundamentales</w:t>
      </w:r>
    </w:p>
    <w:p w:rsidR="005705EF" w:rsidRPr="00457527" w:rsidRDefault="005705EF" w:rsidP="005705EF">
      <w:pPr>
        <w:spacing w:line="240" w:lineRule="auto"/>
        <w:jc w:val="both"/>
        <w:rPr>
          <w:rFonts w:ascii="Times New Roman" w:hAnsi="Times New Roman" w:cs="Times New Roman"/>
          <w:sz w:val="24"/>
          <w:szCs w:val="24"/>
        </w:rPr>
      </w:pPr>
      <w:r w:rsidRPr="00457527">
        <w:rPr>
          <w:rFonts w:ascii="Times New Roman" w:hAnsi="Times New Roman" w:cs="Times New Roman"/>
          <w:sz w:val="24"/>
          <w:szCs w:val="24"/>
        </w:rPr>
        <w:t>- Migración</w:t>
      </w:r>
    </w:p>
    <w:p w:rsidR="00814F29" w:rsidRPr="00814F29" w:rsidRDefault="00814F29" w:rsidP="00814F29">
      <w:pPr>
        <w:pStyle w:val="NormalWeb"/>
        <w:shd w:val="clear" w:color="auto" w:fill="FFFFFF"/>
        <w:spacing w:after="396"/>
        <w:jc w:val="both"/>
        <w:textAlignment w:val="baseline"/>
        <w:rPr>
          <w:b/>
        </w:rPr>
      </w:pPr>
      <w:r w:rsidRPr="00814F29">
        <w:rPr>
          <w:b/>
        </w:rPr>
        <w:t>Fondo de Cohesión</w:t>
      </w:r>
    </w:p>
    <w:p w:rsidR="00814F29" w:rsidRPr="00814F29" w:rsidRDefault="00814F29" w:rsidP="00814F29">
      <w:pPr>
        <w:pStyle w:val="NormalWeb"/>
        <w:shd w:val="clear" w:color="auto" w:fill="FFFFFF"/>
        <w:spacing w:after="396"/>
        <w:jc w:val="both"/>
        <w:textAlignment w:val="baseline"/>
      </w:pPr>
      <w:r w:rsidRPr="00814F29">
        <w:t>El Fondo de Cohesión está destinado a los Estados miembros cuya RNB (renta nacional bruta) per cápita es inferior al 90 % de la renta media de la UE. Su objetivo es reducir las disparidades socioeconómicas y promover el desarrollo sostenible.</w:t>
      </w:r>
    </w:p>
    <w:p w:rsidR="00814F29" w:rsidRPr="00814F29" w:rsidRDefault="00814F29" w:rsidP="00814F29">
      <w:pPr>
        <w:pStyle w:val="NormalWeb"/>
        <w:shd w:val="clear" w:color="auto" w:fill="FFFFFF"/>
        <w:spacing w:after="396"/>
        <w:jc w:val="both"/>
        <w:textAlignment w:val="baseline"/>
      </w:pPr>
      <w:r w:rsidRPr="00814F29">
        <w:t>En la actualidad está sujeto a las mismas normas de programación, gestión y supervisión que el FEDER y el FSE a través del Reglamento sobre las disposiciones comunes (RDC).</w:t>
      </w:r>
    </w:p>
    <w:p w:rsidR="00814F29" w:rsidRPr="00814F29" w:rsidRDefault="00814F29" w:rsidP="00814F29">
      <w:pPr>
        <w:pStyle w:val="NormalWeb"/>
        <w:shd w:val="clear" w:color="auto" w:fill="FFFFFF"/>
        <w:spacing w:after="396"/>
        <w:jc w:val="both"/>
        <w:textAlignment w:val="baseline"/>
      </w:pPr>
      <w:r w:rsidRPr="00814F29">
        <w:t>Durante el periodo 2014-2020, el Fondo de Cohesión apoya a Bulgaria, Croacia, Chipre, Eslovaquia, Eslovenia, Estonia, Grecia, Hungría, Letonia, Lituania, Malta, Polonia, Portugal, República Checa y Rumanía.</w:t>
      </w:r>
    </w:p>
    <w:p w:rsidR="00814F29" w:rsidRPr="00814F29" w:rsidRDefault="00814F29" w:rsidP="00814F29">
      <w:pPr>
        <w:pStyle w:val="NormalWeb"/>
        <w:shd w:val="clear" w:color="auto" w:fill="FFFFFF"/>
        <w:spacing w:after="396"/>
        <w:jc w:val="both"/>
        <w:textAlignment w:val="baseline"/>
      </w:pPr>
      <w:r w:rsidRPr="00814F29">
        <w:t>El Fondo de Cohesión destina un total de 63.400 millones EUR a las actividades de las categorías siguientes:</w:t>
      </w:r>
    </w:p>
    <w:p w:rsidR="00814F29" w:rsidRPr="00814F29" w:rsidRDefault="00814F29" w:rsidP="00814F29">
      <w:pPr>
        <w:pStyle w:val="NormalWeb"/>
        <w:numPr>
          <w:ilvl w:val="0"/>
          <w:numId w:val="11"/>
        </w:numPr>
        <w:shd w:val="clear" w:color="auto" w:fill="FFFFFF"/>
        <w:spacing w:after="396"/>
        <w:jc w:val="both"/>
        <w:textAlignment w:val="baseline"/>
      </w:pPr>
      <w:r w:rsidRPr="00814F29">
        <w:t>redes transeuropeas de transporte, en particular los proyectos prioritarios de interés europeo identificados por la UE. El Fondo de Cohesión respaldará los proyectos de infraestructura en el marco del Instrumento de Interconexión para Europa;</w:t>
      </w:r>
    </w:p>
    <w:p w:rsidR="00814F29" w:rsidRPr="00814F29" w:rsidRDefault="00814F29" w:rsidP="00814F29">
      <w:pPr>
        <w:pStyle w:val="NormalWeb"/>
        <w:numPr>
          <w:ilvl w:val="0"/>
          <w:numId w:val="11"/>
        </w:numPr>
        <w:shd w:val="clear" w:color="auto" w:fill="FFFFFF"/>
        <w:spacing w:after="396"/>
        <w:jc w:val="both"/>
        <w:textAlignment w:val="baseline"/>
      </w:pPr>
      <w:r w:rsidRPr="00814F29">
        <w:t>medio ambiente: en este aspecto, el Fondo de Cohesión también dará impulso a los proyectos relacionados con la energía o el transporte, siempre que beneficien claramente al medio ambiente en términos de eficiencia energética, uso de energías renovables, desarrollo del transporte ferroviario, refuerzo de la intermodalidad, fortalecimiento del transporte público, etc.</w:t>
      </w:r>
    </w:p>
    <w:p w:rsidR="00814F29" w:rsidRDefault="00814F29" w:rsidP="00814F29">
      <w:pPr>
        <w:pStyle w:val="NormalWeb"/>
        <w:shd w:val="clear" w:color="auto" w:fill="FFFFFF"/>
        <w:spacing w:after="396"/>
        <w:jc w:val="both"/>
        <w:textAlignment w:val="baseline"/>
      </w:pPr>
      <w:r w:rsidRPr="00814F29">
        <w:lastRenderedPageBreak/>
        <w:t>La ayuda financiera del Fondo de Cohesión se puede suspender por una decisión del Consejo (tomada por una mayoría cualificada) si un Estado miembro muestra un déficit público excesivo y no ha resuelto la situación o no ha tomado las medidas oportunas para solucionarla.</w:t>
      </w:r>
    </w:p>
    <w:p w:rsidR="00814F29" w:rsidRPr="00814F29" w:rsidRDefault="00814F29" w:rsidP="00814F29">
      <w:pPr>
        <w:pStyle w:val="NormalWeb"/>
        <w:shd w:val="clear" w:color="auto" w:fill="FFFFFF"/>
        <w:spacing w:after="396"/>
        <w:jc w:val="both"/>
        <w:textAlignment w:val="baseline"/>
        <w:rPr>
          <w:b/>
        </w:rPr>
      </w:pPr>
      <w:r w:rsidRPr="00814F29">
        <w:rPr>
          <w:b/>
        </w:rPr>
        <w:t>Fondo Europeo de Desarrollo Regional</w:t>
      </w:r>
    </w:p>
    <w:p w:rsidR="00814F29" w:rsidRDefault="00814F29" w:rsidP="00814F29">
      <w:pPr>
        <w:pStyle w:val="NormalWeb"/>
        <w:shd w:val="clear" w:color="auto" w:fill="FFFFFF"/>
        <w:spacing w:after="396"/>
        <w:jc w:val="both"/>
        <w:textAlignment w:val="baseline"/>
      </w:pPr>
      <w:r>
        <w:t>El Fondo Europeo de Desarrollo Regional (FEDER) tiene como objetivo fortalecer la cohesión socioeconómica dentro de la Unión Europea corrigiendo los desequilibrios entre sus regiones.</w:t>
      </w:r>
    </w:p>
    <w:p w:rsidR="00814F29" w:rsidRDefault="00814F29" w:rsidP="00814F29">
      <w:pPr>
        <w:pStyle w:val="NormalWeb"/>
        <w:shd w:val="clear" w:color="auto" w:fill="FFFFFF"/>
        <w:spacing w:after="396"/>
        <w:jc w:val="both"/>
        <w:textAlignment w:val="baseline"/>
      </w:pPr>
      <w:r>
        <w:t>El FEDER centra sus inversiones en varias áreas prioritarias clave. Esto se conoce como “concentración temática”:</w:t>
      </w:r>
    </w:p>
    <w:p w:rsidR="00814F29" w:rsidRDefault="00814F29" w:rsidP="00814F29">
      <w:pPr>
        <w:pStyle w:val="NormalWeb"/>
        <w:numPr>
          <w:ilvl w:val="0"/>
          <w:numId w:val="11"/>
        </w:numPr>
        <w:shd w:val="clear" w:color="auto" w:fill="FFFFFF"/>
        <w:spacing w:after="396"/>
        <w:jc w:val="both"/>
        <w:textAlignment w:val="baseline"/>
      </w:pPr>
      <w:r>
        <w:t>innovación e investigación,</w:t>
      </w:r>
    </w:p>
    <w:p w:rsidR="00814F29" w:rsidRDefault="00814F29" w:rsidP="00814F29">
      <w:pPr>
        <w:pStyle w:val="NormalWeb"/>
        <w:numPr>
          <w:ilvl w:val="0"/>
          <w:numId w:val="11"/>
        </w:numPr>
        <w:shd w:val="clear" w:color="auto" w:fill="FFFFFF"/>
        <w:spacing w:after="396"/>
        <w:jc w:val="both"/>
        <w:textAlignment w:val="baseline"/>
      </w:pPr>
      <w:r>
        <w:t>programa digital,</w:t>
      </w:r>
    </w:p>
    <w:p w:rsidR="00814F29" w:rsidRDefault="00814F29" w:rsidP="00814F29">
      <w:pPr>
        <w:pStyle w:val="NormalWeb"/>
        <w:numPr>
          <w:ilvl w:val="0"/>
          <w:numId w:val="11"/>
        </w:numPr>
        <w:shd w:val="clear" w:color="auto" w:fill="FFFFFF"/>
        <w:spacing w:after="396"/>
        <w:jc w:val="both"/>
        <w:textAlignment w:val="baseline"/>
      </w:pPr>
      <w:r>
        <w:t>apoyo a las pequeñas y medianas empresas (pymes),</w:t>
      </w:r>
    </w:p>
    <w:p w:rsidR="00814F29" w:rsidRDefault="00814F29" w:rsidP="00814F29">
      <w:pPr>
        <w:pStyle w:val="NormalWeb"/>
        <w:numPr>
          <w:ilvl w:val="0"/>
          <w:numId w:val="11"/>
        </w:numPr>
        <w:shd w:val="clear" w:color="auto" w:fill="FFFFFF"/>
        <w:spacing w:after="396"/>
        <w:jc w:val="both"/>
        <w:textAlignment w:val="baseline"/>
      </w:pPr>
      <w:r>
        <w:t>economía de bajas emisiones de carbono.</w:t>
      </w:r>
    </w:p>
    <w:p w:rsidR="00814F29" w:rsidRDefault="00814F29" w:rsidP="00814F29">
      <w:pPr>
        <w:pStyle w:val="NormalWeb"/>
        <w:shd w:val="clear" w:color="auto" w:fill="FFFFFF"/>
        <w:spacing w:after="396"/>
        <w:jc w:val="both"/>
        <w:textAlignment w:val="baseline"/>
      </w:pPr>
      <w:r>
        <w:t>Los recursos del FEDER asignados a estas prioridades dependerán de la categoría de la región.</w:t>
      </w:r>
    </w:p>
    <w:p w:rsidR="00814F29" w:rsidRDefault="00814F29" w:rsidP="00814F29">
      <w:pPr>
        <w:pStyle w:val="NormalWeb"/>
        <w:numPr>
          <w:ilvl w:val="0"/>
          <w:numId w:val="11"/>
        </w:numPr>
        <w:shd w:val="clear" w:color="auto" w:fill="FFFFFF"/>
        <w:spacing w:after="396"/>
        <w:jc w:val="both"/>
        <w:textAlignment w:val="baseline"/>
      </w:pPr>
      <w:r>
        <w:t>en las regiones más desarrolladas, al menos un 80 % de los fondos debe centrarse en dos de estas prioridades como mínimo,</w:t>
      </w:r>
    </w:p>
    <w:p w:rsidR="00814F29" w:rsidRDefault="00814F29" w:rsidP="00814F29">
      <w:pPr>
        <w:pStyle w:val="NormalWeb"/>
        <w:numPr>
          <w:ilvl w:val="0"/>
          <w:numId w:val="11"/>
        </w:numPr>
        <w:shd w:val="clear" w:color="auto" w:fill="FFFFFF"/>
        <w:spacing w:after="396"/>
        <w:jc w:val="both"/>
        <w:textAlignment w:val="baseline"/>
      </w:pPr>
      <w:r>
        <w:t>en las regiones en transición, el límite mínimo es de un 60 % de los fondos,</w:t>
      </w:r>
    </w:p>
    <w:p w:rsidR="00814F29" w:rsidRDefault="00814F29" w:rsidP="00814F29">
      <w:pPr>
        <w:pStyle w:val="NormalWeb"/>
        <w:numPr>
          <w:ilvl w:val="0"/>
          <w:numId w:val="11"/>
        </w:numPr>
        <w:shd w:val="clear" w:color="auto" w:fill="FFFFFF"/>
        <w:spacing w:after="396"/>
        <w:jc w:val="both"/>
        <w:textAlignment w:val="baseline"/>
      </w:pPr>
      <w:r>
        <w:t>para las regiones menos desarrolladas, el mínimo es del 50 %.</w:t>
      </w:r>
    </w:p>
    <w:p w:rsidR="00814F29" w:rsidRDefault="00814F29" w:rsidP="00814F29">
      <w:pPr>
        <w:pStyle w:val="NormalWeb"/>
        <w:shd w:val="clear" w:color="auto" w:fill="FFFFFF"/>
        <w:spacing w:after="396"/>
        <w:jc w:val="both"/>
        <w:textAlignment w:val="baseline"/>
      </w:pPr>
      <w:r>
        <w:t>Además, algunos de los recursos del FEDER deben destinarse específicamente a proyectos de economía de bajas emisiones de carbono:</w:t>
      </w:r>
    </w:p>
    <w:p w:rsidR="00814F29" w:rsidRDefault="00814F29" w:rsidP="00814F29">
      <w:pPr>
        <w:pStyle w:val="NormalWeb"/>
        <w:numPr>
          <w:ilvl w:val="0"/>
          <w:numId w:val="11"/>
        </w:numPr>
        <w:shd w:val="clear" w:color="auto" w:fill="FFFFFF"/>
        <w:spacing w:after="396"/>
        <w:jc w:val="both"/>
        <w:textAlignment w:val="baseline"/>
      </w:pPr>
      <w:r>
        <w:t>en las regiones más desarrolladas: 20 %,</w:t>
      </w:r>
    </w:p>
    <w:p w:rsidR="00814F29" w:rsidRDefault="00814F29" w:rsidP="00814F29">
      <w:pPr>
        <w:pStyle w:val="NormalWeb"/>
        <w:numPr>
          <w:ilvl w:val="0"/>
          <w:numId w:val="11"/>
        </w:numPr>
        <w:shd w:val="clear" w:color="auto" w:fill="FFFFFF"/>
        <w:spacing w:after="396"/>
        <w:jc w:val="both"/>
        <w:textAlignment w:val="baseline"/>
      </w:pPr>
      <w:r>
        <w:t>en las regiones en transición: 15 %,</w:t>
      </w:r>
    </w:p>
    <w:p w:rsidR="00814F29" w:rsidRDefault="00814F29" w:rsidP="00814F29">
      <w:pPr>
        <w:pStyle w:val="NormalWeb"/>
        <w:numPr>
          <w:ilvl w:val="0"/>
          <w:numId w:val="11"/>
        </w:numPr>
        <w:shd w:val="clear" w:color="auto" w:fill="FFFFFF"/>
        <w:spacing w:after="396"/>
        <w:jc w:val="both"/>
        <w:textAlignment w:val="baseline"/>
      </w:pPr>
      <w:r>
        <w:t>en las regiones menos desarrolladas: 12 %.</w:t>
      </w:r>
    </w:p>
    <w:p w:rsidR="00814F29" w:rsidRDefault="00814F29" w:rsidP="00814F29">
      <w:pPr>
        <w:pStyle w:val="NormalWeb"/>
        <w:shd w:val="clear" w:color="auto" w:fill="FFFFFF"/>
        <w:spacing w:after="396"/>
        <w:jc w:val="both"/>
        <w:textAlignment w:val="baseline"/>
      </w:pPr>
      <w:r>
        <w:t>Cooperación territorial europea</w:t>
      </w:r>
    </w:p>
    <w:p w:rsidR="00814F29" w:rsidRDefault="00814F29" w:rsidP="00814F29">
      <w:pPr>
        <w:pStyle w:val="NormalWeb"/>
        <w:shd w:val="clear" w:color="auto" w:fill="FFFFFF"/>
        <w:spacing w:after="396"/>
        <w:jc w:val="both"/>
        <w:textAlignment w:val="baseline"/>
      </w:pPr>
      <w:r>
        <w:t>En el marco de los programas de Cooperación territorial europea, al menos un 80 % de los fondos se concentrarán en las cuatro áreas prioritarias mencionadas anteriormente.</w:t>
      </w:r>
    </w:p>
    <w:p w:rsidR="00814F29" w:rsidRDefault="00814F29" w:rsidP="00814F29">
      <w:pPr>
        <w:pStyle w:val="NormalWeb"/>
        <w:shd w:val="clear" w:color="auto" w:fill="FFFFFF"/>
        <w:spacing w:after="396"/>
        <w:jc w:val="both"/>
        <w:textAlignment w:val="baseline"/>
      </w:pPr>
      <w:r>
        <w:t>Características territoriales específicas</w:t>
      </w:r>
    </w:p>
    <w:p w:rsidR="00814F29" w:rsidRDefault="00814F29" w:rsidP="00814F29">
      <w:pPr>
        <w:pStyle w:val="NormalWeb"/>
        <w:shd w:val="clear" w:color="auto" w:fill="FFFFFF"/>
        <w:spacing w:after="396"/>
        <w:jc w:val="both"/>
        <w:textAlignment w:val="baseline"/>
      </w:pPr>
      <w:r>
        <w:t xml:space="preserve">El FEDER presta especial atención a las características específicas de cada región. La acción del FEDER se ha diseñado para reducir los problemas socioeconómicos y medioambientales en las áreas urbanas y se centra especialmente en el desarrollo urbano sostenible. Al menos un 5 % de los recursos del FEDER se reserva para </w:t>
      </w:r>
      <w:r w:rsidR="009413E4">
        <w:t>este cometido, a través de las “acciones integradas”</w:t>
      </w:r>
      <w:r>
        <w:t xml:space="preserve"> gestionadas por las ciudades.</w:t>
      </w:r>
    </w:p>
    <w:p w:rsidR="00814F29" w:rsidRDefault="00814F29" w:rsidP="00814F29">
      <w:pPr>
        <w:pStyle w:val="NormalWeb"/>
        <w:shd w:val="clear" w:color="auto" w:fill="FFFFFF"/>
        <w:spacing w:after="396"/>
        <w:jc w:val="both"/>
        <w:textAlignment w:val="baseline"/>
      </w:pPr>
      <w:r>
        <w:t xml:space="preserve">Las zonas desfavorecidas por causas naturales desde el punto de vista geográfico (zonas remotas, montañosas o poco pobladas) se benefician de un tratamiento especial. Por último, </w:t>
      </w:r>
      <w:r>
        <w:lastRenderedPageBreak/>
        <w:t>las zonas ultraperiféricas también se benefician de la ayuda específica del FEDER para solucionar los posibles inconvenientes debidos a su lejanía.</w:t>
      </w:r>
    </w:p>
    <w:p w:rsidR="00814F29" w:rsidRPr="00814F29" w:rsidRDefault="00814F29" w:rsidP="00814F29">
      <w:pPr>
        <w:pStyle w:val="NormalWeb"/>
        <w:shd w:val="clear" w:color="auto" w:fill="FFFFFF"/>
        <w:spacing w:after="396"/>
        <w:jc w:val="both"/>
        <w:textAlignment w:val="baseline"/>
        <w:rPr>
          <w:b/>
        </w:rPr>
      </w:pPr>
      <w:r w:rsidRPr="00814F29">
        <w:rPr>
          <w:b/>
        </w:rPr>
        <w:t>Fondo Social Europeo</w:t>
      </w:r>
    </w:p>
    <w:p w:rsidR="00814F29" w:rsidRDefault="00814F29" w:rsidP="00814F29">
      <w:pPr>
        <w:pStyle w:val="NormalWeb"/>
        <w:shd w:val="clear" w:color="auto" w:fill="FFFFFF"/>
        <w:spacing w:after="396"/>
        <w:jc w:val="both"/>
        <w:textAlignment w:val="baseline"/>
      </w:pPr>
      <w:r>
        <w:t>El Fondo Social Europeo (FSE) invierte en las personas y se centra en mejorar las oportunidades de empleo y educación en toda la Unión Europea. Asimismo aspira a mejorar la situación de las personas que están al borde de la pobreza.</w:t>
      </w:r>
    </w:p>
    <w:p w:rsidR="00814F29" w:rsidRDefault="00814F29" w:rsidP="00814F29">
      <w:pPr>
        <w:pStyle w:val="NormalWeb"/>
        <w:shd w:val="clear" w:color="auto" w:fill="FFFFFF"/>
        <w:spacing w:after="396"/>
        <w:jc w:val="both"/>
        <w:textAlignment w:val="baseline"/>
      </w:pPr>
      <w:r>
        <w:t>Las inversiones del FSE cubren todas las regiones de la UE. Para el periodo 2014-2020, se han destinado más de 80.000 millones de euros a la inversión en capital humano en los Estados miembros, además de un mínimo de 3.200 millones asignados a la Iniciativa sobre Empleo Juvenil.</w:t>
      </w:r>
    </w:p>
    <w:p w:rsidR="00814F29" w:rsidRDefault="00814F29" w:rsidP="00814F29">
      <w:pPr>
        <w:pStyle w:val="NormalWeb"/>
        <w:shd w:val="clear" w:color="auto" w:fill="FFFFFF"/>
        <w:spacing w:after="396"/>
        <w:jc w:val="both"/>
        <w:textAlignment w:val="baseline"/>
      </w:pPr>
      <w:r>
        <w:t>En el periodo 2014-2020, el FSE se centrará en cuatro de los objetivos temáticos de la política de cohesión, a saber:</w:t>
      </w:r>
    </w:p>
    <w:p w:rsidR="00814F29" w:rsidRDefault="00814F29" w:rsidP="00814F29">
      <w:pPr>
        <w:pStyle w:val="NormalWeb"/>
        <w:numPr>
          <w:ilvl w:val="0"/>
          <w:numId w:val="11"/>
        </w:numPr>
        <w:shd w:val="clear" w:color="auto" w:fill="FFFFFF"/>
        <w:spacing w:after="396"/>
        <w:jc w:val="both"/>
        <w:textAlignment w:val="baseline"/>
      </w:pPr>
      <w:r>
        <w:t>promoción del empleo y apoyo a la movilidad laboral,</w:t>
      </w:r>
    </w:p>
    <w:p w:rsidR="00814F29" w:rsidRDefault="00814F29" w:rsidP="00814F29">
      <w:pPr>
        <w:pStyle w:val="NormalWeb"/>
        <w:numPr>
          <w:ilvl w:val="0"/>
          <w:numId w:val="11"/>
        </w:numPr>
        <w:shd w:val="clear" w:color="auto" w:fill="FFFFFF"/>
        <w:spacing w:after="396"/>
        <w:jc w:val="both"/>
        <w:textAlignment w:val="baseline"/>
      </w:pPr>
      <w:r>
        <w:t>promoción de la inclusión social y lucha contra la pobreza,</w:t>
      </w:r>
    </w:p>
    <w:p w:rsidR="00814F29" w:rsidRDefault="00814F29" w:rsidP="00814F29">
      <w:pPr>
        <w:pStyle w:val="NormalWeb"/>
        <w:numPr>
          <w:ilvl w:val="0"/>
          <w:numId w:val="11"/>
        </w:numPr>
        <w:shd w:val="clear" w:color="auto" w:fill="FFFFFF"/>
        <w:spacing w:after="396"/>
        <w:jc w:val="both"/>
        <w:textAlignment w:val="baseline"/>
      </w:pPr>
      <w:r>
        <w:t>inversiones en educación, capacitación y aprendizaje permanente,</w:t>
      </w:r>
    </w:p>
    <w:p w:rsidR="00814F29" w:rsidRDefault="00814F29" w:rsidP="00814F29">
      <w:pPr>
        <w:pStyle w:val="NormalWeb"/>
        <w:numPr>
          <w:ilvl w:val="0"/>
          <w:numId w:val="11"/>
        </w:numPr>
        <w:shd w:val="clear" w:color="auto" w:fill="FFFFFF"/>
        <w:spacing w:after="396"/>
        <w:jc w:val="both"/>
        <w:textAlignment w:val="baseline"/>
      </w:pPr>
      <w:r>
        <w:t>mejora de la capacidad institucional y de la eficacia de la administración pública.</w:t>
      </w:r>
    </w:p>
    <w:p w:rsidR="00814F29" w:rsidRDefault="00814F29" w:rsidP="00814F29">
      <w:pPr>
        <w:pStyle w:val="NormalWeb"/>
        <w:shd w:val="clear" w:color="auto" w:fill="FFFFFF"/>
        <w:spacing w:after="396"/>
        <w:jc w:val="both"/>
        <w:textAlignment w:val="baseline"/>
      </w:pPr>
      <w:r>
        <w:t>Además, un 20 % de las inversiones del FSE se destinarán a actividades que mejoren la inclusión social y combatan l</w:t>
      </w:r>
      <w:r w:rsidR="00315CAC">
        <w:t>a pobreza. Esto se conoce como “concentración temática”</w:t>
      </w:r>
      <w:r>
        <w:t>.</w:t>
      </w:r>
    </w:p>
    <w:p w:rsidR="00315CAC" w:rsidRDefault="00315CAC" w:rsidP="00814F29">
      <w:pPr>
        <w:pStyle w:val="NormalWeb"/>
        <w:shd w:val="clear" w:color="auto" w:fill="FFFFFF"/>
        <w:spacing w:after="396"/>
        <w:jc w:val="both"/>
        <w:textAlignment w:val="baseline"/>
        <w:rPr>
          <w:b/>
        </w:rPr>
      </w:pPr>
      <w:r w:rsidRPr="00315CAC">
        <w:rPr>
          <w:b/>
        </w:rPr>
        <w:t>Acceso a la financiación</w:t>
      </w:r>
    </w:p>
    <w:p w:rsidR="009413E4" w:rsidRPr="00315CAC" w:rsidRDefault="009413E4" w:rsidP="00814F29">
      <w:pPr>
        <w:pStyle w:val="NormalWeb"/>
        <w:shd w:val="clear" w:color="auto" w:fill="FFFFFF"/>
        <w:spacing w:after="396"/>
        <w:jc w:val="both"/>
        <w:textAlignment w:val="baseline"/>
        <w:rPr>
          <w:b/>
        </w:rPr>
      </w:pPr>
      <w:r>
        <w:rPr>
          <w:noProof/>
        </w:rPr>
        <w:drawing>
          <wp:inline distT="0" distB="0" distL="0" distR="0">
            <wp:extent cx="5725169" cy="2813050"/>
            <wp:effectExtent l="0" t="0" r="8890" b="6350"/>
            <wp:docPr id="129" name="Imagen 129" descr="https://europa.eu/youreurope/business/_static/images/a2f/how-it-works_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uropa.eu/youreurope/business/_static/images/a2f/how-it-works_e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2816166"/>
                    </a:xfrm>
                    <a:prstGeom prst="rect">
                      <a:avLst/>
                    </a:prstGeom>
                    <a:noFill/>
                    <a:ln>
                      <a:noFill/>
                    </a:ln>
                  </pic:spPr>
                </pic:pic>
              </a:graphicData>
            </a:graphic>
          </wp:inline>
        </w:drawing>
      </w:r>
    </w:p>
    <w:p w:rsidR="00315CAC" w:rsidRDefault="00315CAC" w:rsidP="00315CAC">
      <w:pPr>
        <w:pStyle w:val="NormalWeb"/>
        <w:shd w:val="clear" w:color="auto" w:fill="FFFFFF"/>
        <w:spacing w:after="396"/>
        <w:jc w:val="both"/>
        <w:textAlignment w:val="baseline"/>
      </w:pPr>
      <w:r>
        <w:t>Quién puede optar a los fondos de la UE</w:t>
      </w:r>
    </w:p>
    <w:p w:rsidR="00315CAC" w:rsidRDefault="00315CAC" w:rsidP="00315CAC">
      <w:pPr>
        <w:pStyle w:val="NormalWeb"/>
        <w:shd w:val="clear" w:color="auto" w:fill="FFFFFF"/>
        <w:spacing w:after="396"/>
        <w:jc w:val="both"/>
        <w:textAlignment w:val="baseline"/>
      </w:pPr>
      <w:r>
        <w:t xml:space="preserve">La financiación de la UE está a disposición de todos los tipos de empresas de cualquier tamaño y sector, como proyectos de emprendimiento, empresas emergentes, microempresas, pymes y grandes empresas. Las formas de financiación son de todo tipo: préstamos a </w:t>
      </w:r>
      <w:r>
        <w:lastRenderedPageBreak/>
        <w:t>empresas, microfinanciación, garantías y capital riesgo. Cada año, la UE ayuda a más de 200.000 empresas.</w:t>
      </w:r>
    </w:p>
    <w:p w:rsidR="00315CAC" w:rsidRDefault="00315CAC" w:rsidP="00315CAC">
      <w:pPr>
        <w:pStyle w:val="NormalWeb"/>
        <w:shd w:val="clear" w:color="auto" w:fill="FFFFFF"/>
        <w:spacing w:after="396"/>
        <w:jc w:val="both"/>
        <w:textAlignment w:val="baseline"/>
      </w:pPr>
      <w:r>
        <w:t>Cómo funciona</w:t>
      </w:r>
    </w:p>
    <w:p w:rsidR="00315CAC" w:rsidRDefault="00315CAC" w:rsidP="00315CAC">
      <w:pPr>
        <w:pStyle w:val="NormalWeb"/>
        <w:shd w:val="clear" w:color="auto" w:fill="FFFFFF"/>
        <w:spacing w:after="396"/>
        <w:jc w:val="both"/>
        <w:textAlignment w:val="baseline"/>
      </w:pPr>
      <w:r>
        <w:t>La decisión de conceder financiación de la UE será adoptada por las entidades financieras locales (bancos, inversores de capital riesgo o inversores providenciales). Gracias al apoyo de la UE, las entidades financieras locales pueden ofrecer financiación adicional a las empresas.</w:t>
      </w:r>
    </w:p>
    <w:p w:rsidR="00CA7F1C" w:rsidRPr="00CA7F1C" w:rsidRDefault="00CA7F1C" w:rsidP="00CA7F1C">
      <w:pPr>
        <w:pStyle w:val="NormalWeb"/>
        <w:shd w:val="clear" w:color="auto" w:fill="FFFFFF"/>
        <w:spacing w:after="396"/>
        <w:jc w:val="both"/>
        <w:textAlignment w:val="baseline"/>
        <w:rPr>
          <w:b/>
        </w:rPr>
      </w:pPr>
      <w:r w:rsidRPr="00CA7F1C">
        <w:rPr>
          <w:b/>
        </w:rPr>
        <w:t>Programa COSME</w:t>
      </w:r>
    </w:p>
    <w:p w:rsidR="005705EF" w:rsidRDefault="00CA7F1C" w:rsidP="00CA7F1C">
      <w:pPr>
        <w:pStyle w:val="NormalWeb"/>
        <w:shd w:val="clear" w:color="auto" w:fill="FFFFFF"/>
        <w:spacing w:after="396"/>
        <w:jc w:val="both"/>
        <w:textAlignment w:val="baseline"/>
      </w:pPr>
      <w:r w:rsidRPr="00CA7F1C">
        <w:t xml:space="preserve">Garantías a las pequeñas y medianas empresas para obtener préstamos, en general </w:t>
      </w:r>
      <w:r w:rsidR="005705EF">
        <w:t>por un máximo de 150.000 euros.</w:t>
      </w:r>
    </w:p>
    <w:p w:rsidR="00CA7F1C" w:rsidRDefault="00CA7F1C" w:rsidP="00CA7F1C">
      <w:pPr>
        <w:pStyle w:val="NormalWeb"/>
        <w:shd w:val="clear" w:color="auto" w:fill="FFFFFF"/>
        <w:spacing w:after="396"/>
        <w:jc w:val="both"/>
        <w:textAlignment w:val="baseline"/>
      </w:pPr>
      <w:r w:rsidRPr="00CA7F1C">
        <w:t>Aportaciones de capital (etapas de crecimiento y expansión).</w:t>
      </w:r>
    </w:p>
    <w:p w:rsidR="00CA7F1C" w:rsidRPr="004D78C9" w:rsidRDefault="00CA7F1C" w:rsidP="00CA7F1C">
      <w:pPr>
        <w:pStyle w:val="NormalWeb"/>
        <w:shd w:val="clear" w:color="auto" w:fill="FFFFFF"/>
        <w:spacing w:after="396"/>
        <w:jc w:val="both"/>
        <w:textAlignment w:val="baseline"/>
        <w:rPr>
          <w:b/>
        </w:rPr>
      </w:pPr>
      <w:r w:rsidRPr="004D78C9">
        <w:rPr>
          <w:b/>
        </w:rPr>
        <w:t>Programa InnovFin (Horizonte 2020)</w:t>
      </w:r>
    </w:p>
    <w:p w:rsidR="00CA7F1C" w:rsidRPr="00CA7F1C" w:rsidRDefault="00CA7F1C" w:rsidP="00CA7F1C">
      <w:pPr>
        <w:pStyle w:val="NormalWeb"/>
        <w:shd w:val="clear" w:color="auto" w:fill="FFFFFF"/>
        <w:spacing w:after="396"/>
        <w:jc w:val="both"/>
        <w:textAlignment w:val="baseline"/>
      </w:pPr>
      <w:r w:rsidRPr="00CA7F1C">
        <w:t>Préstamos y garantías a empresas innovadoras.</w:t>
      </w:r>
    </w:p>
    <w:p w:rsidR="00CA7F1C" w:rsidRPr="00CA7F1C" w:rsidRDefault="00CA7F1C" w:rsidP="00CA7F1C">
      <w:pPr>
        <w:pStyle w:val="NormalWeb"/>
        <w:shd w:val="clear" w:color="auto" w:fill="FFFFFF"/>
        <w:spacing w:after="396"/>
        <w:jc w:val="both"/>
        <w:textAlignment w:val="baseline"/>
      </w:pPr>
      <w:r w:rsidRPr="00CA7F1C">
        <w:t>Financiación de proyectos de investigación y desarrollo.</w:t>
      </w:r>
    </w:p>
    <w:p w:rsidR="00CA7F1C" w:rsidRPr="00CA7F1C" w:rsidRDefault="00CA7F1C" w:rsidP="00CA7F1C">
      <w:pPr>
        <w:pStyle w:val="NormalWeb"/>
        <w:shd w:val="clear" w:color="auto" w:fill="FFFFFF"/>
        <w:spacing w:after="396"/>
        <w:jc w:val="both"/>
        <w:textAlignment w:val="baseline"/>
      </w:pPr>
      <w:r w:rsidRPr="00CA7F1C">
        <w:t>Aportaciones de capital (fases temprana e inicial).</w:t>
      </w:r>
    </w:p>
    <w:p w:rsidR="00CA7F1C" w:rsidRPr="00CA7F1C" w:rsidRDefault="00CA7F1C" w:rsidP="00CA7F1C">
      <w:pPr>
        <w:pStyle w:val="NormalWeb"/>
        <w:shd w:val="clear" w:color="auto" w:fill="FFFFFF"/>
        <w:spacing w:after="396"/>
        <w:jc w:val="both"/>
        <w:textAlignment w:val="baseline"/>
      </w:pPr>
      <w:r w:rsidRPr="00CA7F1C">
        <w:t>El Acelerador del</w:t>
      </w:r>
      <w:r>
        <w:t xml:space="preserve"> Consejo Europeo de Innovación</w:t>
      </w:r>
      <w:r w:rsidRPr="00CA7F1C">
        <w:t xml:space="preserve"> (instrumento de las pymes) ofrece financiación y mentoría a pymes innovadoras (fase 1: concepto y viabilidad; fase 2: demostración, aplicación comercial e </w:t>
      </w:r>
      <w:r>
        <w:t>I+D; fase 3: comercialización).</w:t>
      </w:r>
    </w:p>
    <w:p w:rsidR="00CA7F1C" w:rsidRPr="00CA7F1C" w:rsidRDefault="009413E4" w:rsidP="00CA7F1C">
      <w:pPr>
        <w:pStyle w:val="NormalWeb"/>
        <w:shd w:val="clear" w:color="auto" w:fill="FFFFFF"/>
        <w:spacing w:after="396"/>
        <w:jc w:val="both"/>
        <w:textAlignment w:val="baseline"/>
        <w:rPr>
          <w:b/>
        </w:rPr>
      </w:pPr>
      <w:r>
        <w:rPr>
          <w:b/>
        </w:rPr>
        <w:t>Europa Creativa</w:t>
      </w:r>
    </w:p>
    <w:p w:rsidR="00CA7F1C" w:rsidRPr="00CA7F1C" w:rsidRDefault="00CA7F1C" w:rsidP="00CA7F1C">
      <w:pPr>
        <w:pStyle w:val="NormalWeb"/>
        <w:shd w:val="clear" w:color="auto" w:fill="FFFFFF"/>
        <w:spacing w:after="396"/>
        <w:jc w:val="both"/>
        <w:textAlignment w:val="baseline"/>
      </w:pPr>
      <w:r w:rsidRPr="00CA7F1C">
        <w:t>Préstamos a pequeñas y medianas empresas de los sectores cultural y creativo.</w:t>
      </w:r>
    </w:p>
    <w:p w:rsidR="00CA7F1C" w:rsidRPr="00CA7F1C" w:rsidRDefault="00CA7F1C" w:rsidP="00CA7F1C">
      <w:pPr>
        <w:pStyle w:val="NormalWeb"/>
        <w:shd w:val="clear" w:color="auto" w:fill="FFFFFF"/>
        <w:spacing w:after="396"/>
        <w:jc w:val="both"/>
        <w:textAlignment w:val="baseline"/>
        <w:rPr>
          <w:b/>
        </w:rPr>
      </w:pPr>
      <w:r w:rsidRPr="00CA7F1C">
        <w:rPr>
          <w:b/>
        </w:rPr>
        <w:t>Programa para el Empleo y la Innovación Social (EaSI)</w:t>
      </w:r>
    </w:p>
    <w:p w:rsidR="00CA7F1C" w:rsidRPr="00CA7F1C" w:rsidRDefault="00CA7F1C" w:rsidP="00CA7F1C">
      <w:pPr>
        <w:pStyle w:val="NormalWeb"/>
        <w:shd w:val="clear" w:color="auto" w:fill="FFFFFF"/>
        <w:spacing w:after="396"/>
        <w:jc w:val="both"/>
        <w:textAlignment w:val="baseline"/>
      </w:pPr>
      <w:r w:rsidRPr="00CA7F1C">
        <w:t>Micropréstamos de hasta 25.000 euros para microempresas y personas de colectivos vulnerables que quieren crear o desarrollar una microempresa.</w:t>
      </w:r>
    </w:p>
    <w:p w:rsidR="00CA7F1C" w:rsidRDefault="00CA7F1C" w:rsidP="00CA7F1C">
      <w:pPr>
        <w:pStyle w:val="NormalWeb"/>
        <w:shd w:val="clear" w:color="auto" w:fill="FFFFFF"/>
        <w:spacing w:after="396"/>
        <w:jc w:val="both"/>
        <w:textAlignment w:val="baseline"/>
      </w:pPr>
      <w:r w:rsidRPr="00CA7F1C">
        <w:t>Inversiones de hasta 500.000 euros dirigidas a empresas sociales.</w:t>
      </w:r>
    </w:p>
    <w:p w:rsidR="00CA7F1C" w:rsidRDefault="00CA7F1C" w:rsidP="00CA7F1C">
      <w:pPr>
        <w:pStyle w:val="NormalWeb"/>
        <w:shd w:val="clear" w:color="auto" w:fill="FFFFFF"/>
        <w:spacing w:after="396"/>
        <w:jc w:val="both"/>
        <w:textAlignment w:val="baseline"/>
      </w:pPr>
      <w:r>
        <w:t>Fondos Estructurales y de Inversión Europeos (Fondos EIE)</w:t>
      </w:r>
    </w:p>
    <w:p w:rsidR="00CA7F1C" w:rsidRDefault="00CA7F1C" w:rsidP="00CA7F1C">
      <w:pPr>
        <w:pStyle w:val="NormalWeb"/>
        <w:shd w:val="clear" w:color="auto" w:fill="FFFFFF"/>
        <w:spacing w:after="396"/>
        <w:jc w:val="both"/>
        <w:textAlignment w:val="baseline"/>
      </w:pPr>
      <w:r>
        <w:t>Préstamos, garantías, capital o subvenciones a las empresas.</w:t>
      </w:r>
    </w:p>
    <w:p w:rsidR="00CA7F1C" w:rsidRDefault="00CA7F1C" w:rsidP="00CA7F1C">
      <w:pPr>
        <w:pStyle w:val="NormalWeb"/>
        <w:shd w:val="clear" w:color="auto" w:fill="FFFFFF"/>
        <w:spacing w:after="396"/>
        <w:jc w:val="both"/>
        <w:textAlignment w:val="baseline"/>
      </w:pPr>
      <w:r>
        <w:t>Se concede apoyo a través de programas plurianuales cofinanciados por la UE.</w:t>
      </w:r>
    </w:p>
    <w:p w:rsidR="00CA7F1C" w:rsidRDefault="00CA7F1C" w:rsidP="00CA7F1C">
      <w:pPr>
        <w:pStyle w:val="NormalWeb"/>
        <w:shd w:val="clear" w:color="auto" w:fill="FFFFFF"/>
        <w:spacing w:after="396"/>
        <w:jc w:val="both"/>
        <w:textAlignment w:val="baseline"/>
      </w:pPr>
      <w:r>
        <w:t>Banco Europeo de Inversiones y Fondo Europeo de Inversiones</w:t>
      </w:r>
    </w:p>
    <w:p w:rsidR="009413E4" w:rsidRDefault="00CA7F1C" w:rsidP="006E5F74">
      <w:pPr>
        <w:pStyle w:val="NormalWeb"/>
        <w:shd w:val="clear" w:color="auto" w:fill="FFFFFF"/>
        <w:spacing w:after="396"/>
        <w:jc w:val="both"/>
        <w:textAlignment w:val="baseline"/>
      </w:pPr>
      <w:r>
        <w:t>Préstamos a empresas, microfinanciación, garantías y capital riesgo.</w:t>
      </w:r>
    </w:p>
    <w:p w:rsidR="005705EF" w:rsidRDefault="005705EF" w:rsidP="006E5F74">
      <w:pPr>
        <w:pStyle w:val="NormalWeb"/>
        <w:shd w:val="clear" w:color="auto" w:fill="FFFFFF"/>
        <w:spacing w:after="396"/>
        <w:jc w:val="both"/>
        <w:textAlignment w:val="baseline"/>
      </w:pPr>
    </w:p>
    <w:p w:rsidR="006E5F74" w:rsidRPr="009413E4" w:rsidRDefault="006E5F74" w:rsidP="006E5F74">
      <w:pPr>
        <w:pStyle w:val="NormalWeb"/>
        <w:shd w:val="clear" w:color="auto" w:fill="FFFFFF"/>
        <w:spacing w:after="396"/>
        <w:jc w:val="both"/>
        <w:textAlignment w:val="baseline"/>
      </w:pPr>
      <w:r w:rsidRPr="006E5F74">
        <w:rPr>
          <w:b/>
        </w:rPr>
        <w:lastRenderedPageBreak/>
        <w:t>Las soluciones creativas de los políticos</w:t>
      </w:r>
      <w:r>
        <w:rPr>
          <w:b/>
        </w:rPr>
        <w:t xml:space="preserve"> europeos (primera, segunda y… marcha atrás)</w:t>
      </w:r>
    </w:p>
    <w:p w:rsidR="006E5F74" w:rsidRDefault="006E5F74" w:rsidP="006E5F74">
      <w:pPr>
        <w:pStyle w:val="NormalWeb"/>
        <w:shd w:val="clear" w:color="auto" w:fill="FFFFFF"/>
        <w:spacing w:after="396"/>
        <w:jc w:val="both"/>
        <w:textAlignment w:val="baseline"/>
      </w:pPr>
      <w:r w:rsidRPr="006E5F74">
        <w:t>¿</w:t>
      </w:r>
      <w:r w:rsidRPr="006E5F74">
        <w:rPr>
          <w:u w:val="single"/>
        </w:rPr>
        <w:t>Qué significa la Europa de dos velocidades</w:t>
      </w:r>
      <w:r w:rsidRPr="006E5F74">
        <w:t>?</w:t>
      </w:r>
      <w:r>
        <w:t xml:space="preserve"> (El Mundo - </w:t>
      </w:r>
      <w:r w:rsidRPr="006E5F74">
        <w:rPr>
          <w:b/>
        </w:rPr>
        <w:t>11/3/17</w:t>
      </w:r>
      <w:r>
        <w:t>)</w:t>
      </w:r>
    </w:p>
    <w:p w:rsidR="006E5F74" w:rsidRDefault="006E5F74" w:rsidP="006E5F74">
      <w:pPr>
        <w:pStyle w:val="NormalWeb"/>
        <w:shd w:val="clear" w:color="auto" w:fill="FFFFFF"/>
        <w:spacing w:after="396"/>
        <w:jc w:val="both"/>
        <w:textAlignment w:val="baseline"/>
      </w:pPr>
      <w:r>
        <w:t>(Por Pablo R. Suanzes)</w:t>
      </w:r>
    </w:p>
    <w:p w:rsidR="006E5F74" w:rsidRDefault="006E5F74" w:rsidP="006E5F74">
      <w:pPr>
        <w:pStyle w:val="NormalWeb"/>
        <w:shd w:val="clear" w:color="auto" w:fill="FFFFFF"/>
        <w:spacing w:after="396"/>
        <w:jc w:val="both"/>
        <w:textAlignment w:val="baseline"/>
      </w:pPr>
      <w:r>
        <w:t>El pasado lunes 6 de marzo, Hollande, Merkel, Rajoy y Gentiloni dieron en Versalles su aval para la “Europa de las dos velocidades”, también conocida como “Europa a la carta”. Una vía polémica hacia la integración del futuro, un escenario lejos del ideal, pero que cada vez más en el continente ven como el mal menor.</w:t>
      </w:r>
    </w:p>
    <w:p w:rsidR="006E5F74" w:rsidRDefault="006E5F74" w:rsidP="006E5F74">
      <w:pPr>
        <w:pStyle w:val="NormalWeb"/>
        <w:shd w:val="clear" w:color="auto" w:fill="FFFFFF"/>
        <w:spacing w:after="396"/>
        <w:jc w:val="both"/>
        <w:textAlignment w:val="baseline"/>
      </w:pPr>
      <w:r>
        <w:t>¿En qué consisten las dos o múltiples velocidades?</w:t>
      </w:r>
    </w:p>
    <w:p w:rsidR="006E5F74" w:rsidRDefault="006E5F74" w:rsidP="006E5F74">
      <w:pPr>
        <w:pStyle w:val="NormalWeb"/>
        <w:shd w:val="clear" w:color="auto" w:fill="FFFFFF"/>
        <w:spacing w:after="396"/>
        <w:jc w:val="both"/>
        <w:textAlignment w:val="baseline"/>
      </w:pPr>
      <w:r>
        <w:t>Es una idea sencilla pero polémica: que en lugar de que todos los Estados Miembros de la UE avancen al mismo tiempo, siempre en grupo paso a paso, haya un “núcleo duro” que tire del carro y otro u otros que vayan a otra velocidad. Es decir, que si un número limitado de países está de acuerdo en ceder más soberanía concreta en un punto, profundizar la integración en un área, no sea obligatorio que lo hagan los 28. Una forma más pragmática de desatascar temas enquistados pero un reconocimiento de un fracaso político y de la incapacidad de progresar como bloque. Sobre esa idea original se puede ofrecer la de múltiples velocidades, algo mucho más complejo y con efectos no previstos, como ha advertido muchas veces uno de los popes jurídicos de la UE, Jean-Claude Piris.</w:t>
      </w:r>
    </w:p>
    <w:p w:rsidR="006E5F74" w:rsidRDefault="006E5F74" w:rsidP="006E5F74">
      <w:pPr>
        <w:pStyle w:val="NormalWeb"/>
        <w:shd w:val="clear" w:color="auto" w:fill="FFFFFF"/>
        <w:spacing w:after="396"/>
        <w:jc w:val="both"/>
        <w:textAlignment w:val="baseline"/>
      </w:pPr>
      <w:r>
        <w:t>¿Es una idea reciente?</w:t>
      </w:r>
    </w:p>
    <w:p w:rsidR="006E5F74" w:rsidRDefault="006E5F74" w:rsidP="006E5F74">
      <w:pPr>
        <w:pStyle w:val="NormalWeb"/>
        <w:shd w:val="clear" w:color="auto" w:fill="FFFFFF"/>
        <w:spacing w:after="396"/>
        <w:jc w:val="both"/>
        <w:textAlignment w:val="baseline"/>
      </w:pPr>
      <w:r>
        <w:t>No, en absoluto. En 1974 el entonces canciller Willy Brandt acuñó la idea de “varias velocidades” para el avance europeo. Su tesis era que las diferencias económicas, culturales y sociales entre los países eran tan profundas que era necesario potenciar una integración diferenciada, de cada uno a su ritmo o en bloques. En 1994, en un documento interno de la CDU, el ahora ministro de Finanzas, Wolfgang Schäuble, y Karl Lamers, retomaron la idea causando una gran conmoción. Los diputados alemanes, con la expansión al Este ya en marcha, tenían serias dudas sobre la capacidad operativa de integrarlos sin un shock como el de la reunificación germana, y proponían una vía filosóficamente complicada pero más práctica. En el pasado, líderes como Sarkozy o Van Rompuy la han respaldado.</w:t>
      </w:r>
    </w:p>
    <w:p w:rsidR="006E5F74" w:rsidRDefault="006E5F74" w:rsidP="006E5F74">
      <w:pPr>
        <w:pStyle w:val="NormalWeb"/>
        <w:shd w:val="clear" w:color="auto" w:fill="FFFFFF"/>
        <w:spacing w:after="396"/>
        <w:jc w:val="both"/>
        <w:textAlignment w:val="baseline"/>
      </w:pPr>
      <w:r>
        <w:t>¿Quién defiende la propuesta?</w:t>
      </w:r>
    </w:p>
    <w:p w:rsidR="006E5F74" w:rsidRDefault="006E5F74" w:rsidP="006E5F74">
      <w:pPr>
        <w:pStyle w:val="NormalWeb"/>
        <w:shd w:val="clear" w:color="auto" w:fill="FFFFFF"/>
        <w:spacing w:after="396"/>
        <w:jc w:val="both"/>
        <w:textAlignment w:val="baseline"/>
      </w:pPr>
      <w:r>
        <w:t>La semana pasada, la Comisión Europea presentó su esperado Libro Blanco, una hoja de ruta en la que recogía hasta cinco ideas diferentes para el futuro de Europa, desde volver a un modelo con sólo un mercado común hasta apostar por el federalismo absoluto. La tercera vía era la Europa de dos o más velocidades. El lunes 6 de marzo, en Versalles, Merkel, Hollande, Rajoy y Gentiloni avalaron la idea. Con todos los desafíos actuales, y tras constatar muchos fracasos (crisis de refugiados, por ejemplo) los grandes dan por hecho que no hay forma de seguir a 28. Que hay enormes diferencias entre norte y sur, este y oeste, y que es mejor apostar por opciones más conservadoras. Es algo que ocurre recurrentemente con las grandes crisis, como la que rodeó la aprobación de la Constitución Europea hace más de una década.</w:t>
      </w:r>
    </w:p>
    <w:p w:rsidR="009413E4" w:rsidRDefault="009413E4" w:rsidP="006E5F74">
      <w:pPr>
        <w:pStyle w:val="NormalWeb"/>
        <w:shd w:val="clear" w:color="auto" w:fill="FFFFFF"/>
        <w:spacing w:after="396"/>
        <w:jc w:val="both"/>
        <w:textAlignment w:val="baseline"/>
      </w:pPr>
    </w:p>
    <w:p w:rsidR="009413E4" w:rsidRDefault="009413E4" w:rsidP="006E5F74">
      <w:pPr>
        <w:pStyle w:val="NormalWeb"/>
        <w:shd w:val="clear" w:color="auto" w:fill="FFFFFF"/>
        <w:spacing w:after="396"/>
        <w:jc w:val="both"/>
        <w:textAlignment w:val="baseline"/>
      </w:pPr>
    </w:p>
    <w:p w:rsidR="006E5F74" w:rsidRDefault="006E5F74" w:rsidP="006E5F74">
      <w:pPr>
        <w:pStyle w:val="NormalWeb"/>
        <w:shd w:val="clear" w:color="auto" w:fill="FFFFFF"/>
        <w:spacing w:after="396"/>
        <w:jc w:val="both"/>
        <w:textAlignment w:val="baseline"/>
      </w:pPr>
      <w:r>
        <w:lastRenderedPageBreak/>
        <w:t>¿Hay precedentes?</w:t>
      </w:r>
    </w:p>
    <w:p w:rsidR="006E5F74" w:rsidRDefault="006E5F74" w:rsidP="006E5F74">
      <w:pPr>
        <w:pStyle w:val="NormalWeb"/>
        <w:shd w:val="clear" w:color="auto" w:fill="FFFFFF"/>
        <w:spacing w:after="396"/>
        <w:jc w:val="both"/>
        <w:textAlignment w:val="baseline"/>
      </w:pPr>
      <w:r>
        <w:t>De facto, sí, claro. El euro es un buen ejemplo, pues sólo 19 de los 28 Estados Miembros comparten la moneda única. Igualmente, no todos los países forman parte de Schengen. En cierto modo la Europa de varias velocidades ya existe, y hay determinados Estados (como Reino Unido, Irlanda o Dinamarca) que han permanecido al margen de políticas concretas o bloques enteros (Interior, derecho de asilo) y Europa ha seguido adelante.</w:t>
      </w:r>
    </w:p>
    <w:p w:rsidR="006E5F74" w:rsidRDefault="006E5F74" w:rsidP="006E5F74">
      <w:pPr>
        <w:pStyle w:val="NormalWeb"/>
        <w:shd w:val="clear" w:color="auto" w:fill="FFFFFF"/>
        <w:spacing w:after="396"/>
        <w:jc w:val="both"/>
        <w:textAlignment w:val="baseline"/>
      </w:pPr>
      <w:r>
        <w:t>¿Sería un fracaso apostar por esa vía?</w:t>
      </w:r>
    </w:p>
    <w:p w:rsidR="006E5F74" w:rsidRDefault="006E5F74" w:rsidP="006E5F74">
      <w:pPr>
        <w:pStyle w:val="NormalWeb"/>
        <w:shd w:val="clear" w:color="auto" w:fill="FFFFFF"/>
        <w:spacing w:after="396"/>
        <w:jc w:val="both"/>
        <w:textAlignment w:val="baseline"/>
      </w:pPr>
      <w:r>
        <w:t>Políticamente, sí. No se resucita la idea de “dos o más velocidades” porque se crea que es la mejor opción, sino la menos mala o en la práctica la única posible. Los grandes creen, como defendían Schäuble y Lamers, que si unos cuantos se lanzan harán de imán para los demás, que el temor a quedar aislados será combustible suficiente para reaccionar. Pero, sobre todo, como advertía Hollande hace unos días, estiman que “es una idea necesaria. Sin ella, Europa explotará”. Al mismo tiempo, es evidente que la división en bloques es muy peligrosa y puede llevar a ulteriores fragmentaciones y enfrentamientos. Sería plasmar para todos la tesis que defendió y logró para sí David Cameron antes del Brexit, demostrar que la UE no debe buscar “una unión siempre mayor”, que ha sido el lema no oficial durante décadas en Bruselas.</w:t>
      </w:r>
    </w:p>
    <w:p w:rsidR="006E5F74" w:rsidRDefault="006E5F74" w:rsidP="006E5F74">
      <w:pPr>
        <w:pStyle w:val="NormalWeb"/>
        <w:shd w:val="clear" w:color="auto" w:fill="FFFFFF"/>
        <w:spacing w:after="396"/>
        <w:jc w:val="both"/>
        <w:textAlignment w:val="baseline"/>
      </w:pPr>
      <w:r>
        <w:t>¿En qué áreas se podría ver el cambio?</w:t>
      </w:r>
    </w:p>
    <w:p w:rsidR="006E5F74" w:rsidRDefault="006E5F74" w:rsidP="006E5F74">
      <w:pPr>
        <w:pStyle w:val="NormalWeb"/>
        <w:shd w:val="clear" w:color="auto" w:fill="FFFFFF"/>
        <w:spacing w:after="396"/>
        <w:jc w:val="both"/>
        <w:textAlignment w:val="baseline"/>
      </w:pPr>
      <w:r>
        <w:t>Hay elementos que desde hace meses o años están bloqueados. La culminación de la unión bancaria, por ejemplo, parada porque Alemania se niega a más mutualización sin que el riesgo se reduzca mucho en los países del sur. La política común de asilo, que cuenta con el veto de más de una decena de países. La opción más rápida es la de la Defensa, el área que la mayoría quiere priorizar tras el Brexit y los preocupantes mensajes que llegan desde Washington. En el campo de la fiscalidad y las políticas sociales también hay una oportunidad.</w:t>
      </w:r>
    </w:p>
    <w:p w:rsidR="006E5F74" w:rsidRDefault="006E5F74" w:rsidP="006E5F74">
      <w:pPr>
        <w:pStyle w:val="NormalWeb"/>
        <w:shd w:val="clear" w:color="auto" w:fill="FFFFFF"/>
        <w:spacing w:after="396"/>
        <w:jc w:val="both"/>
        <w:textAlignment w:val="baseline"/>
      </w:pPr>
      <w:r>
        <w:t>¿De quién es culpa la parálisis actual?</w:t>
      </w:r>
    </w:p>
    <w:p w:rsidR="006E5F74" w:rsidRDefault="006E5F74" w:rsidP="006E5F74">
      <w:pPr>
        <w:pStyle w:val="NormalWeb"/>
        <w:shd w:val="clear" w:color="auto" w:fill="FFFFFF"/>
        <w:spacing w:after="396"/>
        <w:jc w:val="both"/>
        <w:textAlignment w:val="baseline"/>
      </w:pPr>
      <w:r>
        <w:t>París y Berlín impulsan las dos velocidades porque creen que Reino Unido hasta ahora, y los países del Este (Hungría, Polonia, Eslovaquia) son los que impiden el avance en general, o una política de refugiados común. Pero las voces que denuncian que son precisamente Alemania y Francia las que impiden el progreso son muchas. Si los cuatro de Versalles de verdad quieren avances, lo suelen conseguir. Y hay muchas áreas en las que los “malos” no están. La Eurozona, que no termina de arreglarse, es el mejor de los ejemplos.</w:t>
      </w:r>
    </w:p>
    <w:p w:rsidR="006E5F74" w:rsidRDefault="006E5F74" w:rsidP="006E5F74">
      <w:pPr>
        <w:pStyle w:val="NormalWeb"/>
        <w:shd w:val="clear" w:color="auto" w:fill="FFFFFF"/>
        <w:spacing w:after="396"/>
        <w:jc w:val="both"/>
        <w:textAlignment w:val="baseline"/>
      </w:pPr>
      <w:r>
        <w:t>¿Es realista una UE a múltiples velocidades?</w:t>
      </w:r>
    </w:p>
    <w:p w:rsidR="006E5F74" w:rsidRDefault="006E5F74" w:rsidP="006E5F74">
      <w:pPr>
        <w:pStyle w:val="NormalWeb"/>
        <w:shd w:val="clear" w:color="auto" w:fill="FFFFFF"/>
        <w:spacing w:after="396"/>
        <w:jc w:val="both"/>
        <w:textAlignment w:val="baseline"/>
      </w:pPr>
      <w:r>
        <w:t xml:space="preserve">Los precedentes no son muy buenos. En Europa existe lo que se conoce como “cooperación reforzada”. El Tratado de Ámsterdam, en 1997, abrió la puerta, y el de Lisboa aumentó las posibilidades, incluyendo por ejemplo la Defensa común. Es suficiente, en teoría, con que nueve países estén de acuerdo para intentar impulsar ellos solos una mayor integración común, si el resto no se quiere sumar, siempre y cuando se respeten los límites legales de los Tratados. Es un mecanismo diseñado para superar parálisis, pero la historia revela que no funciona muy bien. La Tasa a las Transacciones Financieras que más de 10 países lanzaron hace casi un lustro, entre ellos España, está en coma irreversible. A parte de eso, apenas se ha </w:t>
      </w:r>
      <w:r>
        <w:lastRenderedPageBreak/>
        <w:t>usado para legislación sobre divorcio (el único gran éxito, en 2008), patentes (2011) y los bienes de matrimonios internacionales.</w:t>
      </w:r>
    </w:p>
    <w:p w:rsidR="006E5F74" w:rsidRDefault="006E5F74" w:rsidP="006E5F74">
      <w:pPr>
        <w:pStyle w:val="NormalWeb"/>
        <w:shd w:val="clear" w:color="auto" w:fill="FFFFFF"/>
        <w:spacing w:after="396"/>
        <w:jc w:val="both"/>
        <w:textAlignment w:val="baseline"/>
      </w:pPr>
      <w:r>
        <w:t>¿Cómo funcionaría en la práctica?</w:t>
      </w:r>
    </w:p>
    <w:p w:rsidR="006E5F74" w:rsidRPr="006E5F74" w:rsidRDefault="006E5F74" w:rsidP="006E5F74">
      <w:pPr>
        <w:pStyle w:val="NormalWeb"/>
        <w:shd w:val="clear" w:color="auto" w:fill="FFFFFF"/>
        <w:spacing w:after="396"/>
        <w:jc w:val="both"/>
        <w:textAlignment w:val="baseline"/>
      </w:pPr>
      <w:r>
        <w:t>La cooperación reforzada que permite esa Europa a la carta se pensó como un último recurso. Si dentro del Consejo Europeo no hay mayoría, después de un tiempo y todos los intentos posibles, el propio Consejo debe autorizar en conclusiones oficiales que una serie de países lo intenten en grupo. En el caso de las patentes, España e Italia, que se sentían discriminadas, pidieron que se anulara precisamente esa decisión. Este jueves, en Bruselas, los líderes incluyeron un caso concreto, autorizando la cooperación reforzada, para la que hay ya al menos 17 Estados dispuestos, para una Fiscalía europea.</w:t>
      </w:r>
      <w:r w:rsidRPr="006E5F74">
        <w:t xml:space="preserve"> </w:t>
      </w:r>
    </w:p>
    <w:p w:rsidR="00E13A54" w:rsidRDefault="00E02E20" w:rsidP="00F0679B">
      <w:pPr>
        <w:pStyle w:val="NormalWeb"/>
        <w:shd w:val="clear" w:color="auto" w:fill="FFFFFF"/>
        <w:spacing w:after="396"/>
        <w:jc w:val="both"/>
        <w:textAlignment w:val="baseline"/>
        <w:rPr>
          <w:b/>
          <w:shd w:val="clear" w:color="auto" w:fill="FFFFFF"/>
        </w:rPr>
      </w:pPr>
      <w:r w:rsidRPr="00E02E20">
        <w:rPr>
          <w:b/>
          <w:shd w:val="clear" w:color="auto" w:fill="FFFFFF"/>
        </w:rPr>
        <w:t>Tareas pendientes de la UE (que pasan del año 2019</w:t>
      </w:r>
      <w:r>
        <w:rPr>
          <w:b/>
          <w:shd w:val="clear" w:color="auto" w:fill="FFFFFF"/>
        </w:rPr>
        <w:t>,</w:t>
      </w:r>
      <w:r w:rsidR="00FB6B3C">
        <w:rPr>
          <w:b/>
          <w:shd w:val="clear" w:color="auto" w:fill="FFFFFF"/>
        </w:rPr>
        <w:t xml:space="preserve"> al año 2020 o… </w:t>
      </w:r>
      <w:r w:rsidR="000E47C1">
        <w:rPr>
          <w:b/>
          <w:shd w:val="clear" w:color="auto" w:fill="FFFFFF"/>
        </w:rPr>
        <w:t>a saber</w:t>
      </w:r>
      <w:r w:rsidR="00FB6B3C">
        <w:rPr>
          <w:b/>
          <w:shd w:val="clear" w:color="auto" w:fill="FFFFFF"/>
        </w:rPr>
        <w:t xml:space="preserve"> cuándo</w:t>
      </w:r>
      <w:r w:rsidRPr="00E02E20">
        <w:rPr>
          <w:b/>
          <w:shd w:val="clear" w:color="auto" w:fill="FFFFFF"/>
        </w:rPr>
        <w:t>)</w:t>
      </w:r>
    </w:p>
    <w:p w:rsidR="005500A6" w:rsidRDefault="005500A6" w:rsidP="00F0679B">
      <w:pPr>
        <w:pStyle w:val="NormalWeb"/>
        <w:shd w:val="clear" w:color="auto" w:fill="FFFFFF"/>
        <w:spacing w:after="396"/>
        <w:jc w:val="both"/>
        <w:textAlignment w:val="baseline"/>
        <w:rPr>
          <w:shd w:val="clear" w:color="auto" w:fill="FFFFFF"/>
        </w:rPr>
      </w:pPr>
      <w:r w:rsidRPr="005500A6">
        <w:rPr>
          <w:shd w:val="clear" w:color="auto" w:fill="FFFFFF"/>
        </w:rPr>
        <w:t>La actuación de la</w:t>
      </w:r>
      <w:r>
        <w:rPr>
          <w:shd w:val="clear" w:color="auto" w:fill="FFFFFF"/>
        </w:rPr>
        <w:t xml:space="preserve"> Comisión Europea durante los últimos años ha girado en torno a las diez prioridades estratégicas que marcó al inicio de su mandato en 2014. Estas son: empleo, crecimiento e inversión; mercado único digital; Unión de la Energía y el Clima; mercado interior; una Unión Económica y Monetaria más justa y más profunda; una política comercial equilibrada; justicia y derechos fundamentales; una Agenda Europea de la migración; una interlocución de mayor peso en el escenario mundial y una UE más democrática.</w:t>
      </w:r>
    </w:p>
    <w:p w:rsidR="005500A6" w:rsidRPr="005500A6" w:rsidRDefault="005500A6" w:rsidP="00F0679B">
      <w:pPr>
        <w:pStyle w:val="NormalWeb"/>
        <w:shd w:val="clear" w:color="auto" w:fill="FFFFFF"/>
        <w:spacing w:after="396"/>
        <w:jc w:val="both"/>
        <w:textAlignment w:val="baseline"/>
        <w:rPr>
          <w:shd w:val="clear" w:color="auto" w:fill="FFFFFF"/>
        </w:rPr>
      </w:pPr>
      <w:r>
        <w:rPr>
          <w:shd w:val="clear" w:color="auto" w:fill="FFFFFF"/>
        </w:rPr>
        <w:t>A pesar del trabajo realizado desde entonces, aún quedan por aprobarse algunas iniciativas importantes. Las instituciones europeas confían en que podrán ser negociadas y aprobadas antes de las elecciones al Parlamento Europeo del año próximo</w:t>
      </w:r>
      <w:r w:rsidR="00AC2A4F">
        <w:rPr>
          <w:shd w:val="clear" w:color="auto" w:fill="FFFFFF"/>
        </w:rPr>
        <w:t>. A continuación se ofrece un listado (parcial) de dichas asignaturas pendientes:</w:t>
      </w:r>
    </w:p>
    <w:p w:rsidR="00E02E20" w:rsidRDefault="00E02E20" w:rsidP="00F0679B">
      <w:pPr>
        <w:pStyle w:val="NormalWeb"/>
        <w:shd w:val="clear" w:color="auto" w:fill="FFFFFF"/>
        <w:spacing w:after="396"/>
        <w:jc w:val="both"/>
        <w:textAlignment w:val="baseline"/>
        <w:rPr>
          <w:shd w:val="clear" w:color="auto" w:fill="FFFFFF"/>
        </w:rPr>
      </w:pPr>
      <w:r>
        <w:rPr>
          <w:shd w:val="clear" w:color="auto" w:fill="FFFFFF"/>
        </w:rPr>
        <w:t>Medidas prudenciales</w:t>
      </w:r>
    </w:p>
    <w:p w:rsidR="00E02E20" w:rsidRDefault="00E02E20"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Implementación de Basilea III</w:t>
      </w:r>
    </w:p>
    <w:p w:rsidR="00E02E20" w:rsidRDefault="00E02E20"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Reducción de los “non proforming loans” (NPLs)</w:t>
      </w:r>
    </w:p>
    <w:p w:rsidR="00E02E20" w:rsidRDefault="00E02E20"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Mecanismo de Garantía de Depósitos Europeo (EDIS)</w:t>
      </w:r>
    </w:p>
    <w:p w:rsidR="00E02E20" w:rsidRDefault="005F70AA"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Fondo único de resolución bancaria</w:t>
      </w:r>
    </w:p>
    <w:p w:rsidR="005F70AA" w:rsidRDefault="005F70AA"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Mecanismo Europeo de Estabilidad (MEDE)</w:t>
      </w:r>
    </w:p>
    <w:p w:rsidR="005F70AA" w:rsidRDefault="005F70AA"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Mecanismo europeo de resolución</w:t>
      </w:r>
    </w:p>
    <w:p w:rsidR="005F70AA" w:rsidRDefault="000E47C1" w:rsidP="00E02E20">
      <w:pPr>
        <w:pStyle w:val="NormalWeb"/>
        <w:numPr>
          <w:ilvl w:val="0"/>
          <w:numId w:val="11"/>
        </w:numPr>
        <w:shd w:val="clear" w:color="auto" w:fill="FFFFFF"/>
        <w:spacing w:after="396"/>
        <w:jc w:val="both"/>
        <w:textAlignment w:val="baseline"/>
        <w:rPr>
          <w:shd w:val="clear" w:color="auto" w:fill="FFFFFF"/>
        </w:rPr>
      </w:pPr>
      <w:r>
        <w:rPr>
          <w:shd w:val="clear" w:color="auto" w:fill="FFFFFF"/>
        </w:rPr>
        <w:t>Basilea IV y su implementación en Europa</w:t>
      </w:r>
    </w:p>
    <w:p w:rsidR="000E47C1" w:rsidRDefault="000E47C1" w:rsidP="000E47C1">
      <w:pPr>
        <w:pStyle w:val="NormalWeb"/>
        <w:numPr>
          <w:ilvl w:val="0"/>
          <w:numId w:val="11"/>
        </w:numPr>
        <w:shd w:val="clear" w:color="auto" w:fill="FFFFFF"/>
        <w:spacing w:after="396"/>
        <w:jc w:val="both"/>
        <w:textAlignment w:val="baseline"/>
        <w:rPr>
          <w:shd w:val="clear" w:color="auto" w:fill="FFFFFF"/>
          <w:lang w:val="en-US"/>
        </w:rPr>
      </w:pPr>
      <w:r w:rsidRPr="000E47C1">
        <w:rPr>
          <w:shd w:val="clear" w:color="auto" w:fill="FFFFFF"/>
          <w:lang w:val="en-US"/>
        </w:rPr>
        <w:t>EMIR 2.2 (european market infrastructure regulation)</w:t>
      </w:r>
    </w:p>
    <w:p w:rsidR="000E47C1" w:rsidRDefault="000E47C1" w:rsidP="000E47C1">
      <w:pPr>
        <w:pStyle w:val="NormalWeb"/>
        <w:shd w:val="clear" w:color="auto" w:fill="FFFFFF"/>
        <w:spacing w:after="396"/>
        <w:jc w:val="both"/>
        <w:textAlignment w:val="baseline"/>
        <w:rPr>
          <w:shd w:val="clear" w:color="auto" w:fill="FFFFFF"/>
          <w:lang w:val="en-US"/>
        </w:rPr>
      </w:pPr>
      <w:r>
        <w:rPr>
          <w:shd w:val="clear" w:color="auto" w:fill="FFFFFF"/>
          <w:lang w:val="en-US"/>
        </w:rPr>
        <w:t>Unión de Mercados de Capitales</w:t>
      </w:r>
    </w:p>
    <w:p w:rsidR="000E47C1" w:rsidRDefault="005500A6" w:rsidP="000E47C1">
      <w:pPr>
        <w:pStyle w:val="NormalWeb"/>
        <w:numPr>
          <w:ilvl w:val="0"/>
          <w:numId w:val="11"/>
        </w:numPr>
        <w:shd w:val="clear" w:color="auto" w:fill="FFFFFF"/>
        <w:spacing w:after="396"/>
        <w:jc w:val="both"/>
        <w:textAlignment w:val="baseline"/>
        <w:rPr>
          <w:shd w:val="clear" w:color="auto" w:fill="FFFFFF"/>
        </w:rPr>
      </w:pPr>
      <w:r>
        <w:rPr>
          <w:shd w:val="clear" w:color="auto" w:fill="FFFFFF"/>
        </w:rPr>
        <w:t>Plan de A</w:t>
      </w:r>
      <w:r w:rsidR="000E47C1" w:rsidRPr="000E47C1">
        <w:rPr>
          <w:shd w:val="clear" w:color="auto" w:fill="FFFFFF"/>
        </w:rPr>
        <w:t>cción de finanzas so</w:t>
      </w:r>
      <w:r>
        <w:rPr>
          <w:shd w:val="clear" w:color="auto" w:fill="FFFFFF"/>
        </w:rPr>
        <w:t>s</w:t>
      </w:r>
      <w:r w:rsidR="000E47C1" w:rsidRPr="000E47C1">
        <w:rPr>
          <w:shd w:val="clear" w:color="auto" w:fill="FFFFFF"/>
        </w:rPr>
        <w:t>tenibles</w:t>
      </w:r>
    </w:p>
    <w:p w:rsidR="005500A6" w:rsidRPr="000E47C1" w:rsidRDefault="005500A6" w:rsidP="000E47C1">
      <w:pPr>
        <w:pStyle w:val="NormalWeb"/>
        <w:numPr>
          <w:ilvl w:val="0"/>
          <w:numId w:val="11"/>
        </w:numPr>
        <w:shd w:val="clear" w:color="auto" w:fill="FFFFFF"/>
        <w:spacing w:after="396"/>
        <w:jc w:val="both"/>
        <w:textAlignment w:val="baseline"/>
        <w:rPr>
          <w:shd w:val="clear" w:color="auto" w:fill="FFFFFF"/>
        </w:rPr>
      </w:pPr>
      <w:r>
        <w:rPr>
          <w:shd w:val="clear" w:color="auto" w:fill="FFFFFF"/>
        </w:rPr>
        <w:t>Unión de Mercados y Capitales</w:t>
      </w:r>
    </w:p>
    <w:p w:rsidR="00FB6B3C" w:rsidRDefault="00FB6B3C" w:rsidP="00F0679B">
      <w:pPr>
        <w:pStyle w:val="NormalWeb"/>
        <w:shd w:val="clear" w:color="auto" w:fill="FFFFFF"/>
        <w:spacing w:after="396"/>
        <w:jc w:val="both"/>
        <w:textAlignment w:val="baseline"/>
        <w:rPr>
          <w:shd w:val="clear" w:color="auto" w:fill="FFFFFF"/>
        </w:rPr>
      </w:pPr>
    </w:p>
    <w:p w:rsidR="00E13A54" w:rsidRPr="000E47C1" w:rsidRDefault="00AC2A4F" w:rsidP="00F0679B">
      <w:pPr>
        <w:pStyle w:val="NormalWeb"/>
        <w:shd w:val="clear" w:color="auto" w:fill="FFFFFF"/>
        <w:spacing w:after="396"/>
        <w:jc w:val="both"/>
        <w:textAlignment w:val="baseline"/>
        <w:rPr>
          <w:shd w:val="clear" w:color="auto" w:fill="FFFFFF"/>
        </w:rPr>
      </w:pPr>
      <w:r>
        <w:rPr>
          <w:shd w:val="clear" w:color="auto" w:fill="FFFFFF"/>
        </w:rPr>
        <w:t xml:space="preserve">Fuente: BBVA - Regulación Financiera - </w:t>
      </w:r>
      <w:r w:rsidRPr="00FB6B3C">
        <w:rPr>
          <w:b/>
          <w:shd w:val="clear" w:color="auto" w:fill="FFFFFF"/>
        </w:rPr>
        <w:t>17/8/18</w:t>
      </w:r>
      <w:r>
        <w:rPr>
          <w:shd w:val="clear" w:color="auto" w:fill="FFFFFF"/>
        </w:rPr>
        <w:t>)</w:t>
      </w:r>
    </w:p>
    <w:p w:rsidR="00E13A54" w:rsidRPr="000E47C1" w:rsidRDefault="00E13A54" w:rsidP="00F0679B">
      <w:pPr>
        <w:pStyle w:val="NormalWeb"/>
        <w:shd w:val="clear" w:color="auto" w:fill="FFFFFF"/>
        <w:spacing w:after="396"/>
        <w:jc w:val="both"/>
        <w:textAlignment w:val="baseline"/>
        <w:rPr>
          <w:shd w:val="clear" w:color="auto" w:fill="FFFFFF"/>
        </w:rPr>
      </w:pPr>
    </w:p>
    <w:p w:rsidR="00AC2A4F" w:rsidRDefault="00AC2A4F" w:rsidP="005705EF">
      <w:pPr>
        <w:spacing w:line="240" w:lineRule="auto"/>
        <w:jc w:val="both"/>
        <w:rPr>
          <w:rFonts w:ascii="Times New Roman" w:eastAsia="Times New Roman" w:hAnsi="Times New Roman" w:cs="Times New Roman"/>
          <w:sz w:val="24"/>
          <w:szCs w:val="24"/>
          <w:shd w:val="clear" w:color="auto" w:fill="FFFFFF"/>
        </w:rPr>
      </w:pPr>
    </w:p>
    <w:p w:rsidR="005705EF" w:rsidRPr="004B3C76" w:rsidRDefault="005705EF" w:rsidP="005705E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 </w:t>
      </w:r>
      <w:r w:rsidRPr="00221089">
        <w:rPr>
          <w:rFonts w:ascii="Times New Roman" w:hAnsi="Times New Roman" w:cs="Times New Roman"/>
          <w:b/>
          <w:sz w:val="24"/>
          <w:szCs w:val="24"/>
          <w:shd w:val="clear" w:color="auto" w:fill="FFFFFF"/>
        </w:rPr>
        <w:t>Los muros interiores entre los países miembro de la Unión Europea</w:t>
      </w:r>
      <w:r>
        <w:rPr>
          <w:rFonts w:ascii="Times New Roman" w:hAnsi="Times New Roman" w:cs="Times New Roman"/>
          <w:b/>
          <w:sz w:val="24"/>
          <w:szCs w:val="24"/>
          <w:shd w:val="clear" w:color="auto" w:fill="FFFFFF"/>
        </w:rPr>
        <w:t xml:space="preserve"> (el latrocinio)</w:t>
      </w:r>
    </w:p>
    <w:p w:rsidR="005705EF" w:rsidRDefault="005705EF" w:rsidP="005705EF">
      <w:pPr>
        <w:pStyle w:val="NormalWeb"/>
        <w:shd w:val="clear" w:color="auto" w:fill="FFFFFF"/>
        <w:spacing w:before="0" w:beforeAutospacing="0" w:after="0" w:afterAutospacing="0"/>
        <w:jc w:val="both"/>
        <w:textAlignment w:val="baseline"/>
        <w:rPr>
          <w:b/>
          <w:color w:val="FF0000"/>
        </w:rPr>
      </w:pPr>
    </w:p>
    <w:p w:rsidR="005705EF" w:rsidRDefault="005705EF" w:rsidP="005705EF">
      <w:pPr>
        <w:pStyle w:val="NormalWeb"/>
        <w:shd w:val="clear" w:color="auto" w:fill="FFFFFF"/>
        <w:spacing w:before="0" w:beforeAutospacing="0" w:after="0" w:afterAutospacing="0"/>
        <w:jc w:val="both"/>
        <w:textAlignment w:val="baseline"/>
        <w:rPr>
          <w:b/>
          <w:color w:val="FF0000"/>
        </w:rPr>
      </w:pPr>
      <w:r>
        <w:rPr>
          <w:noProof/>
        </w:rPr>
        <w:drawing>
          <wp:inline distT="0" distB="0" distL="0" distR="0" wp14:anchorId="605D8AC8" wp14:editId="7FA1FE62">
            <wp:extent cx="5732516" cy="2597150"/>
            <wp:effectExtent l="0" t="0" r="1905" b="0"/>
            <wp:docPr id="27" name="Imagen 27" descr="https://s2.eestatic.com/2019/11/08/mundo/europa/Europa_442966667_137400543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2.eestatic.com/2019/11/08/mundo/europa/Europa_442966667_137400543_1706x96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596694"/>
                    </a:xfrm>
                    <a:prstGeom prst="rect">
                      <a:avLst/>
                    </a:prstGeom>
                    <a:noFill/>
                    <a:ln>
                      <a:noFill/>
                    </a:ln>
                  </pic:spPr>
                </pic:pic>
              </a:graphicData>
            </a:graphic>
          </wp:inline>
        </w:drawing>
      </w:r>
    </w:p>
    <w:p w:rsidR="005705EF" w:rsidRDefault="005705EF" w:rsidP="005705EF">
      <w:pPr>
        <w:pStyle w:val="NormalWeb"/>
        <w:shd w:val="clear" w:color="auto" w:fill="FFFFFF"/>
        <w:spacing w:before="0" w:beforeAutospacing="0" w:after="0" w:afterAutospacing="0"/>
        <w:jc w:val="both"/>
        <w:textAlignment w:val="baseline"/>
        <w:rPr>
          <w:b/>
          <w:color w:val="FF0000"/>
        </w:rPr>
      </w:pP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Existe una frontera económica invisible, pero evidente, entre los países del norte de Europa y los países del sur de Europa (los miembros del Club Med).</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 pesar de las ingentes sumas de dinero que la Unión Europea concedió a los países miembro a través de los Fondos de Cohesión y de los Fondos Estructurales, los países del sur de Europa no han alcanzado el grado de desarrollo equivalente a los países del norte de Europa.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Ante esa situación, pueden surgir algunos interrogantes: ¿Se emplearon los recursos adecuadamente? ¿Se cumplieron los proyectos en los plazos previstos? ¿Resultaron insuficientes los fondos aportados? ¿El perjuicio causado por la adopción de la moneda única fue superior a beneficio de los fondos de ayuda al desarrollo? ¿Fueron insolidarios o cicateros los países del norte con los países del sur? ¿Será cierto que el euro beneficio a Alemania en detrimento de los países del sur de Europa?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Buscando respuestas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emplearon los recursos adecuadamente?</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un alto porcentaje, decididamente NO. Se realizaron muchas obras públicas con una finalidad política (electoralista, clientelar) y sin criterio económico (retorno de la inversión). Trenes de alta velocidad, aeropuertos</w:t>
      </w:r>
      <w:r w:rsidR="00FB6B3C">
        <w:rPr>
          <w:rFonts w:ascii="Times New Roman" w:hAnsi="Times New Roman" w:cs="Times New Roman"/>
          <w:sz w:val="24"/>
          <w:szCs w:val="24"/>
          <w:shd w:val="clear" w:color="auto" w:fill="FFFFFF"/>
        </w:rPr>
        <w:t xml:space="preserve"> sin vuelos</w:t>
      </w:r>
      <w:r>
        <w:rPr>
          <w:rFonts w:ascii="Times New Roman" w:hAnsi="Times New Roman" w:cs="Times New Roman"/>
          <w:sz w:val="24"/>
          <w:szCs w:val="24"/>
          <w:shd w:val="clear" w:color="auto" w:fill="FFFFFF"/>
        </w:rPr>
        <w:t>, energías renovables, desaladoras, polideportivos, autopistas de cercanía, puertos deportivos…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Mientras, no se hicieron líneas ferroviarias para agilizar el tránsito de mercancías (en beneficio de las exportaciones), trasvases, diques (en beneficio de la agricultura), puertos comerciales, centrales de contenedores, energía nuclear (para evitar la dependencia energética)…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Muchos Fondos de Cohesión (Fondo Social Europeo) destinados a la formación y reciclaje de los desempleados (políticas activas de empleo) se utilizaron para “sobornar” a los agentes sociales (confederaciones de trabajadores y cámaras empresariales) entregándoles ingentes cantidades de dinero sin control, ni resultado aparente, en el empleo y la capacitación.</w:t>
      </w:r>
    </w:p>
    <w:p w:rsidR="005705EF" w:rsidRDefault="005705EF" w:rsidP="005705EF">
      <w:pPr>
        <w:spacing w:line="240" w:lineRule="auto"/>
        <w:jc w:val="both"/>
        <w:rPr>
          <w:rFonts w:ascii="Times New Roman" w:hAnsi="Times New Roman" w:cs="Times New Roman"/>
          <w:sz w:val="24"/>
          <w:szCs w:val="24"/>
          <w:shd w:val="clear" w:color="auto" w:fill="FFFFFF"/>
        </w:rPr>
      </w:pP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¿Se cumplieron los proyectos en los plazos previstos?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los recursos (Fondos de Cohesión y Estructurales) no fueron bien empleados, está de más hablar de proyectos (inútiles, la mayoría), y de los plazo</w:t>
      </w:r>
      <w:r w:rsidR="00201098">
        <w:rPr>
          <w:rFonts w:ascii="Times New Roman" w:hAnsi="Times New Roman" w:cs="Times New Roman"/>
          <w:sz w:val="24"/>
          <w:szCs w:val="24"/>
          <w:shd w:val="clear" w:color="auto" w:fill="FFFFFF"/>
        </w:rPr>
        <w:t xml:space="preserve">s previstos (que generalmente </w:t>
      </w:r>
      <w:r>
        <w:rPr>
          <w:rFonts w:ascii="Times New Roman" w:hAnsi="Times New Roman" w:cs="Times New Roman"/>
          <w:sz w:val="24"/>
          <w:szCs w:val="24"/>
          <w:shd w:val="clear" w:color="auto" w:fill="FFFFFF"/>
        </w:rPr>
        <w:t xml:space="preserve"> acomodaban</w:t>
      </w:r>
      <w:r w:rsidR="00201098">
        <w:rPr>
          <w:rFonts w:ascii="Times New Roman" w:hAnsi="Times New Roman" w:cs="Times New Roman"/>
          <w:sz w:val="24"/>
          <w:szCs w:val="24"/>
          <w:shd w:val="clear" w:color="auto" w:fill="FFFFFF"/>
        </w:rPr>
        <w:t xml:space="preserve"> su ejecución</w:t>
      </w:r>
      <w:r>
        <w:rPr>
          <w:rFonts w:ascii="Times New Roman" w:hAnsi="Times New Roman" w:cs="Times New Roman"/>
          <w:sz w:val="24"/>
          <w:szCs w:val="24"/>
          <w:shd w:val="clear" w:color="auto" w:fill="FFFFFF"/>
        </w:rPr>
        <w:t xml:space="preserve"> a los intereses electorales).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¿Resultaron insuficientes los fondos aportados?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los fondos hubieran sido utilizados con criterio económico (mejorar</w:t>
      </w:r>
      <w:r w:rsidR="00201098">
        <w:rPr>
          <w:rFonts w:ascii="Times New Roman" w:hAnsi="Times New Roman" w:cs="Times New Roman"/>
          <w:sz w:val="24"/>
          <w:szCs w:val="24"/>
          <w:shd w:val="clear" w:color="auto" w:fill="FFFFFF"/>
        </w:rPr>
        <w:t xml:space="preserve"> la infraestructura,</w:t>
      </w:r>
      <w:r>
        <w:rPr>
          <w:rFonts w:ascii="Times New Roman" w:hAnsi="Times New Roman" w:cs="Times New Roman"/>
          <w:sz w:val="24"/>
          <w:szCs w:val="24"/>
          <w:shd w:val="clear" w:color="auto" w:fill="FFFFFF"/>
        </w:rPr>
        <w:t xml:space="preserve"> la formación, el empleo, la productividad, la competitividad…) se podría haber comprobado, discutido, negociado, en su caso, si los recursos asignados no fueron suficientes.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el dinero se perdió en una red clientelar de intereses, connivencia, corrupción, financiación de los partidos políticos, financiación de las organizaciones sindicales, financiación de las cámaras patronales, obras faraónicas (innecesarias</w:t>
      </w:r>
      <w:r w:rsidR="00201098">
        <w:rPr>
          <w:rFonts w:ascii="Times New Roman" w:hAnsi="Times New Roman" w:cs="Times New Roman"/>
          <w:sz w:val="24"/>
          <w:szCs w:val="24"/>
          <w:shd w:val="clear" w:color="auto" w:fill="FFFFFF"/>
        </w:rPr>
        <w:t xml:space="preserve"> y vanidosas</w:t>
      </w:r>
      <w:r>
        <w:rPr>
          <w:rFonts w:ascii="Times New Roman" w:hAnsi="Times New Roman" w:cs="Times New Roman"/>
          <w:sz w:val="24"/>
          <w:szCs w:val="24"/>
          <w:shd w:val="clear" w:color="auto" w:fill="FFFFFF"/>
        </w:rPr>
        <w:t>), no hay medida cierta para realizar ningún cálculo económico (serio).</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Casi con seguridad, mayores fondos hubieran facilitado mayor corrupción, mayor gasto improductivo, mayor demagogia y mayor clientelismo.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perjuicio causado por la adopción de la moneda única fue superior al beneficio de los fondos de ayuda al desarrollo?</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Mucho se ha escrito sobre la ventaja que obtuvo Alemania al entrar en el euro, evitando una revaluación del marco</w:t>
      </w:r>
      <w:r w:rsidR="0020109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en comparación con las demás monedas. Un efecto contrario se produjo en los países mediterráneos donde los precios subieron por “parentesco” con</w:t>
      </w:r>
      <w:r w:rsidR="00201098">
        <w:rPr>
          <w:rFonts w:ascii="Times New Roman" w:hAnsi="Times New Roman" w:cs="Times New Roman"/>
          <w:sz w:val="24"/>
          <w:szCs w:val="24"/>
          <w:shd w:val="clear" w:color="auto" w:fill="FFFFFF"/>
        </w:rPr>
        <w:t xml:space="preserve"> los países centrales (cuyos</w:t>
      </w:r>
      <w:r>
        <w:rPr>
          <w:rFonts w:ascii="Times New Roman" w:hAnsi="Times New Roman" w:cs="Times New Roman"/>
          <w:sz w:val="24"/>
          <w:szCs w:val="24"/>
          <w:shd w:val="clear" w:color="auto" w:fill="FFFFFF"/>
        </w:rPr>
        <w:t xml:space="preserve"> precios en euros de </w:t>
      </w:r>
      <w:r w:rsidR="00201098">
        <w:rPr>
          <w:rFonts w:ascii="Times New Roman" w:hAnsi="Times New Roman" w:cs="Times New Roman"/>
          <w:sz w:val="24"/>
          <w:szCs w:val="24"/>
          <w:shd w:val="clear" w:color="auto" w:fill="FFFFFF"/>
        </w:rPr>
        <w:t>bienes y productos similares</w:t>
      </w:r>
      <w:r>
        <w:rPr>
          <w:rFonts w:ascii="Times New Roman" w:hAnsi="Times New Roman" w:cs="Times New Roman"/>
          <w:sz w:val="24"/>
          <w:szCs w:val="24"/>
          <w:shd w:val="clear" w:color="auto" w:fill="FFFFFF"/>
        </w:rPr>
        <w:t xml:space="preserve"> eran mayores).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un fenómeno semejable a los “vasos comunicantes”, la adopción del euro rebajó los costos/precios en Alemania y aumentó los costos/precios en los países del Club Med. Aunque la moneda común atrajo y facilitó las inversiones de los países del norte en los del sur, el au</w:t>
      </w:r>
      <w:r w:rsidR="00201098">
        <w:rPr>
          <w:rFonts w:ascii="Times New Roman" w:hAnsi="Times New Roman" w:cs="Times New Roman"/>
          <w:sz w:val="24"/>
          <w:szCs w:val="24"/>
          <w:shd w:val="clear" w:color="auto" w:fill="FFFFFF"/>
        </w:rPr>
        <w:t>mento de costos/precios le fue restando</w:t>
      </w:r>
      <w:r>
        <w:rPr>
          <w:rFonts w:ascii="Times New Roman" w:hAnsi="Times New Roman" w:cs="Times New Roman"/>
          <w:sz w:val="24"/>
          <w:szCs w:val="24"/>
          <w:shd w:val="clear" w:color="auto" w:fill="FFFFFF"/>
        </w:rPr>
        <w:t xml:space="preserve"> competitividad.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Dicho esto. Es importante reconocer (en mi opinión) que el euro ha servido de barrera, contención, restricción, límite del gasto público, el déficit y el endeudamiento de los países mediterráneos. Si hubieran podido seguir devaluando su</w:t>
      </w:r>
      <w:r w:rsidR="00201098">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moneda</w:t>
      </w:r>
      <w:r w:rsidR="00201098">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para mejorar la competitividad, el gasto, el déficit y la deuda pública hubieran sido mucho mayores.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 pesar de las supuestas desventajas de la moneda única, la misma ha sido un freno, conveniente y necesario, para los gobiernos</w:t>
      </w:r>
      <w:r w:rsidR="0020109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manirrotos y adictos al gasto</w:t>
      </w:r>
      <w:r w:rsidR="0020109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del sur de Europa.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¿Fueron insolidarios o cicateros los países del norte con los países del sur?</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los recursos de los Fondos de Cohesión y</w:t>
      </w:r>
      <w:r w:rsidR="00201098">
        <w:rPr>
          <w:rFonts w:ascii="Times New Roman" w:hAnsi="Times New Roman" w:cs="Times New Roman"/>
          <w:sz w:val="24"/>
          <w:szCs w:val="24"/>
          <w:shd w:val="clear" w:color="auto" w:fill="FFFFFF"/>
        </w:rPr>
        <w:t xml:space="preserve"> Fondos</w:t>
      </w:r>
      <w:r>
        <w:rPr>
          <w:rFonts w:ascii="Times New Roman" w:hAnsi="Times New Roman" w:cs="Times New Roman"/>
          <w:sz w:val="24"/>
          <w:szCs w:val="24"/>
          <w:shd w:val="clear" w:color="auto" w:fill="FFFFFF"/>
        </w:rPr>
        <w:t xml:space="preserve"> Estructurales hubieran sido utilizados para el fin previsto, y una vez observadas las inversiones realizadas y su resultado económico, recién entonces se podría haber calculado la necesidad de mayores fondos para alcanzar el nivel de desarrollo equivalente. Como eso nunca (repito, nunca) se realizó, es imposible decir si los países del norte han sido insolidarios o cicateros con los del sur.</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Según la experiencia histórica, una mayor solidaridad y mayores fondos, con seguridad, se hubieran malgastado del mismo modo que hasta ahora se ha hecho. </w:t>
      </w:r>
    </w:p>
    <w:p w:rsidR="005705EF" w:rsidRDefault="005705EF" w:rsidP="005705EF">
      <w:pPr>
        <w:spacing w:line="240" w:lineRule="auto"/>
        <w:jc w:val="both"/>
        <w:rPr>
          <w:rFonts w:ascii="Times New Roman" w:hAnsi="Times New Roman" w:cs="Times New Roman"/>
          <w:sz w:val="24"/>
          <w:szCs w:val="24"/>
          <w:shd w:val="clear" w:color="auto" w:fill="FFFFFF"/>
        </w:rPr>
      </w:pP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¿Será cierto que el euro beneficio a Alemania en detrimento de los países del sur de Europa?</w:t>
      </w:r>
    </w:p>
    <w:p w:rsidR="005705EF" w:rsidRPr="00DE4AAB" w:rsidRDefault="005705EF" w:rsidP="005705EF">
      <w:pPr>
        <w:spacing w:line="240" w:lineRule="auto"/>
        <w:jc w:val="both"/>
        <w:rPr>
          <w:rFonts w:ascii="Times New Roman" w:hAnsi="Times New Roman" w:cs="Times New Roman"/>
          <w:sz w:val="24"/>
          <w:szCs w:val="24"/>
          <w:shd w:val="clear" w:color="auto" w:fill="FFFFFF"/>
        </w:rPr>
      </w:pPr>
      <w:r w:rsidRPr="00DE4AAB">
        <w:rPr>
          <w:rFonts w:ascii="Times New Roman" w:hAnsi="Times New Roman" w:cs="Times New Roman"/>
          <w:sz w:val="24"/>
          <w:szCs w:val="24"/>
          <w:shd w:val="clear" w:color="auto" w:fill="FFFFFF"/>
        </w:rPr>
        <w:t>Una vez más</w:t>
      </w:r>
      <w:r w:rsidR="0076154A">
        <w:rPr>
          <w:rFonts w:ascii="Times New Roman" w:hAnsi="Times New Roman" w:cs="Times New Roman"/>
          <w:sz w:val="24"/>
          <w:szCs w:val="24"/>
          <w:shd w:val="clear" w:color="auto" w:fill="FFFFFF"/>
        </w:rPr>
        <w:t>,</w:t>
      </w:r>
      <w:r w:rsidRPr="00DE4AAB">
        <w:rPr>
          <w:rFonts w:ascii="Times New Roman" w:hAnsi="Times New Roman" w:cs="Times New Roman"/>
          <w:sz w:val="24"/>
          <w:szCs w:val="24"/>
          <w:shd w:val="clear" w:color="auto" w:fill="FFFFFF"/>
        </w:rPr>
        <w:t xml:space="preserve"> hay que destacar que el exceso de deuda es el síntoma de la enfermedad. Es la fiebre de la infección, y la infección es consecuencia de un Estado que sistemáticamente gasta más de lo que recauda y se endeuda para financiar ese exceso de gasto. No compart</w:t>
      </w:r>
      <w:r>
        <w:rPr>
          <w:rFonts w:ascii="Times New Roman" w:hAnsi="Times New Roman" w:cs="Times New Roman"/>
          <w:sz w:val="24"/>
          <w:szCs w:val="24"/>
          <w:shd w:val="clear" w:color="auto" w:fill="FFFFFF"/>
        </w:rPr>
        <w:t>o la visión que los países del C</w:t>
      </w:r>
      <w:r w:rsidRPr="00DE4AAB">
        <w:rPr>
          <w:rFonts w:ascii="Times New Roman" w:hAnsi="Times New Roman" w:cs="Times New Roman"/>
          <w:sz w:val="24"/>
          <w:szCs w:val="24"/>
          <w:shd w:val="clear" w:color="auto" w:fill="FFFFFF"/>
        </w:rPr>
        <w:t>lub Med no crecen porque se endeudan. En todo caso el endeudamiento público complica más la cosa, pero la causa fundamental de su falta de crecimiento es la ausencia de instituciones confiables que atraigan inversiones. Me refiero a un gasto público austero, un sistema tributario sencillo de liquidar y pagable por el contribuyente, una legislación laboral que incentive la contratación de mano de obra, respeto por los derechos de propiedad, menos regulaciones, una economía competitiva, integrada al mundo…</w:t>
      </w:r>
    </w:p>
    <w:p w:rsidR="005705EF" w:rsidRPr="00DE4AAB" w:rsidRDefault="005705EF" w:rsidP="005705EF">
      <w:pPr>
        <w:spacing w:line="240" w:lineRule="auto"/>
        <w:jc w:val="both"/>
        <w:rPr>
          <w:rFonts w:ascii="Times New Roman" w:hAnsi="Times New Roman" w:cs="Times New Roman"/>
          <w:sz w:val="24"/>
          <w:szCs w:val="24"/>
        </w:rPr>
      </w:pPr>
      <w:r w:rsidRPr="00DE4AAB">
        <w:rPr>
          <w:rFonts w:ascii="Times New Roman" w:hAnsi="Times New Roman" w:cs="Times New Roman"/>
          <w:sz w:val="24"/>
          <w:szCs w:val="24"/>
        </w:rPr>
        <w:t xml:space="preserve">Ese festival de populismo eleva el gasto público hasta niveles que ahogan al sector privado con presión impositiva, luego se pretende recurrir al impuesto inflacionario (vía devaluación de la moneda) y posteriormente al endeudamiento (hasta donde sea posible), cuando no a alguna confiscación de ahorros en los bancos (en situaciones extremas)… Al asignar poco peso (demasiado poco) a resultados sumamente perjudiciales, estos países presentan sistemáticamente un análisis sesgado en contra de tomar medidas contra el déficit y el endeudamiento público… Para eso quieren manejar su moneda, para </w:t>
      </w:r>
      <w:r>
        <w:rPr>
          <w:rFonts w:ascii="Times New Roman" w:hAnsi="Times New Roman" w:cs="Times New Roman"/>
          <w:sz w:val="24"/>
          <w:szCs w:val="24"/>
        </w:rPr>
        <w:t>“</w:t>
      </w:r>
      <w:r w:rsidRPr="00DE4AAB">
        <w:rPr>
          <w:rFonts w:ascii="Times New Roman" w:hAnsi="Times New Roman" w:cs="Times New Roman"/>
          <w:sz w:val="24"/>
          <w:szCs w:val="24"/>
        </w:rPr>
        <w:t>hacer de su capa un sayo</w:t>
      </w:r>
      <w:r>
        <w:rPr>
          <w:rFonts w:ascii="Times New Roman" w:hAnsi="Times New Roman" w:cs="Times New Roman"/>
          <w:sz w:val="24"/>
          <w:szCs w:val="24"/>
        </w:rPr>
        <w:t>”</w:t>
      </w:r>
      <w:r w:rsidRPr="00DE4AAB">
        <w:rPr>
          <w:rFonts w:ascii="Times New Roman" w:hAnsi="Times New Roman" w:cs="Times New Roman"/>
          <w:sz w:val="24"/>
          <w:szCs w:val="24"/>
        </w:rPr>
        <w:t>.</w:t>
      </w:r>
    </w:p>
    <w:p w:rsidR="005705EF" w:rsidRPr="00DE4AAB" w:rsidRDefault="005705EF" w:rsidP="005705EF">
      <w:pPr>
        <w:spacing w:line="240" w:lineRule="auto"/>
        <w:jc w:val="both"/>
        <w:rPr>
          <w:rFonts w:ascii="Times New Roman" w:hAnsi="Times New Roman" w:cs="Times New Roman"/>
          <w:sz w:val="24"/>
          <w:szCs w:val="24"/>
        </w:rPr>
      </w:pPr>
      <w:r w:rsidRPr="00DE4AAB">
        <w:rPr>
          <w:rFonts w:ascii="Times New Roman" w:hAnsi="Times New Roman" w:cs="Times New Roman"/>
          <w:sz w:val="24"/>
          <w:szCs w:val="24"/>
        </w:rPr>
        <w:t>El euro no podría ser dirigido a facilitar el endeudamiento del sector público y del sector privado aun a costa de generar inflación, sino que la inflación debería ser erradicada aun a costa de dificultar el endeudamiento del sector público y del sector privado. Solo así, persuadiendo a los ahorradores de que podían canalizar sus demandas de liquidez hacia el euro, sin miedo a ser esquilmados por la inflación, esa moneda tiene opciones de recuperar la credibilidad y devenir en patrón monetario europeo…</w:t>
      </w:r>
    </w:p>
    <w:p w:rsidR="005705EF" w:rsidRPr="00DE4AAB" w:rsidRDefault="005705EF" w:rsidP="005705EF">
      <w:pPr>
        <w:spacing w:line="240" w:lineRule="auto"/>
        <w:jc w:val="both"/>
        <w:rPr>
          <w:rFonts w:ascii="Times New Roman" w:hAnsi="Times New Roman" w:cs="Times New Roman"/>
          <w:sz w:val="24"/>
          <w:szCs w:val="24"/>
        </w:rPr>
      </w:pPr>
      <w:r w:rsidRPr="00DE4AAB">
        <w:rPr>
          <w:rFonts w:ascii="Times New Roman" w:hAnsi="Times New Roman" w:cs="Times New Roman"/>
          <w:sz w:val="24"/>
          <w:szCs w:val="24"/>
        </w:rPr>
        <w:t>Por lo que, en mi opinión al euro habría que agradecerle que haya actuado de limitante, conteniendo las ansias gastadoras de los gobiernos manirrotos del sur del Mediterráneo. El euro evita, en gran medida, que el nivel (magnitud) de los daños se dispare.</w:t>
      </w:r>
    </w:p>
    <w:p w:rsidR="005705EF" w:rsidRPr="00DE4AAB" w:rsidRDefault="005705EF" w:rsidP="005705EF">
      <w:pPr>
        <w:spacing w:line="240" w:lineRule="auto"/>
        <w:jc w:val="both"/>
        <w:rPr>
          <w:rFonts w:ascii="Times New Roman" w:hAnsi="Times New Roman" w:cs="Times New Roman"/>
          <w:sz w:val="24"/>
          <w:szCs w:val="24"/>
        </w:rPr>
      </w:pPr>
      <w:r w:rsidRPr="00DE4AAB">
        <w:rPr>
          <w:rFonts w:ascii="Times New Roman" w:hAnsi="Times New Roman" w:cs="Times New Roman"/>
          <w:sz w:val="24"/>
          <w:szCs w:val="24"/>
        </w:rPr>
        <w:t>Por ello, la posibilidad de devaluar la moneda, es una decisión inmoral, donde las generaciones futuras no importan demasiado. Es la corrupción y la mala gestión económica, no la falta de fondos de ayuda, ni la falta de autonomía monetaria los que están dificultando el desarrollo de los países mediterráneos. Son sus propios gobiernos los que levantan los muros que luego soli</w:t>
      </w:r>
      <w:r>
        <w:rPr>
          <w:rFonts w:ascii="Times New Roman" w:hAnsi="Times New Roman" w:cs="Times New Roman"/>
          <w:sz w:val="24"/>
          <w:szCs w:val="24"/>
        </w:rPr>
        <w:t>citan (demagógicamente) que les ayuden a derribarl</w:t>
      </w:r>
      <w:r w:rsidRPr="00DE4AAB">
        <w:rPr>
          <w:rFonts w:ascii="Times New Roman" w:hAnsi="Times New Roman" w:cs="Times New Roman"/>
          <w:sz w:val="24"/>
          <w:szCs w:val="24"/>
        </w:rPr>
        <w:t>os.</w:t>
      </w:r>
    </w:p>
    <w:p w:rsidR="005705EF" w:rsidRDefault="001F129D" w:rsidP="005705E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w:t>
      </w:r>
      <w:r w:rsidR="005705EF">
        <w:rPr>
          <w:rFonts w:ascii="Times New Roman" w:hAnsi="Times New Roman" w:cs="Times New Roman"/>
          <w:b/>
          <w:sz w:val="24"/>
          <w:szCs w:val="24"/>
          <w:shd w:val="clear" w:color="auto" w:fill="FFFFFF"/>
        </w:rPr>
        <w:t>Los muros interiores dentro de cada país</w:t>
      </w:r>
      <w:r w:rsidR="005705EF" w:rsidRPr="00221089">
        <w:rPr>
          <w:rFonts w:ascii="Times New Roman" w:hAnsi="Times New Roman" w:cs="Times New Roman"/>
          <w:b/>
          <w:sz w:val="24"/>
          <w:szCs w:val="24"/>
          <w:shd w:val="clear" w:color="auto" w:fill="FFFFFF"/>
        </w:rPr>
        <w:t xml:space="preserve"> miembro de la Unión Europea</w:t>
      </w:r>
      <w:r w:rsidR="005705EF">
        <w:rPr>
          <w:rFonts w:ascii="Times New Roman" w:hAnsi="Times New Roman" w:cs="Times New Roman"/>
          <w:b/>
          <w:sz w:val="24"/>
          <w:szCs w:val="24"/>
          <w:shd w:val="clear" w:color="auto" w:fill="FFFFFF"/>
        </w:rPr>
        <w:t xml:space="preserve"> (el tristecidio)</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Indudablemente los proyectos de ingeniería social (integración, multiculturalismo, desarrollo de las zonas periféricas…) han fracasado en todos y cada uno de los países miembro. Ahí no hay distingo entre los países del norte (Alemania, Reino Unido, Francia, Escandinavia, Holanda, Bélgica) y los países del sur (Portugal, España, Italia y Grecia).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descalabro se constata a diario en los guetos, suburbios, no-go zones, banlieues, asentamientos, centros de acogida, servicios públicos, centros educativos o sanitarios.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frustración social, genera reacción y beligerancia. El abandono y la indiferencia gubernamental, favorece</w:t>
      </w:r>
      <w:r w:rsidR="00850951">
        <w:rPr>
          <w:rFonts w:ascii="Times New Roman" w:hAnsi="Times New Roman" w:cs="Times New Roman"/>
          <w:sz w:val="24"/>
          <w:szCs w:val="24"/>
          <w:shd w:val="clear" w:color="auto" w:fill="FFFFFF"/>
        </w:rPr>
        <w:t>n</w:t>
      </w:r>
      <w:r>
        <w:rPr>
          <w:rFonts w:ascii="Times New Roman" w:hAnsi="Times New Roman" w:cs="Times New Roman"/>
          <w:sz w:val="24"/>
          <w:szCs w:val="24"/>
          <w:shd w:val="clear" w:color="auto" w:fill="FFFFFF"/>
        </w:rPr>
        <w:t xml:space="preserve"> la inseguridad, la delincuencia y la criminalidad. La desesperanza lleva a gran parte de la sociedad a una actitud de “sálvese quien pueda” y a una búsqueda de la “justicia por propia mano”. Una guerra individual contra todo aquel que se sospeche pueda </w:t>
      </w:r>
      <w:r w:rsidR="00EB65AD">
        <w:rPr>
          <w:rFonts w:ascii="Times New Roman" w:hAnsi="Times New Roman" w:cs="Times New Roman"/>
          <w:sz w:val="24"/>
          <w:szCs w:val="24"/>
          <w:shd w:val="clear" w:color="auto" w:fill="FFFFFF"/>
        </w:rPr>
        <w:lastRenderedPageBreak/>
        <w:t>formar parte de la elite extractiva</w:t>
      </w:r>
      <w:r>
        <w:rPr>
          <w:rFonts w:ascii="Times New Roman" w:hAnsi="Times New Roman" w:cs="Times New Roman"/>
          <w:sz w:val="24"/>
          <w:szCs w:val="24"/>
          <w:shd w:val="clear" w:color="auto" w:fill="FFFFFF"/>
        </w:rPr>
        <w:t xml:space="preserve">. Una actitud antisistema contra todo lo que está más allá del gueto, suburbio, no-go zone, banlieue, asentamiento, pandilla o banda. Pequeñas repúblicas autónomas de resentimiento y que algunos logran federarlas en una oleada de sobreexcitación.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Esos muros interiores los originan los políticos, con su indiferencia, arrogancia, fatuidad, corrupción, displicencia, proc</w:t>
      </w:r>
      <w:r w:rsidR="00C13914">
        <w:rPr>
          <w:rFonts w:ascii="Times New Roman" w:hAnsi="Times New Roman" w:cs="Times New Roman"/>
          <w:sz w:val="24"/>
          <w:szCs w:val="24"/>
          <w:shd w:val="clear" w:color="auto" w:fill="FFFFFF"/>
        </w:rPr>
        <w:t>r</w:t>
      </w:r>
      <w:r>
        <w:rPr>
          <w:rFonts w:ascii="Times New Roman" w:hAnsi="Times New Roman" w:cs="Times New Roman"/>
          <w:sz w:val="24"/>
          <w:szCs w:val="24"/>
          <w:shd w:val="clear" w:color="auto" w:fill="FFFFFF"/>
        </w:rPr>
        <w:t xml:space="preserve">astinación, incapacidad, incompetencia, amoralidad, anomia, falta de empatía, burocracia…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Esas fronteras interiores las promueven los ricos y poderosos, que delegan en las fuerzas de seguridad la protección de sus empresas, barrios privados, escuelas de alto nivel, centros hospitalarios privados, clubes selectos, restaurantes de categoría, centros de ocio, esparcimiento y compras de alto standing.</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sienten “solidaridad”, no sienten “culpa”; no hay “remordimiento”, no hay “arrepentimiento”, no hay “espíritu de enmienda”; no aceptan ningún tipo de “hipoteca social”… solo les preocupa estar protegidos de la chusma, e ignorarlos, no verlos, actuando como ciegos voluntarios, negando la evidencia.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ello, en mi opinión, este tipo de “muros mentales” son los peores, y de más difícil solución. Cuando los ricos y poderosos los ignoran, los gobiernos los abandonan, a los “miserables”, solo les queda echarse a las calles y provocar el estallido social.</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No se trata solo de la indignación o del resentimiento, sino del agotamiento, la falta de opciones y la sensación de que esto ya no marcha.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 estos “desesperados” solo les ofrecen el narcótico de las redes sociales, los teléfonos móviles, las aplicaciones, la conectividad… y el entretenimiento banal. Han creado “chupetes electrónicos” para mayores, y esperan que se resignen a mamar de la nada y aliment</w:t>
      </w:r>
      <w:r w:rsidR="00850951">
        <w:rPr>
          <w:rFonts w:ascii="Times New Roman" w:hAnsi="Times New Roman" w:cs="Times New Roman"/>
          <w:sz w:val="24"/>
          <w:szCs w:val="24"/>
          <w:shd w:val="clear" w:color="auto" w:fill="FFFFFF"/>
        </w:rPr>
        <w:t>arse de estupideces. Les proponen</w:t>
      </w:r>
      <w:r>
        <w:rPr>
          <w:rFonts w:ascii="Times New Roman" w:hAnsi="Times New Roman" w:cs="Times New Roman"/>
          <w:sz w:val="24"/>
          <w:szCs w:val="24"/>
          <w:shd w:val="clear" w:color="auto" w:fill="FFFFFF"/>
        </w:rPr>
        <w:t xml:space="preserve"> una vida falsa, vacía, inútil, para no asumir el costo (y el riesgo) de darles una vida mejor, más provechosa y útil. Prefieren mantenerlos en la ignorancia y la represión, que en la educación, producción y provecho. Los prefieren “adormecidos” (atontados), que “despiertos” (racionales). A ver si piensan…</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Creyeron que los inmigrantes les iban a pagar las pensiones, que iban a ser mano de obra barata, precaria y sumisa. Se desinteresaron de sus hijos, pensaron que se integrarían sin más, o retornarían con sus padres al lugar de origen. Les falsificaron la cultura y los abandonaron en un medio hostil y desconocido. Les rompieron la identidad</w:t>
      </w:r>
      <w:r w:rsidR="00850951">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sin ofrecerles un proyecto de progreso a cambio, Les mostraron las luces de la gran ciudad, pero nunca les dejaron acercarse, los confinaron a la oscuridad, al vacío y la marginación.</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Así fue como los únicos que les ofrecieron integración, pertenencia, un proyecto de vida, fueron los imanes, los líderes religiosos de la comunidad musulmana (la de su país de origen, la de sus padres).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auténticos “influencers” para estos marginados (abandonados por la sociedad de acogida) estaban en las mezquitas, predicaban el Corán, condenaban a los infieles, y enseñaban a despreciar (u odiar) los valores de la sociedad occidental.</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el caso de familias de inmigrantes no musulmanes (africanos, asiáticos, hispano americanos…) los sucedáneos de la mezquita resultaron ser las pandillas, las bandas juveniles, los traficantes de droga, el crimen organizado. El único lugar de pertenencia pasó a ser el clan, el único modo de expresión paso a ser la violencia (ayudada muchas veces por el </w:t>
      </w:r>
      <w:r>
        <w:rPr>
          <w:rFonts w:ascii="Times New Roman" w:hAnsi="Times New Roman" w:cs="Times New Roman"/>
          <w:sz w:val="24"/>
          <w:szCs w:val="24"/>
          <w:shd w:val="clear" w:color="auto" w:fill="FFFFFF"/>
        </w:rPr>
        <w:lastRenderedPageBreak/>
        <w:t>consumo de drogas o alcohol), y el único objetivo de su precaria (e inútil) vida pasó a ser el reconocimiento de sus compañeros de fechorías.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resentimiento, una violencia, una carrera loca y suicida, que supieron aprovechar muy bien los grandes delincuentes, traficantes y criminales. Un ejército de sicarios (soldaditos) dispuestos a los que sea</w:t>
      </w:r>
      <w:r w:rsidR="00191179">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para sobresalir en la pandilla.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Fracasa el “plan maestro” de la mano de obra barata (vía inmigración) y de la asimilación de los descendientes o el regreso a sus naciones de origen, cuando sus padres hubieran hecho todos los aportes jubilatorios que el sistema estimara necesarios para su sostenibilidad. Los “invitados” extranjeros no cubren el déficit de la seguridad social, ni mejoran la competitividad, y sus descendientes se enquistan, ariscan y rebelan.</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Actúan bajo el paradigma: “si ellos no nos dejan soñar, nosotros no los dejamos dormir”.</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falta de confianza en las instituciones es parte de ese mapa. Ya no es posible seguir tapándose los ojos. Hay que tomarse en serio las advertencias.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Existe un requisito imprescindible para ello, abandonar la altivez, mirar el problema de frente. Hay que volver a ganarse a la gente, sea nacional o extranjera, mejorando las oportunidades de trabajo, educación y perspectivas de futuro; tratándolos con sensibilidad y respeto; ofreciéndoles participación en las decisiones… sin miedo alguno. </w:t>
      </w:r>
    </w:p>
    <w:p w:rsidR="005705EF" w:rsidRPr="004B3C76" w:rsidRDefault="001F129D" w:rsidP="005705E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w:t>
      </w:r>
      <w:r w:rsidR="005705EF" w:rsidRPr="004B3C76">
        <w:rPr>
          <w:rFonts w:ascii="Times New Roman" w:hAnsi="Times New Roman" w:cs="Times New Roman"/>
          <w:b/>
          <w:sz w:val="24"/>
          <w:szCs w:val="24"/>
          <w:shd w:val="clear" w:color="auto" w:fill="FFFFFF"/>
        </w:rPr>
        <w:t xml:space="preserve">Los </w:t>
      </w:r>
      <w:r w:rsidR="005705EF">
        <w:rPr>
          <w:rFonts w:ascii="Times New Roman" w:hAnsi="Times New Roman" w:cs="Times New Roman"/>
          <w:b/>
          <w:sz w:val="24"/>
          <w:szCs w:val="24"/>
          <w:shd w:val="clear" w:color="auto" w:fill="FFFFFF"/>
        </w:rPr>
        <w:t>“</w:t>
      </w:r>
      <w:r w:rsidR="005705EF" w:rsidRPr="004B3C76">
        <w:rPr>
          <w:rFonts w:ascii="Times New Roman" w:hAnsi="Times New Roman" w:cs="Times New Roman"/>
          <w:b/>
          <w:sz w:val="24"/>
          <w:szCs w:val="24"/>
          <w:shd w:val="clear" w:color="auto" w:fill="FFFFFF"/>
        </w:rPr>
        <w:t>otros</w:t>
      </w:r>
      <w:r w:rsidR="005705EF">
        <w:rPr>
          <w:rFonts w:ascii="Times New Roman" w:hAnsi="Times New Roman" w:cs="Times New Roman"/>
          <w:b/>
          <w:sz w:val="24"/>
          <w:szCs w:val="24"/>
          <w:shd w:val="clear" w:color="auto" w:fill="FFFFFF"/>
        </w:rPr>
        <w:t>”</w:t>
      </w:r>
      <w:r w:rsidR="005705EF" w:rsidRPr="004B3C76">
        <w:rPr>
          <w:rFonts w:ascii="Times New Roman" w:hAnsi="Times New Roman" w:cs="Times New Roman"/>
          <w:b/>
          <w:sz w:val="24"/>
          <w:szCs w:val="24"/>
          <w:shd w:val="clear" w:color="auto" w:fill="FFFFFF"/>
        </w:rPr>
        <w:t xml:space="preserve"> muros</w:t>
      </w:r>
      <w:r w:rsidR="005705EF">
        <w:rPr>
          <w:rFonts w:ascii="Times New Roman" w:hAnsi="Times New Roman" w:cs="Times New Roman"/>
          <w:b/>
          <w:sz w:val="24"/>
          <w:szCs w:val="24"/>
          <w:shd w:val="clear" w:color="auto" w:fill="FFFFFF"/>
        </w:rPr>
        <w:t xml:space="preserve"> interiores (privilegios de clase y deuda interna)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Hay otros muros (más antiguos) que la sociedad ha ido levantado, los que, aunque no producen violencia, sí generan resentimiento, desesperanza, desapego, frustración. Estos muros son transversales, recorren la sociedad más allá de las clases sociales, abarcan períodos etarios, que van allá de la edad juvenil.</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privilegios que gozan los trabajadores públicos (que tienen su plaza asegurada a perpetuidad y mayores salarios), con respecto a los trabajadores del sector privado (con trabajos precarios, temporales, a tiempo parcial, y con menores remuneraciones por tareas semejantes); y a su vez, los trabajadores del sector privado con contrato fijo (estabilidad laboral), con respecto a los trabajadores con contratos temporales (precarios e inseguros).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Estos también son muros interiores que levantan el sector público y/o el sector privado dentro de cada país.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otro gran muro, hasta el momento infranqueable es el de las regiones ricas (desarrolladas) y las regiones pobres (subdesarrolladas) dentro de cada país. El norte y el sur de Italia, España y Portugal, son claros ejemplos de ello. Basta ver el PIB per cápita por regiones dentro de cada país, para comprobar la brecha en el desarrollo económico interregional. Hay muchos casos en que el PIB per cápita se duplica en unas regiones, respecto de otras.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duda ese es un claro ejemplo de insolidaridad interregional, del que poca responsabilidad puede atribuirse a la Unión Europea. Si tomamos, por ejemplo, el caso del norte de Italia con respecto del sur, o del País Vasco o Cataluña, con respecto a Andalucía o Extremadura, con qué autoridad moral esos gobiernos (italiano o español, para el caso) pueden pedir solidaridad y dinero a la UE, cuando ellos mismos no son capaces de aplicar el tratamiento de equilibrio que solicitan a los demás.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Si los países del Club Med adolecen del defecto (por decirlo suave)) que querer vivir por encima de sus posibilidades, y piden ayuda a los terceros países, para no hacer los esfuerzos y sacrificios que deben realizar… ¿cómo se explica que no apliquen en mismo razonamiento con las regiones más ricas y más pobres, de su propio país?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¿Cómo le van a pedir a Alemania, Holanda, Francia o Escandinavia, que le den a Italia, España, Portugal o Grecia, apoyo económico (fondos extraordinarios), cuando Milán o Turín no le dan recursos para desarrollarse a Calabria, Sicilia o La Puglia, o cuando el País Vasco o Cataluña, no ayudan al desarrollo de Andalucía, Extremadura o Canarias?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Estos desequilibrios internos (de cada país) son responsabilidad (culpa), absoluta y exclusiva de cada uno de ellos, y no se puede (debe) pedirle a los terceros países que le resuelvan los problemas que ellos mismos generan, que no son capaces de resolver, o no les interesa hacerlo. En este caso, sin duda, como dice el refrán español: “que cada palo aguante su vela”.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Mientras escribo este Paper viajo por Holanda. En este caso, partiendo de Ámsterdam visito Leiden y Maastricht. Para llegar a este último sitio debo realizar un traslado ferroviario de 2:30 horas. El tren pasa por varias estaciones (Utrecht, Eindhoven…) y veo durante el recorrido un conjunto de ciudades más grandes o más pequeñas, pero en todas (o casi todas) hay plantas industriales, edificios de oficinas, plantas de almacenamiento y distribución. En algunos casos, grandes compañías. Por ejemplo en Eindhoven está instalada la </w:t>
      </w:r>
      <w:r w:rsidRPr="00973B65">
        <w:rPr>
          <w:rFonts w:ascii="Times New Roman" w:hAnsi="Times New Roman" w:cs="Times New Roman"/>
          <w:sz w:val="24"/>
          <w:szCs w:val="24"/>
          <w:shd w:val="clear" w:color="auto" w:fill="FFFFFF"/>
        </w:rPr>
        <w:t>Philips</w:t>
      </w:r>
      <w:r>
        <w:rPr>
          <w:rFonts w:ascii="Times New Roman" w:hAnsi="Times New Roman" w:cs="Times New Roman"/>
          <w:sz w:val="24"/>
          <w:szCs w:val="24"/>
          <w:shd w:val="clear" w:color="auto" w:fill="FFFFFF"/>
        </w:rPr>
        <w:t xml:space="preserve"> (que patrocina el equipo de fútbol regional y ha construido su estadio). En otra ciudad hay una planta de Bosch, en otra hay una muy importante destilería petroquímica… Y así, durante el viaje en tren, desde la ventanilla, no más, puedo ir percibiendo el mayor equilibrio económico regional que tiene el país. Las posibilidades de progreso que tiene cada cuidad. La mejor distribución de recursos e ingresos, por zonas geográficas.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 situación me resulta imposible de observar cuando viajo por distintas regiones de España, Italia o Portugal. El desarrollo es mucho menos equilibrado, las oportunidades laborales, salariales, educativas, sanitarias, socia</w:t>
      </w:r>
      <w:r w:rsidR="00191179">
        <w:rPr>
          <w:rFonts w:ascii="Times New Roman" w:hAnsi="Times New Roman" w:cs="Times New Roman"/>
          <w:sz w:val="24"/>
          <w:szCs w:val="24"/>
          <w:shd w:val="clear" w:color="auto" w:fill="FFFFFF"/>
        </w:rPr>
        <w:t>les, son muy diferentes en cada región</w:t>
      </w:r>
      <w:r>
        <w:rPr>
          <w:rFonts w:ascii="Times New Roman" w:hAnsi="Times New Roman" w:cs="Times New Roman"/>
          <w:sz w:val="24"/>
          <w:szCs w:val="24"/>
          <w:shd w:val="clear" w:color="auto" w:fill="FFFFFF"/>
        </w:rPr>
        <w:t>.</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Esos son los grandes muros (visibles o invisibles, impuestos o tolerados) que fracturan el desarrollo y progreso de amplias regiones del sur de Europa. Y esos muros </w:t>
      </w:r>
      <w:r w:rsidR="00191179">
        <w:rPr>
          <w:rFonts w:ascii="Times New Roman" w:hAnsi="Times New Roman" w:cs="Times New Roman"/>
          <w:sz w:val="24"/>
          <w:szCs w:val="24"/>
          <w:shd w:val="clear" w:color="auto" w:fill="FFFFFF"/>
        </w:rPr>
        <w:t>no fueron levantados por bárbaros invasore</w:t>
      </w:r>
      <w:r>
        <w:rPr>
          <w:rFonts w:ascii="Times New Roman" w:hAnsi="Times New Roman" w:cs="Times New Roman"/>
          <w:sz w:val="24"/>
          <w:szCs w:val="24"/>
          <w:shd w:val="clear" w:color="auto" w:fill="FFFFFF"/>
        </w:rPr>
        <w:t>s, ni terceros países; los han levantado, y me animo a decir  que no les interesa derribarlos, los gobiernos, empresas, bancos, sindicatos, asociaciones patronales, de esos países que ig</w:t>
      </w:r>
      <w:r w:rsidR="00827BDC">
        <w:rPr>
          <w:rFonts w:ascii="Times New Roman" w:hAnsi="Times New Roman" w:cs="Times New Roman"/>
          <w:sz w:val="24"/>
          <w:szCs w:val="24"/>
          <w:shd w:val="clear" w:color="auto" w:fill="FFFFFF"/>
        </w:rPr>
        <w:t>noran, permiten, o aprovechan esos</w:t>
      </w:r>
      <w:r>
        <w:rPr>
          <w:rFonts w:ascii="Times New Roman" w:hAnsi="Times New Roman" w:cs="Times New Roman"/>
          <w:sz w:val="24"/>
          <w:szCs w:val="24"/>
          <w:shd w:val="clear" w:color="auto" w:fill="FFFFFF"/>
        </w:rPr>
        <w:t xml:space="preserve"> desequilibrio</w:t>
      </w:r>
      <w:r w:rsidR="00827BDC">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de los ingresos</w:t>
      </w:r>
      <w:r w:rsidR="00827BDC">
        <w:rPr>
          <w:rFonts w:ascii="Times New Roman" w:hAnsi="Times New Roman" w:cs="Times New Roman"/>
          <w:sz w:val="24"/>
          <w:szCs w:val="24"/>
          <w:shd w:val="clear" w:color="auto" w:fill="FFFFFF"/>
        </w:rPr>
        <w:t xml:space="preserve"> interregionales</w:t>
      </w:r>
      <w:r>
        <w:rPr>
          <w:rFonts w:ascii="Times New Roman" w:hAnsi="Times New Roman" w:cs="Times New Roman"/>
          <w:sz w:val="24"/>
          <w:szCs w:val="24"/>
          <w:shd w:val="clear" w:color="auto" w:fill="FFFFFF"/>
        </w:rPr>
        <w:t>.</w:t>
      </w:r>
      <w:r w:rsidR="00827BD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Ese “drama” no lo puede resolver Europa. Lo deben resolver (por su cuenta y riesgo) cada uno de los países del sur del Mediterráneo. Los que levantaron los muros, los tendrán que demoler, sin ayuda. Los que viven del “lado malo” del muro, les deben exigir a sus políticos y gobernantes que derriben la muralla.</w:t>
      </w:r>
    </w:p>
    <w:p w:rsidR="005705EF" w:rsidRDefault="001F129D" w:rsidP="005705E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w:t>
      </w:r>
      <w:r w:rsidR="005705EF">
        <w:rPr>
          <w:rFonts w:ascii="Times New Roman" w:hAnsi="Times New Roman" w:cs="Times New Roman"/>
          <w:b/>
          <w:sz w:val="24"/>
          <w:szCs w:val="24"/>
          <w:shd w:val="clear" w:color="auto" w:fill="FFFFFF"/>
        </w:rPr>
        <w:t>Los fondos de ayuda al desarrollo y su apropiación indebida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Fondos de Cohesión y los Fondos Estructurales, son convenientes y necesarios. Deben ser otorgados a cada país para financiar los proyectos que la Unión Europea considere adecuados para mejorar el equilibrio económico de los países miembro.</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Pero esos recursos deben ser aplicados, en tiempo y forma, al proyecto (destino) para el que fueron otorgados, siempre deben ir acompañados de aportaciones nacionales significativas (40/50% de fondos propios) y debe realizarse un control estricto y detallado de las inversiones y los contratos públicos.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Ni los Fondos de Cohesión, ni los Fondos Estructurales deben servir para abonar la corrupción,  el clientelismo, los negocios de “amiguetes”, o el capitalismo de estado. Ni el euro (a la carta) debe acomodarse para que algunos países intenten hacer devaluaciones encubiertas, o más peligroso aún, disponer de una moneda alternativa, para licuar deudas, aplicar el impuesto inflacionario, o reprimir financieramente a la población.</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Fondos de Cohesión y los Fondos Estructurales, no deben servir para “engordar” a los contratistas, políticos y banqueros. Facilitar la salida del euro no debe servir para que diluyan sus déficit públicos, y distribuyan sus fracasos económicos, entre la población.</w:t>
      </w:r>
    </w:p>
    <w:p w:rsidR="005705EF" w:rsidRDefault="005705EF" w:rsidP="005705EF">
      <w:pPr>
        <w:spacing w:line="240" w:lineRule="auto"/>
        <w:jc w:val="both"/>
        <w:rPr>
          <w:rFonts w:ascii="Times New Roman" w:hAnsi="Times New Roman" w:cs="Times New Roman"/>
          <w:b/>
          <w:sz w:val="24"/>
          <w:szCs w:val="24"/>
          <w:shd w:val="clear" w:color="auto" w:fill="FFFFFF"/>
        </w:rPr>
      </w:pPr>
      <w:r w:rsidRPr="006502A3">
        <w:rPr>
          <w:rFonts w:ascii="Times New Roman" w:hAnsi="Times New Roman" w:cs="Times New Roman"/>
          <w:b/>
          <w:sz w:val="24"/>
          <w:szCs w:val="24"/>
          <w:shd w:val="clear" w:color="auto" w:fill="FFFFFF"/>
        </w:rPr>
        <w:t>¿Tiene la culpa la UE, o los países del norte, del atraso (relativo) de los países del sur?</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 ninguna manera. Si algo ha hecho mal la Unión Europea ha sido “tolerar” que los fondos aportados (cuantiosos) se perdieran en proyectos faraónicos, clientelares, que facilitaran la malversación, la corrupción, la financiación de los partidos políticos, el tráfico de influencias, las puertas giratorias,</w:t>
      </w:r>
      <w:r w:rsidR="00272B0F">
        <w:rPr>
          <w:rFonts w:ascii="Times New Roman" w:hAnsi="Times New Roman" w:cs="Times New Roman"/>
          <w:sz w:val="24"/>
          <w:szCs w:val="24"/>
          <w:shd w:val="clear" w:color="auto" w:fill="FFFFFF"/>
        </w:rPr>
        <w:t xml:space="preserve"> el nepotismo,</w:t>
      </w:r>
      <w:bookmarkStart w:id="0" w:name="_GoBack"/>
      <w:bookmarkEnd w:id="0"/>
      <w:r>
        <w:rPr>
          <w:rFonts w:ascii="Times New Roman" w:hAnsi="Times New Roman" w:cs="Times New Roman"/>
          <w:sz w:val="24"/>
          <w:szCs w:val="24"/>
          <w:shd w:val="clear" w:color="auto" w:fill="FFFFFF"/>
        </w:rPr>
        <w:t xml:space="preserve"> la plutocracia…</w:t>
      </w:r>
    </w:p>
    <w:p w:rsidR="005705EF" w:rsidRDefault="005705EF" w:rsidP="005705EF">
      <w:pPr>
        <w:spacing w:line="240" w:lineRule="auto"/>
        <w:jc w:val="both"/>
        <w:rPr>
          <w:rFonts w:ascii="Times New Roman" w:hAnsi="Times New Roman" w:cs="Times New Roman"/>
          <w:b/>
          <w:sz w:val="24"/>
          <w:szCs w:val="24"/>
          <w:shd w:val="clear" w:color="auto" w:fill="FFFFFF"/>
        </w:rPr>
      </w:pPr>
      <w:r w:rsidRPr="006502A3">
        <w:rPr>
          <w:rFonts w:ascii="Times New Roman" w:hAnsi="Times New Roman" w:cs="Times New Roman"/>
          <w:b/>
          <w:sz w:val="24"/>
          <w:szCs w:val="24"/>
          <w:shd w:val="clear" w:color="auto" w:fill="FFFFFF"/>
        </w:rPr>
        <w:t>¿Tiene la culpa el euro, del atraso (relativo) de los países del sur?</w:t>
      </w:r>
    </w:p>
    <w:p w:rsidR="005705EF" w:rsidRDefault="005705EF" w:rsidP="005705EF">
      <w:pPr>
        <w:spacing w:line="240" w:lineRule="auto"/>
        <w:jc w:val="both"/>
        <w:rPr>
          <w:rFonts w:ascii="Times New Roman" w:hAnsi="Times New Roman" w:cs="Times New Roman"/>
          <w:sz w:val="24"/>
          <w:szCs w:val="24"/>
          <w:shd w:val="clear" w:color="auto" w:fill="FFFFFF"/>
        </w:rPr>
      </w:pPr>
      <w:r w:rsidRPr="006502A3">
        <w:rPr>
          <w:rFonts w:ascii="Times New Roman" w:hAnsi="Times New Roman" w:cs="Times New Roman"/>
          <w:sz w:val="24"/>
          <w:szCs w:val="24"/>
          <w:shd w:val="clear" w:color="auto" w:fill="FFFFFF"/>
        </w:rPr>
        <w:t xml:space="preserve">Tampoco </w:t>
      </w:r>
      <w:r>
        <w:rPr>
          <w:rFonts w:ascii="Times New Roman" w:hAnsi="Times New Roman" w:cs="Times New Roman"/>
          <w:sz w:val="24"/>
          <w:szCs w:val="24"/>
          <w:shd w:val="clear" w:color="auto" w:fill="FFFFFF"/>
        </w:rPr>
        <w:t>en este caso, aunque tal vez algo menos, el euro condicionó la productividad, la competitividad, o el desarrollo de las actividades económicas. Si los países del sur no hubiesen querido vivir por encima de sus posibilidades, no hubieran incurrido en déficit, no hubieran tenido que incrementar la deuda pública, no necesitarían una moneda propia (salirse del euro) para disfrazar sus desequilibrios, y repartir los daños entre sus ciudadanos.</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algo se debe agradecer al euro, es que haya funcionado como dique de contención, barrera, límite, freno, a la locura de los gobiernos manirrotos y adictos al gasto, del sur de Europa.</w:t>
      </w:r>
    </w:p>
    <w:p w:rsidR="005705EF" w:rsidRDefault="005705EF"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Puede ser que el euro haya ayudado más a las exportaciones alemanas, que a las exportaciones de los países del sur de Europa, inicialmente (en el punto de partida de la moneda única), cuando se establecieron las paridades relativas de conversión (el marco alemá</w:t>
      </w:r>
      <w:r w:rsidR="001B61AC">
        <w:rPr>
          <w:rFonts w:ascii="Times New Roman" w:hAnsi="Times New Roman" w:cs="Times New Roman"/>
          <w:sz w:val="24"/>
          <w:szCs w:val="24"/>
          <w:shd w:val="clear" w:color="auto" w:fill="FFFFFF"/>
        </w:rPr>
        <w:t>n, en solitario, tendría que haberse</w:t>
      </w:r>
      <w:r>
        <w:rPr>
          <w:rFonts w:ascii="Times New Roman" w:hAnsi="Times New Roman" w:cs="Times New Roman"/>
          <w:sz w:val="24"/>
          <w:szCs w:val="24"/>
          <w:shd w:val="clear" w:color="auto" w:fill="FFFFFF"/>
        </w:rPr>
        <w:t xml:space="preserve"> revaluado). Pero eso no justifica todos los desaguisados cometidos por los gobiernos del Club Med y que han intentado justificar por la brida</w:t>
      </w:r>
      <w:r w:rsidR="001B61AC">
        <w:rPr>
          <w:rFonts w:ascii="Times New Roman" w:hAnsi="Times New Roman" w:cs="Times New Roman"/>
          <w:sz w:val="24"/>
          <w:szCs w:val="24"/>
          <w:shd w:val="clear" w:color="auto" w:fill="FFFFFF"/>
        </w:rPr>
        <w:t xml:space="preserve"> (cinturón de castidad)</w:t>
      </w:r>
      <w:r>
        <w:rPr>
          <w:rFonts w:ascii="Times New Roman" w:hAnsi="Times New Roman" w:cs="Times New Roman"/>
          <w:sz w:val="24"/>
          <w:szCs w:val="24"/>
          <w:shd w:val="clear" w:color="auto" w:fill="FFFFFF"/>
        </w:rPr>
        <w:t xml:space="preserve"> del euro. </w:t>
      </w:r>
    </w:p>
    <w:p w:rsidR="00733E38" w:rsidRDefault="001B61AC"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Tener una moneda propia (volver a la lira, la peseta, el escudo o el dracma</w:t>
      </w:r>
      <w:r w:rsidR="00D14A5F">
        <w:rPr>
          <w:rFonts w:ascii="Times New Roman" w:hAnsi="Times New Roman" w:cs="Times New Roman"/>
          <w:sz w:val="24"/>
          <w:szCs w:val="24"/>
          <w:shd w:val="clear" w:color="auto" w:fill="FFFFFF"/>
        </w:rPr>
        <w:t>, en su caso), daría a los gobiernos de Italia, España, Portugal o Grecia</w:t>
      </w:r>
      <w:r w:rsidR="00733E38">
        <w:rPr>
          <w:rFonts w:ascii="Times New Roman" w:hAnsi="Times New Roman" w:cs="Times New Roman"/>
          <w:sz w:val="24"/>
          <w:szCs w:val="24"/>
          <w:shd w:val="clear" w:color="auto" w:fill="FFFFFF"/>
        </w:rPr>
        <w:t>, “manos libres” para realizar más gasto público</w:t>
      </w:r>
      <w:r w:rsidR="00D14A5F">
        <w:rPr>
          <w:rFonts w:ascii="Times New Roman" w:hAnsi="Times New Roman" w:cs="Times New Roman"/>
          <w:sz w:val="24"/>
          <w:szCs w:val="24"/>
          <w:shd w:val="clear" w:color="auto" w:fill="FFFFFF"/>
        </w:rPr>
        <w:t>, devaluaciones competitivas, licuaciones de deuda, reparto del impuesto inflacionario entre los contribuyentes, mayores (y más fáciles) maniobras de distorsión presupuestaria, ma</w:t>
      </w:r>
      <w:r w:rsidR="00733E38">
        <w:rPr>
          <w:rFonts w:ascii="Times New Roman" w:hAnsi="Times New Roman" w:cs="Times New Roman"/>
          <w:sz w:val="24"/>
          <w:szCs w:val="24"/>
          <w:shd w:val="clear" w:color="auto" w:fill="FFFFFF"/>
        </w:rPr>
        <w:t>quillaje de las cuentas nacionales</w:t>
      </w:r>
      <w:r w:rsidR="00D14A5F">
        <w:rPr>
          <w:rFonts w:ascii="Times New Roman" w:hAnsi="Times New Roman" w:cs="Times New Roman"/>
          <w:sz w:val="24"/>
          <w:szCs w:val="24"/>
          <w:shd w:val="clear" w:color="auto" w:fill="FFFFFF"/>
        </w:rPr>
        <w:t>, eludir la responsabilidad política, man</w:t>
      </w:r>
      <w:r w:rsidR="00733E38">
        <w:rPr>
          <w:rFonts w:ascii="Times New Roman" w:hAnsi="Times New Roman" w:cs="Times New Roman"/>
          <w:sz w:val="24"/>
          <w:szCs w:val="24"/>
          <w:shd w:val="clear" w:color="auto" w:fill="FFFFFF"/>
        </w:rPr>
        <w:t>tener el clientelismo, prolongar</w:t>
      </w:r>
      <w:r w:rsidR="00D14A5F">
        <w:rPr>
          <w:rFonts w:ascii="Times New Roman" w:hAnsi="Times New Roman" w:cs="Times New Roman"/>
          <w:sz w:val="24"/>
          <w:szCs w:val="24"/>
          <w:shd w:val="clear" w:color="auto" w:fill="FFFFFF"/>
        </w:rPr>
        <w:t xml:space="preserve"> la corrupción, financiar los partidos políticos, financiar a los agentes sociales conniventes,</w:t>
      </w:r>
      <w:r w:rsidR="00733E38">
        <w:rPr>
          <w:rFonts w:ascii="Times New Roman" w:hAnsi="Times New Roman" w:cs="Times New Roman"/>
          <w:sz w:val="24"/>
          <w:szCs w:val="24"/>
          <w:shd w:val="clear" w:color="auto" w:fill="FFFFFF"/>
        </w:rPr>
        <w:t xml:space="preserve"> preservar los intereses de las elites extractivas.</w:t>
      </w:r>
    </w:p>
    <w:p w:rsidR="00E35834" w:rsidRDefault="00733E38"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definitiva, abandonar el euro, prolongaría y </w:t>
      </w:r>
      <w:r w:rsidR="00E35834">
        <w:rPr>
          <w:rFonts w:ascii="Times New Roman" w:hAnsi="Times New Roman" w:cs="Times New Roman"/>
          <w:sz w:val="24"/>
          <w:szCs w:val="24"/>
          <w:shd w:val="clear" w:color="auto" w:fill="FFFFFF"/>
        </w:rPr>
        <w:t>acrecentaría,</w:t>
      </w:r>
      <w:r>
        <w:rPr>
          <w:rFonts w:ascii="Times New Roman" w:hAnsi="Times New Roman" w:cs="Times New Roman"/>
          <w:sz w:val="24"/>
          <w:szCs w:val="24"/>
          <w:shd w:val="clear" w:color="auto" w:fill="FFFFFF"/>
        </w:rPr>
        <w:t xml:space="preserve"> el atraso relativo de los países del sur. </w:t>
      </w:r>
      <w:r w:rsidR="00E35834">
        <w:rPr>
          <w:rFonts w:ascii="Times New Roman" w:hAnsi="Times New Roman" w:cs="Times New Roman"/>
          <w:sz w:val="24"/>
          <w:szCs w:val="24"/>
          <w:shd w:val="clear" w:color="auto" w:fill="FFFFFF"/>
        </w:rPr>
        <w:t>La mayor ayuda que le puede dar la Unión Europea a los países “adictos” al gasto, es “obligarlos” a ponerse a dieta</w:t>
      </w:r>
      <w:r w:rsidR="00827BDC">
        <w:rPr>
          <w:rFonts w:ascii="Times New Roman" w:hAnsi="Times New Roman" w:cs="Times New Roman"/>
          <w:sz w:val="24"/>
          <w:szCs w:val="24"/>
          <w:shd w:val="clear" w:color="auto" w:fill="FFFFFF"/>
        </w:rPr>
        <w:t xml:space="preserve"> (ahorrar)</w:t>
      </w:r>
      <w:r w:rsidR="00E35834">
        <w:rPr>
          <w:rFonts w:ascii="Times New Roman" w:hAnsi="Times New Roman" w:cs="Times New Roman"/>
          <w:sz w:val="24"/>
          <w:szCs w:val="24"/>
          <w:shd w:val="clear" w:color="auto" w:fill="FFFFFF"/>
        </w:rPr>
        <w:t xml:space="preserve">, para seguir siendo socios de la Unión. </w:t>
      </w:r>
    </w:p>
    <w:p w:rsidR="00E35834" w:rsidRDefault="00E35834"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 todos modos, los países del Club Med, siempre tendrán la opción de abandonar la UE…</w:t>
      </w:r>
    </w:p>
    <w:p w:rsidR="001B61AC" w:rsidRDefault="00E35834" w:rsidP="005705E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Apuesto que no</w:t>
      </w:r>
      <w:r w:rsidR="00827BDC">
        <w:rPr>
          <w:rFonts w:ascii="Times New Roman" w:hAnsi="Times New Roman" w:cs="Times New Roman"/>
          <w:sz w:val="24"/>
          <w:szCs w:val="24"/>
          <w:shd w:val="clear" w:color="auto" w:fill="FFFFFF"/>
        </w:rPr>
        <w:t xml:space="preserve"> lo harán. De boquilla, todo lo</w:t>
      </w:r>
      <w:r>
        <w:rPr>
          <w:rFonts w:ascii="Times New Roman" w:hAnsi="Times New Roman" w:cs="Times New Roman"/>
          <w:sz w:val="24"/>
          <w:szCs w:val="24"/>
          <w:shd w:val="clear" w:color="auto" w:fill="FFFFFF"/>
        </w:rPr>
        <w:t xml:space="preserve"> que se quiera, pero en realidad, fuera de la Unión Europea… hace mucho (pero mucho) frio. Y los países mediterráneos, no están acostumbrados al frio.   </w:t>
      </w:r>
    </w:p>
    <w:p w:rsidR="0039280D" w:rsidRDefault="0039280D" w:rsidP="0039280D">
      <w:pPr>
        <w:pStyle w:val="job"/>
        <w:shd w:val="clear" w:color="auto" w:fill="F8F8F8"/>
        <w:spacing w:before="0" w:beforeAutospacing="0" w:after="0" w:afterAutospacing="0"/>
        <w:jc w:val="both"/>
        <w:rPr>
          <w:b/>
        </w:rPr>
      </w:pPr>
      <w:r w:rsidRPr="002D065F">
        <w:rPr>
          <w:b/>
        </w:rPr>
        <w:lastRenderedPageBreak/>
        <w:t xml:space="preserve">- Las paradojas del </w:t>
      </w:r>
      <w:r>
        <w:rPr>
          <w:b/>
        </w:rPr>
        <w:t>“</w:t>
      </w:r>
      <w:r w:rsidRPr="002D065F">
        <w:rPr>
          <w:b/>
        </w:rPr>
        <w:t>Club Med</w:t>
      </w:r>
      <w:r>
        <w:rPr>
          <w:b/>
        </w:rPr>
        <w:t>”</w:t>
      </w:r>
      <w:r w:rsidRPr="002D065F">
        <w:rPr>
          <w:b/>
        </w:rPr>
        <w:t xml:space="preserve"> (ayúdate que</w:t>
      </w:r>
      <w:r>
        <w:rPr>
          <w:b/>
        </w:rPr>
        <w:t xml:space="preserve"> yo</w:t>
      </w:r>
      <w:r w:rsidRPr="002D065F">
        <w:rPr>
          <w:b/>
        </w:rPr>
        <w:t xml:space="preserve"> te ayudaré)</w:t>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noProof/>
        </w:rPr>
        <w:drawing>
          <wp:inline distT="0" distB="0" distL="0" distR="0" wp14:anchorId="3487E218" wp14:editId="5BF985AA">
            <wp:extent cx="5731510" cy="3222536"/>
            <wp:effectExtent l="0" t="0" r="2540" b="0"/>
            <wp:docPr id="29" name="Imagen 29" descr="Foto: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iStock)"/>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3222536"/>
                    </a:xfrm>
                    <a:prstGeom prst="rect">
                      <a:avLst/>
                    </a:prstGeom>
                    <a:noFill/>
                    <a:ln>
                      <a:noFill/>
                    </a:ln>
                  </pic:spPr>
                </pic:pic>
              </a:graphicData>
            </a:graphic>
          </wp:inline>
        </w:drawing>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b/>
        </w:rPr>
        <w:t>Más “pigs” que nunca</w:t>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noProof/>
        </w:rPr>
        <w:drawing>
          <wp:inline distT="0" distB="0" distL="0" distR="0" wp14:anchorId="0E89A786" wp14:editId="51EC6E36">
            <wp:extent cx="5731510" cy="3438525"/>
            <wp:effectExtent l="0" t="0" r="2540" b="9525"/>
            <wp:docPr id="153" name="Imagen 153" descr="hucha770x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cha770x42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3438525"/>
                    </a:xfrm>
                    <a:prstGeom prst="rect">
                      <a:avLst/>
                    </a:prstGeom>
                    <a:noFill/>
                    <a:ln>
                      <a:noFill/>
                    </a:ln>
                  </pic:spPr>
                </pic:pic>
              </a:graphicData>
            </a:graphic>
          </wp:inline>
        </w:drawing>
      </w:r>
    </w:p>
    <w:p w:rsidR="0039280D" w:rsidRDefault="0039280D" w:rsidP="0039280D">
      <w:pPr>
        <w:pStyle w:val="job"/>
        <w:shd w:val="clear" w:color="auto" w:fill="F8F8F8"/>
        <w:spacing w:before="0" w:beforeAutospacing="0" w:after="0" w:afterAutospacing="0"/>
        <w:jc w:val="both"/>
      </w:pPr>
    </w:p>
    <w:p w:rsidR="0039280D" w:rsidRDefault="0039280D" w:rsidP="0039280D">
      <w:pPr>
        <w:pStyle w:val="job"/>
        <w:shd w:val="clear" w:color="auto" w:fill="F8F8F8"/>
        <w:spacing w:before="0" w:beforeAutospacing="0" w:after="0" w:afterAutospacing="0"/>
        <w:jc w:val="both"/>
      </w:pPr>
    </w:p>
    <w:p w:rsidR="0039280D" w:rsidRPr="005F7A7F" w:rsidRDefault="0039280D" w:rsidP="0039280D">
      <w:pPr>
        <w:pStyle w:val="job"/>
        <w:shd w:val="clear" w:color="auto" w:fill="F8F8F8"/>
        <w:spacing w:before="0" w:beforeAutospacing="0" w:after="0" w:afterAutospacing="0"/>
        <w:jc w:val="both"/>
      </w:pPr>
      <w:r>
        <w:t xml:space="preserve">A continuación presento algunos casos de corrupción en los países del Club Med, para que el lector pueda “imaginar” a donde fueron a parar los Fondos Estructurales y los Fondos de Cohesión aportados por la Unión Europea con la finalidad de equilibrar el desarrollo regional. </w:t>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b/>
        </w:rPr>
        <w:lastRenderedPageBreak/>
        <w:t xml:space="preserve">- </w:t>
      </w:r>
      <w:r w:rsidRPr="00340607">
        <w:rPr>
          <w:b/>
        </w:rPr>
        <w:t>España</w:t>
      </w:r>
      <w:r>
        <w:rPr>
          <w:b/>
        </w:rPr>
        <w:t xml:space="preserve">  (la corrupción arrancó más tarde, pero avanzó a pasos acelerados)</w:t>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sidRPr="00340607">
        <w:rPr>
          <w:b/>
          <w:noProof/>
        </w:rPr>
        <w:drawing>
          <wp:inline distT="0" distB="0" distL="0" distR="0" wp14:anchorId="764CDFBC" wp14:editId="7E30327E">
            <wp:extent cx="5731510" cy="2447526"/>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731510" cy="2447526"/>
                    </a:xfrm>
                    <a:prstGeom prst="rect">
                      <a:avLst/>
                    </a:prstGeom>
                  </pic:spPr>
                </pic:pic>
              </a:graphicData>
            </a:graphic>
          </wp:inline>
        </w:drawing>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sidRPr="00340607">
        <w:rPr>
          <w:b/>
          <w:noProof/>
        </w:rPr>
        <w:drawing>
          <wp:inline distT="0" distB="0" distL="0" distR="0" wp14:anchorId="1A0E0E14" wp14:editId="283EC3F3">
            <wp:extent cx="5731510" cy="3007818"/>
            <wp:effectExtent l="0" t="0" r="2540" b="254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731510" cy="3007818"/>
                    </a:xfrm>
                    <a:prstGeom prst="rect">
                      <a:avLst/>
                    </a:prstGeom>
                  </pic:spPr>
                </pic:pic>
              </a:graphicData>
            </a:graphic>
          </wp:inline>
        </w:drawing>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sidRPr="00340607">
        <w:rPr>
          <w:b/>
          <w:noProof/>
        </w:rPr>
        <w:drawing>
          <wp:inline distT="0" distB="0" distL="0" distR="0" wp14:anchorId="0AEFFAFA" wp14:editId="337BF70D">
            <wp:extent cx="5731510" cy="2031134"/>
            <wp:effectExtent l="0" t="0" r="2540" b="762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31510" cy="2031134"/>
                    </a:xfrm>
                    <a:prstGeom prst="rect">
                      <a:avLst/>
                    </a:prstGeom>
                  </pic:spPr>
                </pic:pic>
              </a:graphicData>
            </a:graphic>
          </wp:inline>
        </w:drawing>
      </w:r>
    </w:p>
    <w:p w:rsidR="0039280D" w:rsidRDefault="0039280D" w:rsidP="0039280D">
      <w:pPr>
        <w:pStyle w:val="job"/>
        <w:shd w:val="clear" w:color="auto" w:fill="F8F8F8"/>
        <w:spacing w:before="0" w:beforeAutospacing="0" w:after="0" w:afterAutospacing="0"/>
        <w:jc w:val="both"/>
        <w:rPr>
          <w:b/>
        </w:rPr>
      </w:pPr>
      <w:r w:rsidRPr="00340607">
        <w:rPr>
          <w:b/>
          <w:noProof/>
        </w:rPr>
        <w:lastRenderedPageBreak/>
        <w:drawing>
          <wp:inline distT="0" distB="0" distL="0" distR="0" wp14:anchorId="35C18A56" wp14:editId="5CE4CC33">
            <wp:extent cx="5731510" cy="2050729"/>
            <wp:effectExtent l="0" t="0" r="2540" b="698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731510" cy="2050729"/>
                    </a:xfrm>
                    <a:prstGeom prst="rect">
                      <a:avLst/>
                    </a:prstGeom>
                  </pic:spPr>
                </pic:pic>
              </a:graphicData>
            </a:graphic>
          </wp:inline>
        </w:drawing>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p>
    <w:p w:rsidR="0039280D" w:rsidRPr="00340607" w:rsidRDefault="0039280D" w:rsidP="0039280D">
      <w:pPr>
        <w:pStyle w:val="job"/>
        <w:shd w:val="clear" w:color="auto" w:fill="F8F8F8"/>
        <w:spacing w:before="0" w:beforeAutospacing="0" w:after="0" w:afterAutospacing="0"/>
        <w:jc w:val="both"/>
        <w:rPr>
          <w:b/>
        </w:rPr>
      </w:pPr>
      <w:r w:rsidRPr="00340607">
        <w:rPr>
          <w:b/>
          <w:noProof/>
        </w:rPr>
        <w:drawing>
          <wp:inline distT="0" distB="0" distL="0" distR="0" wp14:anchorId="507A9AE4" wp14:editId="0A94F8EB">
            <wp:extent cx="5727560" cy="2578100"/>
            <wp:effectExtent l="0" t="0" r="6985"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731510" cy="2579878"/>
                    </a:xfrm>
                    <a:prstGeom prst="rect">
                      <a:avLst/>
                    </a:prstGeom>
                  </pic:spPr>
                </pic:pic>
              </a:graphicData>
            </a:graphic>
          </wp:inline>
        </w:drawing>
      </w:r>
    </w:p>
    <w:p w:rsidR="0039280D" w:rsidRDefault="0039280D" w:rsidP="0039280D">
      <w:pPr>
        <w:pStyle w:val="job"/>
        <w:shd w:val="clear" w:color="auto" w:fill="F8F8F8"/>
        <w:spacing w:after="0"/>
        <w:jc w:val="both"/>
      </w:pPr>
      <w:r>
        <w:t>(Copyright del Pueblo y para el Pueblo - Página creada y programada por @Esparroqui)</w:t>
      </w:r>
    </w:p>
    <w:p w:rsidR="0039280D" w:rsidRDefault="0039280D" w:rsidP="0039280D">
      <w:pPr>
        <w:pStyle w:val="job"/>
        <w:shd w:val="clear" w:color="auto" w:fill="F8F8F8"/>
        <w:spacing w:after="0"/>
        <w:jc w:val="both"/>
        <w:rPr>
          <w:b/>
        </w:rPr>
      </w:pPr>
      <w:r w:rsidRPr="005F7A7F">
        <w:rPr>
          <w:b/>
        </w:rPr>
        <w:t xml:space="preserve">El negocio de </w:t>
      </w:r>
      <w:r>
        <w:rPr>
          <w:b/>
        </w:rPr>
        <w:t>“</w:t>
      </w:r>
      <w:r w:rsidRPr="005F7A7F">
        <w:rPr>
          <w:b/>
        </w:rPr>
        <w:t>no hacer</w:t>
      </w:r>
      <w:r>
        <w:rPr>
          <w:b/>
        </w:rPr>
        <w:t>” (uno caso “surrealista”</w:t>
      </w:r>
      <w:r w:rsidR="009852CF">
        <w:rPr>
          <w:b/>
        </w:rPr>
        <w:t>,</w:t>
      </w:r>
      <w:r>
        <w:rPr>
          <w:b/>
        </w:rPr>
        <w:t xml:space="preserve"> de corrupción en la obra pública)</w:t>
      </w:r>
    </w:p>
    <w:p w:rsidR="0039280D" w:rsidRDefault="0039280D" w:rsidP="0039280D">
      <w:pPr>
        <w:pStyle w:val="job"/>
        <w:shd w:val="clear" w:color="auto" w:fill="F8F8F8"/>
        <w:spacing w:after="0"/>
        <w:jc w:val="both"/>
      </w:pPr>
      <w:r>
        <w:t xml:space="preserve">- </w:t>
      </w:r>
      <w:r w:rsidRPr="00B11F2B">
        <w:rPr>
          <w:u w:val="single"/>
        </w:rPr>
        <w:t>Castor: el chollo para Florentino que vamos a pagar en la factura del gas hasta 2044</w:t>
      </w:r>
      <w:r>
        <w:t xml:space="preserve"> (El Confidencial - </w:t>
      </w:r>
      <w:r w:rsidRPr="00B11F2B">
        <w:rPr>
          <w:b/>
        </w:rPr>
        <w:t>14/5/17</w:t>
      </w:r>
      <w:r>
        <w:t>)</w:t>
      </w:r>
    </w:p>
    <w:p w:rsidR="0039280D" w:rsidRDefault="0039280D" w:rsidP="0039280D">
      <w:pPr>
        <w:pStyle w:val="job"/>
        <w:shd w:val="clear" w:color="auto" w:fill="F8F8F8"/>
        <w:spacing w:after="0"/>
        <w:jc w:val="both"/>
      </w:pPr>
      <w:r>
        <w:rPr>
          <w:noProof/>
        </w:rPr>
        <w:drawing>
          <wp:inline distT="0" distB="0" distL="0" distR="0" wp14:anchorId="101E0BEB" wp14:editId="6BBBE0DA">
            <wp:extent cx="5726020" cy="2292350"/>
            <wp:effectExtent l="0" t="0" r="8255" b="0"/>
            <wp:docPr id="159" name="Imagen 159" descr="Foto: Instalaciones del proyecto Castor, a 21 kilómetros de la costa de Vinaroz (Castellón).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Instalaciones del proyecto Castor, a 21 kilómetros de la costa de Vinaroz (Castellón). (EF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1510" cy="2294548"/>
                    </a:xfrm>
                    <a:prstGeom prst="rect">
                      <a:avLst/>
                    </a:prstGeom>
                    <a:noFill/>
                    <a:ln>
                      <a:noFill/>
                    </a:ln>
                  </pic:spPr>
                </pic:pic>
              </a:graphicData>
            </a:graphic>
          </wp:inline>
        </w:drawing>
      </w:r>
    </w:p>
    <w:p w:rsidR="0039280D" w:rsidRDefault="0039280D" w:rsidP="0039280D">
      <w:pPr>
        <w:pStyle w:val="job"/>
        <w:shd w:val="clear" w:color="auto" w:fill="F8F8F8"/>
        <w:spacing w:after="0"/>
        <w:jc w:val="both"/>
      </w:pPr>
      <w:r>
        <w:lastRenderedPageBreak/>
        <w:t>Iba a ser el depósito de gas natural más grande de España, pero ha acabado siendo una ruina para las arcas públicas. ACS, en cambio, ya ha sido indemnizado con 1.700 millones</w:t>
      </w:r>
    </w:p>
    <w:p w:rsidR="0039280D" w:rsidRDefault="0039280D" w:rsidP="0039280D">
      <w:pPr>
        <w:pStyle w:val="job"/>
        <w:shd w:val="clear" w:color="auto" w:fill="F8F8F8"/>
        <w:spacing w:after="0"/>
        <w:jc w:val="both"/>
      </w:pPr>
      <w:r>
        <w:t>Un proyecto “innecesario y faraónico” que los más suspicaces califican de regalo del Gobierno de José Luis Rodríguez Zapatero al empresario Florentino Pérez. Una instalación que antes de ser aprobada en 2008 ya empleaba técnicas obsoletas. Muchas son las incógnitas, sospechas e indignaciones que levanta el caso Castor, el quinto y más grande depósito de gas natural de España, hoy paralizado por la alarma social que originaron los 500 terremotos de 2012 y 2013. Estas son las claves de un fracaso técnico y político cuyas consecuencias, si la Justicia no lo remedia, pagaremos todos los españoles durante los próximos 30 años en nuestra factura del gas.</w:t>
      </w:r>
    </w:p>
    <w:p w:rsidR="0039280D" w:rsidRDefault="0039280D" w:rsidP="0039280D">
      <w:pPr>
        <w:pStyle w:val="job"/>
        <w:shd w:val="clear" w:color="auto" w:fill="F8F8F8"/>
        <w:spacing w:after="0"/>
        <w:jc w:val="both"/>
      </w:pPr>
      <w:r>
        <w:t>¿Qué es el proyecto Castor?</w:t>
      </w:r>
    </w:p>
    <w:p w:rsidR="0039280D" w:rsidRDefault="0039280D" w:rsidP="0039280D">
      <w:pPr>
        <w:pStyle w:val="job"/>
        <w:shd w:val="clear" w:color="auto" w:fill="F8F8F8"/>
        <w:spacing w:after="0"/>
        <w:jc w:val="both"/>
      </w:pPr>
      <w:r>
        <w:t>El proyecto Castor es una instalación paralizada que pretendía ser el mayor depósito de gas natural de España, situado frente a Vinaroz (Castellón) y el delta del Ebro. Su objetivo estratégico era garantizar el suministro de gas natural en todo el país en caso de escasez, puntas de consumo o cese de las importaciones. Fue aprobado por el Gobierno de José Luis Rodríguez Zapatero en 2008 y puesto en marcha en 2012, pero no pudo seguir adelante por los movimientos sísmicos que provocó en las costas de Castellón y Tarragona. Tras el proyecto está la concesionaria Escal UGS, participada en un 66,7% por el grupo ACS, del empresario Florentino Pérez, y en un 30% por la canadiense CLP.</w:t>
      </w:r>
    </w:p>
    <w:p w:rsidR="0039280D" w:rsidRDefault="0039280D" w:rsidP="0039280D">
      <w:pPr>
        <w:pStyle w:val="job"/>
        <w:shd w:val="clear" w:color="auto" w:fill="F8F8F8"/>
        <w:spacing w:after="0"/>
        <w:jc w:val="both"/>
      </w:pPr>
      <w:r>
        <w:t>¿Cuánto costó?</w:t>
      </w:r>
    </w:p>
    <w:p w:rsidR="0039280D" w:rsidRDefault="0039280D" w:rsidP="0039280D">
      <w:pPr>
        <w:pStyle w:val="job"/>
        <w:shd w:val="clear" w:color="auto" w:fill="F8F8F8"/>
        <w:spacing w:after="0"/>
        <w:jc w:val="both"/>
      </w:pPr>
      <w:r>
        <w:t>Según las cuentas de la compañía gestora, el proyecto ya costaba 1.193,5 millones de euros a 31 de diciembre de 2011, un 89,54% por encima del coste inicial previsto. En 2013, según el Ministerio de Energía, los costes se habían disparado hasta los 1.700 millones.</w:t>
      </w:r>
    </w:p>
    <w:p w:rsidR="0039280D" w:rsidRDefault="0039280D" w:rsidP="0039280D">
      <w:pPr>
        <w:pStyle w:val="job"/>
        <w:shd w:val="clear" w:color="auto" w:fill="F8F8F8"/>
        <w:spacing w:after="0"/>
        <w:jc w:val="both"/>
      </w:pPr>
      <w:r>
        <w:t>¿Cómo funcionaría?</w:t>
      </w:r>
    </w:p>
    <w:p w:rsidR="0039280D" w:rsidRDefault="0039280D" w:rsidP="0039280D">
      <w:pPr>
        <w:pStyle w:val="job"/>
        <w:shd w:val="clear" w:color="auto" w:fill="F8F8F8"/>
        <w:spacing w:after="0"/>
        <w:jc w:val="both"/>
      </w:pPr>
      <w:r>
        <w:t>Castor aprovecha un antiguo pozo petrolífero ubicado a 21 kilómetros de la línea de costa de Vinaroz y a 1.750 metros de profundidad. El depósito artificial tiene capacidad para almacenar hasta un tercio de la demanda de gas del sistema español durante 50 días, es decir, 1.900 millones de metros cúbicos. Para ello, se necesitan seis meses de funcionamiento.</w:t>
      </w:r>
    </w:p>
    <w:p w:rsidR="0039280D" w:rsidRDefault="0039280D" w:rsidP="0039280D">
      <w:pPr>
        <w:pStyle w:val="job"/>
        <w:shd w:val="clear" w:color="auto" w:fill="F8F8F8"/>
        <w:spacing w:after="0"/>
        <w:jc w:val="both"/>
      </w:pPr>
      <w:r>
        <w:t>El proceso consiste en tomar gas natural de la red básica de gasoductos -las tuberías por las que se transporta el gas-, comprimirlo más e inyectarlo en el almacenamiento a más de 1.000 metros de profundidad a través de pozos.</w:t>
      </w:r>
    </w:p>
    <w:p w:rsidR="0039280D" w:rsidRDefault="0039280D" w:rsidP="0039280D">
      <w:pPr>
        <w:pStyle w:val="job"/>
        <w:shd w:val="clear" w:color="auto" w:fill="F8F8F8"/>
        <w:spacing w:after="0"/>
        <w:jc w:val="both"/>
      </w:pPr>
      <w:r>
        <w:t>¿Por qué está paralizado?</w:t>
      </w:r>
    </w:p>
    <w:p w:rsidR="0039280D" w:rsidRDefault="0039280D" w:rsidP="0039280D">
      <w:pPr>
        <w:pStyle w:val="job"/>
        <w:shd w:val="clear" w:color="auto" w:fill="F8F8F8"/>
        <w:spacing w:after="0"/>
        <w:jc w:val="both"/>
      </w:pPr>
      <w:r>
        <w:t xml:space="preserve">La plataforma dejó de funcionar en la fase previa de la explotación por los terremotos que estaba provocando en la zona. Un año después, en 2014, un informe del Instituto Geográfico Nacional (IGN) sobre la actividad sísmica en el entorno del proyecto Castor concluyó que existía una “relación directa” entre los más de 500 seísmos que se produjeron en septiembre de 2013 en el litoral norte de Castellón y la inyección de gas. El estudio, además, reveló la existencia de una falla no cartografiada en la zona (falla bautizada como Castor), y aseguró que no se tuvo en cuenta el informe de “impacto de sismicidad inducida” para determinar la peligrosidad del proyecto. En un reciente informe, el Massachusetts Institute of Technology </w:t>
      </w:r>
      <w:r>
        <w:lastRenderedPageBreak/>
        <w:t>(MIT) rechazó que la falla Castor fuera la causante de los terremotos, afirmando que estos se originaron por “la desestabilización y el estrés” de la gran falla de Amposta.</w:t>
      </w:r>
    </w:p>
    <w:p w:rsidR="0039280D" w:rsidRDefault="0039280D" w:rsidP="0039280D">
      <w:pPr>
        <w:pStyle w:val="job"/>
        <w:shd w:val="clear" w:color="auto" w:fill="F8F8F8"/>
        <w:spacing w:after="0"/>
        <w:jc w:val="both"/>
      </w:pPr>
      <w:r>
        <w:t>Fuentes del propio departamento de José Manuel Soria admitían en privado en 2013 que se trataba de un proyecto “innecesario y faraónico” que nunca debió contemplarse en la planificación energética. Una reflexión que apunta a que pasará tiempo -y se necesitará mucha voluntad política- para reactivarlo.</w:t>
      </w:r>
    </w:p>
    <w:p w:rsidR="0039280D" w:rsidRDefault="0039280D" w:rsidP="0039280D">
      <w:pPr>
        <w:pStyle w:val="job"/>
        <w:shd w:val="clear" w:color="auto" w:fill="F8F8F8"/>
        <w:spacing w:after="0"/>
        <w:jc w:val="both"/>
      </w:pPr>
      <w:r>
        <w:t>¿Cuál es la situación actual?</w:t>
      </w:r>
    </w:p>
    <w:p w:rsidR="0039280D" w:rsidRDefault="0039280D" w:rsidP="0039280D">
      <w:pPr>
        <w:pStyle w:val="job"/>
        <w:shd w:val="clear" w:color="auto" w:fill="F8F8F8"/>
        <w:spacing w:after="0"/>
        <w:jc w:val="both"/>
      </w:pPr>
      <w:r>
        <w:t>La instalación está en desuso desde septiembre de 2013, cuando la inyección de “gas colchón”, paso previo al inicio de las operaciones, dio origen a los terremotos y congeló el proyecto. A principios de este mes de mayo, el ministro de Energía, Álvaro Nadal, aseguró que no desmantelarán de momento la plataforma porque la situación es “estable” y que habrá que realizar un estudio para decidir su futuro. “Es como si inflamos un globo que ha tocado unos cimientos, si luego se desinfla, que es lo que ocurriría con el desmantelamiento, también podría mover los cimientos, así que habría que hacerlo con prudencia y seguridad”, explicó.</w:t>
      </w:r>
    </w:p>
    <w:p w:rsidR="0039280D" w:rsidRDefault="0039280D" w:rsidP="0039280D">
      <w:pPr>
        <w:pStyle w:val="job"/>
        <w:shd w:val="clear" w:color="auto" w:fill="F8F8F8"/>
        <w:spacing w:after="0"/>
        <w:jc w:val="both"/>
      </w:pPr>
      <w:r>
        <w:t>¿Se reabrirá en el futuro?</w:t>
      </w:r>
    </w:p>
    <w:p w:rsidR="0039280D" w:rsidRDefault="0039280D" w:rsidP="0039280D">
      <w:pPr>
        <w:pStyle w:val="job"/>
        <w:shd w:val="clear" w:color="auto" w:fill="F8F8F8"/>
        <w:spacing w:after="0"/>
        <w:jc w:val="both"/>
      </w:pPr>
      <w:r>
        <w:t>El almacén, según adelantó el ministro Álvaro Nadal, no reabrirá. La puntilla al proyecto la ha dado el Massachusetts Institute of Technology (MIT), que en su recién concluido informe sostiene, como ya señalaron sendos estudios del Instituto Geológico y Minero de España y del Instituto Geográfico Nacional, que la inyección de gas en la plataforma originó los terremotos de 2013 y recomienda su cierre. Sin embargo, el MIT echa un cable a Florentino Pérez y al propio Ministerio de Energía al concluir que era imposible prever el desastre. Una valoración que cae como una losa sobre la aspiración de distintas plataformas ciudadanas que exigen a ACS la devolución de los 1.350 millones que recibió como indemnización tras el desastre. O sobre la misma Afectados por la Plataforma Castor (Aplaca), que sigue batallando contra los responsables del proyecto por los perjuicios ocasionados a los ciudadanos.</w:t>
      </w:r>
    </w:p>
    <w:p w:rsidR="0039280D" w:rsidRDefault="0039280D" w:rsidP="0039280D">
      <w:pPr>
        <w:pStyle w:val="job"/>
        <w:shd w:val="clear" w:color="auto" w:fill="F8F8F8"/>
        <w:spacing w:after="0"/>
        <w:jc w:val="both"/>
      </w:pPr>
      <w:r>
        <w:t>¿Quién pagará la factura?</w:t>
      </w:r>
    </w:p>
    <w:p w:rsidR="0039280D" w:rsidRDefault="0039280D" w:rsidP="0039280D">
      <w:pPr>
        <w:pStyle w:val="job"/>
        <w:shd w:val="clear" w:color="auto" w:fill="F8F8F8"/>
        <w:spacing w:after="0"/>
        <w:jc w:val="both"/>
      </w:pPr>
      <w:r>
        <w:t>La concesión otorgada por el Gobierno de Zapatero, con Miguel Sebastián como ministro de Industria, incluía una controvertida cláusula que garantizaba la devolución de la inversión en caso de reversión de la misma. El Gobierno ya abonó 1.350 millones de euros a ACS en 2014, que se suman a otros 110 millones pagados anteriormente. A eso hay que añadir otros 295,6 millones en concepto de “derechos retributivos” por los dos años y tres meses en los que el almacén estuvo operando. Total: 1.755 millones. La Organización de Consumidores y Usuarios (OCU) es taxativa: la factura del desastre se socializará entre todos los españoles, hasta alcanzar los 4.731 millones de euros. Cifra a la que se llega añadiendo un 4,27% anual de intereses del pago de la indemnización por los 30 años de concesión a la concesionaria Escal UGS, participada por ACS en un 66,7%. A razón de 80 millones anuales, el pago a la concesionaria ascenderá a 2.400 millones extra en el año 2044. Lo que implicará invariablemente un sobrecoste en la factura del gas para todos los usuarios españoles, “ya de por sí de los que más pagan de Europa”, subraya la OCU.</w:t>
      </w:r>
    </w:p>
    <w:p w:rsidR="0039280D" w:rsidRDefault="0039280D" w:rsidP="0039280D">
      <w:pPr>
        <w:pStyle w:val="job"/>
        <w:shd w:val="clear" w:color="auto" w:fill="F8F8F8"/>
        <w:spacing w:after="0"/>
        <w:jc w:val="both"/>
      </w:pPr>
    </w:p>
    <w:p w:rsidR="0039280D" w:rsidRDefault="0039280D" w:rsidP="0039280D">
      <w:pPr>
        <w:pStyle w:val="job"/>
        <w:shd w:val="clear" w:color="auto" w:fill="F8F8F8"/>
        <w:spacing w:after="0"/>
        <w:jc w:val="both"/>
      </w:pPr>
      <w:r>
        <w:lastRenderedPageBreak/>
        <w:t>El Juzgado de Instrucción número 4 de Vinaroz tiene a su vez una investigación abierta sobre una veintena de directivos de la concesionaria Escal UGS y técnicos de la Administración para determinar si existió delito en la concesión de autorizaciones y licencias al proyecto gasístico.</w:t>
      </w:r>
    </w:p>
    <w:p w:rsidR="0039280D" w:rsidRDefault="0039280D" w:rsidP="0039280D">
      <w:pPr>
        <w:spacing w:line="240" w:lineRule="auto"/>
        <w:jc w:val="both"/>
        <w:rPr>
          <w:rFonts w:ascii="Times New Roman" w:hAnsi="Times New Roman" w:cs="Times New Roman"/>
          <w:sz w:val="24"/>
          <w:szCs w:val="24"/>
        </w:rPr>
      </w:pPr>
      <w:r w:rsidRPr="003E2E83">
        <w:rPr>
          <w:rFonts w:ascii="Times New Roman" w:eastAsia="Times New Roman" w:hAnsi="Times New Roman" w:cs="Times New Roman"/>
          <w:sz w:val="24"/>
          <w:szCs w:val="24"/>
        </w:rPr>
        <w:t>Nota: podría haberme extendido en la faraónica (</w:t>
      </w:r>
      <w:r>
        <w:rPr>
          <w:rFonts w:ascii="Times New Roman" w:eastAsia="Times New Roman" w:hAnsi="Times New Roman" w:cs="Times New Roman"/>
          <w:sz w:val="24"/>
          <w:szCs w:val="24"/>
        </w:rPr>
        <w:t>y deficitaria) red del Tren de A</w:t>
      </w:r>
      <w:r w:rsidRPr="003E2E83">
        <w:rPr>
          <w:rFonts w:ascii="Times New Roman" w:eastAsia="Times New Roman" w:hAnsi="Times New Roman" w:cs="Times New Roman"/>
          <w:sz w:val="24"/>
          <w:szCs w:val="24"/>
        </w:rPr>
        <w:t>lta Velocidad (la mayor, después de China), en los casi 50 aeropuertos repartidos por el territorio, de los que no más de 12 son rentables, y algunos de los rest</w:t>
      </w:r>
      <w:r>
        <w:rPr>
          <w:rFonts w:ascii="Times New Roman" w:eastAsia="Times New Roman" w:hAnsi="Times New Roman" w:cs="Times New Roman"/>
          <w:sz w:val="24"/>
          <w:szCs w:val="24"/>
        </w:rPr>
        <w:t xml:space="preserve">antes, nunca han recibido </w:t>
      </w:r>
      <w:r w:rsidRPr="003E2E83">
        <w:rPr>
          <w:rFonts w:ascii="Times New Roman" w:eastAsia="Times New Roman" w:hAnsi="Times New Roman" w:cs="Times New Roman"/>
          <w:sz w:val="24"/>
          <w:szCs w:val="24"/>
        </w:rPr>
        <w:t>vuelo</w:t>
      </w:r>
      <w:r>
        <w:rPr>
          <w:rFonts w:ascii="Times New Roman" w:eastAsia="Times New Roman" w:hAnsi="Times New Roman" w:cs="Times New Roman"/>
          <w:sz w:val="24"/>
          <w:szCs w:val="24"/>
        </w:rPr>
        <w:t xml:space="preserve"> alguno</w:t>
      </w:r>
      <w:r w:rsidRPr="003E2E83">
        <w:rPr>
          <w:rFonts w:ascii="Times New Roman" w:eastAsia="Times New Roman" w:hAnsi="Times New Roman" w:cs="Times New Roman"/>
          <w:sz w:val="24"/>
          <w:szCs w:val="24"/>
        </w:rPr>
        <w:t>, o en las numerosas desaladoras instaladas en las cercanías de las zonas de regadío y que no s</w:t>
      </w:r>
      <w:r>
        <w:rPr>
          <w:rFonts w:ascii="Times New Roman" w:eastAsia="Times New Roman" w:hAnsi="Times New Roman" w:cs="Times New Roman"/>
          <w:sz w:val="24"/>
          <w:szCs w:val="24"/>
        </w:rPr>
        <w:t xml:space="preserve">e han puesto en funcionamiento (de 51 previstas, solo 17), del fraude en los Expedientes de Regulación de Empleo (en el que se incluía personal que nunca había trabajo en la empresa), o del fraude en los Cursos de Formación de Parados (en los que cerca de 6.000 millones de euros por año sirven para comprar voluntades en las centrales empresarias y obreras, sin utilizarlos en políticas activas de empleo)… y en tantos otros, por donde se fugaron los 200.000 millones de euros, que la Unión Europea entregó a España desde su incorporación. Solo señalar, como dato significativo, que la cifra aportada por la página de Casos de Corrupción </w:t>
      </w:r>
      <w:r>
        <w:rPr>
          <w:rFonts w:ascii="Times New Roman" w:hAnsi="Times New Roman" w:cs="Times New Roman"/>
          <w:sz w:val="24"/>
          <w:szCs w:val="24"/>
        </w:rPr>
        <w:t>es de 125.504 millones de euros. ¿Será por la Ley de los Grandes Números?</w:t>
      </w:r>
    </w:p>
    <w:p w:rsidR="0039280D" w:rsidRDefault="0039280D" w:rsidP="0039280D">
      <w:pPr>
        <w:spacing w:line="240" w:lineRule="auto"/>
        <w:jc w:val="both"/>
        <w:rPr>
          <w:rFonts w:ascii="Times New Roman" w:eastAsia="Times New Roman" w:hAnsi="Times New Roman" w:cs="Times New Roman"/>
          <w:b/>
          <w:sz w:val="24"/>
          <w:szCs w:val="24"/>
        </w:rPr>
      </w:pPr>
      <w:r w:rsidRPr="00EC3AC2">
        <w:rPr>
          <w:rFonts w:ascii="Times New Roman" w:hAnsi="Times New Roman" w:cs="Times New Roman"/>
          <w:b/>
          <w:sz w:val="24"/>
          <w:szCs w:val="24"/>
        </w:rPr>
        <w:t>- Italia (</w:t>
      </w:r>
      <w:r>
        <w:rPr>
          <w:rFonts w:ascii="Times New Roman" w:eastAsia="Times New Roman" w:hAnsi="Times New Roman" w:cs="Times New Roman"/>
          <w:b/>
          <w:sz w:val="24"/>
          <w:szCs w:val="24"/>
        </w:rPr>
        <w:t xml:space="preserve">clientelismo, </w:t>
      </w:r>
      <w:r w:rsidRPr="00EC3AC2">
        <w:rPr>
          <w:rFonts w:ascii="Times New Roman" w:eastAsia="Times New Roman" w:hAnsi="Times New Roman" w:cs="Times New Roman"/>
          <w:b/>
          <w:sz w:val="24"/>
          <w:szCs w:val="24"/>
        </w:rPr>
        <w:t xml:space="preserve">partidocracia, </w:t>
      </w:r>
      <w:r>
        <w:rPr>
          <w:rFonts w:ascii="Times New Roman" w:eastAsia="Times New Roman" w:hAnsi="Times New Roman" w:cs="Times New Roman"/>
          <w:b/>
          <w:sz w:val="24"/>
          <w:szCs w:val="24"/>
        </w:rPr>
        <w:t>tangentopoli, corruptopoli</w:t>
      </w:r>
      <w:r w:rsidRPr="00EC3AC2">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y “un’altra volta”</w:t>
      </w:r>
      <w:r w:rsidRPr="00EC3AC2">
        <w:rPr>
          <w:rFonts w:ascii="Times New Roman" w:eastAsia="Times New Roman" w:hAnsi="Times New Roman" w:cs="Times New Roman"/>
          <w:b/>
          <w:sz w:val="24"/>
          <w:szCs w:val="24"/>
        </w:rPr>
        <w:t>)</w:t>
      </w:r>
    </w:p>
    <w:p w:rsidR="0039280D" w:rsidRPr="002C101A" w:rsidRDefault="0039280D" w:rsidP="0039280D">
      <w:pPr>
        <w:spacing w:line="240" w:lineRule="auto"/>
        <w:jc w:val="both"/>
        <w:rPr>
          <w:rFonts w:ascii="Times New Roman" w:eastAsia="Times New Roman" w:hAnsi="Times New Roman" w:cs="Times New Roman"/>
          <w:b/>
          <w:sz w:val="24"/>
          <w:szCs w:val="24"/>
        </w:rPr>
      </w:pPr>
      <w:r>
        <w:rPr>
          <w:noProof/>
        </w:rPr>
        <w:drawing>
          <wp:inline distT="0" distB="0" distL="0" distR="0" wp14:anchorId="21AE0B06" wp14:editId="2CE9BA86">
            <wp:extent cx="5734049" cy="3251200"/>
            <wp:effectExtent l="0" t="0" r="635" b="6350"/>
            <wp:docPr id="160" name="Imagen 160" descr="Image result for fotos de la autovia de genova que se cayo en it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otos de la autovia de genova que se cayo en italia"/>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1510" cy="3249760"/>
                    </a:xfrm>
                    <a:prstGeom prst="rect">
                      <a:avLst/>
                    </a:prstGeom>
                    <a:noFill/>
                    <a:ln>
                      <a:noFill/>
                    </a:ln>
                  </pic:spPr>
                </pic:pic>
              </a:graphicData>
            </a:graphic>
          </wp:inline>
        </w:drawing>
      </w:r>
      <w:r w:rsidRPr="002C101A">
        <w:rPr>
          <w:rFonts w:ascii="Times New Roman" w:eastAsia="Times New Roman" w:hAnsi="Times New Roman" w:cs="Times New Roman"/>
          <w:sz w:val="24"/>
          <w:szCs w:val="24"/>
        </w:rPr>
        <w:t xml:space="preserve">Derrumbe de puente en </w:t>
      </w:r>
      <w:r>
        <w:rPr>
          <w:rFonts w:ascii="Times New Roman" w:eastAsia="Times New Roman" w:hAnsi="Times New Roman" w:cs="Times New Roman"/>
          <w:sz w:val="24"/>
          <w:szCs w:val="24"/>
        </w:rPr>
        <w:t>Italia (</w:t>
      </w:r>
      <w:r w:rsidRPr="002C101A">
        <w:rPr>
          <w:rFonts w:ascii="Times New Roman" w:eastAsia="Times New Roman" w:hAnsi="Times New Roman" w:cs="Times New Roman"/>
          <w:sz w:val="24"/>
          <w:szCs w:val="24"/>
        </w:rPr>
        <w:t>viaduct</w:t>
      </w:r>
      <w:r>
        <w:rPr>
          <w:rFonts w:ascii="Times New Roman" w:eastAsia="Times New Roman" w:hAnsi="Times New Roman" w:cs="Times New Roman"/>
          <w:sz w:val="24"/>
          <w:szCs w:val="24"/>
        </w:rPr>
        <w:t>o de la autopista A10 de Génova) dejó 43 muertos</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641B0">
        <w:rPr>
          <w:rFonts w:ascii="Times New Roman" w:eastAsia="Times New Roman" w:hAnsi="Times New Roman" w:cs="Times New Roman"/>
          <w:sz w:val="24"/>
          <w:szCs w:val="24"/>
          <w:u w:val="single"/>
        </w:rPr>
        <w:t>Italia sigue enferma</w:t>
      </w:r>
      <w:r>
        <w:rPr>
          <w:rFonts w:ascii="Times New Roman" w:eastAsia="Times New Roman" w:hAnsi="Times New Roman" w:cs="Times New Roman"/>
          <w:sz w:val="24"/>
          <w:szCs w:val="24"/>
          <w:u w:val="single"/>
        </w:rPr>
        <w:t xml:space="preserve"> de corrupción tras 25 años de “Manos Limpias”</w:t>
      </w:r>
      <w:r>
        <w:rPr>
          <w:rFonts w:ascii="Times New Roman" w:eastAsia="Times New Roman" w:hAnsi="Times New Roman" w:cs="Times New Roman"/>
          <w:sz w:val="24"/>
          <w:szCs w:val="24"/>
        </w:rPr>
        <w:t xml:space="preserve"> (Correo - </w:t>
      </w:r>
      <w:r w:rsidRPr="00E641B0">
        <w:rPr>
          <w:rFonts w:ascii="Times New Roman" w:eastAsia="Times New Roman" w:hAnsi="Times New Roman" w:cs="Times New Roman"/>
          <w:b/>
          <w:sz w:val="24"/>
          <w:szCs w:val="24"/>
        </w:rPr>
        <w:t>16/2/17</w:t>
      </w:r>
      <w:r>
        <w:rPr>
          <w:rFonts w:ascii="Times New Roman" w:eastAsia="Times New Roman" w:hAnsi="Times New Roman" w:cs="Times New Roman"/>
          <w:sz w:val="24"/>
          <w:szCs w:val="24"/>
        </w:rPr>
        <w:t>)</w:t>
      </w:r>
      <w:r w:rsidRPr="00E641B0">
        <w:rPr>
          <w:rFonts w:ascii="Times New Roman" w:eastAsia="Times New Roman" w:hAnsi="Times New Roman" w:cs="Times New Roman"/>
          <w:sz w:val="24"/>
          <w:szCs w:val="24"/>
        </w:rPr>
        <w:t xml:space="preserve"> </w:t>
      </w:r>
    </w:p>
    <w:p w:rsidR="0039280D" w:rsidRPr="00E641B0"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t>Los escándalos de corrupción siguen salpicando la vida política italiana un cuarto de siglo despué</w:t>
      </w:r>
      <w:r>
        <w:rPr>
          <w:rFonts w:ascii="Times New Roman" w:eastAsia="Times New Roman" w:hAnsi="Times New Roman" w:cs="Times New Roman"/>
          <w:sz w:val="24"/>
          <w:szCs w:val="24"/>
        </w:rPr>
        <w:t>s de que la operación judicial “Mani Pulite”</w:t>
      </w:r>
      <w:r w:rsidRPr="00E641B0">
        <w:rPr>
          <w:rFonts w:ascii="Times New Roman" w:eastAsia="Times New Roman" w:hAnsi="Times New Roman" w:cs="Times New Roman"/>
          <w:sz w:val="24"/>
          <w:szCs w:val="24"/>
        </w:rPr>
        <w:t xml:space="preserve"> destapara una red de sobornos entre importantes políticos y empresarios</w:t>
      </w:r>
    </w:p>
    <w:p w:rsidR="0039280D" w:rsidRPr="00E641B0"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t>Un cuarto de siglo después de la operación judicial Manos Limpias, que arrasó con una generación de políticos corruptos, Italia sigue luchando contra sus v</w:t>
      </w:r>
      <w:r>
        <w:rPr>
          <w:rFonts w:ascii="Times New Roman" w:eastAsia="Times New Roman" w:hAnsi="Times New Roman" w:cs="Times New Roman"/>
          <w:sz w:val="24"/>
          <w:szCs w:val="24"/>
        </w:rPr>
        <w:t>iejos demonios. Manos Limpias (“Mani Pulite”</w:t>
      </w:r>
      <w:r w:rsidRPr="00E641B0">
        <w:rPr>
          <w:rFonts w:ascii="Times New Roman" w:eastAsia="Times New Roman" w:hAnsi="Times New Roman" w:cs="Times New Roman"/>
          <w:sz w:val="24"/>
          <w:szCs w:val="24"/>
        </w:rPr>
        <w:t>) comenzó el 17 de febrero de 1992, cuando un anónimo fiscal de Milán, Antonio Di Pietro, ordenó la detención del empr</w:t>
      </w:r>
      <w:r>
        <w:rPr>
          <w:rFonts w:ascii="Times New Roman" w:eastAsia="Times New Roman" w:hAnsi="Times New Roman" w:cs="Times New Roman"/>
          <w:sz w:val="24"/>
          <w:szCs w:val="24"/>
        </w:rPr>
        <w:t>esario socialista Mario Chiesa.</w:t>
      </w:r>
    </w:p>
    <w:p w:rsidR="0039280D" w:rsidRPr="00E641B0"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lastRenderedPageBreak/>
        <w:t>Luego se produjo una larga cadena de detenciones de importantes líderes y empresarios de todas las tendencias y colores, en particular de la Democracia Cristiana y el Partido Socialista, acusados de formar parte de una sofisticada</w:t>
      </w:r>
      <w:r>
        <w:rPr>
          <w:rFonts w:ascii="Times New Roman" w:eastAsia="Times New Roman" w:hAnsi="Times New Roman" w:cs="Times New Roman"/>
          <w:sz w:val="24"/>
          <w:szCs w:val="24"/>
        </w:rPr>
        <w:t xml:space="preserve"> red de sobornos y corrupción. “</w:t>
      </w:r>
      <w:r w:rsidRPr="00E641B0">
        <w:rPr>
          <w:rFonts w:ascii="Times New Roman" w:eastAsia="Times New Roman" w:hAnsi="Times New Roman" w:cs="Times New Roman"/>
          <w:sz w:val="24"/>
          <w:szCs w:val="24"/>
        </w:rPr>
        <w:t xml:space="preserve">Durante Manos Limpias la opinión pública estaba convencida de que se trataba de una guerra entre policías y ladrones. Hoy en día la gente tiene la sensación de estar frente a una </w:t>
      </w:r>
      <w:r>
        <w:rPr>
          <w:rFonts w:ascii="Times New Roman" w:eastAsia="Times New Roman" w:hAnsi="Times New Roman" w:cs="Times New Roman"/>
          <w:sz w:val="24"/>
          <w:szCs w:val="24"/>
        </w:rPr>
        <w:t>guerra entre bandas de ladrones”</w:t>
      </w:r>
      <w:r w:rsidRPr="00E641B0">
        <w:rPr>
          <w:rFonts w:ascii="Times New Roman" w:eastAsia="Times New Roman" w:hAnsi="Times New Roman" w:cs="Times New Roman"/>
          <w:sz w:val="24"/>
          <w:szCs w:val="24"/>
        </w:rPr>
        <w:t>, resumió en una charla con la AFP el célebre</w:t>
      </w:r>
      <w:r>
        <w:rPr>
          <w:rFonts w:ascii="Times New Roman" w:eastAsia="Times New Roman" w:hAnsi="Times New Roman" w:cs="Times New Roman"/>
          <w:sz w:val="24"/>
          <w:szCs w:val="24"/>
        </w:rPr>
        <w:t xml:space="preserve"> juez anticorrupción Di Pietro.</w:t>
      </w:r>
    </w:p>
    <w:p w:rsidR="0039280D" w:rsidRPr="00E641B0"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“Mani Pulite”</w:t>
      </w:r>
      <w:r w:rsidRPr="00E641B0">
        <w:rPr>
          <w:rFonts w:ascii="Times New Roman" w:eastAsia="Times New Roman" w:hAnsi="Times New Roman" w:cs="Times New Roman"/>
          <w:sz w:val="24"/>
          <w:szCs w:val="24"/>
        </w:rPr>
        <w:t>, como se conoce, se han escrito artículos, ensayos, tesis. La operación ha inspirado también a jueces y fiscales de todo el mundo, en particular de América Latina, tras haber estremecido el sistema político y destapado uno de los mayores escándalos de la historia rec</w:t>
      </w:r>
      <w:r>
        <w:rPr>
          <w:rFonts w:ascii="Times New Roman" w:eastAsia="Times New Roman" w:hAnsi="Times New Roman" w:cs="Times New Roman"/>
          <w:sz w:val="24"/>
          <w:szCs w:val="24"/>
        </w:rPr>
        <w:t>iente de Italia, conocido como “Tangentopoli”</w:t>
      </w:r>
      <w:r w:rsidRPr="00E641B0">
        <w:rPr>
          <w:rFonts w:ascii="Times New Roman" w:eastAsia="Times New Roman" w:hAnsi="Times New Roman" w:cs="Times New Roman"/>
          <w:sz w:val="24"/>
          <w:szCs w:val="24"/>
        </w:rPr>
        <w:t>, a través del cual se descubrió el complejo sistema de pago de millonarias coimas por pa</w:t>
      </w:r>
      <w:r>
        <w:rPr>
          <w:rFonts w:ascii="Times New Roman" w:eastAsia="Times New Roman" w:hAnsi="Times New Roman" w:cs="Times New Roman"/>
          <w:sz w:val="24"/>
          <w:szCs w:val="24"/>
        </w:rPr>
        <w:t>rte de empresarios a políticos.</w:t>
      </w:r>
    </w:p>
    <w:p w:rsidR="0039280D" w:rsidRPr="00E641B0"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t>Italia, el ter</w:t>
      </w:r>
      <w:r>
        <w:rPr>
          <w:rFonts w:ascii="Times New Roman" w:eastAsia="Times New Roman" w:hAnsi="Times New Roman" w:cs="Times New Roman"/>
          <w:sz w:val="24"/>
          <w:szCs w:val="24"/>
        </w:rPr>
        <w:t>cer país más corrupto de Europa</w:t>
      </w:r>
    </w:p>
    <w:p w:rsidR="0039280D" w:rsidRPr="00E641B0"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641B0">
        <w:rPr>
          <w:rFonts w:ascii="Times New Roman" w:eastAsia="Times New Roman" w:hAnsi="Times New Roman" w:cs="Times New Roman"/>
          <w:sz w:val="24"/>
          <w:szCs w:val="24"/>
        </w:rPr>
        <w:t>Era un sistema de corrupción que garantizaba a una determinada lista de empresas participar en las licitaciones de obras públicas. Si no aparecías en ellas estabas por f</w:t>
      </w:r>
      <w:r>
        <w:rPr>
          <w:rFonts w:ascii="Times New Roman" w:eastAsia="Times New Roman" w:hAnsi="Times New Roman" w:cs="Times New Roman"/>
          <w:sz w:val="24"/>
          <w:szCs w:val="24"/>
        </w:rPr>
        <w:t>uera”</w:t>
      </w:r>
      <w:r w:rsidRPr="00E641B0">
        <w:rPr>
          <w:rFonts w:ascii="Times New Roman" w:eastAsia="Times New Roman" w:hAnsi="Times New Roman" w:cs="Times New Roman"/>
          <w:sz w:val="24"/>
          <w:szCs w:val="24"/>
        </w:rPr>
        <w:t>, explicó Di Pietro, quien llegó a marcar todos los billetes involucrados en una falsa negociación. Decapitada toda una clase política, forzado al exilio al exprimer ministro socialista Bettino Craxi, la otrora Primera República se derrumbó, lo que allanó el camino en 1994 a la llegada al poder del magnate de las comunicaciones Silvio Berlusconi.</w:t>
      </w:r>
    </w:p>
    <w:p w:rsidR="0039280D" w:rsidRPr="00E641B0"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t xml:space="preserve">A pesar de </w:t>
      </w:r>
      <w:r>
        <w:rPr>
          <w:rFonts w:ascii="Times New Roman" w:eastAsia="Times New Roman" w:hAnsi="Times New Roman" w:cs="Times New Roman"/>
          <w:sz w:val="24"/>
          <w:szCs w:val="24"/>
        </w:rPr>
        <w:t>la enorme repercusión que tuvo “Mani Pulite”</w:t>
      </w:r>
      <w:r w:rsidRPr="00E641B0">
        <w:rPr>
          <w:rFonts w:ascii="Times New Roman" w:eastAsia="Times New Roman" w:hAnsi="Times New Roman" w:cs="Times New Roman"/>
          <w:sz w:val="24"/>
          <w:szCs w:val="24"/>
        </w:rPr>
        <w:t xml:space="preserve"> hace 25 años, Italia sigue sacudida por los escándalos por corrupción, como el que salpicó recientemente a empresarios y funcionarios de Roma (Mafia Capitale), pasando por las coimas para grandes obras, entre ellas para la construcción de los diques del proyecto Moisés de Venecia o de las infraestructuras para la Exposición Universal del 2015 en Milán. Según un reciente informe de la Dirección Nacional Antimafia, el fenómeno aumentó con respecto a la década de los noventa y en total 904 personas han sido denunciadas o detenidas por soborno o extorsión en el primer semestre del 2016, frente a las 841 del se</w:t>
      </w:r>
      <w:r>
        <w:rPr>
          <w:rFonts w:ascii="Times New Roman" w:eastAsia="Times New Roman" w:hAnsi="Times New Roman" w:cs="Times New Roman"/>
          <w:sz w:val="24"/>
          <w:szCs w:val="24"/>
        </w:rPr>
        <w:t>mestre anterior.</w:t>
      </w:r>
    </w:p>
    <w:p w:rsidR="0039280D" w:rsidRPr="00E641B0"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641B0">
        <w:rPr>
          <w:rFonts w:ascii="Times New Roman" w:eastAsia="Times New Roman" w:hAnsi="Times New Roman" w:cs="Times New Roman"/>
          <w:sz w:val="24"/>
          <w:szCs w:val="24"/>
        </w:rPr>
        <w:t>La situación no es brillante, aunque h</w:t>
      </w:r>
      <w:r>
        <w:rPr>
          <w:rFonts w:ascii="Times New Roman" w:eastAsia="Times New Roman" w:hAnsi="Times New Roman" w:cs="Times New Roman"/>
          <w:sz w:val="24"/>
          <w:szCs w:val="24"/>
        </w:rPr>
        <w:t>a mejorado desde hace unos años”</w:t>
      </w:r>
      <w:r w:rsidRPr="00E641B0">
        <w:rPr>
          <w:rFonts w:ascii="Times New Roman" w:eastAsia="Times New Roman" w:hAnsi="Times New Roman" w:cs="Times New Roman"/>
          <w:sz w:val="24"/>
          <w:szCs w:val="24"/>
        </w:rPr>
        <w:t>, sostiene Virginio Carnevali, presidente de Transparencia Internacional, una ONG q</w:t>
      </w:r>
      <w:r>
        <w:rPr>
          <w:rFonts w:ascii="Times New Roman" w:eastAsia="Times New Roman" w:hAnsi="Times New Roman" w:cs="Times New Roman"/>
          <w:sz w:val="24"/>
          <w:szCs w:val="24"/>
        </w:rPr>
        <w:t>ue lucha contra la corrupción. “</w:t>
      </w:r>
      <w:r w:rsidRPr="00E641B0">
        <w:rPr>
          <w:rFonts w:ascii="Times New Roman" w:eastAsia="Times New Roman" w:hAnsi="Times New Roman" w:cs="Times New Roman"/>
          <w:sz w:val="24"/>
          <w:szCs w:val="24"/>
        </w:rPr>
        <w:t xml:space="preserve">Ha habido un cambio de tendencia, pero aún queda mucho por hacer. La corrupción es hoy en día el arma preferida del crimen organizado, que mata menos porque es </w:t>
      </w:r>
      <w:r>
        <w:rPr>
          <w:rFonts w:ascii="Times New Roman" w:eastAsia="Times New Roman" w:hAnsi="Times New Roman" w:cs="Times New Roman"/>
          <w:sz w:val="24"/>
          <w:szCs w:val="24"/>
        </w:rPr>
        <w:t>más fácil sobornar que disparar”</w:t>
      </w:r>
      <w:r w:rsidRPr="00E641B0">
        <w:rPr>
          <w:rFonts w:ascii="Times New Roman" w:eastAsia="Times New Roman" w:hAnsi="Times New Roman" w:cs="Times New Roman"/>
          <w:sz w:val="24"/>
          <w:szCs w:val="24"/>
        </w:rPr>
        <w:t>, recalcó. El informe para el 2016 de Transparencia Internacional ubica a Italia en el renglón 60, con 47 puntos, en una lista de 176 países; un renglón mejor que en 2015, pero entre los peores de Europa, por del</w:t>
      </w:r>
      <w:r>
        <w:rPr>
          <w:rFonts w:ascii="Times New Roman" w:eastAsia="Times New Roman" w:hAnsi="Times New Roman" w:cs="Times New Roman"/>
          <w:sz w:val="24"/>
          <w:szCs w:val="24"/>
        </w:rPr>
        <w:t>ante sólo de Grecia y Bulgaria.</w:t>
      </w:r>
    </w:p>
    <w:p w:rsidR="0039280D" w:rsidRPr="00E641B0"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641B0">
        <w:rPr>
          <w:rFonts w:ascii="Times New Roman" w:eastAsia="Times New Roman" w:hAnsi="Times New Roman" w:cs="Times New Roman"/>
          <w:sz w:val="24"/>
          <w:szCs w:val="24"/>
        </w:rPr>
        <w:t>Si todo e</w:t>
      </w:r>
      <w:r>
        <w:rPr>
          <w:rFonts w:ascii="Times New Roman" w:eastAsia="Times New Roman" w:hAnsi="Times New Roman" w:cs="Times New Roman"/>
          <w:sz w:val="24"/>
          <w:szCs w:val="24"/>
        </w:rPr>
        <w:t>l mundo hace trampa, yo también”</w:t>
      </w:r>
    </w:p>
    <w:p w:rsidR="0039280D" w:rsidRPr="00E641B0"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t>Para hacer frente a ese fenómeno, hace cuatro años se creó la Autoridad Nacional contra la Corrupción (ANAC). Dirigida por el magistrado Raffaele Cantone, la entidad cree más en las virtud</w:t>
      </w:r>
      <w:r>
        <w:rPr>
          <w:rFonts w:ascii="Times New Roman" w:eastAsia="Times New Roman" w:hAnsi="Times New Roman" w:cs="Times New Roman"/>
          <w:sz w:val="24"/>
          <w:szCs w:val="24"/>
        </w:rPr>
        <w:t>es de un sistema que garantiza “la transparencia” que en los procesos penales. “</w:t>
      </w:r>
      <w:r w:rsidRPr="00E641B0">
        <w:rPr>
          <w:rFonts w:ascii="Times New Roman" w:eastAsia="Times New Roman" w:hAnsi="Times New Roman" w:cs="Times New Roman"/>
          <w:sz w:val="24"/>
          <w:szCs w:val="24"/>
        </w:rPr>
        <w:t>Los países que ocupan los primeros lugares en la lista que elabora Transparencia Internacional (Dinamarca y Nueva Zelanda con 90 puntos) no son países que utilizan métodos represivos draconianos, sino que fomentan la</w:t>
      </w:r>
      <w:r>
        <w:rPr>
          <w:rFonts w:ascii="Times New Roman" w:eastAsia="Times New Roman" w:hAnsi="Times New Roman" w:cs="Times New Roman"/>
          <w:sz w:val="24"/>
          <w:szCs w:val="24"/>
        </w:rPr>
        <w:t xml:space="preserve"> colaboración de los individuos”</w:t>
      </w:r>
      <w:r w:rsidRPr="00E641B0">
        <w:rPr>
          <w:rFonts w:ascii="Times New Roman" w:eastAsia="Times New Roman" w:hAnsi="Times New Roman" w:cs="Times New Roman"/>
          <w:sz w:val="24"/>
          <w:szCs w:val="24"/>
        </w:rPr>
        <w:t xml:space="preserve">, explicó el magistrado a la AFP. Italia además paga el precio de una legislación reformada por Berlusconi, quien debido a los numerosos procesos contra él suavizó las leyes contra el falso balance y los sobornos y </w:t>
      </w:r>
      <w:r>
        <w:rPr>
          <w:rFonts w:ascii="Times New Roman" w:eastAsia="Times New Roman" w:hAnsi="Times New Roman" w:cs="Times New Roman"/>
          <w:sz w:val="24"/>
          <w:szCs w:val="24"/>
        </w:rPr>
        <w:t>limitó los delitos financieros.</w:t>
      </w:r>
    </w:p>
    <w:p w:rsidR="0039280D" w:rsidRDefault="0039280D" w:rsidP="0039280D">
      <w:pPr>
        <w:spacing w:line="240" w:lineRule="auto"/>
        <w:jc w:val="both"/>
        <w:rPr>
          <w:rFonts w:ascii="Times New Roman" w:eastAsia="Times New Roman" w:hAnsi="Times New Roman" w:cs="Times New Roman"/>
          <w:sz w:val="24"/>
          <w:szCs w:val="24"/>
        </w:rPr>
      </w:pPr>
      <w:r w:rsidRPr="00E641B0">
        <w:rPr>
          <w:rFonts w:ascii="Times New Roman" w:eastAsia="Times New Roman" w:hAnsi="Times New Roman" w:cs="Times New Roman"/>
          <w:sz w:val="24"/>
          <w:szCs w:val="24"/>
        </w:rPr>
        <w:lastRenderedPageBreak/>
        <w:t>La corrupción termina por pesar en la economía de Italia, se anida en la administración pública, en el sistema de licitaciones y cuenta con la complicidad de una maquinaria estatal engarbullada e ineficiente. Según algunas organizaciones</w:t>
      </w:r>
      <w:r>
        <w:rPr>
          <w:rFonts w:ascii="Times New Roman" w:eastAsia="Times New Roman" w:hAnsi="Times New Roman" w:cs="Times New Roman"/>
          <w:sz w:val="24"/>
          <w:szCs w:val="24"/>
        </w:rPr>
        <w:t>,</w:t>
      </w:r>
      <w:r w:rsidRPr="00E641B0">
        <w:rPr>
          <w:rFonts w:ascii="Times New Roman" w:eastAsia="Times New Roman" w:hAnsi="Times New Roman" w:cs="Times New Roman"/>
          <w:sz w:val="24"/>
          <w:szCs w:val="24"/>
        </w:rPr>
        <w:t xml:space="preserve"> cuesta unos 60</w:t>
      </w:r>
      <w:r>
        <w:rPr>
          <w:rFonts w:ascii="Times New Roman" w:eastAsia="Times New Roman" w:hAnsi="Times New Roman" w:cs="Times New Roman"/>
          <w:sz w:val="24"/>
          <w:szCs w:val="24"/>
        </w:rPr>
        <w:t>.000</w:t>
      </w:r>
      <w:r w:rsidRPr="00E641B0">
        <w:rPr>
          <w:rFonts w:ascii="Times New Roman" w:eastAsia="Times New Roman" w:hAnsi="Times New Roman" w:cs="Times New Roman"/>
          <w:sz w:val="24"/>
          <w:szCs w:val="24"/>
        </w:rPr>
        <w:t xml:space="preserve"> millones de </w:t>
      </w:r>
      <w:r>
        <w:rPr>
          <w:rFonts w:ascii="Times New Roman" w:eastAsia="Times New Roman" w:hAnsi="Times New Roman" w:cs="Times New Roman"/>
          <w:sz w:val="24"/>
          <w:szCs w:val="24"/>
        </w:rPr>
        <w:t>euros, cifra que según Cantone “es probablemente mucho más alta”</w:t>
      </w:r>
      <w:r w:rsidRPr="00E641B0">
        <w:rPr>
          <w:rFonts w:ascii="Times New Roman" w:eastAsia="Times New Roman" w:hAnsi="Times New Roman" w:cs="Times New Roman"/>
          <w:sz w:val="24"/>
          <w:szCs w:val="24"/>
        </w:rPr>
        <w:t>. La corrupción como sistema de vida se alimenta entre otras de la desigualdad social, sostiene Transparencia Internacional, que trabaja también por un cambio de mentalidad y contra el desencanto. Contra el</w:t>
      </w:r>
      <w:r>
        <w:rPr>
          <w:rFonts w:ascii="Times New Roman" w:eastAsia="Times New Roman" w:hAnsi="Times New Roman" w:cs="Times New Roman"/>
          <w:sz w:val="24"/>
          <w:szCs w:val="24"/>
        </w:rPr>
        <w:t xml:space="preserve"> principio generalizado de que “</w:t>
      </w:r>
      <w:r w:rsidRPr="00E641B0">
        <w:rPr>
          <w:rFonts w:ascii="Times New Roman" w:eastAsia="Times New Roman" w:hAnsi="Times New Roman" w:cs="Times New Roman"/>
          <w:sz w:val="24"/>
          <w:szCs w:val="24"/>
        </w:rPr>
        <w:t>si todo el mundo hace trampa, yo</w:t>
      </w:r>
      <w:r>
        <w:rPr>
          <w:rFonts w:ascii="Times New Roman" w:eastAsia="Times New Roman" w:hAnsi="Times New Roman" w:cs="Times New Roman"/>
          <w:sz w:val="24"/>
          <w:szCs w:val="24"/>
        </w:rPr>
        <w:t xml:space="preserve"> también hago trampa”</w:t>
      </w:r>
      <w:r w:rsidRPr="00E641B0">
        <w:rPr>
          <w:rFonts w:ascii="Times New Roman" w:eastAsia="Times New Roman" w:hAnsi="Times New Roman" w:cs="Times New Roman"/>
          <w:sz w:val="24"/>
          <w:szCs w:val="24"/>
        </w:rPr>
        <w:t xml:space="preserve">, resume Di Pietro, quien de fiscal pasó a ser parlamentario y ahora ejerce como abogado.  </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C101A">
        <w:rPr>
          <w:rFonts w:ascii="Times New Roman" w:eastAsia="Times New Roman" w:hAnsi="Times New Roman" w:cs="Times New Roman"/>
          <w:sz w:val="24"/>
          <w:szCs w:val="24"/>
          <w:u w:val="single"/>
        </w:rPr>
        <w:t>El lastre de la corrupción le cuesta a Italia 100.000 millones en 10 años</w:t>
      </w:r>
      <w:r>
        <w:rPr>
          <w:rFonts w:ascii="Times New Roman" w:eastAsia="Times New Roman" w:hAnsi="Times New Roman" w:cs="Times New Roman"/>
          <w:sz w:val="24"/>
          <w:szCs w:val="24"/>
        </w:rPr>
        <w:t xml:space="preserve">  (El Economista - </w:t>
      </w:r>
      <w:r w:rsidRPr="002C101A">
        <w:rPr>
          <w:rFonts w:ascii="Times New Roman" w:eastAsia="Times New Roman" w:hAnsi="Times New Roman" w:cs="Times New Roman"/>
          <w:b/>
          <w:sz w:val="24"/>
          <w:szCs w:val="24"/>
        </w:rPr>
        <w:t>25/6/18</w:t>
      </w:r>
      <w:r>
        <w:rPr>
          <w:rFonts w:ascii="Times New Roman" w:eastAsia="Times New Roman" w:hAnsi="Times New Roman" w:cs="Times New Roman"/>
          <w:sz w:val="24"/>
          <w:szCs w:val="24"/>
        </w:rPr>
        <w:t>)</w:t>
      </w:r>
    </w:p>
    <w:p w:rsidR="0039280D" w:rsidRPr="002C101A"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Giovanni Vegezzi - Milán)</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Cuando hace 10 días le preguntaron a Giuseppe</w:t>
      </w:r>
      <w:r>
        <w:rPr>
          <w:rFonts w:ascii="Times New Roman" w:eastAsia="Times New Roman" w:hAnsi="Times New Roman" w:cs="Times New Roman"/>
          <w:sz w:val="24"/>
          <w:szCs w:val="24"/>
        </w:rPr>
        <w:t xml:space="preserve"> Conte si existía en Italia un “caso Roma”</w:t>
      </w:r>
      <w:r w:rsidRPr="002C101A">
        <w:rPr>
          <w:rFonts w:ascii="Times New Roman" w:eastAsia="Times New Roman" w:hAnsi="Times New Roman" w:cs="Times New Roman"/>
          <w:sz w:val="24"/>
          <w:szCs w:val="24"/>
        </w:rPr>
        <w:t>, relacionado con la reciente trama de corrupción que ha salpicado a todos los partidos políticos transalpinos, incluyendo al Movimiento 5 Estrellas (M5S) y a la Lig</w:t>
      </w:r>
      <w:r>
        <w:rPr>
          <w:rFonts w:ascii="Times New Roman" w:eastAsia="Times New Roman" w:hAnsi="Times New Roman" w:cs="Times New Roman"/>
          <w:sz w:val="24"/>
          <w:szCs w:val="24"/>
        </w:rPr>
        <w:t>a, el primer ministro admitió: “</w:t>
      </w:r>
      <w:r w:rsidRPr="002C101A">
        <w:rPr>
          <w:rFonts w:ascii="Times New Roman" w:eastAsia="Times New Roman" w:hAnsi="Times New Roman" w:cs="Times New Roman"/>
          <w:sz w:val="24"/>
          <w:szCs w:val="24"/>
        </w:rPr>
        <w:t xml:space="preserve">Existe en Italia un problema de corrupción </w:t>
      </w:r>
      <w:r>
        <w:rPr>
          <w:rFonts w:ascii="Times New Roman" w:eastAsia="Times New Roman" w:hAnsi="Times New Roman" w:cs="Times New Roman"/>
          <w:sz w:val="24"/>
          <w:szCs w:val="24"/>
        </w:rPr>
        <w:t>al que debemos prestar atención”</w:t>
      </w:r>
      <w:r w:rsidRPr="002C101A">
        <w:rPr>
          <w:rFonts w:ascii="Times New Roman" w:eastAsia="Times New Roman" w:hAnsi="Times New Roman" w:cs="Times New Roman"/>
          <w:sz w:val="24"/>
          <w:szCs w:val="24"/>
        </w:rPr>
        <w:t>.</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De hecho, un estudio de Unimpresa confirma que la corrupción en Italia es una cuestión nacional: según esta asociación de pymes, la plaga del soborno ha costado al país unos 100.000 millones durante los últimos 10 años. Es la misma cifra que serviría par</w:t>
      </w:r>
      <w:r>
        <w:rPr>
          <w:rFonts w:ascii="Times New Roman" w:eastAsia="Times New Roman" w:hAnsi="Times New Roman" w:cs="Times New Roman"/>
          <w:sz w:val="24"/>
          <w:szCs w:val="24"/>
        </w:rPr>
        <w:t>a</w:t>
      </w:r>
      <w:r w:rsidRPr="002C101A">
        <w:rPr>
          <w:rFonts w:ascii="Times New Roman" w:eastAsia="Times New Roman" w:hAnsi="Times New Roman" w:cs="Times New Roman"/>
          <w:sz w:val="24"/>
          <w:szCs w:val="24"/>
        </w:rPr>
        <w:t xml:space="preserve"> cumplir con el ambicioso plan del Ejecutivo populista italiano, basado en recortes de impuestos y subsidio</w:t>
      </w:r>
      <w:r>
        <w:rPr>
          <w:rFonts w:ascii="Times New Roman" w:eastAsia="Times New Roman" w:hAnsi="Times New Roman" w:cs="Times New Roman"/>
          <w:sz w:val="24"/>
          <w:szCs w:val="24"/>
        </w:rPr>
        <w:t>s para las familias más pobres.</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Los analistas de Unimpresa indican que un empeoramiento de un punto en el Índice de Percepción de la Corrupción supone una caída anual del 0,39% del PIB y del 0,41% en la renta per cápita, haciendo bajar la productividad con respeto al PIB un 4%. Italia, durante la década 2001-2011 redujo su puntuación en este indicador de 5,5 a 3,9: eso conlleva una pérdida de riqueza, para cada año, de 10.000 millones de euros en términos de PIB y de 170 euros en términos de renta per cápita; además, supone una ca</w:t>
      </w:r>
      <w:r>
        <w:rPr>
          <w:rFonts w:ascii="Times New Roman" w:eastAsia="Times New Roman" w:hAnsi="Times New Roman" w:cs="Times New Roman"/>
          <w:sz w:val="24"/>
          <w:szCs w:val="24"/>
        </w:rPr>
        <w:t>ída del 6% de la productividad.</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El estudio detalla así los efectos negativos sobre una economía plagada de sobornos: la corrupción hace bajar las inversiones extranjeras un 16%, mientras el coste de las contratas sube un 20%. Las empresas que operan en un entorno corrupto crecen un 25% menos que las competidoras que gozan de u</w:t>
      </w:r>
      <w:r>
        <w:rPr>
          <w:rFonts w:ascii="Times New Roman" w:eastAsia="Times New Roman" w:hAnsi="Times New Roman" w:cs="Times New Roman"/>
          <w:sz w:val="24"/>
          <w:szCs w:val="24"/>
        </w:rPr>
        <w:t>n mercado transparente y legal.</w:t>
      </w:r>
    </w:p>
    <w:p w:rsidR="0039280D" w:rsidRPr="002C101A"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C101A">
        <w:rPr>
          <w:rFonts w:ascii="Times New Roman" w:eastAsia="Times New Roman" w:hAnsi="Times New Roman" w:cs="Times New Roman"/>
          <w:sz w:val="24"/>
          <w:szCs w:val="24"/>
        </w:rPr>
        <w:t>Las investigaciones hacen urgente una intervención por parte del Gobierno y del Parlamento para reducir el coste de la ilegalidad que pasa f</w:t>
      </w:r>
      <w:r>
        <w:rPr>
          <w:rFonts w:ascii="Times New Roman" w:eastAsia="Times New Roman" w:hAnsi="Times New Roman" w:cs="Times New Roman"/>
          <w:sz w:val="24"/>
          <w:szCs w:val="24"/>
        </w:rPr>
        <w:t>actura a las empresas italianas”</w:t>
      </w:r>
      <w:r w:rsidRPr="002C101A">
        <w:rPr>
          <w:rFonts w:ascii="Times New Roman" w:eastAsia="Times New Roman" w:hAnsi="Times New Roman" w:cs="Times New Roman"/>
          <w:sz w:val="24"/>
          <w:szCs w:val="24"/>
        </w:rPr>
        <w:t>, advierte la presidenta de la</w:t>
      </w:r>
      <w:r>
        <w:rPr>
          <w:rFonts w:ascii="Times New Roman" w:eastAsia="Times New Roman" w:hAnsi="Times New Roman" w:cs="Times New Roman"/>
          <w:sz w:val="24"/>
          <w:szCs w:val="24"/>
        </w:rPr>
        <w:t xml:space="preserve"> asociación, Giovanna Ferrara.</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Lástima que en Italia no haya acuerdo entre Gobierno y autoridades independientes sobre la lucha anticorrupción. Raffaele Cantone, presidente de la Autoridad Nacional Anticorrupción (ANAC), indicó que el problema de la contratación pública sigue sin resolverse. Cantone pide no cambiar, sino reforzar, haciendo efectivas las medidas que aún tienen que aprobarse, el flamante Códi</w:t>
      </w:r>
      <w:r>
        <w:rPr>
          <w:rFonts w:ascii="Times New Roman" w:eastAsia="Times New Roman" w:hAnsi="Times New Roman" w:cs="Times New Roman"/>
          <w:sz w:val="24"/>
          <w:szCs w:val="24"/>
        </w:rPr>
        <w:t>go de la contratación pública. “</w:t>
      </w:r>
      <w:r w:rsidRPr="002C101A">
        <w:rPr>
          <w:rFonts w:ascii="Times New Roman" w:eastAsia="Times New Roman" w:hAnsi="Times New Roman" w:cs="Times New Roman"/>
          <w:sz w:val="24"/>
          <w:szCs w:val="24"/>
        </w:rPr>
        <w:t>Relanzar el sistema de obras públicas requiere reglas no solo simples y compr</w:t>
      </w:r>
      <w:r>
        <w:rPr>
          <w:rFonts w:ascii="Times New Roman" w:eastAsia="Times New Roman" w:hAnsi="Times New Roman" w:cs="Times New Roman"/>
          <w:sz w:val="24"/>
          <w:szCs w:val="24"/>
        </w:rPr>
        <w:t>ensibles, sino también estables”</w:t>
      </w:r>
      <w:r w:rsidRPr="002C101A">
        <w:rPr>
          <w:rFonts w:ascii="Times New Roman" w:eastAsia="Times New Roman" w:hAnsi="Times New Roman" w:cs="Times New Roman"/>
          <w:sz w:val="24"/>
          <w:szCs w:val="24"/>
        </w:rPr>
        <w:t>, añadió, subrayando con u</w:t>
      </w:r>
      <w:r>
        <w:rPr>
          <w:rFonts w:ascii="Times New Roman" w:eastAsia="Times New Roman" w:hAnsi="Times New Roman" w:cs="Times New Roman"/>
          <w:sz w:val="24"/>
          <w:szCs w:val="24"/>
        </w:rPr>
        <w:t>na indirecta a Matteo Salvini: “</w:t>
      </w:r>
      <w:r w:rsidRPr="002C101A">
        <w:rPr>
          <w:rFonts w:ascii="Times New Roman" w:eastAsia="Times New Roman" w:hAnsi="Times New Roman" w:cs="Times New Roman"/>
          <w:sz w:val="24"/>
          <w:szCs w:val="24"/>
        </w:rPr>
        <w:t>Recientemente algunos han pedido la supresión del Código sin que sus partes más eficaces h</w:t>
      </w:r>
      <w:r>
        <w:rPr>
          <w:rFonts w:ascii="Times New Roman" w:eastAsia="Times New Roman" w:hAnsi="Times New Roman" w:cs="Times New Roman"/>
          <w:sz w:val="24"/>
          <w:szCs w:val="24"/>
        </w:rPr>
        <w:t>ayan todavía entrado en vigor”.</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lastRenderedPageBreak/>
        <w:t xml:space="preserve">El ministro de Interior y líder de la derechista </w:t>
      </w:r>
      <w:r>
        <w:rPr>
          <w:rFonts w:ascii="Times New Roman" w:eastAsia="Times New Roman" w:hAnsi="Times New Roman" w:cs="Times New Roman"/>
          <w:sz w:val="24"/>
          <w:szCs w:val="24"/>
        </w:rPr>
        <w:t>Liga denuncia por su parte que “</w:t>
      </w:r>
      <w:r w:rsidRPr="002C101A">
        <w:rPr>
          <w:rFonts w:ascii="Times New Roman" w:eastAsia="Times New Roman" w:hAnsi="Times New Roman" w:cs="Times New Roman"/>
          <w:sz w:val="24"/>
          <w:szCs w:val="24"/>
        </w:rPr>
        <w:t>el Código está dando problemas. Cantone es muy bueno pero no se puede mover ni un cenic</w:t>
      </w:r>
      <w:r>
        <w:rPr>
          <w:rFonts w:ascii="Times New Roman" w:eastAsia="Times New Roman" w:hAnsi="Times New Roman" w:cs="Times New Roman"/>
          <w:sz w:val="24"/>
          <w:szCs w:val="24"/>
        </w:rPr>
        <w:t>ero sin la autorización de ANAC”. “</w:t>
      </w:r>
      <w:r w:rsidRPr="002C101A">
        <w:rPr>
          <w:rFonts w:ascii="Times New Roman" w:eastAsia="Times New Roman" w:hAnsi="Times New Roman" w:cs="Times New Roman"/>
          <w:sz w:val="24"/>
          <w:szCs w:val="24"/>
        </w:rPr>
        <w:t xml:space="preserve">Nosotros no haremos nuevas leyes, quitaremos leyes, nuestra consigna es simplificar. El </w:t>
      </w:r>
      <w:r>
        <w:rPr>
          <w:rFonts w:ascii="Times New Roman" w:eastAsia="Times New Roman" w:hAnsi="Times New Roman" w:cs="Times New Roman"/>
          <w:sz w:val="24"/>
          <w:szCs w:val="24"/>
        </w:rPr>
        <w:t>Código complica las cosas”, añadió Salvini.</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Las declaraciones del líder derechista llegaron después de que la Fiscalía de Roma e</w:t>
      </w:r>
      <w:r>
        <w:rPr>
          <w:rFonts w:ascii="Times New Roman" w:eastAsia="Times New Roman" w:hAnsi="Times New Roman" w:cs="Times New Roman"/>
          <w:sz w:val="24"/>
          <w:szCs w:val="24"/>
        </w:rPr>
        <w:t>nviara a prisión preventiva al “</w:t>
      </w:r>
      <w:r w:rsidRPr="002C101A">
        <w:rPr>
          <w:rFonts w:ascii="Times New Roman" w:eastAsia="Times New Roman" w:hAnsi="Times New Roman" w:cs="Times New Roman"/>
          <w:sz w:val="24"/>
          <w:szCs w:val="24"/>
        </w:rPr>
        <w:t>r</w:t>
      </w:r>
      <w:r>
        <w:rPr>
          <w:rFonts w:ascii="Times New Roman" w:eastAsia="Times New Roman" w:hAnsi="Times New Roman" w:cs="Times New Roman"/>
          <w:sz w:val="24"/>
          <w:szCs w:val="24"/>
        </w:rPr>
        <w:t>ey del ladrillo”</w:t>
      </w:r>
      <w:r w:rsidRPr="002C101A">
        <w:rPr>
          <w:rFonts w:ascii="Times New Roman" w:eastAsia="Times New Roman" w:hAnsi="Times New Roman" w:cs="Times New Roman"/>
          <w:sz w:val="24"/>
          <w:szCs w:val="24"/>
        </w:rPr>
        <w:t xml:space="preserve">, Luca Parnasi, junto a otros 8 empresarios y políticos de la capital transalpina. La detención más llamativa fue la de Luca Lanzalone, asesor del M5S que hace un año le nombró presidente de la principal participada del Ayuntamiento de Roma, la eléctrica ACEA. Sin embargo, Parnasi, que intentó salvar con los sobornos a su imperio del ladrillo, tenía también una estrecha relación con Salvini y contribuyó a financiar la emisora de la Liga, Radio Padana </w:t>
      </w:r>
      <w:r>
        <w:rPr>
          <w:rFonts w:ascii="Times New Roman" w:eastAsia="Times New Roman" w:hAnsi="Times New Roman" w:cs="Times New Roman"/>
          <w:sz w:val="24"/>
          <w:szCs w:val="24"/>
        </w:rPr>
        <w:t>con un cheque de 250.000 euros.</w:t>
      </w:r>
    </w:p>
    <w:p w:rsidR="0039280D" w:rsidRPr="002C101A"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C101A">
        <w:rPr>
          <w:rFonts w:ascii="Times New Roman" w:eastAsia="Times New Roman" w:hAnsi="Times New Roman" w:cs="Times New Roman"/>
          <w:sz w:val="24"/>
          <w:szCs w:val="24"/>
        </w:rPr>
        <w:t>Me gastaré un dinero en las elecciones. Luego (…) veremos cómo dárselos oficialmente a los partidos. (…) Es una inversió</w:t>
      </w:r>
      <w:r>
        <w:rPr>
          <w:rFonts w:ascii="Times New Roman" w:eastAsia="Times New Roman" w:hAnsi="Times New Roman" w:cs="Times New Roman"/>
          <w:sz w:val="24"/>
          <w:szCs w:val="24"/>
        </w:rPr>
        <w:t>n que tenemos que hacer”</w:t>
      </w:r>
      <w:r w:rsidRPr="002C101A">
        <w:rPr>
          <w:rFonts w:ascii="Times New Roman" w:eastAsia="Times New Roman" w:hAnsi="Times New Roman" w:cs="Times New Roman"/>
          <w:sz w:val="24"/>
          <w:szCs w:val="24"/>
        </w:rPr>
        <w:t>, declaró Parnasi, según las escuchas telefónicas realizadas por la Fiscalía de Roma.</w:t>
      </w:r>
    </w:p>
    <w:p w:rsidR="0039280D" w:rsidRPr="002C101A"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Las palabras del constructor hacer revivir en Italia el gigantesco escándalo de corrupción conocido como Tangentopoli. En 1992 las investigaciones de la Fiscalía de Milán llevaron en pocos meses a destapar una trama que involucraba a todos los principales partidos políticos, que utilizaban los sobor</w:t>
      </w:r>
      <w:r>
        <w:rPr>
          <w:rFonts w:ascii="Times New Roman" w:eastAsia="Times New Roman" w:hAnsi="Times New Roman" w:cs="Times New Roman"/>
          <w:sz w:val="24"/>
          <w:szCs w:val="24"/>
        </w:rPr>
        <w:t>nos como forma de financiación.</w:t>
      </w:r>
    </w:p>
    <w:p w:rsidR="0039280D" w:rsidRDefault="0039280D" w:rsidP="0039280D">
      <w:pPr>
        <w:spacing w:line="240" w:lineRule="auto"/>
        <w:jc w:val="both"/>
        <w:rPr>
          <w:rFonts w:ascii="Times New Roman" w:eastAsia="Times New Roman" w:hAnsi="Times New Roman" w:cs="Times New Roman"/>
          <w:sz w:val="24"/>
          <w:szCs w:val="24"/>
        </w:rPr>
      </w:pPr>
      <w:r w:rsidRPr="002C101A">
        <w:rPr>
          <w:rFonts w:ascii="Times New Roman" w:eastAsia="Times New Roman" w:hAnsi="Times New Roman" w:cs="Times New Roman"/>
          <w:sz w:val="24"/>
          <w:szCs w:val="24"/>
        </w:rPr>
        <w:t>El escándalo derrumbó fuerzas históricas como la Democracia Cristiana o el Partido Socialista, que dejaron de existir después de haber protagonizado la política transalpina durante décadas. Pero después de 26 años sus sucesores -incluso los movimientos nacidos específicamente para luchar contra la corrupción, como el M5S- no parecen haber perdido el vicio del soborno.</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Nota: esperando a… Moisés</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Así como utilicé la foto del puente caído de Génova (14/8/18), para ilustrar el apartado, podría haberlo hecho con el “acqua alta” de Venecia (4/11/19), igual de lamentable (pérdida del patrimonio histórico), igual se evitable (10 años de atraso en las obras hidráulicas), e igual de sospechosa (la corrupción, siempre la corrupción, en la obra pública).  </w:t>
      </w:r>
    </w:p>
    <w:p w:rsidR="0039280D" w:rsidRPr="008647B2"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 xml:space="preserve">El récord en el nivel del agua y los daños producidos en la basílica de San Marcos han provocado que todo el mundo vuelva su mirada al proyecto Moisés. Se trata de una faraónica obra de ingeniería ideada para salvar Venecia, pero que, desgraciadamente, se ha convertido en un gran escándalo, uno de los peores de la historia republicana de este país, por culpa de la corrupción, la burocracia </w:t>
      </w:r>
      <w:r>
        <w:rPr>
          <w:rFonts w:ascii="Times New Roman" w:eastAsia="Times New Roman" w:hAnsi="Times New Roman" w:cs="Times New Roman"/>
          <w:sz w:val="24"/>
          <w:szCs w:val="24"/>
        </w:rPr>
        <w:t>y los retrasos en su ejecución.</w:t>
      </w:r>
    </w:p>
    <w:p w:rsidR="0039280D" w:rsidRPr="008647B2"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 xml:space="preserve">La primera piedra la puso en 2003 el entonces primer ministro Silvio Berlusconi. La obra consiste en 78 gigantescas compuertas móviles para proteger Venecia y su laguna del fenómeno frecuente de las </w:t>
      </w:r>
      <w:r>
        <w:rPr>
          <w:rFonts w:ascii="Times New Roman" w:eastAsia="Times New Roman" w:hAnsi="Times New Roman" w:cs="Times New Roman"/>
          <w:sz w:val="24"/>
          <w:szCs w:val="24"/>
        </w:rPr>
        <w:t>mareas altas. “</w:t>
      </w:r>
      <w:r w:rsidRPr="008647B2">
        <w:rPr>
          <w:rFonts w:ascii="Times New Roman" w:eastAsia="Times New Roman" w:hAnsi="Times New Roman" w:cs="Times New Roman"/>
          <w:sz w:val="24"/>
          <w:szCs w:val="24"/>
        </w:rPr>
        <w:t>Es la más extraordinar</w:t>
      </w:r>
      <w:r>
        <w:rPr>
          <w:rFonts w:ascii="Times New Roman" w:eastAsia="Times New Roman" w:hAnsi="Times New Roman" w:cs="Times New Roman"/>
          <w:sz w:val="24"/>
          <w:szCs w:val="24"/>
        </w:rPr>
        <w:t>ia obra de ingeniería del mundo”</w:t>
      </w:r>
      <w:r w:rsidRPr="008647B2">
        <w:rPr>
          <w:rFonts w:ascii="Times New Roman" w:eastAsia="Times New Roman" w:hAnsi="Times New Roman" w:cs="Times New Roman"/>
          <w:sz w:val="24"/>
          <w:szCs w:val="24"/>
        </w:rPr>
        <w:t>, afirmó el presidente de la región véneta en esa época, Giancarlo Galan, exministro en un</w:t>
      </w:r>
      <w:r>
        <w:rPr>
          <w:rFonts w:ascii="Times New Roman" w:eastAsia="Times New Roman" w:hAnsi="Times New Roman" w:cs="Times New Roman"/>
          <w:sz w:val="24"/>
          <w:szCs w:val="24"/>
        </w:rPr>
        <w:t xml:space="preserve"> gobierno de Silvio Berlusconi.</w:t>
      </w:r>
    </w:p>
    <w:p w:rsidR="0039280D"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Galan fue uno de los condenados por sobornos y se le obligó a resarcir al Estado con casi seis millones de euros. Hubo 35 personas detenidas por corrupción y 100 investigados. Tras los retrasos técnicos y judiciales, se pensó que la obra estaría terminada en el 2016, con un coste de 5.500 millones de euros. Pero ahora se piensa que, si bien se ha realizado ya el 94 por ciento de la obra, no entrará en funcionamiento antes del 2022, y su coste final estará entre 6.000 y 8.000 millones de euros. Todos esperan ahora que esta o</w:t>
      </w:r>
      <w:r>
        <w:rPr>
          <w:rFonts w:ascii="Times New Roman" w:eastAsia="Times New Roman" w:hAnsi="Times New Roman" w:cs="Times New Roman"/>
          <w:sz w:val="24"/>
          <w:szCs w:val="24"/>
        </w:rPr>
        <w:t xml:space="preserve">bra faraónica salve a </w:t>
      </w:r>
      <w:r>
        <w:rPr>
          <w:rFonts w:ascii="Times New Roman" w:eastAsia="Times New Roman" w:hAnsi="Times New Roman" w:cs="Times New Roman"/>
          <w:sz w:val="24"/>
          <w:szCs w:val="24"/>
        </w:rPr>
        <w:lastRenderedPageBreak/>
        <w:t>Venecia. “</w:t>
      </w:r>
      <w:r w:rsidRPr="008647B2">
        <w:rPr>
          <w:rFonts w:ascii="Times New Roman" w:eastAsia="Times New Roman" w:hAnsi="Times New Roman" w:cs="Times New Roman"/>
          <w:sz w:val="24"/>
          <w:szCs w:val="24"/>
        </w:rPr>
        <w:t xml:space="preserve">Si el Moisés hubiera estado funcionando, nadie se hubiera percatado del </w:t>
      </w:r>
      <w:r>
        <w:rPr>
          <w:rFonts w:ascii="Times New Roman" w:eastAsia="Times New Roman" w:hAnsi="Times New Roman" w:cs="Times New Roman"/>
          <w:sz w:val="24"/>
          <w:szCs w:val="24"/>
        </w:rPr>
        <w:t>alto nivel del agua esta semana”</w:t>
      </w:r>
      <w:r w:rsidRPr="008647B2">
        <w:rPr>
          <w:rFonts w:ascii="Times New Roman" w:eastAsia="Times New Roman" w:hAnsi="Times New Roman" w:cs="Times New Roman"/>
          <w:sz w:val="24"/>
          <w:szCs w:val="24"/>
        </w:rPr>
        <w:t xml:space="preserve">, manifestó con cierto desconsuelo el ingeniero Roberto Linetti, superintendente </w:t>
      </w:r>
      <w:r>
        <w:rPr>
          <w:rFonts w:ascii="Times New Roman" w:eastAsia="Times New Roman" w:hAnsi="Times New Roman" w:cs="Times New Roman"/>
          <w:sz w:val="24"/>
          <w:szCs w:val="24"/>
        </w:rPr>
        <w:t>de obras públicas en la región.</w:t>
      </w:r>
    </w:p>
    <w:p w:rsidR="0039280D" w:rsidRPr="008647B2"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Urgencia por el cambio climático</w:t>
      </w:r>
    </w:p>
    <w:p w:rsidR="0039280D" w:rsidRPr="008647B2"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Hoy todo el mundo está de acuerdo en que se debe acabar cuanto antes el proyecto Moisés. La Unesco, que declaró Venecia y su laguna como Patrimonio de la Humanidad ha criticado en varias ocasiones la falta de coordinaci</w:t>
      </w:r>
      <w:r>
        <w:rPr>
          <w:rFonts w:ascii="Times New Roman" w:eastAsia="Times New Roman" w:hAnsi="Times New Roman" w:cs="Times New Roman"/>
          <w:sz w:val="24"/>
          <w:szCs w:val="24"/>
        </w:rPr>
        <w:t>ón entre aspectos culturales y “</w:t>
      </w:r>
      <w:r w:rsidRPr="008647B2">
        <w:rPr>
          <w:rFonts w:ascii="Times New Roman" w:eastAsia="Times New Roman" w:hAnsi="Times New Roman" w:cs="Times New Roman"/>
          <w:sz w:val="24"/>
          <w:szCs w:val="24"/>
        </w:rPr>
        <w:t>natur</w:t>
      </w:r>
      <w:r>
        <w:rPr>
          <w:rFonts w:ascii="Times New Roman" w:eastAsia="Times New Roman" w:hAnsi="Times New Roman" w:cs="Times New Roman"/>
          <w:sz w:val="24"/>
          <w:szCs w:val="24"/>
        </w:rPr>
        <w:t>ales”</w:t>
      </w:r>
      <w:r w:rsidRPr="008647B2">
        <w:rPr>
          <w:rFonts w:ascii="Times New Roman" w:eastAsia="Times New Roman" w:hAnsi="Times New Roman" w:cs="Times New Roman"/>
          <w:sz w:val="24"/>
          <w:szCs w:val="24"/>
        </w:rPr>
        <w:t>, urgiendo a terminar el Moisés. Una urgencia que viene determinada también por el cambio climático, según explica Carlo Alberto Tesserin, primer procurador</w:t>
      </w:r>
      <w:r>
        <w:rPr>
          <w:rFonts w:ascii="Times New Roman" w:eastAsia="Times New Roman" w:hAnsi="Times New Roman" w:cs="Times New Roman"/>
          <w:sz w:val="24"/>
          <w:szCs w:val="24"/>
        </w:rPr>
        <w:t xml:space="preserve"> de la basílica de San Marcos. “</w:t>
      </w:r>
      <w:r w:rsidRPr="008647B2">
        <w:rPr>
          <w:rFonts w:ascii="Times New Roman" w:eastAsia="Times New Roman" w:hAnsi="Times New Roman" w:cs="Times New Roman"/>
          <w:sz w:val="24"/>
          <w:szCs w:val="24"/>
        </w:rPr>
        <w:t>Ya no existe la excusa de que se ha tratado de un hecho excepcional; ahora el mal tiempo representa un riesgo para Venecia y San Marcos. Lo que sucede hoy no podemos tolerarlo, teniendo en cuenta el evidente cambio cl</w:t>
      </w:r>
      <w:r>
        <w:rPr>
          <w:rFonts w:ascii="Times New Roman" w:eastAsia="Times New Roman" w:hAnsi="Times New Roman" w:cs="Times New Roman"/>
          <w:sz w:val="24"/>
          <w:szCs w:val="24"/>
        </w:rPr>
        <w:t>imático con una mayor violencia”.</w:t>
      </w:r>
    </w:p>
    <w:p w:rsidR="0039280D" w:rsidRPr="008647B2"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El peligro ha pasado momentáneamente, pero podría volver de nuevo con daños devastadores si la marea alta coincidiera con el desbordamiento de algunos ríos, eventualidad que estuvo a punto de producirse entre el lunes y martes de esta semana. De ahí que el alcalde de Venecia, Luigi Brugnaro, afirme que podría no ser suficiente con el proyecto</w:t>
      </w:r>
      <w:r>
        <w:rPr>
          <w:rFonts w:ascii="Times New Roman" w:eastAsia="Times New Roman" w:hAnsi="Times New Roman" w:cs="Times New Roman"/>
          <w:sz w:val="24"/>
          <w:szCs w:val="24"/>
        </w:rPr>
        <w:t xml:space="preserve"> Moisés para salvar la ciudad. “</w:t>
      </w:r>
      <w:r w:rsidRPr="008647B2">
        <w:rPr>
          <w:rFonts w:ascii="Times New Roman" w:eastAsia="Times New Roman" w:hAnsi="Times New Roman" w:cs="Times New Roman"/>
          <w:sz w:val="24"/>
          <w:szCs w:val="24"/>
        </w:rPr>
        <w:t>Son necesarias obras por valor de 2.000 millones de euros en el Lido, Mestre, Porto Marghera y Pelles</w:t>
      </w:r>
      <w:r>
        <w:rPr>
          <w:rFonts w:ascii="Times New Roman" w:eastAsia="Times New Roman" w:hAnsi="Times New Roman" w:cs="Times New Roman"/>
          <w:sz w:val="24"/>
          <w:szCs w:val="24"/>
        </w:rPr>
        <w:t>trina para defendernos del agua”.</w:t>
      </w:r>
    </w:p>
    <w:p w:rsidR="0039280D" w:rsidRDefault="0039280D" w:rsidP="0039280D">
      <w:pPr>
        <w:spacing w:line="240" w:lineRule="auto"/>
        <w:jc w:val="both"/>
        <w:rPr>
          <w:rFonts w:ascii="Times New Roman" w:eastAsia="Times New Roman" w:hAnsi="Times New Roman" w:cs="Times New Roman"/>
          <w:sz w:val="24"/>
          <w:szCs w:val="24"/>
        </w:rPr>
      </w:pPr>
      <w:r w:rsidRPr="008647B2">
        <w:rPr>
          <w:rFonts w:ascii="Times New Roman" w:eastAsia="Times New Roman" w:hAnsi="Times New Roman" w:cs="Times New Roman"/>
          <w:sz w:val="24"/>
          <w:szCs w:val="24"/>
        </w:rPr>
        <w:t>El mundo ha vuelto a ver en estos días que Venecia pierde a ojos vista jirones de su identidad, por el riesgo del agua alta y porque está siendo tomada al asalto por los turistas, mientras paulatinamente se marchan sus residentes. Como siempre, se han oído buenas palabras del gobierno. Pero, tras la tormenta llega el silencio. Por eso la Unesco sigue clamando para que Venecia, por su valor inestimable para el mundo entero, no se convier</w:t>
      </w:r>
      <w:r>
        <w:rPr>
          <w:rFonts w:ascii="Times New Roman" w:eastAsia="Times New Roman" w:hAnsi="Times New Roman" w:cs="Times New Roman"/>
          <w:sz w:val="24"/>
          <w:szCs w:val="24"/>
        </w:rPr>
        <w:t>ta en una ciudad fantasma o un “villagio”</w:t>
      </w:r>
      <w:r w:rsidRPr="008647B2">
        <w:rPr>
          <w:rFonts w:ascii="Times New Roman" w:eastAsia="Times New Roman" w:hAnsi="Times New Roman" w:cs="Times New Roman"/>
          <w:sz w:val="24"/>
          <w:szCs w:val="24"/>
        </w:rPr>
        <w:t xml:space="preserve"> turístico.</w:t>
      </w:r>
    </w:p>
    <w:p w:rsidR="0039280D" w:rsidRDefault="0039280D" w:rsidP="0039280D">
      <w:pPr>
        <w:spacing w:line="240" w:lineRule="auto"/>
        <w:jc w:val="both"/>
        <w:rPr>
          <w:rFonts w:ascii="Times New Roman" w:eastAsia="Times New Roman" w:hAnsi="Times New Roman" w:cs="Times New Roman"/>
          <w:b/>
          <w:sz w:val="24"/>
          <w:szCs w:val="24"/>
        </w:rPr>
      </w:pPr>
      <w:r w:rsidRPr="007F31C8">
        <w:rPr>
          <w:rFonts w:ascii="Times New Roman" w:eastAsia="Times New Roman" w:hAnsi="Times New Roman" w:cs="Times New Roman"/>
          <w:b/>
          <w:sz w:val="24"/>
          <w:szCs w:val="24"/>
        </w:rPr>
        <w:t>- Grecia (las empresas del país</w:t>
      </w:r>
      <w:r w:rsidR="009852CF">
        <w:rPr>
          <w:rFonts w:ascii="Times New Roman" w:eastAsia="Times New Roman" w:hAnsi="Times New Roman" w:cs="Times New Roman"/>
          <w:b/>
          <w:sz w:val="24"/>
          <w:szCs w:val="24"/>
        </w:rPr>
        <w:t>,</w:t>
      </w:r>
      <w:r w:rsidRPr="007F31C8">
        <w:rPr>
          <w:rFonts w:ascii="Times New Roman" w:eastAsia="Times New Roman" w:hAnsi="Times New Roman" w:cs="Times New Roman"/>
          <w:b/>
          <w:sz w:val="24"/>
          <w:szCs w:val="24"/>
        </w:rPr>
        <w:t xml:space="preserve"> se reservan una parte de su presupuesto para sobornos)</w:t>
      </w:r>
    </w:p>
    <w:p w:rsidR="0039280D" w:rsidRDefault="0039280D" w:rsidP="0039280D">
      <w:pPr>
        <w:spacing w:line="240" w:lineRule="auto"/>
        <w:jc w:val="both"/>
        <w:rPr>
          <w:rFonts w:ascii="Times New Roman" w:eastAsia="Times New Roman" w:hAnsi="Times New Roman" w:cs="Times New Roman"/>
          <w:b/>
          <w:sz w:val="24"/>
          <w:szCs w:val="24"/>
        </w:rPr>
      </w:pPr>
      <w:r>
        <w:rPr>
          <w:noProof/>
        </w:rPr>
        <w:drawing>
          <wp:inline distT="0" distB="0" distL="0" distR="0" wp14:anchorId="1DA57C40" wp14:editId="709C675B">
            <wp:extent cx="5732259" cy="3143250"/>
            <wp:effectExtent l="0" t="0" r="1905" b="0"/>
            <wp:docPr id="161" name="Imagen 161" descr="Vista del puerto de Zaci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sta del puerto de Zacinto"/>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1510" cy="3142839"/>
                    </a:xfrm>
                    <a:prstGeom prst="rect">
                      <a:avLst/>
                    </a:prstGeom>
                    <a:noFill/>
                    <a:ln>
                      <a:noFill/>
                    </a:ln>
                  </pic:spPr>
                </pic:pic>
              </a:graphicData>
            </a:graphic>
          </wp:inline>
        </w:drawing>
      </w:r>
      <w:r>
        <w:rPr>
          <w:rFonts w:ascii="Times New Roman" w:eastAsia="Times New Roman" w:hAnsi="Times New Roman" w:cs="Times New Roman"/>
          <w:sz w:val="24"/>
          <w:szCs w:val="24"/>
        </w:rPr>
        <w:t>Puerto de Zákynthos</w:t>
      </w:r>
    </w:p>
    <w:p w:rsidR="001F129D" w:rsidRDefault="001F129D" w:rsidP="0039280D">
      <w:pPr>
        <w:spacing w:line="240" w:lineRule="auto"/>
        <w:jc w:val="both"/>
        <w:rPr>
          <w:rFonts w:ascii="Times New Roman" w:eastAsia="Times New Roman" w:hAnsi="Times New Roman" w:cs="Times New Roman"/>
          <w:sz w:val="24"/>
          <w:szCs w:val="24"/>
        </w:rPr>
      </w:pP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7F31C8">
        <w:rPr>
          <w:rFonts w:ascii="Times New Roman" w:eastAsia="Times New Roman" w:hAnsi="Times New Roman" w:cs="Times New Roman"/>
          <w:sz w:val="24"/>
          <w:szCs w:val="24"/>
          <w:u w:val="single"/>
        </w:rPr>
        <w:t>La corrupción, el cáncer que corroe a Grecia</w:t>
      </w:r>
      <w:r>
        <w:rPr>
          <w:rFonts w:ascii="Times New Roman" w:eastAsia="Times New Roman" w:hAnsi="Times New Roman" w:cs="Times New Roman"/>
          <w:sz w:val="24"/>
          <w:szCs w:val="24"/>
        </w:rPr>
        <w:t xml:space="preserve"> (elPeriódico - </w:t>
      </w:r>
      <w:r w:rsidRPr="007F31C8">
        <w:rPr>
          <w:rFonts w:ascii="Times New Roman" w:eastAsia="Times New Roman" w:hAnsi="Times New Roman" w:cs="Times New Roman"/>
          <w:b/>
          <w:sz w:val="24"/>
          <w:szCs w:val="24"/>
        </w:rPr>
        <w:t>12/6/12</w:t>
      </w:r>
      <w:r>
        <w:rPr>
          <w:rFonts w:ascii="Times New Roman" w:eastAsia="Times New Roman" w:hAnsi="Times New Roman" w:cs="Times New Roman"/>
          <w:sz w:val="24"/>
          <w:szCs w:val="24"/>
        </w:rPr>
        <w:t xml:space="preserve">) </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Andrés Mourenza - Atenas)</w:t>
      </w:r>
    </w:p>
    <w:p w:rsidR="0039280D" w:rsidRPr="007F31C8"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F31C8">
        <w:rPr>
          <w:rFonts w:ascii="Times New Roman" w:eastAsia="Times New Roman" w:hAnsi="Times New Roman" w:cs="Times New Roman"/>
          <w:sz w:val="24"/>
          <w:szCs w:val="24"/>
        </w:rPr>
        <w:t>La burocracia de este país es impresionante, y también la corrupción. No se pueden hacer negocios. Allá adónde vas tienes que pagar por debaj</w:t>
      </w:r>
      <w:r>
        <w:rPr>
          <w:rFonts w:ascii="Times New Roman" w:eastAsia="Times New Roman" w:hAnsi="Times New Roman" w:cs="Times New Roman"/>
          <w:sz w:val="24"/>
          <w:szCs w:val="24"/>
        </w:rPr>
        <w:t>o de la mesa a los funcionarios”</w:t>
      </w:r>
      <w:r w:rsidRPr="007F31C8">
        <w:rPr>
          <w:rFonts w:ascii="Times New Roman" w:eastAsia="Times New Roman" w:hAnsi="Times New Roman" w:cs="Times New Roman"/>
          <w:sz w:val="24"/>
          <w:szCs w:val="24"/>
        </w:rPr>
        <w:t xml:space="preserve">, se queja un autónomo retirado que </w:t>
      </w:r>
      <w:r>
        <w:rPr>
          <w:rFonts w:ascii="Times New Roman" w:eastAsia="Times New Roman" w:hAnsi="Times New Roman" w:cs="Times New Roman"/>
          <w:sz w:val="24"/>
          <w:szCs w:val="24"/>
        </w:rPr>
        <w:t>prefiere no revelar su nombre: “</w:t>
      </w:r>
      <w:r w:rsidRPr="007F31C8">
        <w:rPr>
          <w:rFonts w:ascii="Times New Roman" w:eastAsia="Times New Roman" w:hAnsi="Times New Roman" w:cs="Times New Roman"/>
          <w:sz w:val="24"/>
          <w:szCs w:val="24"/>
        </w:rPr>
        <w:t>No me extraña que los extranjero</w:t>
      </w:r>
      <w:r>
        <w:rPr>
          <w:rFonts w:ascii="Times New Roman" w:eastAsia="Times New Roman" w:hAnsi="Times New Roman" w:cs="Times New Roman"/>
          <w:sz w:val="24"/>
          <w:szCs w:val="24"/>
        </w:rPr>
        <w:t>s no quieran invertir aquí”.</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El fakelaki o sobrecito, con el que los griegos se refieren a los sobornos, es un término recurrente en los negocios de este país. Tanto que, según un estudio del Banco Mundial, las empresas guardan el 0,2% de su presupuesto para este tipo de pagos; el 0,8% en caso de que tengan que c</w:t>
      </w:r>
      <w:r>
        <w:rPr>
          <w:rFonts w:ascii="Times New Roman" w:eastAsia="Times New Roman" w:hAnsi="Times New Roman" w:cs="Times New Roman"/>
          <w:sz w:val="24"/>
          <w:szCs w:val="24"/>
        </w:rPr>
        <w:t>oncurrir a concursos públicos. “</w:t>
      </w:r>
      <w:r w:rsidRPr="007F31C8">
        <w:rPr>
          <w:rFonts w:ascii="Times New Roman" w:eastAsia="Times New Roman" w:hAnsi="Times New Roman" w:cs="Times New Roman"/>
          <w:sz w:val="24"/>
          <w:szCs w:val="24"/>
        </w:rPr>
        <w:t>La cultura de la corrupción ayuda a las empresas que están dispuestas a sobornar a las autoridades para conseguir concesiones.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El resto quedan forzadas a aceptar su desventaja competitiva, o bien eludir pagar impuestos o explotar a inmigrantes ilegales para mantener su competitividad. Estas empresas, eventualmente, se ven forzadas a so</w:t>
      </w:r>
      <w:r>
        <w:rPr>
          <w:rFonts w:ascii="Times New Roman" w:eastAsia="Times New Roman" w:hAnsi="Times New Roman" w:cs="Times New Roman"/>
          <w:sz w:val="24"/>
          <w:szCs w:val="24"/>
        </w:rPr>
        <w:t>bornar para evitar inspecciones”</w:t>
      </w:r>
      <w:r w:rsidRPr="007F31C8">
        <w:rPr>
          <w:rFonts w:ascii="Times New Roman" w:eastAsia="Times New Roman" w:hAnsi="Times New Roman" w:cs="Times New Roman"/>
          <w:sz w:val="24"/>
          <w:szCs w:val="24"/>
        </w:rPr>
        <w:t>, explica un informe del Center for the Study of Democracy (CDS) del 2010.</w:t>
      </w:r>
    </w:p>
    <w:p w:rsidR="0039280D" w:rsidRPr="007F31C8"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“Agilizar trámites”. </w:t>
      </w:r>
      <w:r w:rsidRPr="007F31C8">
        <w:rPr>
          <w:rFonts w:ascii="Times New Roman" w:eastAsia="Times New Roman" w:hAnsi="Times New Roman" w:cs="Times New Roman"/>
          <w:sz w:val="24"/>
          <w:szCs w:val="24"/>
        </w:rPr>
        <w:t>En Grecia la corrupción no solo afecta a las élites político-empresariales, sino que es transversal. Según un informe del 2011 de Transparency International (TI), uno de cada 10 encuestados admitía haber pagado a funcion</w:t>
      </w:r>
      <w:r>
        <w:rPr>
          <w:rFonts w:ascii="Times New Roman" w:eastAsia="Times New Roman" w:hAnsi="Times New Roman" w:cs="Times New Roman"/>
          <w:sz w:val="24"/>
          <w:szCs w:val="24"/>
        </w:rPr>
        <w:t>arios o empresas privadas para “agilizar trámites”</w:t>
      </w:r>
      <w:r w:rsidRPr="007F31C8">
        <w:rPr>
          <w:rFonts w:ascii="Times New Roman" w:eastAsia="Times New Roman" w:hAnsi="Times New Roman" w:cs="Times New Roman"/>
          <w:sz w:val="24"/>
          <w:szCs w:val="24"/>
        </w:rPr>
        <w:t xml:space="preserve"> y se calcula que el pasado año se pagaron unos 554 millones de euros en sobornos. Algunos incluso llegan a enriquecerse con los sobrecitos. Por ejemplo, el empleado de un tribunal ateniense amasó una fortuna de 8 millones de euros y otro del servicio fores</w:t>
      </w:r>
      <w:r>
        <w:rPr>
          <w:rFonts w:ascii="Times New Roman" w:eastAsia="Times New Roman" w:hAnsi="Times New Roman" w:cs="Times New Roman"/>
          <w:sz w:val="24"/>
          <w:szCs w:val="24"/>
        </w:rPr>
        <w:t>tal acumuló un millón de euros.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Un caso aparte son los hospitales, donde más número de sobornos se registran. Según el informe de TI, los sobornos en el sector de la Salud van desde los 100 a los 30.000 euros para lograr ser operado inmediatamente o para que a uno le hagan un análisis. Incluso hay quienes se quejan de haber tenido que pagar sobornos a las enfermeras para que les cambiasen las sábanas de una cama de hospital. Yorgos Patulis, presidente de la Asociación de Doctores de Atenas, se defiende a</w:t>
      </w:r>
      <w:r>
        <w:rPr>
          <w:rFonts w:ascii="Times New Roman" w:eastAsia="Times New Roman" w:hAnsi="Times New Roman" w:cs="Times New Roman"/>
          <w:sz w:val="24"/>
          <w:szCs w:val="24"/>
        </w:rPr>
        <w:t>legando que solo afecta a unos “pocos médicos” y que la culpa es del Estado, “</w:t>
      </w:r>
      <w:r w:rsidRPr="007F31C8">
        <w:rPr>
          <w:rFonts w:ascii="Times New Roman" w:eastAsia="Times New Roman" w:hAnsi="Times New Roman" w:cs="Times New Roman"/>
          <w:sz w:val="24"/>
          <w:szCs w:val="24"/>
        </w:rPr>
        <w:t>porque durante muchos años no ha llevado</w:t>
      </w:r>
      <w:r>
        <w:rPr>
          <w:rFonts w:ascii="Times New Roman" w:eastAsia="Times New Roman" w:hAnsi="Times New Roman" w:cs="Times New Roman"/>
          <w:sz w:val="24"/>
          <w:szCs w:val="24"/>
        </w:rPr>
        <w:t xml:space="preserve"> a cabo los controles adecuados”</w:t>
      </w:r>
      <w:r w:rsidRPr="007F31C8">
        <w:rPr>
          <w:rFonts w:ascii="Times New Roman" w:eastAsia="Times New Roman" w:hAnsi="Times New Roman" w:cs="Times New Roman"/>
          <w:sz w:val="24"/>
          <w:szCs w:val="24"/>
        </w:rPr>
        <w:t>.</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R</w:t>
      </w:r>
      <w:r>
        <w:rPr>
          <w:rFonts w:ascii="Times New Roman" w:eastAsia="Times New Roman" w:hAnsi="Times New Roman" w:cs="Times New Roman"/>
          <w:sz w:val="24"/>
          <w:szCs w:val="24"/>
        </w:rPr>
        <w:t xml:space="preserve">ecetas falsas. </w:t>
      </w:r>
      <w:r w:rsidRPr="007F31C8">
        <w:rPr>
          <w:rFonts w:ascii="Times New Roman" w:eastAsia="Times New Roman" w:hAnsi="Times New Roman" w:cs="Times New Roman"/>
          <w:sz w:val="24"/>
          <w:szCs w:val="24"/>
        </w:rPr>
        <w:t>Pero el propio Ministerio de Sanidad acusa a su vez a los doctores de estar recibiendo sobornos de las compañías farmacéuticas para recetar sus productos o incluso de hacer recetas falsas para que el Estado pague por las medicinas y luego estas sean revendidas de forma ilegal, un mercado que mueve entre 50 y 200 millo</w:t>
      </w:r>
      <w:r>
        <w:rPr>
          <w:rFonts w:ascii="Times New Roman" w:eastAsia="Times New Roman" w:hAnsi="Times New Roman" w:cs="Times New Roman"/>
          <w:sz w:val="24"/>
          <w:szCs w:val="24"/>
        </w:rPr>
        <w:t>nes de euros anuales en Grecia.</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De ahí que los colegios médicos griegos montasen en cólera este año cuando se introdujo la obligatoriedad de recetar medicamentos genéricos y un sistema de seguimie</w:t>
      </w:r>
      <w:r>
        <w:rPr>
          <w:rFonts w:ascii="Times New Roman" w:eastAsia="Times New Roman" w:hAnsi="Times New Roman" w:cs="Times New Roman"/>
          <w:sz w:val="24"/>
          <w:szCs w:val="24"/>
        </w:rPr>
        <w:t>nto electrónico de las recetas.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Si en los hospitales griegos la corrupción posee dimensiones patológicas, en los pasillos de Hacienda se refieren a ella con un símil futbolístico: 4-4-2. Este es el sistema con el que se reparte la carga impositiva a los contribuyentes, especialmente empresas, dispuestos a pagar sobornos: reciben un descuento del 40%, otro 40% se lo queda el inspector y el restante 20% va a las arcas del Estado, según reveló hace poco un exsecreta</w:t>
      </w:r>
      <w:r>
        <w:rPr>
          <w:rFonts w:ascii="Times New Roman" w:eastAsia="Times New Roman" w:hAnsi="Times New Roman" w:cs="Times New Roman"/>
          <w:sz w:val="24"/>
          <w:szCs w:val="24"/>
        </w:rPr>
        <w:t>rio del Ministerio de Finanzas.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La corrupción tiene un alto coste para el Estado griego. Según TI, en la última década Grecia ha perdido 120.000 millones de euros en esta evasión de imp</w:t>
      </w:r>
      <w:r>
        <w:rPr>
          <w:rFonts w:ascii="Times New Roman" w:eastAsia="Times New Roman" w:hAnsi="Times New Roman" w:cs="Times New Roman"/>
          <w:sz w:val="24"/>
          <w:szCs w:val="24"/>
        </w:rPr>
        <w:t xml:space="preserve">uestos engrasada con sobornos. </w:t>
      </w:r>
      <w:r>
        <w:rPr>
          <w:rFonts w:ascii="Times New Roman" w:eastAsia="Times New Roman" w:hAnsi="Times New Roman" w:cs="Times New Roman"/>
          <w:sz w:val="24"/>
          <w:szCs w:val="24"/>
        </w:rPr>
        <w:lastRenderedPageBreak/>
        <w:t>“</w:t>
      </w:r>
      <w:r w:rsidRPr="007F31C8">
        <w:rPr>
          <w:rFonts w:ascii="Times New Roman" w:eastAsia="Times New Roman" w:hAnsi="Times New Roman" w:cs="Times New Roman"/>
          <w:sz w:val="24"/>
          <w:szCs w:val="24"/>
        </w:rPr>
        <w:t>Grecia está sufriendo una crisis de valores. Posee las leyes necesarias, pero hace poco por que se respeten. Las leyes son violadas, lo ilegal se legaliza y los compromisos internacionales para luchar con</w:t>
      </w:r>
      <w:r>
        <w:rPr>
          <w:rFonts w:ascii="Times New Roman" w:eastAsia="Times New Roman" w:hAnsi="Times New Roman" w:cs="Times New Roman"/>
          <w:sz w:val="24"/>
          <w:szCs w:val="24"/>
        </w:rPr>
        <w:t>tra la corrupción son ignorados”</w:t>
      </w:r>
      <w:r w:rsidRPr="007F31C8">
        <w:rPr>
          <w:rFonts w:ascii="Times New Roman" w:eastAsia="Times New Roman" w:hAnsi="Times New Roman" w:cs="Times New Roman"/>
          <w:sz w:val="24"/>
          <w:szCs w:val="24"/>
        </w:rPr>
        <w:t>, denuncia el presidente de TI en Grecia, Kostas Bakuris.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A</w:t>
      </w:r>
      <w:r>
        <w:rPr>
          <w:rFonts w:ascii="Times New Roman" w:eastAsia="Times New Roman" w:hAnsi="Times New Roman" w:cs="Times New Roman"/>
          <w:sz w:val="24"/>
          <w:szCs w:val="24"/>
        </w:rPr>
        <w:t xml:space="preserve">umentan las denuncias. </w:t>
      </w:r>
      <w:r w:rsidRPr="007F31C8">
        <w:rPr>
          <w:rFonts w:ascii="Times New Roman" w:eastAsia="Times New Roman" w:hAnsi="Times New Roman" w:cs="Times New Roman"/>
          <w:sz w:val="24"/>
          <w:szCs w:val="24"/>
        </w:rPr>
        <w:t>Con todo, hay ciertas razones para la esperanza. Con la crisis, el número y el volumen de los sobornos se ha reducido considerablemente respecto a años anteriores y, además, hay una creciente concienciación sobre la corrupción: ahora los ciudadanos griegos consideran que la no expedición de recibos de compra es parte de esa corrupción, en un país donde antes casi nadie los daba.</w:t>
      </w:r>
    </w:p>
    <w:p w:rsidR="0039280D"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Y las denuncias han aumentado. No pasa una semana sin que algún funcionario, empresario o político sea investigado por presuntos casos de corrupción.</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F31C8">
        <w:rPr>
          <w:rFonts w:ascii="Times New Roman" w:eastAsia="Times New Roman" w:hAnsi="Times New Roman" w:cs="Times New Roman"/>
          <w:sz w:val="24"/>
          <w:szCs w:val="24"/>
          <w:u w:val="single"/>
        </w:rPr>
        <w:t>Los escándalos de corrupción salpican a las grandes empresas alemanas en Grecia</w:t>
      </w:r>
      <w:r>
        <w:rPr>
          <w:rFonts w:ascii="Times New Roman" w:eastAsia="Times New Roman" w:hAnsi="Times New Roman" w:cs="Times New Roman"/>
          <w:sz w:val="24"/>
          <w:szCs w:val="24"/>
        </w:rPr>
        <w:t xml:space="preserve"> (El Economista - </w:t>
      </w:r>
      <w:r w:rsidRPr="007F31C8">
        <w:rPr>
          <w:rFonts w:ascii="Times New Roman" w:eastAsia="Times New Roman" w:hAnsi="Times New Roman" w:cs="Times New Roman"/>
          <w:b/>
          <w:sz w:val="24"/>
          <w:szCs w:val="24"/>
        </w:rPr>
        <w:t>31/8/15</w:t>
      </w:r>
      <w:r>
        <w:rPr>
          <w:rFonts w:ascii="Times New Roman" w:eastAsia="Times New Roman" w:hAnsi="Times New Roman" w:cs="Times New Roman"/>
          <w:sz w:val="24"/>
          <w:szCs w:val="24"/>
        </w:rPr>
        <w:t>)</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Son muchas las voces que, desde Alemania, critican las prácticas fraudulentas llevadas a cabo en Grecia. Sin embargo, son algunas de las grandes empresas germanas, como Siemens, Daimler o Rheinmettal, las que están involucradas en escándalos de corrupción en el país heleno.</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 xml:space="preserve">Una de las más afectadas es Siemens, uno de los buques insignia alemanes. Hay 19 antiguos directivos de la compañía que deben comparecer ante la justicia griega, y aunque aún no se sabe la fecha exacta, ya se anuncia como uno de los procesos más importantes de la década. </w:t>
      </w:r>
      <w:r>
        <w:rPr>
          <w:rFonts w:ascii="Times New Roman" w:eastAsia="Times New Roman" w:hAnsi="Times New Roman" w:cs="Times New Roman"/>
          <w:sz w:val="24"/>
          <w:szCs w:val="24"/>
        </w:rPr>
        <w:t>“</w:t>
      </w:r>
      <w:r w:rsidRPr="007F31C8">
        <w:rPr>
          <w:rFonts w:ascii="Times New Roman" w:eastAsia="Times New Roman" w:hAnsi="Times New Roman" w:cs="Times New Roman"/>
          <w:sz w:val="24"/>
          <w:szCs w:val="24"/>
        </w:rPr>
        <w:t>Se trata del mayor escándalo que implica a una empres</w:t>
      </w:r>
      <w:r>
        <w:rPr>
          <w:rFonts w:ascii="Times New Roman" w:eastAsia="Times New Roman" w:hAnsi="Times New Roman" w:cs="Times New Roman"/>
          <w:sz w:val="24"/>
          <w:szCs w:val="24"/>
        </w:rPr>
        <w:t>a en Grecia desde la postguerra”</w:t>
      </w:r>
      <w:r w:rsidRPr="007F31C8">
        <w:rPr>
          <w:rFonts w:ascii="Times New Roman" w:eastAsia="Times New Roman" w:hAnsi="Times New Roman" w:cs="Times New Roman"/>
          <w:sz w:val="24"/>
          <w:szCs w:val="24"/>
        </w:rPr>
        <w:t xml:space="preserve">, denuncia la organización estadounidense CorpWatch, dedicada a vigilar las prácticas </w:t>
      </w:r>
      <w:r>
        <w:rPr>
          <w:rFonts w:ascii="Times New Roman" w:eastAsia="Times New Roman" w:hAnsi="Times New Roman" w:cs="Times New Roman"/>
          <w:sz w:val="24"/>
          <w:szCs w:val="24"/>
        </w:rPr>
        <w:t>de las empresas.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Corrupción y blanqueo</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En concreto, son 64 personas las que están acusadas de corrupción y blanqueo de dinero, dentro de un gigantesco caso de sobornos pagados para tener acceso al mercado público. Siemens está acusada de pagar 70 millones de euros a diferentes responsables para obtener un gran proyecto de modernización de la red telefón</w:t>
      </w:r>
      <w:r>
        <w:rPr>
          <w:rFonts w:ascii="Times New Roman" w:eastAsia="Times New Roman" w:hAnsi="Times New Roman" w:cs="Times New Roman"/>
          <w:sz w:val="24"/>
          <w:szCs w:val="24"/>
        </w:rPr>
        <w:t>ica griega a finales de los 90.</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Entre los acusados se encuentra el antiguo directivo de Siemens en Grecia, Michalis Christaforakos. Sin embargo, es poco probable que este germanogriego de 62 años llegue a sentarse en el banquillo, pues se encuentra refugiado en Baviera desde 2009 y la justicia alemana rechaza su extradición, alegand</w:t>
      </w:r>
      <w:r>
        <w:rPr>
          <w:rFonts w:ascii="Times New Roman" w:eastAsia="Times New Roman" w:hAnsi="Times New Roman" w:cs="Times New Roman"/>
          <w:sz w:val="24"/>
          <w:szCs w:val="24"/>
        </w:rPr>
        <w:t>o que los hechos han prescrito.</w:t>
      </w:r>
    </w:p>
    <w:p w:rsidR="0039280D" w:rsidRPr="007F31C8"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F31C8">
        <w:rPr>
          <w:rFonts w:ascii="Times New Roman" w:eastAsia="Times New Roman" w:hAnsi="Times New Roman" w:cs="Times New Roman"/>
          <w:sz w:val="24"/>
          <w:szCs w:val="24"/>
        </w:rPr>
        <w:t>El testimonio de Christaforakos es vital pa</w:t>
      </w:r>
      <w:r>
        <w:rPr>
          <w:rFonts w:ascii="Times New Roman" w:eastAsia="Times New Roman" w:hAnsi="Times New Roman" w:cs="Times New Roman"/>
          <w:sz w:val="24"/>
          <w:szCs w:val="24"/>
        </w:rPr>
        <w:t>ra el proceso Siemens en Atenas”</w:t>
      </w:r>
      <w:r w:rsidRPr="007F31C8">
        <w:rPr>
          <w:rFonts w:ascii="Times New Roman" w:eastAsia="Times New Roman" w:hAnsi="Times New Roman" w:cs="Times New Roman"/>
          <w:sz w:val="24"/>
          <w:szCs w:val="24"/>
        </w:rPr>
        <w:t>, denuncia Zoé Konstantopoulou, pre</w:t>
      </w:r>
      <w:r>
        <w:rPr>
          <w:rFonts w:ascii="Times New Roman" w:eastAsia="Times New Roman" w:hAnsi="Times New Roman" w:cs="Times New Roman"/>
          <w:sz w:val="24"/>
          <w:szCs w:val="24"/>
        </w:rPr>
        <w:t>sidenta del Parlamento heleno. “</w:t>
      </w:r>
      <w:r w:rsidRPr="007F31C8">
        <w:rPr>
          <w:rFonts w:ascii="Times New Roman" w:eastAsia="Times New Roman" w:hAnsi="Times New Roman" w:cs="Times New Roman"/>
          <w:sz w:val="24"/>
          <w:szCs w:val="24"/>
        </w:rPr>
        <w:t>Se trata de un asunto judicial que demuestr</w:t>
      </w:r>
      <w:r>
        <w:rPr>
          <w:rFonts w:ascii="Times New Roman" w:eastAsia="Times New Roman" w:hAnsi="Times New Roman" w:cs="Times New Roman"/>
          <w:sz w:val="24"/>
          <w:szCs w:val="24"/>
        </w:rPr>
        <w:t>a el doble discurso de Alemania”.</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No es el único caso que afecta a Siemens, que también está siendo investigado por un caso de corrupción relacionado con el sistema de seguri</w:t>
      </w:r>
      <w:r>
        <w:rPr>
          <w:rFonts w:ascii="Times New Roman" w:eastAsia="Times New Roman" w:hAnsi="Times New Roman" w:cs="Times New Roman"/>
          <w:sz w:val="24"/>
          <w:szCs w:val="24"/>
        </w:rPr>
        <w:t>dad de los JJOO de Atenas 2004.</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Armamento y defensa</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Grandes empresas de armamento alemana</w:t>
      </w:r>
      <w:r>
        <w:rPr>
          <w:rFonts w:ascii="Times New Roman" w:eastAsia="Times New Roman" w:hAnsi="Times New Roman" w:cs="Times New Roman"/>
          <w:sz w:val="24"/>
          <w:szCs w:val="24"/>
        </w:rPr>
        <w:t>s también están en entredicho. “</w:t>
      </w:r>
      <w:r w:rsidRPr="007F31C8">
        <w:rPr>
          <w:rFonts w:ascii="Times New Roman" w:eastAsia="Times New Roman" w:hAnsi="Times New Roman" w:cs="Times New Roman"/>
          <w:sz w:val="24"/>
          <w:szCs w:val="24"/>
        </w:rPr>
        <w:t xml:space="preserve">Las </w:t>
      </w:r>
      <w:r w:rsidR="00C13914" w:rsidRPr="007F31C8">
        <w:rPr>
          <w:rFonts w:ascii="Times New Roman" w:eastAsia="Times New Roman" w:hAnsi="Times New Roman" w:cs="Times New Roman"/>
          <w:sz w:val="24"/>
          <w:szCs w:val="24"/>
        </w:rPr>
        <w:t>empresas</w:t>
      </w:r>
      <w:r w:rsidRPr="007F31C8">
        <w:rPr>
          <w:rFonts w:ascii="Times New Roman" w:eastAsia="Times New Roman" w:hAnsi="Times New Roman" w:cs="Times New Roman"/>
          <w:sz w:val="24"/>
          <w:szCs w:val="24"/>
        </w:rPr>
        <w:t xml:space="preserve"> alemanas se han aprovechado del enorme gasto de Atenas en def</w:t>
      </w:r>
      <w:r>
        <w:rPr>
          <w:rFonts w:ascii="Times New Roman" w:eastAsia="Times New Roman" w:hAnsi="Times New Roman" w:cs="Times New Roman"/>
          <w:sz w:val="24"/>
          <w:szCs w:val="24"/>
        </w:rPr>
        <w:t>ensa”</w:t>
      </w:r>
      <w:r w:rsidRPr="007F31C8">
        <w:rPr>
          <w:rFonts w:ascii="Times New Roman" w:eastAsia="Times New Roman" w:hAnsi="Times New Roman" w:cs="Times New Roman"/>
          <w:sz w:val="24"/>
          <w:szCs w:val="24"/>
        </w:rPr>
        <w:t xml:space="preserve">, asegura Sahra </w:t>
      </w:r>
      <w:r w:rsidRPr="007F31C8">
        <w:rPr>
          <w:rFonts w:ascii="Times New Roman" w:eastAsia="Times New Roman" w:hAnsi="Times New Roman" w:cs="Times New Roman"/>
          <w:sz w:val="24"/>
          <w:szCs w:val="24"/>
        </w:rPr>
        <w:lastRenderedPageBreak/>
        <w:t>Wangenknecht, diputada germana de Die Linke. Un gasto en defensa que ha contribuido enormemente al crecimiento de l</w:t>
      </w:r>
      <w:r>
        <w:rPr>
          <w:rFonts w:ascii="Times New Roman" w:eastAsia="Times New Roman" w:hAnsi="Times New Roman" w:cs="Times New Roman"/>
          <w:sz w:val="24"/>
          <w:szCs w:val="24"/>
        </w:rPr>
        <w:t>a colosal deuda pública helena.</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La justicia griega también señaló recientemente al fabricante de automóviles Daimler por el pago de sobornos para hacerse con un contrato de vehículos militares por valor de 100 millones. Mismo caso en el que se encuentra Krauss Maffei Wegmann, que suminis</w:t>
      </w:r>
      <w:r>
        <w:rPr>
          <w:rFonts w:ascii="Times New Roman" w:eastAsia="Times New Roman" w:hAnsi="Times New Roman" w:cs="Times New Roman"/>
          <w:sz w:val="24"/>
          <w:szCs w:val="24"/>
        </w:rPr>
        <w:t>tras carros de combate Leopard.</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El grupo de defensa Rheinmetall fue condenado en 2012 a pagar 37 millones de multa por su generosidad con los responsables del Ministerio de Defensa de Grecia, tras la venta de un sistema de defensa aérea por 150 millones. Dos exdirectivos de Ferrostaal fueron condenados y la empresa tuvo que pagar 140 millones por haber pagado comisiones para hacerse c</w:t>
      </w:r>
      <w:r>
        <w:rPr>
          <w:rFonts w:ascii="Times New Roman" w:eastAsia="Times New Roman" w:hAnsi="Times New Roman" w:cs="Times New Roman"/>
          <w:sz w:val="24"/>
          <w:szCs w:val="24"/>
        </w:rPr>
        <w:t>on contratos de dos submarinos.</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Grecia sigue siendo el peor alumno de Europa, a pesar de haber hecho avances notables, según la ONG Transparency International, que realiza un índice de percepción de la corrupci</w:t>
      </w:r>
      <w:r>
        <w:rPr>
          <w:rFonts w:ascii="Times New Roman" w:eastAsia="Times New Roman" w:hAnsi="Times New Roman" w:cs="Times New Roman"/>
          <w:sz w:val="24"/>
          <w:szCs w:val="24"/>
        </w:rPr>
        <w:t>ón. “</w:t>
      </w:r>
      <w:r w:rsidRPr="007F31C8">
        <w:rPr>
          <w:rFonts w:ascii="Times New Roman" w:eastAsia="Times New Roman" w:hAnsi="Times New Roman" w:cs="Times New Roman"/>
          <w:sz w:val="24"/>
          <w:szCs w:val="24"/>
        </w:rPr>
        <w:t>La corrupción de las empresas alemanas en Grecia es notoria desde hace años, aunque hasta ahora la justic</w:t>
      </w:r>
      <w:r>
        <w:rPr>
          <w:rFonts w:ascii="Times New Roman" w:eastAsia="Times New Roman" w:hAnsi="Times New Roman" w:cs="Times New Roman"/>
          <w:sz w:val="24"/>
          <w:szCs w:val="24"/>
        </w:rPr>
        <w:t>ia solo ha perseguido a algunos”</w:t>
      </w:r>
      <w:r w:rsidRPr="007F31C8">
        <w:rPr>
          <w:rFonts w:ascii="Times New Roman" w:eastAsia="Times New Roman" w:hAnsi="Times New Roman" w:cs="Times New Roman"/>
          <w:sz w:val="24"/>
          <w:szCs w:val="24"/>
        </w:rPr>
        <w:t>, denuncia en la misma línea el th</w:t>
      </w:r>
      <w:r>
        <w:rPr>
          <w:rFonts w:ascii="Times New Roman" w:eastAsia="Times New Roman" w:hAnsi="Times New Roman" w:cs="Times New Roman"/>
          <w:sz w:val="24"/>
          <w:szCs w:val="24"/>
        </w:rPr>
        <w:t>ink-tank German Foreign Policy.</w:t>
      </w:r>
    </w:p>
    <w:p w:rsidR="0039280D" w:rsidRPr="007F31C8" w:rsidRDefault="0039280D" w:rsidP="0039280D">
      <w:pPr>
        <w:spacing w:line="240" w:lineRule="auto"/>
        <w:jc w:val="both"/>
        <w:rPr>
          <w:rFonts w:ascii="Times New Roman" w:eastAsia="Times New Roman" w:hAnsi="Times New Roman" w:cs="Times New Roman"/>
          <w:sz w:val="24"/>
          <w:szCs w:val="24"/>
        </w:rPr>
      </w:pPr>
      <w:r w:rsidRPr="007F31C8">
        <w:rPr>
          <w:rFonts w:ascii="Times New Roman" w:eastAsia="Times New Roman" w:hAnsi="Times New Roman" w:cs="Times New Roman"/>
          <w:sz w:val="24"/>
          <w:szCs w:val="24"/>
        </w:rPr>
        <w:t>En 2011, momento álgido de la crisis económica y social, una comisión calculó que Grecia había dejado de ingresar 2.000 millones de euros por la corrupción.</w:t>
      </w:r>
    </w:p>
    <w:p w:rsidR="0039280D" w:rsidRPr="002870AE"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5175C0">
        <w:rPr>
          <w:rFonts w:ascii="Times New Roman" w:eastAsia="Times New Roman" w:hAnsi="Times New Roman" w:cs="Times New Roman"/>
          <w:sz w:val="24"/>
          <w:szCs w:val="24"/>
          <w:u w:val="single"/>
        </w:rPr>
        <w:t>Un caso de corrupción amenaza a dos exjefes de Gobierno y ocho exministros griegos</w:t>
      </w:r>
      <w:r>
        <w:rPr>
          <w:rFonts w:ascii="Times New Roman" w:eastAsia="Times New Roman" w:hAnsi="Times New Roman" w:cs="Times New Roman"/>
          <w:sz w:val="24"/>
          <w:szCs w:val="24"/>
        </w:rPr>
        <w:t xml:space="preserve"> (El País - </w:t>
      </w:r>
      <w:r w:rsidRPr="002870AE">
        <w:rPr>
          <w:rFonts w:ascii="Times New Roman" w:eastAsia="Times New Roman" w:hAnsi="Times New Roman" w:cs="Times New Roman"/>
          <w:b/>
          <w:sz w:val="24"/>
          <w:szCs w:val="24"/>
        </w:rPr>
        <w:t>21/2/18</w:t>
      </w:r>
      <w:r>
        <w:rPr>
          <w:rFonts w:ascii="Times New Roman" w:eastAsia="Times New Roman" w:hAnsi="Times New Roman" w:cs="Times New Roman"/>
          <w:sz w:val="24"/>
          <w:szCs w:val="24"/>
        </w:rPr>
        <w:t>)</w:t>
      </w:r>
    </w:p>
    <w:p w:rsidR="0039280D"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El Parlamento debate la apertura de una investigación por supuestos sobornos de una gran farmacéutica entre 2006 y 2015</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María Antonia Sánchez-Vallejo)</w:t>
      </w:r>
    </w:p>
    <w:p w:rsidR="0039280D" w:rsidRPr="002870AE"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La política griega se arrastra por el fango estos días a causa del enésimo caso de corrupción, el relativo a supuestos pagos de la farmacéutica Novartis a diez veteranos políticos que han servido en anteriores Gobiernos, entre ellos dos ex primeros ministros, el actual gobernador del Banco de Grecia y un comisario europeo en ejercicio. El Parlamento debatirá esta noche si estos diez políticos deben ser investigados, en votaciones por separado (diez urnas, una por cada implicado), por recibir presuntamente dinero de la farmacéutica suiza, en lo que algunos medios extranjeros, como el diario alemán Der Spiegel, no han dudado en denominar el escándalo más grave en la historia del país y que ha elevado la tensión del debate po</w:t>
      </w:r>
      <w:r>
        <w:rPr>
          <w:rFonts w:ascii="Times New Roman" w:eastAsia="Times New Roman" w:hAnsi="Times New Roman" w:cs="Times New Roman"/>
          <w:sz w:val="24"/>
          <w:szCs w:val="24"/>
        </w:rPr>
        <w:t>lítico hasta extremos inéditos.</w:t>
      </w:r>
    </w:p>
    <w:p w:rsidR="0039280D" w:rsidRPr="002870AE"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En una votación prevista para primeras horas de la madrugada de este jueves, el pleno del Parlamento deberá pronunciarse sobre la creación de una comisión de investigación preliminar, único órgano competente para autorizar un proceso legal contra miembros o antiguos miembros del Gobierno por hechos cometidos durante el ejercicio de sus funciones.</w:t>
      </w:r>
    </w:p>
    <w:p w:rsidR="0039280D" w:rsidRPr="002870AE"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El caso Novartis, que algunos consideran una cortina de humo para distraer la atenció</w:t>
      </w:r>
      <w:r>
        <w:rPr>
          <w:rFonts w:ascii="Times New Roman" w:eastAsia="Times New Roman" w:hAnsi="Times New Roman" w:cs="Times New Roman"/>
          <w:sz w:val="24"/>
          <w:szCs w:val="24"/>
        </w:rPr>
        <w:t>n del contencioso de Macedonia -</w:t>
      </w:r>
      <w:r w:rsidRPr="002870AE">
        <w:rPr>
          <w:rFonts w:ascii="Times New Roman" w:eastAsia="Times New Roman" w:hAnsi="Times New Roman" w:cs="Times New Roman"/>
          <w:sz w:val="24"/>
          <w:szCs w:val="24"/>
        </w:rPr>
        <w:t>un quebradero de cabeza para el actual Gobie</w:t>
      </w:r>
      <w:r>
        <w:rPr>
          <w:rFonts w:ascii="Times New Roman" w:eastAsia="Times New Roman" w:hAnsi="Times New Roman" w:cs="Times New Roman"/>
          <w:sz w:val="24"/>
          <w:szCs w:val="24"/>
        </w:rPr>
        <w:t>rno-</w:t>
      </w:r>
      <w:r w:rsidRPr="002870AE">
        <w:rPr>
          <w:rFonts w:ascii="Times New Roman" w:eastAsia="Times New Roman" w:hAnsi="Times New Roman" w:cs="Times New Roman"/>
          <w:sz w:val="24"/>
          <w:szCs w:val="24"/>
        </w:rPr>
        <w:t xml:space="preserve">, ha costado también una demanda por difamación al actual primer ministro, Alexis Tsipras, por parte de su antecesor conservador Andonis Samarás, jefe de Gobierno entre 2012 y 2015, que figura en la nómina de imputados. Junto a él aparecen entre otros Evánguelos Venizelos, en su día líder del Pasok y ministro de Finanzas; el gobernador del Banco de Grecia y titular de Finanzas, también con Samarás, Yanis Sturnaras, y el actual comisario de Inmigración, </w:t>
      </w:r>
      <w:r w:rsidRPr="002870AE">
        <w:rPr>
          <w:rFonts w:ascii="Times New Roman" w:eastAsia="Times New Roman" w:hAnsi="Times New Roman" w:cs="Times New Roman"/>
          <w:sz w:val="24"/>
          <w:szCs w:val="24"/>
        </w:rPr>
        <w:lastRenderedPageBreak/>
        <w:t xml:space="preserve">Dimitris Avramópulos, que era ministro de Sanidad cuando se produjo presuntamente el escándalo. Prueba de lo enconado de la tensión reinante son, por ejemplo, las declaraciones que este último hizo este martes a la televisión privada Skai: “Los bastardos que han creado esta conspiración lo pagarán en los tribunales”. Para el Ejecutivo, el caso revela "los métodos mafiosos" de los precedentes Gobiernos </w:t>
      </w:r>
      <w:r>
        <w:rPr>
          <w:rFonts w:ascii="Times New Roman" w:eastAsia="Times New Roman" w:hAnsi="Times New Roman" w:cs="Times New Roman"/>
          <w:sz w:val="24"/>
          <w:szCs w:val="24"/>
        </w:rPr>
        <w:t xml:space="preserve">conservador y socialdemócrata. </w:t>
      </w:r>
    </w:p>
    <w:p w:rsidR="0039280D" w:rsidRPr="002870AE"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“cuestión macedonia”</w:t>
      </w:r>
    </w:p>
    <w:p w:rsidR="0039280D" w:rsidRPr="002870AE"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 xml:space="preserve">Cuando aún no se han apagado los ecos de la multitudinaria manifestación que el pasado 4 de febrero concentró en Atenas a más de un millón de personas en contra de cualquier cesión nominal en el contencioso con la Antigua República Yugoslava de Macedonia (FYROM, en sus siglas inglesas), este escándalo basado en el testimonio de tres testigos protegidos, alguna de cuyas identidades ha sido revelada por medios sensacionalistas, ha agitado hasta extremos insospechados las de por sí agitadas aguas políticas griegas. Ni las </w:t>
      </w:r>
      <w:r>
        <w:rPr>
          <w:rFonts w:ascii="Times New Roman" w:eastAsia="Times New Roman" w:hAnsi="Times New Roman" w:cs="Times New Roman"/>
          <w:sz w:val="24"/>
          <w:szCs w:val="24"/>
        </w:rPr>
        <w:t>buenas perspectivas económicas -</w:t>
      </w:r>
      <w:r w:rsidRPr="002870AE">
        <w:rPr>
          <w:rFonts w:ascii="Times New Roman" w:eastAsia="Times New Roman" w:hAnsi="Times New Roman" w:cs="Times New Roman"/>
          <w:sz w:val="24"/>
          <w:szCs w:val="24"/>
        </w:rPr>
        <w:t>pese al jarro de agua fría que ha supuesto la congelación del siguiente tramo del</w:t>
      </w:r>
      <w:r>
        <w:rPr>
          <w:rFonts w:ascii="Times New Roman" w:eastAsia="Times New Roman" w:hAnsi="Times New Roman" w:cs="Times New Roman"/>
          <w:sz w:val="24"/>
          <w:szCs w:val="24"/>
        </w:rPr>
        <w:t xml:space="preserve"> rescate hasta finales de marzo-</w:t>
      </w:r>
      <w:r w:rsidRPr="002870AE">
        <w:rPr>
          <w:rFonts w:ascii="Times New Roman" w:eastAsia="Times New Roman" w:hAnsi="Times New Roman" w:cs="Times New Roman"/>
          <w:sz w:val="24"/>
          <w:szCs w:val="24"/>
        </w:rPr>
        <w:t>, ni la renovada tensión con Tur</w:t>
      </w:r>
      <w:r>
        <w:rPr>
          <w:rFonts w:ascii="Times New Roman" w:eastAsia="Times New Roman" w:hAnsi="Times New Roman" w:cs="Times New Roman"/>
          <w:sz w:val="24"/>
          <w:szCs w:val="24"/>
        </w:rPr>
        <w:t>quía acerca del islote de Imia -</w:t>
      </w:r>
      <w:r w:rsidRPr="002870AE">
        <w:rPr>
          <w:rFonts w:ascii="Times New Roman" w:eastAsia="Times New Roman" w:hAnsi="Times New Roman" w:cs="Times New Roman"/>
          <w:sz w:val="24"/>
          <w:szCs w:val="24"/>
        </w:rPr>
        <w:t>según la oposición, otra maniobra de distr</w:t>
      </w:r>
      <w:r>
        <w:rPr>
          <w:rFonts w:ascii="Times New Roman" w:eastAsia="Times New Roman" w:hAnsi="Times New Roman" w:cs="Times New Roman"/>
          <w:sz w:val="24"/>
          <w:szCs w:val="24"/>
        </w:rPr>
        <w:t>acción del Ejecutivo de Tsipras-</w:t>
      </w:r>
      <w:r w:rsidRPr="002870AE">
        <w:rPr>
          <w:rFonts w:ascii="Times New Roman" w:eastAsia="Times New Roman" w:hAnsi="Times New Roman" w:cs="Times New Roman"/>
          <w:sz w:val="24"/>
          <w:szCs w:val="24"/>
        </w:rPr>
        <w:t>, han opacado el escándalo de sobornos, desfalco y lavado de dinero protagonizado por la multinacional farmacéutica de 2006 a 2015 para promover sus productos en el mercado heleno. Los diez nombres ya aparecieron en 2006 en una investigación de la fiscalía anticorrupción griega tras revelaciones de la policía federal estadounidense (FBI) sobre casos de competencia desleal de Novartis en Grecia.</w:t>
      </w:r>
    </w:p>
    <w:p w:rsidR="0039280D" w:rsidRPr="002870AE"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El gigante suizo es sospechoso de haber pagado presuntamente a responsables políticos y a médicos para lograr una posición dominante en el mercado griego y vender medicamentos a precios elevados, aun existiendo alternativas más asequibles. Cálculos judiciales elevan a 3.000 millones de euros el monto de las pérdidas que ello habría originado a las arcas públicas. Tsipras ha anunciado su intención de recuperar el dinero del que Novart</w:t>
      </w:r>
      <w:r>
        <w:rPr>
          <w:rFonts w:ascii="Times New Roman" w:eastAsia="Times New Roman" w:hAnsi="Times New Roman" w:cs="Times New Roman"/>
          <w:sz w:val="24"/>
          <w:szCs w:val="24"/>
        </w:rPr>
        <w:t>is ha privado al Estado griego.</w:t>
      </w:r>
    </w:p>
    <w:p w:rsidR="0039280D" w:rsidRPr="002870AE"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 xml:space="preserve">Según datos de la OCDE recogidos por la agencia France Presse, el gasto farmacéutico en Grecia supera ampliamente la media europea. Si en 2006 representaba el 23,6%, en 2011 alcanzaba el 30,7%. La presión de la troika de acreedores hizo que el porcentaje disminuyese hasta el 25,9% en 2015. El propio Samarás se preciaba, al presentar la demanda a Tsipras la semana pasada, de haber contribuido a “reducir de manera </w:t>
      </w:r>
      <w:r>
        <w:rPr>
          <w:rFonts w:ascii="Times New Roman" w:eastAsia="Times New Roman" w:hAnsi="Times New Roman" w:cs="Times New Roman"/>
          <w:sz w:val="24"/>
          <w:szCs w:val="24"/>
        </w:rPr>
        <w:t>radical el gasto farmacéutico”.</w:t>
      </w:r>
    </w:p>
    <w:p w:rsidR="0039280D" w:rsidRDefault="0039280D" w:rsidP="0039280D">
      <w:pPr>
        <w:spacing w:line="240" w:lineRule="auto"/>
        <w:jc w:val="both"/>
        <w:rPr>
          <w:rFonts w:ascii="Times New Roman" w:eastAsia="Times New Roman" w:hAnsi="Times New Roman" w:cs="Times New Roman"/>
          <w:sz w:val="24"/>
          <w:szCs w:val="24"/>
        </w:rPr>
      </w:pPr>
      <w:r w:rsidRPr="002870AE">
        <w:rPr>
          <w:rFonts w:ascii="Times New Roman" w:eastAsia="Times New Roman" w:hAnsi="Times New Roman" w:cs="Times New Roman"/>
          <w:sz w:val="24"/>
          <w:szCs w:val="24"/>
        </w:rPr>
        <w:t>En medio de incesantes rumores sobre una posible convoca</w:t>
      </w:r>
      <w:r>
        <w:rPr>
          <w:rFonts w:ascii="Times New Roman" w:eastAsia="Times New Roman" w:hAnsi="Times New Roman" w:cs="Times New Roman"/>
          <w:sz w:val="24"/>
          <w:szCs w:val="24"/>
        </w:rPr>
        <w:t>toria anticipada de elecciones -</w:t>
      </w:r>
      <w:r w:rsidRPr="002870AE">
        <w:rPr>
          <w:rFonts w:ascii="Times New Roman" w:eastAsia="Times New Roman" w:hAnsi="Times New Roman" w:cs="Times New Roman"/>
          <w:sz w:val="24"/>
          <w:szCs w:val="24"/>
        </w:rPr>
        <w:t>en teoría, la legislatura</w:t>
      </w:r>
      <w:r>
        <w:rPr>
          <w:rFonts w:ascii="Times New Roman" w:eastAsia="Times New Roman" w:hAnsi="Times New Roman" w:cs="Times New Roman"/>
          <w:sz w:val="24"/>
          <w:szCs w:val="24"/>
        </w:rPr>
        <w:t xml:space="preserve"> concluye en septiembre de 2019-</w:t>
      </w:r>
      <w:r w:rsidRPr="002870AE">
        <w:rPr>
          <w:rFonts w:ascii="Times New Roman" w:eastAsia="Times New Roman" w:hAnsi="Times New Roman" w:cs="Times New Roman"/>
          <w:sz w:val="24"/>
          <w:szCs w:val="24"/>
        </w:rPr>
        <w:t>, las encuestas de intención de voto dan a la conservadora Nueva Democracia (ND) una ventaja de al menos diez puntos sobre Syriza. La reciente reconfiguración del centroizquierda en torno al defenestrado Pasok añade también incertidumbre a la batalla partidista Todos los políticos que figuran en la lista del caso Novartis pertenecen a ND y el Pasok.</w:t>
      </w:r>
    </w:p>
    <w:p w:rsidR="0039280D"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Nota: en este caso podría haber utilizado alguna foto o artículo sobre la falsificación de cuentas  (ocultación de deuda y otras mentiras estadísticas) que empleo Grecia (con ayuda de Goldman Sachs) para entrar en la UE, alguna de las piruetas dialécticas de Tsipras o Varoufakis, para intentar chantajear a la Comisión Europea… pero he preferido utilizar una foto del Puerto de Zákynthos y cerrar el Apartado con la surrealista “anécdota” (casi podría haber sido una escena de Zorba El Griego), de la “Isla de los Ciegos”. Toda una metáfora. </w:t>
      </w:r>
    </w:p>
    <w:p w:rsidR="001F129D" w:rsidRDefault="001F129D" w:rsidP="0039280D">
      <w:pPr>
        <w:spacing w:line="240" w:lineRule="auto"/>
        <w:jc w:val="both"/>
        <w:rPr>
          <w:rFonts w:ascii="Times New Roman" w:eastAsia="Times New Roman" w:hAnsi="Times New Roman" w:cs="Times New Roman"/>
          <w:sz w:val="24"/>
          <w:szCs w:val="24"/>
        </w:rPr>
      </w:pPr>
    </w:p>
    <w:p w:rsidR="0039280D" w:rsidRPr="005175C0"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0D77A7">
        <w:rPr>
          <w:rFonts w:ascii="Times New Roman" w:eastAsia="Times New Roman" w:hAnsi="Times New Roman" w:cs="Times New Roman"/>
          <w:sz w:val="24"/>
          <w:szCs w:val="24"/>
          <w:u w:val="single"/>
        </w:rPr>
        <w:t>Grecia descubre una isla repleta de pensionistas supuestamente ciegos</w:t>
      </w:r>
      <w:r>
        <w:rPr>
          <w:rFonts w:ascii="Times New Roman" w:eastAsia="Times New Roman" w:hAnsi="Times New Roman" w:cs="Times New Roman"/>
          <w:sz w:val="24"/>
          <w:szCs w:val="24"/>
        </w:rPr>
        <w:t xml:space="preserve"> (Vozpópuli - </w:t>
      </w:r>
      <w:r w:rsidRPr="000D77A7">
        <w:rPr>
          <w:rFonts w:ascii="Times New Roman" w:eastAsia="Times New Roman" w:hAnsi="Times New Roman" w:cs="Times New Roman"/>
          <w:b/>
          <w:sz w:val="24"/>
          <w:szCs w:val="24"/>
        </w:rPr>
        <w:t>4/4/12</w:t>
      </w:r>
      <w:r>
        <w:rPr>
          <w:rFonts w:ascii="Times New Roman" w:eastAsia="Times New Roman" w:hAnsi="Times New Roman" w:cs="Times New Roman"/>
          <w:sz w:val="24"/>
          <w:szCs w:val="24"/>
        </w:rPr>
        <w:t>)</w:t>
      </w:r>
    </w:p>
    <w:p w:rsidR="0039280D" w:rsidRDefault="0039280D" w:rsidP="0039280D">
      <w:pPr>
        <w:spacing w:line="240" w:lineRule="auto"/>
        <w:jc w:val="both"/>
        <w:rPr>
          <w:rFonts w:ascii="Times New Roman" w:eastAsia="Times New Roman" w:hAnsi="Times New Roman" w:cs="Times New Roman"/>
          <w:sz w:val="24"/>
          <w:szCs w:val="24"/>
        </w:rPr>
      </w:pPr>
      <w:r w:rsidRPr="005175C0">
        <w:rPr>
          <w:rFonts w:ascii="Times New Roman" w:eastAsia="Times New Roman" w:hAnsi="Times New Roman" w:cs="Times New Roman"/>
          <w:sz w:val="24"/>
          <w:szCs w:val="24"/>
        </w:rPr>
        <w:t>En la isla de Zákynthos, 700 habitantes cobraban en 2011 una pensión para ciegos, incluso un taxista. Para los griegos, un símbolo más de la corrupción que gangrena el sistema de salud nacional.</w:t>
      </w:r>
    </w:p>
    <w:p w:rsidR="0039280D" w:rsidRPr="000D77A7" w:rsidRDefault="0039280D" w:rsidP="0039280D">
      <w:pPr>
        <w:spacing w:line="240" w:lineRule="auto"/>
        <w:jc w:val="both"/>
        <w:rPr>
          <w:rFonts w:ascii="Times New Roman" w:eastAsia="Times New Roman" w:hAnsi="Times New Roman" w:cs="Times New Roman"/>
          <w:sz w:val="24"/>
          <w:szCs w:val="24"/>
        </w:rPr>
      </w:pPr>
      <w:r w:rsidRPr="000D77A7">
        <w:rPr>
          <w:rFonts w:ascii="Times New Roman" w:eastAsia="Times New Roman" w:hAnsi="Times New Roman" w:cs="Times New Roman"/>
          <w:sz w:val="24"/>
          <w:szCs w:val="24"/>
        </w:rPr>
        <w:t>El ministerio de Sanidad griego ha anunciado, según el Wall Street Journal, que va a investigar el récord poco plausible del número de ciegos en Zákynthos, al oeste de la península. En esta isla, 700 personas sobre 39 000 habitantes cobraban en 2011 una pensión para ciegos, incluso un taxista y un cazador de pájaros. Famosa por sus ruinas venecianas y sus aguas turquesas, la isla ha recibido</w:t>
      </w:r>
      <w:r>
        <w:rPr>
          <w:rFonts w:ascii="Times New Roman" w:eastAsia="Times New Roman" w:hAnsi="Times New Roman" w:cs="Times New Roman"/>
          <w:sz w:val="24"/>
          <w:szCs w:val="24"/>
        </w:rPr>
        <w:t xml:space="preserve"> ahora el desgraciado apodo de “isla de los ciegos”</w:t>
      </w:r>
      <w:r w:rsidRPr="000D77A7">
        <w:rPr>
          <w:rFonts w:ascii="Times New Roman" w:eastAsia="Times New Roman" w:hAnsi="Times New Roman" w:cs="Times New Roman"/>
          <w:sz w:val="24"/>
          <w:szCs w:val="24"/>
        </w:rPr>
        <w:t>.</w:t>
      </w:r>
    </w:p>
    <w:p w:rsidR="0039280D" w:rsidRPr="000D77A7" w:rsidRDefault="0039280D" w:rsidP="0039280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color del dinero”</w:t>
      </w:r>
    </w:p>
    <w:p w:rsidR="0039280D" w:rsidRPr="000D77A7" w:rsidRDefault="0039280D" w:rsidP="0039280D">
      <w:pPr>
        <w:spacing w:line="240" w:lineRule="auto"/>
        <w:jc w:val="both"/>
        <w:rPr>
          <w:rFonts w:ascii="Times New Roman" w:eastAsia="Times New Roman" w:hAnsi="Times New Roman" w:cs="Times New Roman"/>
          <w:sz w:val="24"/>
          <w:szCs w:val="24"/>
        </w:rPr>
      </w:pPr>
      <w:r w:rsidRPr="000D77A7">
        <w:rPr>
          <w:rFonts w:ascii="Times New Roman" w:eastAsia="Times New Roman" w:hAnsi="Times New Roman" w:cs="Times New Roman"/>
          <w:sz w:val="24"/>
          <w:szCs w:val="24"/>
        </w:rPr>
        <w:t>Según los datos oficiales, 1,8% de los insulares de Zákynthos recibían la ayuda de 362 euros por mes, cerca de nueve veces más que la prevalencia media de ciegos en varios países europeos. El diario griego Ethno</w:t>
      </w:r>
      <w:r>
        <w:rPr>
          <w:rFonts w:ascii="Times New Roman" w:eastAsia="Times New Roman" w:hAnsi="Times New Roman" w:cs="Times New Roman"/>
          <w:sz w:val="24"/>
          <w:szCs w:val="24"/>
        </w:rPr>
        <w:t>s comentaba irónicamente ayer: “Parece que los “ciegos”</w:t>
      </w:r>
      <w:r w:rsidRPr="000D77A7">
        <w:rPr>
          <w:rFonts w:ascii="Times New Roman" w:eastAsia="Times New Roman" w:hAnsi="Times New Roman" w:cs="Times New Roman"/>
          <w:sz w:val="24"/>
          <w:szCs w:val="24"/>
        </w:rPr>
        <w:t xml:space="preserve"> de Zákynthos s</w:t>
      </w:r>
      <w:r>
        <w:rPr>
          <w:rFonts w:ascii="Times New Roman" w:eastAsia="Times New Roman" w:hAnsi="Times New Roman" w:cs="Times New Roman"/>
          <w:sz w:val="24"/>
          <w:szCs w:val="24"/>
        </w:rPr>
        <w:t>ólo vieron el color del dinero”.</w:t>
      </w:r>
    </w:p>
    <w:p w:rsidR="0039280D" w:rsidRPr="000D77A7" w:rsidRDefault="0039280D" w:rsidP="0039280D">
      <w:pPr>
        <w:spacing w:line="240" w:lineRule="auto"/>
        <w:jc w:val="both"/>
        <w:rPr>
          <w:rFonts w:ascii="Times New Roman" w:eastAsia="Times New Roman" w:hAnsi="Times New Roman" w:cs="Times New Roman"/>
          <w:sz w:val="24"/>
          <w:szCs w:val="24"/>
        </w:rPr>
      </w:pPr>
      <w:r w:rsidRPr="000D77A7">
        <w:rPr>
          <w:rFonts w:ascii="Times New Roman" w:eastAsia="Times New Roman" w:hAnsi="Times New Roman" w:cs="Times New Roman"/>
          <w:sz w:val="24"/>
          <w:szCs w:val="24"/>
        </w:rPr>
        <w:t>Pero Zákynthos no es para nada un caso aislado: según el ministerio de sanidad, las solicitudes fraudulentas de ayudas por incapacidad son un serio problema, que cuesta al Estado griego cientos de millones de euros al año. Bajo la presión de los acreedores internacionales, Grecia multiplica los esfuerzos para luchar contra la corrupción y reducir los gastos públicos, pero las dificultades también se revelan: fraudes, juego político y cuentas falsas son lo que dominaron demasiad</w:t>
      </w:r>
      <w:r>
        <w:rPr>
          <w:rFonts w:ascii="Times New Roman" w:eastAsia="Times New Roman" w:hAnsi="Times New Roman" w:cs="Times New Roman"/>
          <w:sz w:val="24"/>
          <w:szCs w:val="24"/>
        </w:rPr>
        <w:t>o tiempo en la economía griega.</w:t>
      </w:r>
    </w:p>
    <w:p w:rsidR="0039280D" w:rsidRPr="000D77A7" w:rsidRDefault="0039280D" w:rsidP="0039280D">
      <w:pPr>
        <w:spacing w:line="240" w:lineRule="auto"/>
        <w:jc w:val="both"/>
        <w:rPr>
          <w:rFonts w:ascii="Times New Roman" w:eastAsia="Times New Roman" w:hAnsi="Times New Roman" w:cs="Times New Roman"/>
          <w:sz w:val="24"/>
          <w:szCs w:val="24"/>
        </w:rPr>
      </w:pPr>
      <w:r w:rsidRPr="000D77A7">
        <w:rPr>
          <w:rFonts w:ascii="Times New Roman" w:eastAsia="Times New Roman" w:hAnsi="Times New Roman" w:cs="Times New Roman"/>
          <w:sz w:val="24"/>
          <w:szCs w:val="24"/>
        </w:rPr>
        <w:t>Esta historia de Zákynthos pudo ser pública gracias a que el ministerio de Sanidad ha exigido a los incapacitados que se registren en una base de datos nacional si quieren seguir cobrando sus pensiones. Para eso, necesitaban acudir en persona o delegar a un representante a Atenas; así, el registro resultó en 36.000 solicitudes de incapacidad menos en comparación con 2011. En Zákynthos, sólo 100 personas de los 700 ciegos se registraron, y un poco más de 50 de e</w:t>
      </w:r>
      <w:r>
        <w:rPr>
          <w:rFonts w:ascii="Times New Roman" w:eastAsia="Times New Roman" w:hAnsi="Times New Roman" w:cs="Times New Roman"/>
          <w:sz w:val="24"/>
          <w:szCs w:val="24"/>
        </w:rPr>
        <w:t>llas eran efectivamente ciegas.</w:t>
      </w:r>
    </w:p>
    <w:p w:rsidR="0039280D" w:rsidRPr="000D77A7" w:rsidRDefault="0039280D" w:rsidP="0039280D">
      <w:pPr>
        <w:spacing w:line="240" w:lineRule="auto"/>
        <w:jc w:val="both"/>
        <w:rPr>
          <w:rFonts w:ascii="Times New Roman" w:eastAsia="Times New Roman" w:hAnsi="Times New Roman" w:cs="Times New Roman"/>
          <w:sz w:val="24"/>
          <w:szCs w:val="24"/>
        </w:rPr>
      </w:pPr>
      <w:r w:rsidRPr="000D77A7">
        <w:rPr>
          <w:rFonts w:ascii="Times New Roman" w:eastAsia="Times New Roman" w:hAnsi="Times New Roman" w:cs="Times New Roman"/>
          <w:sz w:val="24"/>
          <w:szCs w:val="24"/>
        </w:rPr>
        <w:t>Renovación del p</w:t>
      </w:r>
      <w:r>
        <w:rPr>
          <w:rFonts w:ascii="Times New Roman" w:eastAsia="Times New Roman" w:hAnsi="Times New Roman" w:cs="Times New Roman"/>
          <w:sz w:val="24"/>
          <w:szCs w:val="24"/>
        </w:rPr>
        <w:t>rograma</w:t>
      </w:r>
    </w:p>
    <w:p w:rsidR="0039280D" w:rsidRDefault="0039280D" w:rsidP="0039280D">
      <w:pPr>
        <w:spacing w:line="240" w:lineRule="auto"/>
        <w:jc w:val="both"/>
        <w:rPr>
          <w:rFonts w:ascii="Times New Roman" w:eastAsia="Times New Roman" w:hAnsi="Times New Roman" w:cs="Times New Roman"/>
          <w:sz w:val="24"/>
          <w:szCs w:val="24"/>
        </w:rPr>
      </w:pPr>
      <w:r w:rsidRPr="000D77A7">
        <w:rPr>
          <w:rFonts w:ascii="Times New Roman" w:eastAsia="Times New Roman" w:hAnsi="Times New Roman" w:cs="Times New Roman"/>
          <w:sz w:val="24"/>
          <w:szCs w:val="24"/>
        </w:rPr>
        <w:t>El ministerio cree que esas solicitudes eran fraudulentas, como otros pagos para jubilados que ya estaban muertos, y revelan cómo muchos médicos griegos aceptaron dinero para hacer falsos diagnósticos o, peor, cómo los políticos locales usaron esos beneficios públicos para ganar votos. Algunos oficiales acusaron directamente a Dionysos Gasparos, el antiguo prefecto de la isla, quien denunció al oftalmólogo del hospital público de Zákynthos, Nikolaos Vartzelis. El mi</w:t>
      </w:r>
      <w:r>
        <w:rPr>
          <w:rFonts w:ascii="Times New Roman" w:eastAsia="Times New Roman" w:hAnsi="Times New Roman" w:cs="Times New Roman"/>
          <w:sz w:val="24"/>
          <w:szCs w:val="24"/>
        </w:rPr>
        <w:t>smo especialista reconoció que “</w:t>
      </w:r>
      <w:r w:rsidRPr="000D77A7">
        <w:rPr>
          <w:rFonts w:ascii="Times New Roman" w:eastAsia="Times New Roman" w:hAnsi="Times New Roman" w:cs="Times New Roman"/>
          <w:sz w:val="24"/>
          <w:szCs w:val="24"/>
        </w:rPr>
        <w:t>hay casos en los que la gente no tiene ni un hombro en e</w:t>
      </w:r>
      <w:r>
        <w:rPr>
          <w:rFonts w:ascii="Times New Roman" w:eastAsia="Times New Roman" w:hAnsi="Times New Roman" w:cs="Times New Roman"/>
          <w:sz w:val="24"/>
          <w:szCs w:val="24"/>
        </w:rPr>
        <w:t xml:space="preserve">l que llorar ni pan para comer”. </w:t>
      </w:r>
      <w:r w:rsidRPr="000D77A7">
        <w:rPr>
          <w:rFonts w:ascii="Times New Roman" w:eastAsia="Times New Roman" w:hAnsi="Times New Roman" w:cs="Times New Roman"/>
          <w:sz w:val="24"/>
          <w:szCs w:val="24"/>
        </w:rPr>
        <w:t>Por lo que el ministro de Sanidad Markos Bolaris ha anunciado la renovación del programa para incapacitados, para que las ayudas se destinen exclusivamente a los que las necesitan de verdad.</w:t>
      </w:r>
    </w:p>
    <w:p w:rsidR="0039280D" w:rsidRPr="000D77A7" w:rsidRDefault="0039280D" w:rsidP="0039280D">
      <w:pPr>
        <w:pStyle w:val="job"/>
        <w:shd w:val="clear" w:color="auto" w:fill="F8F8F8"/>
        <w:spacing w:before="0" w:beforeAutospacing="0" w:after="0" w:afterAutospacing="0"/>
        <w:jc w:val="both"/>
        <w:rPr>
          <w:b/>
        </w:rPr>
      </w:pPr>
      <w:r w:rsidRPr="000D77A7">
        <w:rPr>
          <w:b/>
        </w:rPr>
        <w:t xml:space="preserve">Demasiados empresarios </w:t>
      </w:r>
      <w:r>
        <w:rPr>
          <w:b/>
        </w:rPr>
        <w:t>que corrompen</w:t>
      </w:r>
      <w:r w:rsidRPr="000D77A7">
        <w:rPr>
          <w:b/>
        </w:rPr>
        <w:t>,</w:t>
      </w:r>
      <w:r>
        <w:rPr>
          <w:b/>
        </w:rPr>
        <w:t xml:space="preserve"> e innumerables</w:t>
      </w:r>
      <w:r w:rsidRPr="000D77A7">
        <w:rPr>
          <w:b/>
        </w:rPr>
        <w:t xml:space="preserve"> políticos</w:t>
      </w:r>
      <w:r>
        <w:rPr>
          <w:b/>
        </w:rPr>
        <w:t xml:space="preserve"> que se dejan</w:t>
      </w:r>
      <w:r w:rsidRPr="000D77A7">
        <w:rPr>
          <w:b/>
        </w:rPr>
        <w:t xml:space="preserve"> </w:t>
      </w:r>
      <w:r>
        <w:rPr>
          <w:b/>
        </w:rPr>
        <w:t>corromper</w:t>
      </w:r>
      <w:r w:rsidRPr="000D77A7">
        <w:rPr>
          <w:b/>
        </w:rPr>
        <w:t xml:space="preserve">, han querido </w:t>
      </w:r>
      <w:r>
        <w:rPr>
          <w:b/>
        </w:rPr>
        <w:t>“</w:t>
      </w:r>
      <w:r w:rsidRPr="000D77A7">
        <w:rPr>
          <w:b/>
        </w:rPr>
        <w:t>vivir del cuento</w:t>
      </w:r>
      <w:r>
        <w:rPr>
          <w:b/>
        </w:rPr>
        <w:t>”</w:t>
      </w:r>
      <w:r w:rsidRPr="000D77A7">
        <w:rPr>
          <w:b/>
        </w:rPr>
        <w:t xml:space="preserve"> (y que la </w:t>
      </w:r>
      <w:r>
        <w:rPr>
          <w:b/>
        </w:rPr>
        <w:t>“</w:t>
      </w:r>
      <w:r w:rsidRPr="000D77A7">
        <w:rPr>
          <w:b/>
        </w:rPr>
        <w:t>cuenta</w:t>
      </w:r>
      <w:r>
        <w:rPr>
          <w:b/>
        </w:rPr>
        <w:t>”</w:t>
      </w:r>
      <w:r w:rsidRPr="000D77A7">
        <w:rPr>
          <w:b/>
        </w:rPr>
        <w:t xml:space="preserve"> se la pagaran</w:t>
      </w:r>
      <w:r>
        <w:rPr>
          <w:b/>
        </w:rPr>
        <w:t>,</w:t>
      </w:r>
      <w:r w:rsidRPr="000D77A7">
        <w:rPr>
          <w:b/>
        </w:rPr>
        <w:t xml:space="preserve"> “los de Bruselas”).</w:t>
      </w:r>
      <w:r>
        <w:rPr>
          <w:b/>
        </w:rPr>
        <w:t xml:space="preserve"> Redes de corrupción clientelar. Complicidad, fraude, tráfico de influencias, </w:t>
      </w:r>
      <w:r w:rsidRPr="00125EC1">
        <w:rPr>
          <w:b/>
        </w:rPr>
        <w:t>planif</w:t>
      </w:r>
      <w:r>
        <w:rPr>
          <w:b/>
        </w:rPr>
        <w:t>icación y ejecución de un sistema de engaño</w:t>
      </w:r>
      <w:r w:rsidRPr="00125EC1">
        <w:rPr>
          <w:b/>
        </w:rPr>
        <w:t xml:space="preserve"> prolongado en el tiempo</w:t>
      </w:r>
      <w:r>
        <w:rPr>
          <w:b/>
        </w:rPr>
        <w:t>,  artimañas presupuestarias, prevaricación. Avaricia, arrogancia, fatuidad, impunidad, y abuso de poder. Conclusión: “si hay</w:t>
      </w:r>
      <w:r w:rsidRPr="00125EC1">
        <w:rPr>
          <w:b/>
        </w:rPr>
        <w:t xml:space="preserve"> ratas en el sótano, la culpa es de quien construyó el sótano</w:t>
      </w:r>
      <w:r>
        <w:rPr>
          <w:b/>
        </w:rPr>
        <w:t>”</w:t>
      </w:r>
      <w:r w:rsidRPr="00125EC1">
        <w:rPr>
          <w:b/>
        </w:rPr>
        <w:t>.</w:t>
      </w:r>
    </w:p>
    <w:p w:rsidR="0039280D" w:rsidRPr="000D77A7" w:rsidRDefault="0039280D" w:rsidP="0039280D">
      <w:pPr>
        <w:pStyle w:val="job"/>
        <w:shd w:val="clear" w:color="auto" w:fill="F8F8F8"/>
        <w:spacing w:before="0" w:beforeAutospacing="0" w:after="0" w:afterAutospacing="0"/>
        <w:jc w:val="both"/>
        <w:rPr>
          <w:b/>
        </w:rPr>
      </w:pPr>
      <w:r w:rsidRPr="000D77A7">
        <w:rPr>
          <w:b/>
        </w:rPr>
        <w:t xml:space="preserve">  </w:t>
      </w:r>
    </w:p>
    <w:p w:rsidR="0039280D" w:rsidRDefault="0039280D" w:rsidP="0039280D">
      <w:pPr>
        <w:pStyle w:val="job"/>
        <w:shd w:val="clear" w:color="auto" w:fill="F8F8F8"/>
        <w:spacing w:before="0" w:beforeAutospacing="0" w:after="0" w:afterAutospacing="0"/>
        <w:jc w:val="both"/>
        <w:rPr>
          <w:b/>
        </w:rPr>
      </w:pPr>
      <w:r w:rsidRPr="000D77A7">
        <w:rPr>
          <w:b/>
        </w:rPr>
        <w:lastRenderedPageBreak/>
        <w:t xml:space="preserve">El </w:t>
      </w:r>
      <w:r>
        <w:rPr>
          <w:b/>
        </w:rPr>
        <w:t>“</w:t>
      </w:r>
      <w:r w:rsidRPr="000D77A7">
        <w:rPr>
          <w:b/>
        </w:rPr>
        <w:t>gran reto</w:t>
      </w:r>
      <w:r>
        <w:rPr>
          <w:b/>
        </w:rPr>
        <w:t>”</w:t>
      </w:r>
      <w:r w:rsidRPr="000D77A7">
        <w:rPr>
          <w:b/>
        </w:rPr>
        <w:t xml:space="preserve"> para derriba</w:t>
      </w:r>
      <w:r>
        <w:rPr>
          <w:b/>
        </w:rPr>
        <w:t>r el muro (invisible) Norte-Sur, representado por “la corrupción sistémica arraigada, y las miserias de un capitalismo de amiguetes”:</w:t>
      </w:r>
      <w:r w:rsidRPr="000D77A7">
        <w:rPr>
          <w:b/>
        </w:rPr>
        <w:t xml:space="preserve"> lo primero que un enfermo necesita para sanar es saber que está enfermo; lo segundo, tener ganas de luchar contra la enfermedad; y, por último, que haya suerte y que el tratamiento haga efecto.</w:t>
      </w:r>
      <w:r>
        <w:rPr>
          <w:b/>
        </w:rPr>
        <w:t xml:space="preserve"> El “desafío” (cómo pasar de la UVI a Planta): s</w:t>
      </w:r>
      <w:r w:rsidRPr="00554715">
        <w:rPr>
          <w:b/>
        </w:rPr>
        <w:t>eparar de modo radical administración y política.</w:t>
      </w:r>
      <w:r>
        <w:rPr>
          <w:b/>
        </w:rPr>
        <w:t xml:space="preserve"> Lógica y liderazgo. Gestión y cumplimiento de la ley.</w:t>
      </w:r>
    </w:p>
    <w:p w:rsidR="001F129D" w:rsidRDefault="001F129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b/>
        </w:rPr>
        <w:t>- Y en los países del norte… ¿no hay incompetencia, malversación, corrupción?</w:t>
      </w:r>
    </w:p>
    <w:p w:rsidR="0039280D" w:rsidRDefault="0039280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noProof/>
        </w:rPr>
        <w:drawing>
          <wp:inline distT="0" distB="0" distL="0" distR="0" wp14:anchorId="3B361288" wp14:editId="2471CAA4">
            <wp:extent cx="5731510" cy="3278543"/>
            <wp:effectExtent l="0" t="0" r="2540" b="0"/>
            <wp:docPr id="162" name="Imagen 162" descr="Captura de pantalla del contador de costes del aeropuerto Berlín Brandeburgo Willy Brandt (B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ptura de pantalla del contador de costes del aeropuerto Berlín Brandeburgo Willy Brandt (BER). "/>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1510" cy="3278543"/>
                    </a:xfrm>
                    <a:prstGeom prst="rect">
                      <a:avLst/>
                    </a:prstGeom>
                    <a:noFill/>
                    <a:ln>
                      <a:noFill/>
                    </a:ln>
                  </pic:spPr>
                </pic:pic>
              </a:graphicData>
            </a:graphic>
          </wp:inline>
        </w:drawing>
      </w:r>
    </w:p>
    <w:p w:rsidR="0039280D" w:rsidRDefault="0039280D" w:rsidP="0039280D">
      <w:pPr>
        <w:pStyle w:val="job"/>
        <w:shd w:val="clear" w:color="auto" w:fill="F8F8F8"/>
        <w:spacing w:before="0" w:beforeAutospacing="0" w:after="0" w:afterAutospacing="0"/>
        <w:jc w:val="both"/>
        <w:rPr>
          <w:b/>
        </w:rPr>
      </w:pPr>
      <w:r>
        <w:t>Captura de pantalla del contador de costes del aeropuerto Berlín Brandeburgo Willy Brandt</w:t>
      </w:r>
    </w:p>
    <w:p w:rsidR="0039280D" w:rsidRDefault="0039280D" w:rsidP="0039280D">
      <w:pPr>
        <w:pStyle w:val="job"/>
        <w:shd w:val="clear" w:color="auto" w:fill="F8F8F8"/>
        <w:spacing w:after="0"/>
        <w:jc w:val="both"/>
      </w:pPr>
      <w:r>
        <w:rPr>
          <w:b/>
        </w:rPr>
        <w:t xml:space="preserve">- </w:t>
      </w:r>
      <w:r w:rsidRPr="00A55483">
        <w:rPr>
          <w:u w:val="single"/>
        </w:rPr>
        <w:t>El aeropuerto de Berlín donde las obras no acaban nunca</w:t>
      </w:r>
      <w:r>
        <w:t xml:space="preserve"> (eldiario.es - </w:t>
      </w:r>
      <w:r w:rsidRPr="00A55483">
        <w:rPr>
          <w:b/>
        </w:rPr>
        <w:t>8/3/19</w:t>
      </w:r>
      <w:r>
        <w:t xml:space="preserve">) </w:t>
      </w:r>
    </w:p>
    <w:p w:rsidR="0039280D" w:rsidRDefault="0039280D" w:rsidP="0039280D">
      <w:pPr>
        <w:pStyle w:val="job"/>
        <w:shd w:val="clear" w:color="auto" w:fill="F8F8F8"/>
        <w:spacing w:after="0"/>
        <w:jc w:val="both"/>
      </w:pPr>
      <w:r>
        <w:t>Los responsables del aeropuerto de Berlín Brandeburgo Willy Brandt (BER) aseguran que la nueva infraestructura aeroportuaria de la capital alemana abrirá sus puertas en 2020. Los expertos se muestran escépticos</w:t>
      </w:r>
    </w:p>
    <w:p w:rsidR="0039280D" w:rsidRDefault="0039280D" w:rsidP="0039280D">
      <w:pPr>
        <w:pStyle w:val="job"/>
        <w:shd w:val="clear" w:color="auto" w:fill="F8F8F8"/>
        <w:spacing w:after="0"/>
        <w:jc w:val="both"/>
      </w:pPr>
      <w:r>
        <w:t>(Por Aldo Más)</w:t>
      </w:r>
    </w:p>
    <w:p w:rsidR="0039280D" w:rsidRDefault="0039280D" w:rsidP="0039280D">
      <w:pPr>
        <w:pStyle w:val="job"/>
        <w:shd w:val="clear" w:color="auto" w:fill="F8F8F8"/>
        <w:spacing w:after="0"/>
        <w:jc w:val="both"/>
      </w:pPr>
      <w:r>
        <w:t>El aeropuerto de Berlín Brandeburgo Willy Brandt (BER) lleva ocho años retrasando su apertura. El proyecto ha caído en una espiral de aplazamientos y sobrecostes. Es, literalmente, un hazmerreír. Tanto es así que en estas fechas de fiestas carnavalescas, los sajones, vecinos berlineses del sur, no han perdido la oportunidad de promocionar sus aeropuertos a costa del sonrojante caso del BER.</w:t>
      </w:r>
    </w:p>
    <w:p w:rsidR="0039280D" w:rsidRDefault="0039280D" w:rsidP="0039280D">
      <w:pPr>
        <w:pStyle w:val="job"/>
        <w:shd w:val="clear" w:color="auto" w:fill="F8F8F8"/>
        <w:spacing w:after="0"/>
        <w:jc w:val="both"/>
      </w:pPr>
      <w:r>
        <w:t xml:space="preserve">Así, en recientes carteles promocionales de los aeropuertos de </w:t>
      </w:r>
      <w:r w:rsidR="00C13914">
        <w:t>Leipzig</w:t>
      </w:r>
      <w:r>
        <w:t xml:space="preserve"> y Dresde podían leerse mensajes como “A la capital - Aeropuerto en sajón se dice: preparado” o “Mejor conducir dos horas que esperar trece años”. El segundo de esos carteles hace alusión al tiempo aproximado que se tarda en ir en tren o en coche desde Leipzig o Dresde hasta Berlín.</w:t>
      </w:r>
    </w:p>
    <w:p w:rsidR="0039280D" w:rsidRDefault="0039280D" w:rsidP="0039280D">
      <w:pPr>
        <w:pStyle w:val="job"/>
        <w:shd w:val="clear" w:color="auto" w:fill="F8F8F8"/>
        <w:spacing w:after="0"/>
        <w:jc w:val="both"/>
      </w:pPr>
      <w:r>
        <w:lastRenderedPageBreak/>
        <w:t>En tono irónico, los aeropuertos de las urbes sajonas se presentaban así como alternativa a los sobrecargados aeropuertos de Tegel y Schönefeld, por los que hoy por hoy pasan unos 35 millones de pasajeros al año. Estos días, marcados en Berlín por la celebración de la Feria Internacional de Turismo de Berlín (ITB), la mayor cita mundial de la industria del turismo, se han registrado retrasos de hasta dos horas en la recogida de equipajes de los aeropuertos de la capital, según ha recogido la prensa local.</w:t>
      </w:r>
    </w:p>
    <w:p w:rsidR="0039280D" w:rsidRDefault="0039280D" w:rsidP="0039280D">
      <w:pPr>
        <w:pStyle w:val="job"/>
        <w:shd w:val="clear" w:color="auto" w:fill="F8F8F8"/>
        <w:spacing w:after="0"/>
        <w:jc w:val="both"/>
      </w:pPr>
      <w:r>
        <w:t>Se supone que la apertura del BER iba a permitir el cierre de Tegel y dotar a Berlín de uno de los mayores aeropuertos del mundo. Iba a abrir sus puertas en 2011. Sus responsables dicen ahora, tras haber fallado en sus previsiones en varias ocasiones, que el BER abrirá en 2020.</w:t>
      </w:r>
    </w:p>
    <w:p w:rsidR="0039280D" w:rsidRDefault="0039280D" w:rsidP="0039280D">
      <w:pPr>
        <w:pStyle w:val="job"/>
        <w:shd w:val="clear" w:color="auto" w:fill="F8F8F8"/>
        <w:spacing w:after="0"/>
        <w:jc w:val="both"/>
      </w:pPr>
      <w:r>
        <w:t>Los continuos retrasos registrados en las obras han convertido al BER en un chiste. Pero la broma está saliendo muy cara. Las estimaciones disponibles señalan un precio final de la obra de unos 6.500 millones de euros. Es tres veces más de lo previsto cuando se puso la primera piedra.</w:t>
      </w:r>
    </w:p>
    <w:p w:rsidR="0039280D" w:rsidRDefault="0039280D" w:rsidP="0039280D">
      <w:pPr>
        <w:pStyle w:val="job"/>
        <w:shd w:val="clear" w:color="auto" w:fill="F8F8F8"/>
        <w:spacing w:after="0"/>
        <w:jc w:val="both"/>
      </w:pPr>
      <w:r>
        <w:t>En Internet hay un contador que da cuenta del precio del BER. Es una iniciativa ciudadana elaborada por Robert Hartl, un hombre interesado en el proyecto que se ha dedicado a la investigación del mismo. Se observa en ese contador cómo crece por momentos el montante necesitado para la construcción del BER. En el momento de escribir estas líneas, el contador va por 5.256 millones de euros.</w:t>
      </w:r>
    </w:p>
    <w:p w:rsidR="0039280D" w:rsidRDefault="0039280D" w:rsidP="0039280D">
      <w:pPr>
        <w:pStyle w:val="job"/>
        <w:shd w:val="clear" w:color="auto" w:fill="F8F8F8"/>
        <w:spacing w:after="0"/>
        <w:jc w:val="both"/>
      </w:pPr>
      <w:r>
        <w:t>Tan ejemplar resulta el fracaso del BER que ya es incluso objeto de estudio en universidades. En concreto, hace unos días el diario berlinés Der Tagesspiegel entrevistaba a Dominic Judge, un joven estudiante de gestión de tráfico aéreo de la Universidad de Dublín que dedica su trabajo de fin de carrera al caso del BER.</w:t>
      </w:r>
    </w:p>
    <w:p w:rsidR="0039280D" w:rsidRDefault="0039280D" w:rsidP="0039280D">
      <w:pPr>
        <w:pStyle w:val="job"/>
        <w:shd w:val="clear" w:color="auto" w:fill="F8F8F8"/>
        <w:spacing w:after="0"/>
        <w:jc w:val="both"/>
      </w:pPr>
      <w:r>
        <w:t>“Quiero saber qué ha pasado, qué fue mal”, decía el chico al diario de la capital. “Me interesa la perspectiva de la gestión. Quiero saber si el proyecto estaba estructurado, cómo se lidió con los errores y los defectos del mismo”, añadía Judge. Su intención es conocer el caso del BER para aprender “cómo gestionar bien proyectos” como son los que permiten construir aeropuertos.</w:t>
      </w:r>
    </w:p>
    <w:p w:rsidR="0039280D" w:rsidRDefault="0039280D" w:rsidP="0039280D">
      <w:pPr>
        <w:pStyle w:val="job"/>
        <w:shd w:val="clear" w:color="auto" w:fill="F8F8F8"/>
        <w:spacing w:after="0"/>
        <w:jc w:val="both"/>
      </w:pPr>
      <w:r>
        <w:t>Un fracaso con muchas causas</w:t>
      </w:r>
    </w:p>
    <w:p w:rsidR="0039280D" w:rsidRDefault="0039280D" w:rsidP="0039280D">
      <w:pPr>
        <w:pStyle w:val="job"/>
        <w:shd w:val="clear" w:color="auto" w:fill="F8F8F8"/>
        <w:spacing w:after="0"/>
        <w:jc w:val="both"/>
      </w:pPr>
      <w:r>
        <w:t>La entrevista a Judge la firmaba Thorsten Metzner, probablemente el periodista alemán que más intensamente está siguiendo la evolución del fiasco que representa el BER. Este hombre ha dedicado prácticamente la última década a informar sobre el aeropuerto fallido de Berlín.</w:t>
      </w:r>
    </w:p>
    <w:p w:rsidR="0039280D" w:rsidRDefault="0039280D" w:rsidP="0039280D">
      <w:pPr>
        <w:pStyle w:val="job"/>
        <w:shd w:val="clear" w:color="auto" w:fill="F8F8F8"/>
        <w:spacing w:after="0"/>
        <w:jc w:val="both"/>
      </w:pPr>
      <w:r>
        <w:t>“El fracaso en esta obra tiene muchas causas. Uno no puede atribuirlo a un sólo factor”, dice Metzner a eldiario.es. Señaladas están la gestión de las autoridades de Berlín y Brandeburgo -el Land que envuelve a la capital-, los responsables del proyecto, y también las empresas asociadas al mismo. Entre ellas figuras grandes grupos tecnológicos teutones, como Siemens o Bosch.</w:t>
      </w:r>
    </w:p>
    <w:p w:rsidR="0039280D" w:rsidRDefault="0039280D" w:rsidP="0039280D">
      <w:pPr>
        <w:pStyle w:val="job"/>
        <w:shd w:val="clear" w:color="auto" w:fill="F8F8F8"/>
        <w:spacing w:after="0"/>
        <w:jc w:val="both"/>
      </w:pPr>
      <w:r>
        <w:t xml:space="preserve">No en vano, el que fuera alcalde de Berlín, Klaus Wowereit, terminó dejando la alcaldía de la capital hace unos años por culpa en buena medida de la cascada de malas noticias generadas por el proyecto aeroportuario. Metzner plantea que, como problema principal del BER, figura el que se añadiera, “antes de 2012, la construcción de una planta más en el edificio”. </w:t>
      </w:r>
      <w:r>
        <w:lastRenderedPageBreak/>
        <w:t>“Hablamos, en total, de un edificio que tiene más de 4.000 habitaciones, tiene él solo 30.000 detectores de humo, y todo tiene que funcionar de manera totalmente automática”, abunda.</w:t>
      </w:r>
    </w:p>
    <w:p w:rsidR="0039280D" w:rsidRDefault="0039280D" w:rsidP="0039280D">
      <w:pPr>
        <w:pStyle w:val="job"/>
        <w:shd w:val="clear" w:color="auto" w:fill="F8F8F8"/>
        <w:spacing w:after="0"/>
        <w:jc w:val="both"/>
      </w:pPr>
      <w:r>
        <w:t>A falta de seis semanas para que se abriera en 2012 -después de un primer aplazamiento en 2011-, se argumentaron problemas en el sistema contra incendios para no abrir el aeropuerto. El problema, sin embargo, era mucho mayor. “Desde 2012, no hay sitio suficiente para los cables, antes de 2012, muchos de los cables se situaron de manera muy poco ordenada, no se sabían dónde estaban, dónde iban o de dónde venían, por eso empezó el saneamiento del edificio y por eso se cambiaron miles de kilómetros de cables”, expone Metzner.</w:t>
      </w:r>
    </w:p>
    <w:p w:rsidR="0039280D" w:rsidRDefault="0039280D" w:rsidP="0039280D">
      <w:pPr>
        <w:pStyle w:val="job"/>
        <w:shd w:val="clear" w:color="auto" w:fill="F8F8F8"/>
        <w:spacing w:after="0"/>
        <w:jc w:val="both"/>
      </w:pPr>
      <w:r>
        <w:t>En realidad, desde hace ya siete años, la principal tarea que se hace en el BER es una labor de saneamiento de un edificio mastodóntico. No todos ven esos trabajos realizables. Thorsten Dirk, miembro de la presidencia de la poderosa compañía aérea alemana Lufthansa, pronosticaba con mucha polémica el año pasado que la mejor solución al problema del BER era derribarlo y construirlo de nuevo.</w:t>
      </w:r>
    </w:p>
    <w:p w:rsidR="0039280D" w:rsidRDefault="0039280D" w:rsidP="0039280D">
      <w:pPr>
        <w:pStyle w:val="job"/>
        <w:shd w:val="clear" w:color="auto" w:fill="F8F8F8"/>
        <w:spacing w:after="0"/>
        <w:jc w:val="both"/>
      </w:pPr>
      <w:r>
        <w:t>“Derribar y construir de nuevo”</w:t>
      </w:r>
    </w:p>
    <w:p w:rsidR="0039280D" w:rsidRDefault="0039280D" w:rsidP="0039280D">
      <w:pPr>
        <w:pStyle w:val="job"/>
        <w:shd w:val="clear" w:color="auto" w:fill="F8F8F8"/>
        <w:spacing w:after="0"/>
        <w:jc w:val="both"/>
      </w:pPr>
      <w:r>
        <w:t>“Mi pronóstico es: derribar la cosa entera y construir de nuevo”, decía Dirk. Esas palabras levantaron ampollas. Lufthansa trató de corregir las estimaciones de su ejecutivo, del que se dijo no hablaba en nombre de la empresa cuando se refería en esos términos al BER. Los responsables del aeropuerto berlinés, que desde fuera parece estar terminado, han optado por trabajar sobre la marcha. Da la impresión que los planes se han ido adaptando a medida que se han anunciado retrasos en la apertura del aeropuerto. Así ocurrió en 2011, 2012, 2017 y 2018.</w:t>
      </w:r>
    </w:p>
    <w:p w:rsidR="0039280D" w:rsidRDefault="0039280D" w:rsidP="0039280D">
      <w:pPr>
        <w:pStyle w:val="job"/>
        <w:shd w:val="clear" w:color="auto" w:fill="F8F8F8"/>
        <w:spacing w:after="0"/>
        <w:jc w:val="both"/>
      </w:pPr>
      <w:r>
        <w:t>Metzner, el periodista del Der Tagesspiegel, afirma que se podría haber hecho frente a la situación tomando el ejemplo del aeropuerto de Viena. En la capital austriaca abría sus puertas la Terminal 3 en 2012. Las obras de dicho espacio estuvieron marcadas por errores de planificación que obligaron a parar el proyecto en 2009. “A la parada de la obra, siguió un análisis de los planes, éstos se rehicieron y cuando todo quedó claro, se reiniciaron las obras. Después, se terminaron y la situación acabó bien. Pero esto no ha ocurrido en Berlín”, sostiene Metzner.</w:t>
      </w:r>
    </w:p>
    <w:p w:rsidR="0039280D" w:rsidRDefault="0039280D" w:rsidP="0039280D">
      <w:pPr>
        <w:pStyle w:val="job"/>
        <w:shd w:val="clear" w:color="auto" w:fill="F8F8F8"/>
        <w:spacing w:after="0"/>
        <w:jc w:val="both"/>
      </w:pPr>
      <w:r>
        <w:t>En Berlín, el BER tiene ahora fecha de apertura en otoño de 2020. Metzner se muestra escéptico con esa fecha. “En mi opinión, no se puede decir ahora mismo si se abrirá o no, pero va a ser muy difícil mantener esa fecha”, dice este especialista en el proyecto berlinés. Desde la Universidad de Dublín, Judge, el estudiante que dedica su trabajo de fin de carrera al BER, tampoco lo ve claro.</w:t>
      </w:r>
    </w:p>
    <w:p w:rsidR="0039280D" w:rsidRDefault="0039280D" w:rsidP="0039280D">
      <w:pPr>
        <w:pStyle w:val="job"/>
        <w:shd w:val="clear" w:color="auto" w:fill="F8F8F8"/>
        <w:spacing w:before="0" w:beforeAutospacing="0" w:after="0" w:afterAutospacing="0"/>
        <w:jc w:val="both"/>
      </w:pPr>
      <w:r>
        <w:t>Metzner le preguntaba en su entrevista cómo veía la fecha de 2020. “Siendo sincero: no lo creo posible. Posiblemente el BER abra sus puertas, pero seguro que no lo hará en 2020”, respondía Judge.</w:t>
      </w:r>
    </w:p>
    <w:p w:rsidR="0039280D" w:rsidRDefault="0039280D" w:rsidP="0039280D">
      <w:pPr>
        <w:pStyle w:val="job"/>
        <w:shd w:val="clear" w:color="auto" w:fill="F8F8F8"/>
        <w:spacing w:before="0" w:beforeAutospacing="0" w:after="0" w:afterAutospacing="0"/>
        <w:jc w:val="both"/>
      </w:pPr>
    </w:p>
    <w:p w:rsidR="0039280D" w:rsidRDefault="0039280D" w:rsidP="0039280D">
      <w:pPr>
        <w:pStyle w:val="job"/>
        <w:shd w:val="clear" w:color="auto" w:fill="F8F8F8"/>
        <w:spacing w:before="0" w:beforeAutospacing="0" w:after="0" w:afterAutospacing="0"/>
        <w:jc w:val="both"/>
      </w:pPr>
      <w:r w:rsidRPr="000417E2">
        <w:t xml:space="preserve">Nota: en este Apartado podría haber utilizado el caso </w:t>
      </w:r>
      <w:r w:rsidRPr="000417E2">
        <w:rPr>
          <w:shd w:val="clear" w:color="auto" w:fill="EEF0EF"/>
        </w:rPr>
        <w:t>Siemens</w:t>
      </w:r>
      <w:r>
        <w:rPr>
          <w:shd w:val="clear" w:color="auto" w:fill="EEF0EF"/>
        </w:rPr>
        <w:t>,</w:t>
      </w:r>
      <w:r w:rsidRPr="000417E2">
        <w:rPr>
          <w:shd w:val="clear" w:color="auto" w:fill="EEF0EF"/>
        </w:rPr>
        <w:t xml:space="preserve"> de malversación de fondos (2006), el caso Deutsche Telekon</w:t>
      </w:r>
      <w:r>
        <w:rPr>
          <w:shd w:val="clear" w:color="auto" w:fill="EEF0EF"/>
        </w:rPr>
        <w:t>,</w:t>
      </w:r>
      <w:r w:rsidRPr="000417E2">
        <w:rPr>
          <w:shd w:val="clear" w:color="auto" w:fill="EEF0EF"/>
        </w:rPr>
        <w:t xml:space="preserve"> de espionaje (2008), el Deutsche Bank</w:t>
      </w:r>
      <w:r>
        <w:rPr>
          <w:shd w:val="clear" w:color="auto" w:fill="EEF0EF"/>
        </w:rPr>
        <w:t>,</w:t>
      </w:r>
      <w:r w:rsidRPr="000417E2">
        <w:rPr>
          <w:shd w:val="clear" w:color="auto" w:fill="EEF0EF"/>
        </w:rPr>
        <w:t xml:space="preserve"> que</w:t>
      </w:r>
      <w:r>
        <w:rPr>
          <w:shd w:val="clear" w:color="auto" w:fill="EEF0EF"/>
        </w:rPr>
        <w:t xml:space="preserve"> se ha visto involucrado en una</w:t>
      </w:r>
      <w:r w:rsidRPr="000417E2">
        <w:rPr>
          <w:shd w:val="clear" w:color="auto" w:fill="EEF0EF"/>
        </w:rPr>
        <w:t xml:space="preserve"> oleada de litigios (2012 en adelante), </w:t>
      </w:r>
      <w:r w:rsidRPr="000417E2">
        <w:t xml:space="preserve"> el “dieselgate” de </w:t>
      </w:r>
      <w:r w:rsidRPr="000417E2">
        <w:rPr>
          <w:rStyle w:val="nfasis"/>
          <w:rFonts w:eastAsiaTheme="majorEastAsia"/>
          <w:bCs/>
          <w:i w:val="0"/>
          <w:iCs w:val="0"/>
          <w:shd w:val="clear" w:color="auto" w:fill="FFFFFF"/>
        </w:rPr>
        <w:t>Volkswagen</w:t>
      </w:r>
      <w:r w:rsidRPr="000417E2">
        <w:t xml:space="preserve"> (2015),  como ejemplos de “affaire</w:t>
      </w:r>
      <w:r>
        <w:t>s</w:t>
      </w:r>
      <w:r w:rsidRPr="000417E2">
        <w:t xml:space="preserve">”, </w:t>
      </w:r>
      <w:r>
        <w:t>que deberían avergonzar a Alemania.</w:t>
      </w:r>
    </w:p>
    <w:p w:rsidR="0039280D" w:rsidRDefault="0039280D" w:rsidP="0039280D">
      <w:pPr>
        <w:pStyle w:val="job"/>
        <w:shd w:val="clear" w:color="auto" w:fill="F8F8F8"/>
        <w:spacing w:before="0" w:beforeAutospacing="0" w:after="0" w:afterAutospacing="0"/>
        <w:jc w:val="both"/>
      </w:pPr>
    </w:p>
    <w:p w:rsidR="001F129D" w:rsidRDefault="001F129D" w:rsidP="0039280D">
      <w:pPr>
        <w:pStyle w:val="job"/>
        <w:shd w:val="clear" w:color="auto" w:fill="F8F8F8"/>
        <w:spacing w:before="0" w:beforeAutospacing="0" w:after="0" w:afterAutospacing="0"/>
        <w:jc w:val="both"/>
        <w:rPr>
          <w:b/>
        </w:rPr>
      </w:pPr>
    </w:p>
    <w:p w:rsidR="0039280D" w:rsidRDefault="0039280D" w:rsidP="0039280D">
      <w:pPr>
        <w:pStyle w:val="job"/>
        <w:shd w:val="clear" w:color="auto" w:fill="F8F8F8"/>
        <w:spacing w:before="0" w:beforeAutospacing="0" w:after="0" w:afterAutospacing="0"/>
        <w:jc w:val="both"/>
        <w:rPr>
          <w:b/>
        </w:rPr>
      </w:pPr>
      <w:r>
        <w:rPr>
          <w:b/>
        </w:rPr>
        <w:lastRenderedPageBreak/>
        <w:t>¿Entonces, dónde está la diferencia, entre Alemania, España, Italia o Grecia?</w:t>
      </w:r>
    </w:p>
    <w:p w:rsidR="0039280D" w:rsidRDefault="0039280D" w:rsidP="0039280D">
      <w:pPr>
        <w:pStyle w:val="job"/>
        <w:shd w:val="clear" w:color="auto" w:fill="F8F8F8"/>
        <w:spacing w:before="0" w:beforeAutospacing="0" w:after="0" w:afterAutospacing="0"/>
        <w:jc w:val="both"/>
        <w:rPr>
          <w:b/>
        </w:rPr>
      </w:pPr>
    </w:p>
    <w:p w:rsidR="0039280D" w:rsidRPr="000417E2" w:rsidRDefault="0039280D" w:rsidP="0039280D">
      <w:pPr>
        <w:pStyle w:val="job"/>
        <w:shd w:val="clear" w:color="auto" w:fill="F8F8F8"/>
        <w:spacing w:before="0" w:beforeAutospacing="0" w:after="0" w:afterAutospacing="0"/>
        <w:jc w:val="both"/>
        <w:rPr>
          <w:b/>
        </w:rPr>
      </w:pPr>
      <w:r>
        <w:rPr>
          <w:b/>
        </w:rPr>
        <w:t xml:space="preserve">La diferencia está en que Alemania paga con recursos propios sus errores, retrasos, y corruptelas, mientras que España, Italia, Grecia, y otros miembros del Club Med, usan (y abusan) de los fondos que les concede la Unión Europea. Disparan con pólvora del Rey. Tenía razón </w:t>
      </w:r>
      <w:r w:rsidRPr="008D1C8A">
        <w:rPr>
          <w:b/>
        </w:rPr>
        <w:t>Dijsselbloem</w:t>
      </w:r>
      <w:r>
        <w:rPr>
          <w:b/>
        </w:rPr>
        <w:t xml:space="preserve"> (jefe del Eurogrupo - 3/17), cuando dijo</w:t>
      </w:r>
      <w:r w:rsidRPr="008D1C8A">
        <w:rPr>
          <w:b/>
        </w:rPr>
        <w:t>: “No puedo gastarme el dinero en alcohol y mujeres y después pedir ayuda”</w:t>
      </w:r>
      <w:r>
        <w:rPr>
          <w:b/>
        </w:rPr>
        <w:t>… Más claro imposible.</w:t>
      </w:r>
    </w:p>
    <w:p w:rsidR="0039280D" w:rsidRPr="003900F9" w:rsidRDefault="0039280D" w:rsidP="0039280D">
      <w:pPr>
        <w:pStyle w:val="NormalWeb"/>
        <w:shd w:val="clear" w:color="auto" w:fill="FFFFFF"/>
        <w:spacing w:after="0"/>
        <w:jc w:val="both"/>
        <w:textAlignment w:val="baseline"/>
        <w:rPr>
          <w:b/>
        </w:rPr>
      </w:pPr>
      <w:r w:rsidRPr="003900F9">
        <w:rPr>
          <w:b/>
        </w:rPr>
        <w:t>- La metáfora de Europa: anegada por el “acqua alta” (Venecia - 13/11/19)</w:t>
      </w:r>
    </w:p>
    <w:p w:rsidR="0039280D" w:rsidRPr="003900F9" w:rsidRDefault="0039280D" w:rsidP="0039280D">
      <w:pPr>
        <w:pStyle w:val="NormalWeb"/>
        <w:shd w:val="clear" w:color="auto" w:fill="FFFFFF"/>
        <w:spacing w:after="0"/>
        <w:jc w:val="both"/>
        <w:textAlignment w:val="baseline"/>
        <w:rPr>
          <w:b/>
        </w:rPr>
      </w:pPr>
      <w:r w:rsidRPr="003900F9">
        <w:rPr>
          <w:b/>
        </w:rPr>
        <w:t>Inundación apocalíptica en Venecia</w:t>
      </w:r>
    </w:p>
    <w:p w:rsidR="0039280D" w:rsidRDefault="0039280D" w:rsidP="0039280D">
      <w:pPr>
        <w:pStyle w:val="NormalWeb"/>
        <w:shd w:val="clear" w:color="auto" w:fill="FFFFFF"/>
        <w:spacing w:after="0"/>
        <w:jc w:val="both"/>
        <w:textAlignment w:val="baseline"/>
      </w:pPr>
      <w:r w:rsidRPr="00034C72">
        <w:rPr>
          <w:noProof/>
        </w:rPr>
        <w:drawing>
          <wp:inline distT="0" distB="0" distL="0" distR="0" wp14:anchorId="3C77CA3F" wp14:editId="5A96B677">
            <wp:extent cx="5731510" cy="2990060"/>
            <wp:effectExtent l="0" t="0" r="2540" b="1270"/>
            <wp:docPr id="16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5731510" cy="2990060"/>
                    </a:xfrm>
                    <a:prstGeom prst="rect">
                      <a:avLst/>
                    </a:prstGeom>
                  </pic:spPr>
                </pic:pic>
              </a:graphicData>
            </a:graphic>
          </wp:inline>
        </w:drawing>
      </w:r>
    </w:p>
    <w:p w:rsidR="0039280D" w:rsidRDefault="0039280D" w:rsidP="0039280D">
      <w:pPr>
        <w:pStyle w:val="NormalWeb"/>
        <w:shd w:val="clear" w:color="auto" w:fill="FFFFFF"/>
        <w:spacing w:after="0"/>
        <w:jc w:val="both"/>
        <w:textAlignment w:val="baseline"/>
      </w:pPr>
      <w:r w:rsidRPr="005B7763">
        <w:t>La inundación de Venecia de estos días se debe, principalmente, a dos factores: la altura excepcional del agua y la casi completación del MOSE, la gran obra destinada a frenar eventuales subidas extraordinarias del nivel marítimo. Los daños, por el momento, son incalculables según las principales cabeceras italianas: iglesias, plazas, hoteles, restaurantes, palacios, viviendas. Los expertos equiparan lo ocurrido esta semana a la peor de las inundaciones recientes, que tuvo lugar a mediados de los años 60. Igualmente, cabe aclarar que Venecia está acostumbrada a la conocida acqua alta y tiene habitualmente remedios para ello. A lo que no está acostumbrada la capital véneta es a unas subidas del nivel del agua más bien cercanas a los 2 metros de altura.</w:t>
      </w:r>
    </w:p>
    <w:p w:rsidR="0039280D" w:rsidRDefault="0039280D" w:rsidP="0039280D">
      <w:pPr>
        <w:pStyle w:val="NormalWeb"/>
        <w:shd w:val="clear" w:color="auto" w:fill="FFFFFF"/>
        <w:spacing w:after="0"/>
        <w:jc w:val="both"/>
        <w:textAlignment w:val="baseline"/>
      </w:pPr>
      <w:r>
        <w:t>Venecia tiene sólo una forma de bloquear una excesiva acqua alta. Es el conocido MOSE (Modulo Sperimentale Elettromeccanico), una obra de alta ingeniería enfocada en bloquear las aguas que podrían inundar, como estos días, la laguna de Venecia. Ahora mismo el MOSE está en el centro de la polémica porque se trata de una de las grandes promesas infraestructurales italianas que, atendiendo a lo que informan los medios de comunicación del país, está al 93% de su realización completa. Dicha obra, en el pasado, ha sido motivo de grandes escándalos de corrupción que dañaron, mediáticamente, la ejecución de una obra todavía hoy incompleta no obstante arrancara hace 16 años, en el año 2003, bajo la presidencia de Silvio Berlusconi.</w:t>
      </w:r>
    </w:p>
    <w:p w:rsidR="0039280D" w:rsidRDefault="0039280D" w:rsidP="0039280D">
      <w:pPr>
        <w:pStyle w:val="NormalWeb"/>
        <w:shd w:val="clear" w:color="auto" w:fill="FFFFFF"/>
        <w:spacing w:after="0"/>
        <w:jc w:val="both"/>
        <w:textAlignment w:val="baseline"/>
      </w:pPr>
      <w:r>
        <w:lastRenderedPageBreak/>
        <w:t>La obra, cuya financiación asciende a los 5.000 millones de euros, fue concebida en los años 80 para proteger a la Serenissima de las aguas superiores a los 110 centímetros. Según los expertos, el MOSE estaría listo aproximadamente a finales del 2021. Tal como explica la cadena de noticias italiana Sky TG 24, debajo de los 80 centímetros la altura del agua en Venecia es normal. Una vez alcanzados los 110 centímetros, el 15% de la ciudad estaría inundada; con 130 centímetros el 40%; con 140 centímetros el 55%. Las inundaciones con más de 110 centímetros de altura se producen unas cuatro veces al año, pero por encima de esas cifras son realmente infrecuentes. La inundación de estos días es la segunda mayor desde que hay mediciones, por detrás sólo del agua alta de 1966, que alcanzó los 194 centímetros.</w:t>
      </w:r>
    </w:p>
    <w:p w:rsidR="0039280D" w:rsidRPr="000D7A18" w:rsidRDefault="0039280D" w:rsidP="0039280D">
      <w:pPr>
        <w:pStyle w:val="NormalWeb"/>
        <w:shd w:val="clear" w:color="auto" w:fill="FFFFFF"/>
        <w:spacing w:after="0"/>
        <w:jc w:val="both"/>
        <w:textAlignment w:val="baseline"/>
      </w:pPr>
      <w:r>
        <w:t xml:space="preserve">- </w:t>
      </w:r>
      <w:r w:rsidRPr="000D7A18">
        <w:rPr>
          <w:u w:val="single"/>
        </w:rPr>
        <w:t>Cómo salvar a Venecia</w:t>
      </w:r>
      <w:r>
        <w:t xml:space="preserve"> (Project Syndicate - </w:t>
      </w:r>
      <w:r w:rsidRPr="000D7A18">
        <w:rPr>
          <w:b/>
        </w:rPr>
        <w:t>19/11/19</w:t>
      </w:r>
      <w:r>
        <w:t>)</w:t>
      </w:r>
    </w:p>
    <w:p w:rsidR="0039280D" w:rsidRPr="000D7A18" w:rsidRDefault="0039280D" w:rsidP="0039280D">
      <w:pPr>
        <w:pStyle w:val="NormalWeb"/>
        <w:shd w:val="clear" w:color="auto" w:fill="FFFFFF"/>
        <w:jc w:val="both"/>
        <w:textAlignment w:val="baseline"/>
      </w:pPr>
      <w:r>
        <w:t>Venecia.-</w:t>
      </w:r>
      <w:r w:rsidRPr="000D7A18">
        <w:t xml:space="preserve"> </w:t>
      </w:r>
      <w:r w:rsidRPr="009F4957">
        <w:rPr>
          <w:u w:val="single"/>
        </w:rPr>
        <w:t>Una de las peores inundaciones en la historia de Venecia ha sumergido algunos de los emblemas culturales de la ciudad, entre ellos la Basílica de San Marcos en Piazza San Marco. Esta es sólo la sexta vez que la basílica se inunda en 1200 años, pero la cuarta de las últimas dos décadas, y la segunda en menos de 400 días. A este ritmo, el frágil entramado veneciano de calli, campi y palazzi, bordado sobre un sedimento que se hunde, puede ser destruido por las aguas en cuestión de décadas</w:t>
      </w:r>
      <w:r w:rsidRPr="000D7A18">
        <w:t xml:space="preserve">. ¿Pero qué </w:t>
      </w:r>
      <w:r>
        <w:t>hay de la gente que lo habita?</w:t>
      </w:r>
    </w:p>
    <w:p w:rsidR="0039280D" w:rsidRPr="009F4957" w:rsidRDefault="0039280D" w:rsidP="0039280D">
      <w:pPr>
        <w:pStyle w:val="NormalWeb"/>
        <w:shd w:val="clear" w:color="auto" w:fill="FFFFFF"/>
        <w:spacing w:after="0"/>
        <w:jc w:val="both"/>
        <w:textAlignment w:val="baseline"/>
        <w:rPr>
          <w:u w:val="single"/>
        </w:rPr>
      </w:pPr>
      <w:r w:rsidRPr="009F4957">
        <w:rPr>
          <w:u w:val="single"/>
        </w:rPr>
        <w:t>Los antiguos romanos tenían dos palabras para hablar de las ciudades: urbs, que se refería a los edificios y la infraestructura, y civitas, una ciudadanía activa y comprometida. Hoy el mundo se alarma por la sumergida y dañada urbs veneciana, que es sin duda extremadamente vulnerable incluso a ligeros aumentos del nivel del mar, como los producidos por el cambio climático. Pero casi no se ha dado cuenta del grado de destrucción de la civitas veneciana.</w:t>
      </w:r>
    </w:p>
    <w:p w:rsidR="0039280D" w:rsidRPr="009F4957" w:rsidRDefault="0039280D" w:rsidP="0039280D">
      <w:pPr>
        <w:pStyle w:val="NormalWeb"/>
        <w:shd w:val="clear" w:color="auto" w:fill="FFFFFF"/>
        <w:spacing w:after="0"/>
        <w:jc w:val="both"/>
        <w:textAlignment w:val="baseline"/>
        <w:rPr>
          <w:u w:val="single"/>
        </w:rPr>
      </w:pPr>
      <w:r w:rsidRPr="009F4957">
        <w:rPr>
          <w:u w:val="single"/>
        </w:rPr>
        <w:t>La población de Venecia está hace décadas en disminución. Hoy sólo queda un tercio de los venecianos que había hace cincuenta años. Pero ese declive es un mero síntoma de una enfermedad cada vez peor: la promoción imprudente del turismo a gran escala y la falta de inversión en capital humano.</w:t>
      </w:r>
    </w:p>
    <w:p w:rsidR="0039280D" w:rsidRPr="009F4957" w:rsidRDefault="0039280D" w:rsidP="0039280D">
      <w:pPr>
        <w:pStyle w:val="NormalWeb"/>
        <w:shd w:val="clear" w:color="auto" w:fill="FFFFFF"/>
        <w:spacing w:after="0"/>
        <w:jc w:val="both"/>
        <w:textAlignment w:val="baseline"/>
        <w:rPr>
          <w:u w:val="single"/>
        </w:rPr>
      </w:pPr>
      <w:r w:rsidRPr="000D7A18">
        <w:t xml:space="preserve">Si en los ochenta la dirigencia política veneciana no hubiera comenzado a desviar recursos de la educación superior y de la innovación, a estas alturas Venecia podría ser una especie de Cambridge del Adriático. Pero </w:t>
      </w:r>
      <w:r w:rsidRPr="009F4957">
        <w:rPr>
          <w:u w:val="single"/>
        </w:rPr>
        <w:t>se pensó que el turismo era una vía mucho más rápida al crecimiento. De modo que con la ayuda del gobierno, hubo un firme aumento de la cantidad de visitantes: en 2017, la ciudad (de 260 000 habitantes) recibió a más de 36 millones de turistas extranjeros.</w:t>
      </w:r>
    </w:p>
    <w:p w:rsidR="0039280D" w:rsidRPr="009F4957" w:rsidRDefault="0039280D" w:rsidP="0039280D">
      <w:pPr>
        <w:pStyle w:val="NormalWeb"/>
        <w:shd w:val="clear" w:color="auto" w:fill="FFFFFF"/>
        <w:spacing w:after="0"/>
        <w:jc w:val="both"/>
        <w:textAlignment w:val="baseline"/>
        <w:rPr>
          <w:color w:val="FF0000"/>
          <w:u w:val="single"/>
        </w:rPr>
      </w:pPr>
      <w:r w:rsidRPr="009F4957">
        <w:rPr>
          <w:u w:val="single"/>
        </w:rPr>
        <w:t>La huida de los venecianos ante la invasión provocó un deterioro de la sociedad civil, y la ciudad se hundió en el letargo político</w:t>
      </w:r>
      <w:r w:rsidRPr="000D7A18">
        <w:t xml:space="preserve">. </w:t>
      </w:r>
      <w:r w:rsidRPr="009F4957">
        <w:rPr>
          <w:color w:val="FF0000"/>
          <w:u w:val="single"/>
        </w:rPr>
        <w:t>La dirigencia municipal prefiere quejarse por las falencias de la ciudad, en vez de tomar medidas eficaces para resolverlas. Y el gobierno nacional italiano se abstuvo sistemáticamente de usar su autoridad en la ciudad en forma constructiva. Estas tendencias contribuyeron a la inadecuada vigilancia medioambiental que dejó a la urbs tan expuesta.</w:t>
      </w:r>
    </w:p>
    <w:p w:rsidR="0039280D" w:rsidRPr="009F4957" w:rsidRDefault="0039280D" w:rsidP="0039280D">
      <w:pPr>
        <w:pStyle w:val="NormalWeb"/>
        <w:shd w:val="clear" w:color="auto" w:fill="FFFFFF"/>
        <w:spacing w:after="0"/>
        <w:jc w:val="both"/>
        <w:textAlignment w:val="baseline"/>
        <w:rPr>
          <w:b/>
          <w:color w:val="FF0000"/>
          <w:u w:val="single"/>
        </w:rPr>
      </w:pPr>
      <w:r w:rsidRPr="009F4957">
        <w:rPr>
          <w:b/>
          <w:color w:val="FF0000"/>
          <w:u w:val="single"/>
        </w:rPr>
        <w:t xml:space="preserve">Es verdad que Venecia se comprometió con un proyecto por 5500 millones de euros (6000 millones de dólares) para la creación de una barrera contra las inundaciones, el llamado Modulo Sperimentale Elettromeccanico (MOSE). Pero el proyecto, lanzado en 1984 (cuando Venecia ya se estaba hundiendo) e inaugurado en 2003, debía completarse en 2011: todavía sigue inconcluso. Incluso si se finalizara en el plazo actual fijado en 2021, ni MOSE ni ningún otro proyecto de construcción bastarán para proteger a </w:t>
      </w:r>
      <w:r w:rsidRPr="009F4957">
        <w:rPr>
          <w:b/>
          <w:color w:val="FF0000"/>
          <w:u w:val="single"/>
        </w:rPr>
        <w:lastRenderedPageBreak/>
        <w:t>Venecia. A pesar de la evidente importancia de invertir en infraestructura (especialmente para adaptar la ciudad al cambio climático), Venecia debe ver más allá de la urbs y recuperar la civitas, si quiere evitar la desaparición que muchos predicen.</w:t>
      </w:r>
    </w:p>
    <w:p w:rsidR="0039280D" w:rsidRPr="000D7A18" w:rsidRDefault="0039280D" w:rsidP="0039280D">
      <w:pPr>
        <w:pStyle w:val="NormalWeb"/>
        <w:shd w:val="clear" w:color="auto" w:fill="FFFFFF"/>
        <w:spacing w:after="0"/>
        <w:jc w:val="both"/>
        <w:textAlignment w:val="baseline"/>
      </w:pPr>
      <w:r w:rsidRPr="009F4957">
        <w:rPr>
          <w:color w:val="FF0000"/>
          <w:u w:val="single"/>
        </w:rPr>
        <w:t>El primer paso es sacar a Venecia de la jurisdicción del gobierno italiano, cuya sistemática inacción impulsó la decadencia de la ciudad en las últimas décadas</w:t>
      </w:r>
      <w:r w:rsidRPr="000D7A18">
        <w:t>. No se trata de una demanda provinciana de recrear la República de San Marcos, sino de un llamado a un nuevo tipo de construcción política con una mirada al exterior: una “ciudad abierta” que dé la bienvenida a toda persona que esté realmente decidida a radicarse allí para ejercer una ciudadanía plena, no como participantes de lo que el novelista estadounidense Don DeLillo denominó el “desfile de papanatismo” del turismo.</w:t>
      </w:r>
    </w:p>
    <w:p w:rsidR="0039280D" w:rsidRPr="000D7A18" w:rsidRDefault="0039280D" w:rsidP="0039280D">
      <w:pPr>
        <w:pStyle w:val="NormalWeb"/>
        <w:shd w:val="clear" w:color="auto" w:fill="FFFFFF"/>
        <w:spacing w:after="0"/>
        <w:jc w:val="both"/>
        <w:textAlignment w:val="baseline"/>
      </w:pPr>
      <w:r w:rsidRPr="000D7A18">
        <w:t>Esta nueva y abierta Serenissima (así se llamaba la república veneciana medieval) se esforzará especialmente en atraer una civitas capaz y comprometida que esté preparada para ayudar a proteger y reconstruir la urbs: innovadores con planes de negocios creíbles (y sus financistas), ingenieros que investiguen la adaptación al cambio climático, profesionales (por ejemplo médicos y abogados) y estudiantes dispuestos a dedicar algunos años a colaborar en la restauración de los magníficos palazzi de la laguna veneciana. De este modo, Venecia se convertirá en un campo de prueba para un modelo urbano innovador basado en un nuevo contrato social adaptado al “espacio de los flujos” global que identificó el sociólogo Manuel Castells.</w:t>
      </w:r>
    </w:p>
    <w:p w:rsidR="0039280D" w:rsidRPr="000D7A18" w:rsidRDefault="0039280D" w:rsidP="0039280D">
      <w:pPr>
        <w:pStyle w:val="NormalWeb"/>
        <w:shd w:val="clear" w:color="auto" w:fill="FFFFFF"/>
        <w:spacing w:after="0"/>
        <w:jc w:val="both"/>
        <w:textAlignment w:val="baseline"/>
      </w:pPr>
      <w:r w:rsidRPr="000D7A18">
        <w:t>Puede parecer una propuesta radical, pero tiene precedentes. A mediados del siglo XIV, la población de Venecia mermó un 60% como consecuencia de la peste bubónica. La ciudad entonces se abrió a los extranjeros y ofreció la ciudadanía a cualquiera que estuviera dispuesto a establecerse en ella. Lo único que se esperaba de los recién llegados era que abrazaran las características clave de la “venecianidad”, incluido el amor al trabajo. No hay razón alguna por la que una estrategia similar no pueda funcionar en la actualidad.</w:t>
      </w:r>
    </w:p>
    <w:p w:rsidR="0039280D" w:rsidRPr="000D7A18" w:rsidRDefault="0039280D" w:rsidP="0039280D">
      <w:pPr>
        <w:pStyle w:val="NormalWeb"/>
        <w:shd w:val="clear" w:color="auto" w:fill="FFFFFF"/>
        <w:spacing w:after="0"/>
        <w:jc w:val="both"/>
        <w:textAlignment w:val="baseline"/>
      </w:pPr>
      <w:r w:rsidRPr="000D7A18">
        <w:t>De hecho, las herramientas digitales hacen más fácil que nunca medir el compromiso cívico de los habitantes, desde el tiempo que pasan en la ciudad (muchos inmuebles en Venecia son propiedad de no residentes y sólo se usan unos pocos días al año) hasta contribuciones concretas; esto podría convertirse en fuente de orgullo en las redes sociales. Un alto impuesto a los dueños de inmuebles no residentes (que en general son extremadamente ricos) también ayudaría a sostener la comunidad local.</w:t>
      </w:r>
    </w:p>
    <w:p w:rsidR="0039280D" w:rsidRPr="009F4957" w:rsidRDefault="0039280D" w:rsidP="0039280D">
      <w:pPr>
        <w:pStyle w:val="NormalWeb"/>
        <w:shd w:val="clear" w:color="auto" w:fill="FFFFFF"/>
        <w:spacing w:after="0"/>
        <w:jc w:val="both"/>
        <w:textAlignment w:val="baseline"/>
        <w:rPr>
          <w:u w:val="single"/>
        </w:rPr>
      </w:pPr>
      <w:r w:rsidRPr="009F4957">
        <w:rPr>
          <w:u w:val="single"/>
        </w:rPr>
        <w:t xml:space="preserve">A la par que el mar se eleva y Venecia se hunde, la ciudad debe tomar firmes medidas para restaurar y proteger la urbs. Pero nada de eso servirá de mucho sin una civitas próspera y comprometida. Para salvar a Venecia, primero tenemos que salvar a los venecianos (sobre todo, de sí mismos). </w:t>
      </w:r>
    </w:p>
    <w:p w:rsidR="0039280D" w:rsidRDefault="0039280D" w:rsidP="0039280D">
      <w:pPr>
        <w:pStyle w:val="NormalWeb"/>
        <w:shd w:val="clear" w:color="auto" w:fill="FFFFFF"/>
        <w:spacing w:after="0"/>
        <w:jc w:val="both"/>
        <w:textAlignment w:val="baseline"/>
        <w:rPr>
          <w:lang w:val="en-US"/>
        </w:rPr>
      </w:pPr>
      <w:r>
        <w:rPr>
          <w:lang w:val="en-US"/>
        </w:rPr>
        <w:t>(</w:t>
      </w:r>
      <w:r w:rsidRPr="000D7A18">
        <w:rPr>
          <w:lang w:val="en-US"/>
        </w:rPr>
        <w:t xml:space="preserve">Carlo Ratti teaches at the Massachusetts Institute of Technology, where he directs the Senseable City Lab, and is a co-founder of the international design office CRA-Carlo Ratti Associati. He co-chairs the World Economic Forum </w:t>
      </w:r>
      <w:r>
        <w:rPr>
          <w:lang w:val="en-US"/>
        </w:rPr>
        <w:t>Global Future Council on Cities)</w:t>
      </w:r>
    </w:p>
    <w:p w:rsidR="0039280D" w:rsidRPr="00BF0F1C" w:rsidRDefault="0039280D" w:rsidP="0039280D">
      <w:pPr>
        <w:pStyle w:val="NormalWeb"/>
        <w:shd w:val="clear" w:color="auto" w:fill="FFFFFF"/>
        <w:spacing w:after="0"/>
        <w:jc w:val="both"/>
        <w:textAlignment w:val="baseline"/>
      </w:pPr>
      <w:r>
        <w:t xml:space="preserve">- </w:t>
      </w:r>
      <w:r w:rsidRPr="000D7A18">
        <w:rPr>
          <w:u w:val="single"/>
        </w:rPr>
        <w:t>Los seres humanos pueden sobrevivir bajo el agua</w:t>
      </w:r>
      <w:r>
        <w:t xml:space="preserve"> (Project Syndicate - </w:t>
      </w:r>
      <w:r w:rsidRPr="000D7A18">
        <w:rPr>
          <w:b/>
        </w:rPr>
        <w:t>21/11/19</w:t>
      </w:r>
      <w:r>
        <w:t>)</w:t>
      </w:r>
    </w:p>
    <w:p w:rsidR="0039280D" w:rsidRPr="009F4957" w:rsidRDefault="0039280D" w:rsidP="0039280D">
      <w:pPr>
        <w:pStyle w:val="NormalWeb"/>
        <w:shd w:val="clear" w:color="auto" w:fill="FFFFFF"/>
        <w:spacing w:after="0"/>
        <w:jc w:val="both"/>
        <w:textAlignment w:val="baseline"/>
        <w:rPr>
          <w:u w:val="single"/>
        </w:rPr>
      </w:pPr>
      <w:r>
        <w:t>Dallas.-</w:t>
      </w:r>
      <w:r w:rsidRPr="00BF0F1C">
        <w:t xml:space="preserve"> </w:t>
      </w:r>
      <w:r w:rsidRPr="009F4957">
        <w:rPr>
          <w:u w:val="single"/>
        </w:rPr>
        <w:t xml:space="preserve">Las últimas y alarmantes noticias sobre el cambio climático informan que grandes zonas de tierras densamente habitadas estarán inundadas para 2050, y sus ciudades “quedarán borradas </w:t>
      </w:r>
      <w:r>
        <w:rPr>
          <w:u w:val="single"/>
        </w:rPr>
        <w:t>del mapa”. Estos reportes -</w:t>
      </w:r>
      <w:r w:rsidRPr="009F4957">
        <w:rPr>
          <w:u w:val="single"/>
        </w:rPr>
        <w:t xml:space="preserve">que aparecieron en The New York Times y muchos otros </w:t>
      </w:r>
      <w:r w:rsidRPr="009F4957">
        <w:rPr>
          <w:u w:val="single"/>
        </w:rPr>
        <w:lastRenderedPageBreak/>
        <w:t>medios noticiosos- se basan en un buen artículo de investigación realizado por científicos de Climate Central, pero malinterpretan la información.</w:t>
      </w:r>
    </w:p>
    <w:p w:rsidR="0039280D" w:rsidRPr="00BF0F1C" w:rsidRDefault="0039280D" w:rsidP="0039280D">
      <w:pPr>
        <w:pStyle w:val="NormalWeb"/>
        <w:shd w:val="clear" w:color="auto" w:fill="FFFFFF"/>
        <w:spacing w:after="0"/>
        <w:jc w:val="both"/>
        <w:textAlignment w:val="baseline"/>
      </w:pPr>
      <w:r w:rsidRPr="00BF0F1C">
        <w:t>Es parte de un patrón dañino. El cambio climático es un problema creado por el hombre que debemos enfrentar, pero muchas de las noticias sobre sus supuestos efectos nos atemorizan sin justificación y nos confunden sobre las acciones que debemos tomar.</w:t>
      </w:r>
    </w:p>
    <w:p w:rsidR="0039280D" w:rsidRDefault="0039280D" w:rsidP="0039280D">
      <w:pPr>
        <w:pStyle w:val="NormalWeb"/>
        <w:shd w:val="clear" w:color="auto" w:fill="FFFFFF"/>
        <w:spacing w:after="0"/>
        <w:jc w:val="both"/>
        <w:textAlignment w:val="baseline"/>
      </w:pPr>
      <w:r w:rsidRPr="00BF0F1C">
        <w:t>El artículo, publicado el mes pasado en Nature Communications, muestra que las estimaciones pasadas del impacto de los crecientes niveles del mar estaban equivocadas, porque se basaban en mediciones que algunas veces incluían la altura de árboles y viviendas.</w:t>
      </w:r>
    </w:p>
    <w:p w:rsidR="0039280D" w:rsidRPr="009F4957" w:rsidRDefault="0039280D" w:rsidP="0039280D">
      <w:pPr>
        <w:pStyle w:val="NormalWeb"/>
        <w:shd w:val="clear" w:color="auto" w:fill="FFFFFF"/>
        <w:spacing w:after="0"/>
        <w:jc w:val="both"/>
        <w:textAlignment w:val="baseline"/>
        <w:rPr>
          <w:u w:val="single"/>
        </w:rPr>
      </w:pPr>
      <w:r w:rsidRPr="00BF0F1C">
        <w:t xml:space="preserve">En otras palabras, </w:t>
      </w:r>
      <w:r w:rsidRPr="009F4957">
        <w:rPr>
          <w:u w:val="single"/>
        </w:rPr>
        <w:t>se ha subestimado la vulnerabilidad al ascenso del nivel del mar. Eso es lo importante.</w:t>
      </w:r>
    </w:p>
    <w:p w:rsidR="0039280D" w:rsidRPr="009F4957" w:rsidRDefault="0039280D" w:rsidP="0039280D">
      <w:pPr>
        <w:pStyle w:val="NormalWeb"/>
        <w:shd w:val="clear" w:color="auto" w:fill="FFFFFF"/>
        <w:spacing w:after="0"/>
        <w:jc w:val="both"/>
        <w:textAlignment w:val="baseline"/>
        <w:rPr>
          <w:u w:val="single"/>
        </w:rPr>
      </w:pPr>
      <w:r w:rsidRPr="009F4957">
        <w:rPr>
          <w:u w:val="single"/>
        </w:rPr>
        <w:t>Pero los medios han usado esto para crear una visión distópica de 2050. El Times publicó un terrorífico mapa mostrando que el sur de Vietnam “casi desaparecerá” porque quedará “bajo el agua en marea alta (…) Más de 20 millones de vietnamitas, casi un cuarto de la población, vive en tierras que quedarán inundadas”. Y advirtió sobre efectos similares en todo el planeta.</w:t>
      </w:r>
    </w:p>
    <w:p w:rsidR="0039280D" w:rsidRPr="00BF0F1C" w:rsidRDefault="0039280D" w:rsidP="0039280D">
      <w:pPr>
        <w:pStyle w:val="NormalWeb"/>
        <w:shd w:val="clear" w:color="auto" w:fill="FFFFFF"/>
        <w:spacing w:after="0"/>
        <w:jc w:val="both"/>
        <w:textAlignment w:val="baseline"/>
      </w:pPr>
      <w:r w:rsidRPr="00BF0F1C">
        <w:t>La noticia se hizo viral. Bill McKibben, fundador de la organización ambiental 350.org, tuiteó que “El cambio climático está encogiendo al planeta, de la peor manera posible”. El científico climático Peter Kalmus señaló que antes le preocupaba ser “tildado de alarmista”, pero que noticias como esta lo llevaron a abrazar el calificativo de buen grado.</w:t>
      </w:r>
    </w:p>
    <w:p w:rsidR="0039280D" w:rsidRPr="00CA08CE" w:rsidRDefault="0039280D" w:rsidP="0039280D">
      <w:pPr>
        <w:pStyle w:val="NormalWeb"/>
        <w:shd w:val="clear" w:color="auto" w:fill="FFFFFF"/>
        <w:spacing w:after="0"/>
        <w:jc w:val="both"/>
        <w:textAlignment w:val="baseline"/>
        <w:rPr>
          <w:u w:val="single"/>
        </w:rPr>
      </w:pPr>
      <w:r w:rsidRPr="00CA08CE">
        <w:rPr>
          <w:u w:val="single"/>
        </w:rPr>
        <w:t>Lo que los medios olvidaron mencionar es que la actual situación en el sur de Vietnam es prácticamente idéntica a la proyectada para 2050.</w:t>
      </w:r>
    </w:p>
    <w:p w:rsidR="0039280D" w:rsidRPr="00BF0F1C" w:rsidRDefault="0039280D" w:rsidP="0039280D">
      <w:pPr>
        <w:pStyle w:val="NormalWeb"/>
        <w:shd w:val="clear" w:color="auto" w:fill="FFFFFF"/>
        <w:spacing w:after="0"/>
        <w:jc w:val="both"/>
        <w:textAlignment w:val="baseline"/>
      </w:pPr>
      <w:r>
        <w:rPr>
          <w:noProof/>
        </w:rPr>
        <w:drawing>
          <wp:inline distT="0" distB="0" distL="0" distR="0" wp14:anchorId="62E2DC6E" wp14:editId="342F42B3">
            <wp:extent cx="5638800" cy="3810000"/>
            <wp:effectExtent l="19050" t="0" r="0" b="0"/>
            <wp:docPr id="164" name="Imagen 20" descr="https://webapi.project-syndicate.org/library/ad1eb4238d006be98dbfcb333adb06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ebapi.project-syndicate.org/library/ad1eb4238d006be98dbfcb333adb061f.jpg"/>
                    <pic:cNvPicPr>
                      <a:picLocks noChangeAspect="1" noChangeArrowheads="1"/>
                    </pic:cNvPicPr>
                  </pic:nvPicPr>
                  <pic:blipFill>
                    <a:blip r:embed="rId46" cstate="print"/>
                    <a:srcRect/>
                    <a:stretch>
                      <a:fillRect/>
                    </a:stretch>
                  </pic:blipFill>
                  <pic:spPr bwMode="auto">
                    <a:xfrm>
                      <a:off x="0" y="0"/>
                      <a:ext cx="5638800" cy="3810000"/>
                    </a:xfrm>
                    <a:prstGeom prst="rect">
                      <a:avLst/>
                    </a:prstGeom>
                    <a:noFill/>
                    <a:ln w="9525">
                      <a:noFill/>
                      <a:miter lim="800000"/>
                      <a:headEnd/>
                      <a:tailEnd/>
                    </a:ln>
                  </pic:spPr>
                </pic:pic>
              </a:graphicData>
            </a:graphic>
          </wp:inline>
        </w:drawing>
      </w:r>
    </w:p>
    <w:p w:rsidR="0039280D" w:rsidRPr="00CA08CE" w:rsidRDefault="0039280D" w:rsidP="0039280D">
      <w:pPr>
        <w:pStyle w:val="NormalWeb"/>
        <w:shd w:val="clear" w:color="auto" w:fill="FFFFFF"/>
        <w:spacing w:after="0"/>
        <w:jc w:val="both"/>
        <w:textAlignment w:val="baseline"/>
        <w:rPr>
          <w:color w:val="FF0000"/>
          <w:u w:val="single"/>
        </w:rPr>
      </w:pPr>
      <w:r w:rsidRPr="00CA08CE">
        <w:rPr>
          <w:u w:val="single"/>
        </w:rPr>
        <w:lastRenderedPageBreak/>
        <w:t>Los habitantes del Delta del Río Mekong literalmente viven en el agua. El área ha sido habitada por generaciones por ser increíblemente fértil y, con el tiempo, se han construido diques para protegerla. En la provincia de An Giang del sur vietnamita casi todas las tierras no montañosas se han salvaguardado de este modo</w:t>
      </w:r>
      <w:r w:rsidRPr="00CA08CE">
        <w:rPr>
          <w:color w:val="FF0000"/>
          <w:u w:val="single"/>
        </w:rPr>
        <w:t>. De hecho, está “bajo el agua” al igual que gran parte de Holanda: allí, grandes áreas, incluido el aeropuerto de Schiphol, uno de los más activos del mundo, se encuentran debajo del nivel del mar en marea alta. En Londres, casi un millón de personas viven bajo la marca de la marea alta. Sin embargo, nadie en Holanda, Londres ni el Delta del Mekong necesita equipos de submarinismo para sus actividades, porque la humanidad se ha adaptado con infraestructura de protección contra inundaciones.</w:t>
      </w:r>
    </w:p>
    <w:p w:rsidR="0039280D" w:rsidRPr="00BF0F1C" w:rsidRDefault="0039280D" w:rsidP="0039280D">
      <w:pPr>
        <w:pStyle w:val="NormalWeb"/>
        <w:shd w:val="clear" w:color="auto" w:fill="FFFFFF"/>
        <w:spacing w:after="0"/>
        <w:jc w:val="both"/>
        <w:textAlignment w:val="baseline"/>
      </w:pPr>
      <w:r w:rsidRPr="00BF0F1C">
        <w:t>Los autores del estudio de Climate Central mencionan en la introducción que en este “no se han considerado las defensas costeras”. Eso está bien para un artículo académico, pero es absolutamente insensato que los medios usen estas conclusiones para anunciar advertencias de que “20 millones de personas vivirán bajo el agua”.</w:t>
      </w:r>
    </w:p>
    <w:p w:rsidR="0039280D" w:rsidRPr="00BF0F1C" w:rsidRDefault="0039280D" w:rsidP="0039280D">
      <w:pPr>
        <w:pStyle w:val="NormalWeb"/>
        <w:shd w:val="clear" w:color="auto" w:fill="FFFFFF"/>
        <w:spacing w:after="0"/>
        <w:jc w:val="both"/>
        <w:textAlignment w:val="baseline"/>
      </w:pPr>
      <w:r w:rsidRPr="00BF0F1C">
        <w:t>De hecho, el estudio muestra que 110 millones de personas en todo el mundo ya viven “bajo el agua”. Casi cada una de ellas está bien protegida. La verdadera noticia aquí es el triunfo de la destreza y la adaptación humanas.</w:t>
      </w:r>
    </w:p>
    <w:p w:rsidR="0039280D" w:rsidRPr="00CA08CE" w:rsidRDefault="0039280D" w:rsidP="0039280D">
      <w:pPr>
        <w:pStyle w:val="NormalWeb"/>
        <w:shd w:val="clear" w:color="auto" w:fill="FFFFFF"/>
        <w:spacing w:after="0"/>
        <w:jc w:val="both"/>
        <w:textAlignment w:val="baseline"/>
        <w:rPr>
          <w:u w:val="single"/>
        </w:rPr>
      </w:pPr>
      <w:r w:rsidRPr="00CA08CE">
        <w:rPr>
          <w:u w:val="single"/>
        </w:rPr>
        <w:t>Los autores señalan que para 2050 otros 40 millones de personas vivirán bajo la marca de la marea alta, llevando la cifra total a 150 millones. Otro estudio demuestra claramente que seremos capaces de protegerlas a todas. Recordemos que el Panel Intergubernamental de Expertos sobre Cambio Climático de la ONU ha estimado que el impacto conjunto de todos los efectos negativos del calentamiento global para la década de 2070 será equivalente a que la sociedad pierda entre un 0,2 y un 2% de sus ingresos, y que, para entonces, los escenarios estándar de la ONU sugieren que seremos entre un 300% y un 500% más ricos. Así, tener 40 millones de personas adicionales viviendo bajo la marca de la marea alta representa un ligero aumento de un reto que nos hemos mostrado plenamente capaces de enfrentar, en un mundo que será mucho más rico y resistente.</w:t>
      </w:r>
    </w:p>
    <w:p w:rsidR="0039280D" w:rsidRPr="00BF0F1C" w:rsidRDefault="0039280D" w:rsidP="0039280D">
      <w:pPr>
        <w:pStyle w:val="NormalWeb"/>
        <w:shd w:val="clear" w:color="auto" w:fill="FFFFFF"/>
        <w:spacing w:after="0"/>
        <w:jc w:val="both"/>
        <w:textAlignment w:val="baseline"/>
      </w:pPr>
      <w:r w:rsidRPr="00BF0F1C">
        <w:t>El cambio climático es un problema que debemos abordar, y deberíamos tener particularmente en cuenta cómo afectará a los más pobres de la sociedad. Pero la noticia más grande y sin difundir es que las actuales políticas climáticas aportarán muy poco a la solución del “desafío” de que en el futuro haya más gente viviendo bajo la marca de la marea alta.</w:t>
      </w:r>
    </w:p>
    <w:p w:rsidR="0039280D" w:rsidRPr="00BF0F1C" w:rsidRDefault="0039280D" w:rsidP="0039280D">
      <w:pPr>
        <w:pStyle w:val="NormalWeb"/>
        <w:shd w:val="clear" w:color="auto" w:fill="FFFFFF"/>
        <w:spacing w:after="0"/>
        <w:jc w:val="both"/>
        <w:textAlignment w:val="baseline"/>
      </w:pPr>
      <w:r w:rsidRPr="00BF0F1C">
        <w:t>En Vietnam del sur, la diferencia entre implementar una extremadamente sólida política climática que limite el aumento del promedio de la temperatura global a menos de 2ºC y embarcarse en un atracón de uso de combustibles fósiles es casi nula, incluso hacia finales del siglo. Y, en términos globales, el camino más extremo de políticas climáticas (con un coste de literalmente miles de billones de dólares) reducirá la cantidad de personas que viven “bajo el agua” en apenas un 18% en comparación con un escenario en que no se adopte política alguna.</w:t>
      </w:r>
    </w:p>
    <w:p w:rsidR="0039280D" w:rsidRPr="00BF0F1C" w:rsidRDefault="0039280D" w:rsidP="0039280D">
      <w:pPr>
        <w:pStyle w:val="NormalWeb"/>
        <w:shd w:val="clear" w:color="auto" w:fill="FFFFFF"/>
        <w:spacing w:after="0"/>
        <w:jc w:val="both"/>
        <w:textAlignment w:val="baseline"/>
      </w:pPr>
      <w:r w:rsidRPr="00BF0F1C">
        <w:t>Incluso cuando leemos noticias en los principales medios del mundo, debemos mantener la perspectiva. Las muertes por causas relacionadas con el clima (inundaciones, huracanes, sequías, incendios forestales y temperaturas extremas) han bajado en un 95% en los últimos cien años. Más aún, a pesar de los constantes anuncios de que la crisis climática global se nos está yendo de las manos, el coste de las condiciones climáticas extremas como proporción del PIB ha estado en declive desde 1990.</w:t>
      </w:r>
    </w:p>
    <w:p w:rsidR="0039280D" w:rsidRPr="00BF0F1C" w:rsidRDefault="0039280D" w:rsidP="0039280D">
      <w:pPr>
        <w:pStyle w:val="NormalWeb"/>
        <w:shd w:val="clear" w:color="auto" w:fill="FFFFFF"/>
        <w:spacing w:after="0"/>
        <w:jc w:val="both"/>
        <w:textAlignment w:val="baseline"/>
      </w:pPr>
      <w:r w:rsidRPr="00BF0F1C">
        <w:lastRenderedPageBreak/>
        <w:t>Las noticias alarmistas que distorsionan los hechos sobre los crecientes niveles del mar son peligrosas porque asustan innecesariamente a la población e impulsan a las autoridades a adoptar medidas demasiado costosas para reducir las emisiones de gases de invernadero. La verdadera solución es sacar de la pobreza a los más desposeídos del planeta y protegerlos con infraestructura sencilla.</w:t>
      </w:r>
    </w:p>
    <w:p w:rsidR="0039280D" w:rsidRDefault="0039280D" w:rsidP="0039280D">
      <w:pPr>
        <w:pStyle w:val="NormalWeb"/>
        <w:shd w:val="clear" w:color="auto" w:fill="FFFFFF"/>
        <w:spacing w:after="0"/>
        <w:jc w:val="both"/>
        <w:textAlignment w:val="baseline"/>
        <w:rPr>
          <w:lang w:val="en-US"/>
        </w:rPr>
      </w:pPr>
      <w:r>
        <w:rPr>
          <w:lang w:val="en-US"/>
        </w:rPr>
        <w:t>(</w:t>
      </w:r>
      <w:r w:rsidRPr="00BF0F1C">
        <w:rPr>
          <w:lang w:val="en-US"/>
        </w:rPr>
        <w:t xml:space="preserve">Bjørn Lomborg, a visiting professor at the Copenhagen Business School, is Director of the Copenhagen Consensus Center. His books include The Skeptical Environmentalist, Cool It, How to Spend $75 Billion to Make the World a Better Place, The Nobel Laureates' Guide to the Smartest Targets for the World, and, most recently, Prioritizing Development. In 2004, he was named one of Time magazine's 100 most influential people for his research on the </w:t>
      </w:r>
      <w:r>
        <w:rPr>
          <w:lang w:val="en-US"/>
        </w:rPr>
        <w:t>smartest ways to help the world)</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486B0A">
        <w:rPr>
          <w:rFonts w:ascii="Times New Roman" w:hAnsi="Times New Roman" w:cs="Times New Roman"/>
          <w:color w:val="1A1A1A"/>
          <w:sz w:val="24"/>
          <w:szCs w:val="24"/>
          <w:u w:val="single"/>
        </w:rPr>
        <w:t>Venecia es una historia de sobornos y burocracia</w:t>
      </w:r>
      <w:r>
        <w:rPr>
          <w:rFonts w:ascii="Times New Roman" w:hAnsi="Times New Roman" w:cs="Times New Roman"/>
          <w:color w:val="1A1A1A"/>
          <w:sz w:val="24"/>
          <w:szCs w:val="24"/>
        </w:rPr>
        <w:t xml:space="preserve"> (El Economista - </w:t>
      </w:r>
      <w:r w:rsidRPr="00486B0A">
        <w:rPr>
          <w:rFonts w:ascii="Times New Roman" w:hAnsi="Times New Roman" w:cs="Times New Roman"/>
          <w:b/>
          <w:color w:val="1A1A1A"/>
          <w:sz w:val="24"/>
          <w:szCs w:val="24"/>
        </w:rPr>
        <w:t>22/11/19</w:t>
      </w:r>
      <w:r>
        <w:rPr>
          <w:rFonts w:ascii="Times New Roman" w:hAnsi="Times New Roman" w:cs="Times New Roman"/>
          <w:color w:val="1A1A1A"/>
          <w:sz w:val="24"/>
          <w:szCs w:val="24"/>
        </w:rPr>
        <w:t>)</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Venecia sufre una aterradora combinación de dos fenómenos...</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...edificios que se hunden y agua en ascenso (por el cambio climático)</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La solución es MOSE, construir un sistema de compuertas móviles</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La ciudad es un frágil tesoro construido sobre 118 islas frente a la costa noreste de Italia. En cierto modo, es un milagro que Venecia haya logrado sobrevivir y prosperar durante más de 1.000 años. Formó un imperio naval y comercial y construyó un inmenso acervo de palacios e iglesias llenos de pinturas invaluables, a las que, según estimaciones, acuden 20</w:t>
      </w:r>
      <w:r>
        <w:rPr>
          <w:rFonts w:ascii="Times New Roman" w:hAnsi="Times New Roman" w:cs="Times New Roman"/>
          <w:color w:val="1A1A1A"/>
          <w:sz w:val="24"/>
          <w:szCs w:val="24"/>
        </w:rPr>
        <w:t xml:space="preserve"> millones de turistas cada año.</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Sin embargo, no hay nada realmente inevitable en el aumento de la frecuencia de estas inundaciones y las fallas del Estado italiano en la protección de Venecia. Por supuesto, el cambio climático provocado por el hombre es el principal responsable, pero también lo son la burocracia y corrupción que están afectando la preservación de uno de los emblemas artísticos más impresionantes del mundo.</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Siempre es difícil echarle la culpa de una inundación particular al calentamiento global, pero los datos nos dicen que está sucediendo algo muy inusual. El año pasado hubo 121 días de mareas altas en Venecia, casi el doble que en 2017. Las autoridades de la ciudad han registrado desde 1923 las veces que la marea ha llegado a más de 140 cm sobre el nive</w:t>
      </w:r>
      <w:r>
        <w:rPr>
          <w:rFonts w:ascii="Times New Roman" w:hAnsi="Times New Roman" w:cs="Times New Roman"/>
          <w:color w:val="1A1A1A"/>
          <w:sz w:val="24"/>
          <w:szCs w:val="24"/>
        </w:rPr>
        <w:t>l del mar, fenómeno denominado “mareas excepcionales”</w:t>
      </w:r>
      <w:r w:rsidRPr="00486B0A">
        <w:rPr>
          <w:rFonts w:ascii="Times New Roman" w:hAnsi="Times New Roman" w:cs="Times New Roman"/>
          <w:color w:val="1A1A1A"/>
          <w:sz w:val="24"/>
          <w:szCs w:val="24"/>
        </w:rPr>
        <w:t>. Más de la mitad de estos episodios han tenido lu</w:t>
      </w:r>
      <w:r>
        <w:rPr>
          <w:rFonts w:ascii="Times New Roman" w:hAnsi="Times New Roman" w:cs="Times New Roman"/>
          <w:color w:val="1A1A1A"/>
          <w:sz w:val="24"/>
          <w:szCs w:val="24"/>
        </w:rPr>
        <w:t>gar en las últimas dos décadas.</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Venecia sufre una aterradora combinación de dos fenómenos: edificios que se hunden y agua en ascenso (este último relacionado con el cambio climático). Un informe de la Agencia Nacional para las nuevas Tecnologías, Energía y Desarrollo Económico Sostenible de Italia advirtió que la ciudad estará bajo el agua dentro de un siglo si el cambio climático no se desacelera y no se implementan sistemas adecuados de protección.</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¿La solución está en el MOSE?</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Desde la inundación de 1966, la mayor de la que se tenga registro, el Gobierno de Roma ha debatido la mejor manera de proteger la ciudad. No fue hasta fines de la década de 1980 que se decidió por u</w:t>
      </w:r>
      <w:r>
        <w:rPr>
          <w:rFonts w:ascii="Times New Roman" w:hAnsi="Times New Roman" w:cs="Times New Roman"/>
          <w:color w:val="1A1A1A"/>
          <w:sz w:val="24"/>
          <w:szCs w:val="24"/>
        </w:rPr>
        <w:t>n proyecto, finalmente llamado “MOSE”</w:t>
      </w:r>
      <w:r w:rsidRPr="00486B0A">
        <w:rPr>
          <w:rFonts w:ascii="Times New Roman" w:hAnsi="Times New Roman" w:cs="Times New Roman"/>
          <w:color w:val="1A1A1A"/>
          <w:sz w:val="24"/>
          <w:szCs w:val="24"/>
        </w:rPr>
        <w:t xml:space="preserve">, para construir un sistema de compuertas móviles en las afueras de la laguna de la ciudad. La construcción ya superó el </w:t>
      </w:r>
      <w:r w:rsidRPr="00486B0A">
        <w:rPr>
          <w:rFonts w:ascii="Times New Roman" w:hAnsi="Times New Roman" w:cs="Times New Roman"/>
          <w:color w:val="1A1A1A"/>
          <w:sz w:val="24"/>
          <w:szCs w:val="24"/>
        </w:rPr>
        <w:lastRenderedPageBreak/>
        <w:t>presupuesto, para llegar a 5.500 millones de euros (US$</w:t>
      </w:r>
      <w:r>
        <w:rPr>
          <w:rFonts w:ascii="Times New Roman" w:hAnsi="Times New Roman" w:cs="Times New Roman"/>
          <w:color w:val="1A1A1A"/>
          <w:sz w:val="24"/>
          <w:szCs w:val="24"/>
        </w:rPr>
        <w:t xml:space="preserve"> </w:t>
      </w:r>
      <w:r w:rsidRPr="00486B0A">
        <w:rPr>
          <w:rFonts w:ascii="Times New Roman" w:hAnsi="Times New Roman" w:cs="Times New Roman"/>
          <w:color w:val="1A1A1A"/>
          <w:sz w:val="24"/>
          <w:szCs w:val="24"/>
        </w:rPr>
        <w:t>6.100 millones). El proyecto debería haberse concluido en 2016, pero ahora se espera su inauguración para 2022.</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Mientras tanto, las pruebas han mostrado problemas con algunas partes de la barrera MOSE (el nombre es un guiño a Moisés y la separación del mar Rojo), lo que plantea interrogantes sobre cuánto dura</w:t>
      </w:r>
      <w:r>
        <w:rPr>
          <w:rFonts w:ascii="Times New Roman" w:hAnsi="Times New Roman" w:cs="Times New Roman"/>
          <w:color w:val="1A1A1A"/>
          <w:sz w:val="24"/>
          <w:szCs w:val="24"/>
        </w:rPr>
        <w:t>rá y cuánto costará mantenerlo.</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La larga historia de MOSE es un triste caso de obstrucción burocrática y corrupción. Grupos ambientalistas y políticos locales intentaron detener el proyecto en reiteradas ocasiones para defender alternativas menos disruptivas. Varios políticos locales y nacionales han enfrentado cargos de corrupción por contratos de construcción y han sido condenados o han aceptado acuerdos con la fiscalía. Desde 2014, el proyecto ha estado bajo administración especial como una forma de reducir el soborno.</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Venecia y MOSE resumen problemas más amplios en Italia. El país ha reducido la inversión en infraestructura, y los políticos a menudo culpan a las medidas de austeridad impuestas por Bruselas. Hace dos años, Matteo Salvini, líder del partido político de extrema derecha Liga Norte, llegó al extremo de culpar a las normas presupuestarias de la Unión Europea por el colapso de un puente vial en Génova que</w:t>
      </w:r>
      <w:r>
        <w:rPr>
          <w:rFonts w:ascii="Times New Roman" w:hAnsi="Times New Roman" w:cs="Times New Roman"/>
          <w:color w:val="1A1A1A"/>
          <w:sz w:val="24"/>
          <w:szCs w:val="24"/>
        </w:rPr>
        <w:t xml:space="preserve"> dejó a 43 personas fallecidas.</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Si bien es cierto que los gobiernos italianos deberían priorizar la infraestructura sobre el gasto diario siempre que sea posible, MOSE muestra que los fondos adecuados no garantizan que los grandes proyectos se realicen bien y se completen a tiempo. Una administración pública y un sistema de justicia eficientes son igualmente importantes.</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Por otra parte, la clase política de Italia debe analizar con detenimiento las fallas de MOSE, ya que nadie sale bien de esto. En los últimos años, Venecia ha estado dirigida principalmente por la izquierda, mientras que la región del Véneto en la que se encuentra es un bastión de la derecha. Todos los partidos políticos han cont</w:t>
      </w:r>
      <w:r>
        <w:rPr>
          <w:rFonts w:ascii="Times New Roman" w:hAnsi="Times New Roman" w:cs="Times New Roman"/>
          <w:color w:val="1A1A1A"/>
          <w:sz w:val="24"/>
          <w:szCs w:val="24"/>
        </w:rPr>
        <w:t>ribuido a frenar este proyecto.</w:t>
      </w:r>
    </w:p>
    <w:p w:rsidR="0039280D" w:rsidRPr="001F129D" w:rsidRDefault="0039280D" w:rsidP="001F129D">
      <w:pPr>
        <w:spacing w:line="240" w:lineRule="auto"/>
        <w:jc w:val="both"/>
        <w:textAlignment w:val="baseline"/>
        <w:rPr>
          <w:rFonts w:ascii="Times New Roman" w:hAnsi="Times New Roman" w:cs="Times New Roman"/>
          <w:color w:val="1A1A1A"/>
          <w:sz w:val="24"/>
          <w:szCs w:val="24"/>
        </w:rPr>
      </w:pPr>
      <w:r w:rsidRPr="00486B0A">
        <w:rPr>
          <w:rFonts w:ascii="Times New Roman" w:hAnsi="Times New Roman" w:cs="Times New Roman"/>
          <w:color w:val="1A1A1A"/>
          <w:sz w:val="24"/>
          <w:szCs w:val="24"/>
        </w:rPr>
        <w:t>Las inundaciones de esta semana no serán las últimas. Italia y el resto del mundo deben tomar medidas antes de que esta joya de la cultura mundial se pierda.</w:t>
      </w:r>
    </w:p>
    <w:p w:rsidR="0039280D" w:rsidRDefault="0039280D" w:rsidP="0039280D">
      <w:pPr>
        <w:pStyle w:val="NormalWeb"/>
        <w:shd w:val="clear" w:color="auto" w:fill="FFFFFF"/>
        <w:spacing w:after="0"/>
        <w:jc w:val="both"/>
        <w:textAlignment w:val="baseline"/>
        <w:rPr>
          <w:b/>
          <w:color w:val="FF0000"/>
          <w:lang w:val="en-US"/>
        </w:rPr>
      </w:pPr>
      <w:r>
        <w:rPr>
          <w:noProof/>
        </w:rPr>
        <w:drawing>
          <wp:inline distT="0" distB="0" distL="0" distR="0" wp14:anchorId="141EA598" wp14:editId="76C38684">
            <wp:extent cx="5725962" cy="3048000"/>
            <wp:effectExtent l="0" t="0" r="8255" b="0"/>
            <wp:docPr id="165" name="Imagen 23" descr="ratti10_FILIPPO MONTEFORTEAFP via Getty Images_floodwaterve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atti10_FILIPPO MONTEFORTEAFP via Getty Images_floodwatervenice"/>
                    <pic:cNvPicPr>
                      <a:picLocks noChangeAspect="1" noChangeArrowheads="1"/>
                    </pic:cNvPicPr>
                  </pic:nvPicPr>
                  <pic:blipFill>
                    <a:blip r:embed="rId47" cstate="print"/>
                    <a:srcRect/>
                    <a:stretch>
                      <a:fillRect/>
                    </a:stretch>
                  </pic:blipFill>
                  <pic:spPr bwMode="auto">
                    <a:xfrm>
                      <a:off x="0" y="0"/>
                      <a:ext cx="5731510" cy="3050954"/>
                    </a:xfrm>
                    <a:prstGeom prst="rect">
                      <a:avLst/>
                    </a:prstGeom>
                    <a:noFill/>
                    <a:ln w="9525">
                      <a:noFill/>
                      <a:miter lim="800000"/>
                      <a:headEnd/>
                      <a:tailEnd/>
                    </a:ln>
                  </pic:spPr>
                </pic:pic>
              </a:graphicData>
            </a:graphic>
          </wp:inline>
        </w:drawing>
      </w:r>
    </w:p>
    <w:p w:rsidR="0039280D" w:rsidRPr="00BF0F1C" w:rsidRDefault="0039280D" w:rsidP="0039280D">
      <w:pPr>
        <w:pStyle w:val="NormalWeb"/>
        <w:shd w:val="clear" w:color="auto" w:fill="FFFFFF"/>
        <w:spacing w:after="0"/>
        <w:jc w:val="both"/>
        <w:textAlignment w:val="baseline"/>
        <w:rPr>
          <w:b/>
          <w:color w:val="FF0000"/>
          <w:lang w:val="en-US"/>
        </w:rPr>
      </w:pPr>
      <w:r>
        <w:rPr>
          <w:noProof/>
        </w:rPr>
        <w:lastRenderedPageBreak/>
        <w:drawing>
          <wp:inline distT="0" distB="0" distL="0" distR="0" wp14:anchorId="460C6F0A" wp14:editId="660C9A7D">
            <wp:extent cx="5731510" cy="3222570"/>
            <wp:effectExtent l="19050" t="0" r="2540" b="0"/>
            <wp:docPr id="166" name="Imagen 26" descr="lomborg175_Nicolas EconomouNurPhoto via Getty Images_netherlandswindmillriverb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omborg175_Nicolas EconomouNurPhoto via Getty Images_netherlandswindmillriverbike"/>
                    <pic:cNvPicPr>
                      <a:picLocks noChangeAspect="1" noChangeArrowheads="1"/>
                    </pic:cNvPicPr>
                  </pic:nvPicPr>
                  <pic:blipFill>
                    <a:blip r:embed="rId48" cstate="print"/>
                    <a:srcRect/>
                    <a:stretch>
                      <a:fillRect/>
                    </a:stretch>
                  </pic:blipFill>
                  <pic:spPr bwMode="auto">
                    <a:xfrm>
                      <a:off x="0" y="0"/>
                      <a:ext cx="5731510" cy="3222570"/>
                    </a:xfrm>
                    <a:prstGeom prst="rect">
                      <a:avLst/>
                    </a:prstGeom>
                    <a:noFill/>
                    <a:ln w="9525">
                      <a:noFill/>
                      <a:miter lim="800000"/>
                      <a:headEnd/>
                      <a:tailEnd/>
                    </a:ln>
                  </pic:spPr>
                </pic:pic>
              </a:graphicData>
            </a:graphic>
          </wp:inline>
        </w:drawing>
      </w:r>
    </w:p>
    <w:p w:rsidR="0039280D" w:rsidRPr="003900F9" w:rsidRDefault="0039280D" w:rsidP="0039280D">
      <w:pPr>
        <w:pStyle w:val="NormalWeb"/>
        <w:shd w:val="clear" w:color="auto" w:fill="FFFFFF"/>
        <w:spacing w:after="0"/>
        <w:jc w:val="both"/>
        <w:textAlignment w:val="baseline"/>
        <w:rPr>
          <w:b/>
        </w:rPr>
      </w:pPr>
      <w:r w:rsidRPr="003900F9">
        <w:rPr>
          <w:b/>
        </w:rPr>
        <w:t>Ustedes pueden elegir como vivir… pero no pueden hacer pagar a los unos por los otros</w:t>
      </w:r>
    </w:p>
    <w:p w:rsidR="0039280D" w:rsidRPr="003900F9" w:rsidRDefault="001F129D" w:rsidP="0039280D">
      <w:pPr>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xml:space="preserve">- </w:t>
      </w:r>
      <w:r w:rsidR="0039280D" w:rsidRPr="003900F9">
        <w:rPr>
          <w:rFonts w:ascii="Times New Roman" w:hAnsi="Times New Roman" w:cs="Times New Roman"/>
          <w:b/>
          <w:sz w:val="24"/>
          <w:szCs w:val="24"/>
        </w:rPr>
        <w:t>Así se las gastan los alemanes: si esto hacen con “nos”, que no harán con “vos”</w:t>
      </w:r>
    </w:p>
    <w:p w:rsidR="0039280D" w:rsidRPr="009957A1" w:rsidRDefault="0039280D" w:rsidP="0039280D">
      <w:pPr>
        <w:pStyle w:val="NormalWeb"/>
        <w:shd w:val="clear" w:color="auto" w:fill="FFFFFF"/>
        <w:spacing w:after="0"/>
        <w:jc w:val="both"/>
        <w:textAlignment w:val="baseline"/>
        <w:rPr>
          <w:color w:val="1A1A1A"/>
        </w:rPr>
      </w:pPr>
      <w:r>
        <w:rPr>
          <w:color w:val="1A1A1A"/>
        </w:rPr>
        <w:t xml:space="preserve">- </w:t>
      </w:r>
      <w:r w:rsidRPr="009F03CC">
        <w:rPr>
          <w:color w:val="1A1A1A"/>
          <w:u w:val="single"/>
        </w:rPr>
        <w:t>Merkel retira el impuesto que nació tras la caída del Muro tres décadas y 340.000 millones después</w:t>
      </w:r>
      <w:r>
        <w:rPr>
          <w:color w:val="1A1A1A"/>
        </w:rPr>
        <w:t xml:space="preserve"> (El Español - </w:t>
      </w:r>
      <w:r w:rsidRPr="009F03CC">
        <w:rPr>
          <w:b/>
          <w:color w:val="1A1A1A"/>
        </w:rPr>
        <w:t>18/11/19</w:t>
      </w:r>
      <w:r>
        <w:rPr>
          <w:color w:val="1A1A1A"/>
        </w:rPr>
        <w:t>)</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 xml:space="preserve">Esta decisión no ha gustado en las regiones del Este, marcadas por el envejecimiento y la emigración, que pueden verse afectadas por la desigualdad. </w:t>
      </w:r>
    </w:p>
    <w:p w:rsidR="0039280D" w:rsidRPr="009957A1" w:rsidRDefault="0039280D" w:rsidP="0039280D">
      <w:pPr>
        <w:pStyle w:val="NormalWeb"/>
        <w:shd w:val="clear" w:color="auto" w:fill="FFFFFF"/>
        <w:spacing w:after="0"/>
        <w:jc w:val="both"/>
        <w:textAlignment w:val="baseline"/>
        <w:rPr>
          <w:color w:val="1A1A1A"/>
        </w:rPr>
      </w:pPr>
      <w:r>
        <w:rPr>
          <w:color w:val="1A1A1A"/>
        </w:rPr>
        <w:t>(Por Clara Palma Hermann</w:t>
      </w:r>
      <w:r w:rsidRPr="009957A1">
        <w:rPr>
          <w:color w:val="1A1A1A"/>
        </w:rPr>
        <w:t>)</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El Parlamento alemán ha fijado para el primero de enero de 2021 la fecha de caducidad del impuesto de solidaridad, introducido hace 28 años para apoyar la reunificación del país, cuyas regiones del Este, en las que sin embargo no se espera un gran impacto por la decisión, siguen a la zaga del Oes</w:t>
      </w:r>
      <w:r>
        <w:rPr>
          <w:color w:val="1A1A1A"/>
        </w:rPr>
        <w:t>te por problemas estructurales.</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Dicho gravamen -un 5,5 % del impuesto sobre la renta y de sociedades- pretendía en sus orígenes sufragar los gastos extraordinarios ocasionados por la reunificación. Ahora, según decidió esta semana el Bundestag, el 90% de los contribuyentes alemanes con menos ingresos dejarán de pagar esta tasa, mientras que las empresas seguirán abonándolo como parte del impuesto de soc</w:t>
      </w:r>
      <w:r>
        <w:rPr>
          <w:color w:val="1A1A1A"/>
        </w:rPr>
        <w:t>iedades.</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Con todo, el Ministerio de Finanzas prevé que la eliminación parcial del impuesto conlleve para las arcas públicas una pérdida de 10.900 millones de euros. La correlación entre lo recaudado en las últimas décadas y las cantidades invertidas realmente en el Este alemán es difícil de establecer, por lo que el impuesto ha sid</w:t>
      </w:r>
      <w:r>
        <w:rPr>
          <w:color w:val="1A1A1A"/>
        </w:rPr>
        <w:t>o blanco de numerosas críticas.</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 xml:space="preserve">Según fuentes del Ministerio de Finanzas, entre 1991 y 2010 el impuesto de solidaridad ha proporcionado a las arcas públicas 340.000 millones de euros. A través de este mecanismo de </w:t>
      </w:r>
      <w:r w:rsidRPr="009957A1">
        <w:rPr>
          <w:color w:val="1A1A1A"/>
        </w:rPr>
        <w:lastRenderedPageBreak/>
        <w:t>redistribución</w:t>
      </w:r>
      <w:r>
        <w:rPr>
          <w:color w:val="1A1A1A"/>
        </w:rPr>
        <w:t xml:space="preserve"> extraordinario, conocido como “pacto de solidaridad”</w:t>
      </w:r>
      <w:r w:rsidRPr="009957A1">
        <w:rPr>
          <w:color w:val="1A1A1A"/>
        </w:rPr>
        <w:t>, han fluido hacia el Este 200.000 millones en este periodo, aunque el coste total de la</w:t>
      </w:r>
      <w:r>
        <w:rPr>
          <w:color w:val="1A1A1A"/>
        </w:rPr>
        <w:t xml:space="preserve"> reunificación sea más elevado.</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En los últimos años, con el aumento de los salarios y la disminución gradual de las ayudas para el Este, la diferencia entre ingresos y gastos se ha disparado. Así, en 2019 el estado ingresó 19.400 millones de euros gracias al impuesto de solidaridad, pero sólo destinó unos 1.800 millones en inversiones extraordinarias p</w:t>
      </w:r>
      <w:r>
        <w:rPr>
          <w:color w:val="1A1A1A"/>
        </w:rPr>
        <w:t>ara el Este.</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El ministro de Finanzas, el socialdemócrata Olaf Scholz, destacó que la eliminación del impuesto pone de relieve el éxito de la reunificación, enfatizando sin embargo la necesidad de</w:t>
      </w:r>
      <w:r>
        <w:rPr>
          <w:color w:val="1A1A1A"/>
        </w:rPr>
        <w:t xml:space="preserve"> que la "solidaridad" continúe.</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El partido liberal FDP anunció que recurriría al Tribunal Constitucional puesto que la tasa no es compatible con la Constitución alemana, al no estar justificada por una circunstancia extraordinaria. Los Verdes y los izquierdistas de Die Linke, por otro lado, incidieron en la necesidad de una reforma general del impuesto sobre la renta, criticando que de lo contrario se sigue beneficiando a aquello</w:t>
      </w:r>
      <w:r>
        <w:rPr>
          <w:color w:val="1A1A1A"/>
        </w:rPr>
        <w:t>s que disponen de más ingresos.</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 xml:space="preserve">Problemas demográficos </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Desde que en 2005 se aprobara la desaparición progresiva del mecanismo de redistribución extraordinario para las regiones del Este, éstas se han ido preparando para ser tratadas como "Län</w:t>
      </w:r>
      <w:r>
        <w:rPr>
          <w:color w:val="1A1A1A"/>
        </w:rPr>
        <w:t>der" normales a partir de 2020.</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 xml:space="preserve">A día de hoy, sus presupuestos son mayoritariamente sostenibles, explica Kristina van Deuverden, del Instituto Alemán de Investigación Económica. Por ello, la eliminación del impuesto no va a tener impacto en sus finanzas, asegura la economista en declaraciones a Efe, </w:t>
      </w:r>
      <w:r>
        <w:rPr>
          <w:color w:val="1A1A1A"/>
        </w:rPr>
        <w:t>apuntando que “los retos están en otro lugar”.</w:t>
      </w:r>
    </w:p>
    <w:p w:rsidR="0039280D" w:rsidRDefault="0039280D" w:rsidP="0039280D">
      <w:pPr>
        <w:pStyle w:val="NormalWeb"/>
        <w:shd w:val="clear" w:color="auto" w:fill="FFFFFF"/>
        <w:spacing w:after="0"/>
        <w:jc w:val="both"/>
        <w:textAlignment w:val="baseline"/>
        <w:rPr>
          <w:color w:val="1A1A1A"/>
        </w:rPr>
      </w:pPr>
      <w:r w:rsidRPr="009957A1">
        <w:rPr>
          <w:color w:val="1A1A1A"/>
        </w:rPr>
        <w:t xml:space="preserve">Por una parte, la estructura demográfica del Este -marcada por el envejecimiento y la emigración- es causa de que </w:t>
      </w:r>
      <w:r>
        <w:rPr>
          <w:color w:val="1A1A1A"/>
        </w:rPr>
        <w:t>la recaudación fiscal de estos “Länder”</w:t>
      </w:r>
      <w:r w:rsidRPr="009957A1">
        <w:rPr>
          <w:color w:val="1A1A1A"/>
        </w:rPr>
        <w:t xml:space="preserve"> se haya quedado en el 60% de la media alemana, desigualdad que se verá compensada por el momento por los mecanismos de redistribución ordinarios. </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Sin embargo, la experta en finanzas públicas dibuja un escenario pesimista, dado que en las próximas décadas el crecimiento demográfico será negativo. Con ello, los</w:t>
      </w:r>
      <w:r>
        <w:rPr>
          <w:color w:val="1A1A1A"/>
        </w:rPr>
        <w:t xml:space="preserve"> “Länder”</w:t>
      </w:r>
      <w:r w:rsidRPr="009957A1">
        <w:rPr>
          <w:color w:val="1A1A1A"/>
        </w:rPr>
        <w:t xml:space="preserve"> del Este no sólo recaudarán menos impuestos, sino que a menor población también les corresponderán pa</w:t>
      </w:r>
      <w:r>
        <w:rPr>
          <w:color w:val="1A1A1A"/>
        </w:rPr>
        <w:t>rtidas presupuestarias menores.</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 xml:space="preserve">El PIB per cápita en el Este, que tras la reunificación suponía sólo un tercio </w:t>
      </w:r>
      <w:r w:rsidR="00C13914" w:rsidRPr="009957A1">
        <w:rPr>
          <w:color w:val="1A1A1A"/>
        </w:rPr>
        <w:t>de</w:t>
      </w:r>
      <w:r w:rsidRPr="009957A1">
        <w:rPr>
          <w:color w:val="1A1A1A"/>
        </w:rPr>
        <w:t xml:space="preserve"> las regiones del Oeste, se ha estancado desde hace años en el 70% de la media federal. Aunque 30 años después el tejido empresarial se ha recuperado -como prueba una tasa de paro sólo un 2% mayor que en el Oeste- ninguna compañía oriental se encuentra en el top 30 represen</w:t>
      </w:r>
      <w:r>
        <w:rPr>
          <w:color w:val="1A1A1A"/>
        </w:rPr>
        <w:t>tado en el índice bursátil Dax.</w:t>
      </w:r>
    </w:p>
    <w:p w:rsidR="0039280D" w:rsidRPr="009957A1" w:rsidRDefault="0039280D" w:rsidP="0039280D">
      <w:pPr>
        <w:pStyle w:val="NormalWeb"/>
        <w:shd w:val="clear" w:color="auto" w:fill="FFFFFF"/>
        <w:spacing w:after="0"/>
        <w:jc w:val="both"/>
        <w:textAlignment w:val="baseline"/>
        <w:rPr>
          <w:color w:val="1A1A1A"/>
        </w:rPr>
      </w:pPr>
      <w:r w:rsidRPr="009957A1">
        <w:rPr>
          <w:color w:val="1A1A1A"/>
        </w:rPr>
        <w:t>En gran medida, la desigualdad en los indicadores económicos se debe también a que en el Este predominan las zonas rurales, en general son mucho menos productivas. Para Van Deuverden, sin embargo, esta debilidad estructural sólo puede ser acometida desde la persp</w:t>
      </w:r>
      <w:r>
        <w:rPr>
          <w:color w:val="1A1A1A"/>
        </w:rPr>
        <w:t>ectiva de la política regional.</w:t>
      </w:r>
    </w:p>
    <w:p w:rsidR="0039280D" w:rsidRPr="009957A1" w:rsidRDefault="0039280D" w:rsidP="0039280D">
      <w:pPr>
        <w:pStyle w:val="NormalWeb"/>
        <w:shd w:val="clear" w:color="auto" w:fill="FFFFFF"/>
        <w:spacing w:after="0"/>
        <w:jc w:val="both"/>
        <w:textAlignment w:val="baseline"/>
        <w:rPr>
          <w:color w:val="1A1A1A"/>
        </w:rPr>
      </w:pPr>
      <w:r>
        <w:rPr>
          <w:color w:val="1A1A1A"/>
        </w:rPr>
        <w:lastRenderedPageBreak/>
        <w:t>“</w:t>
      </w:r>
      <w:r w:rsidRPr="009957A1">
        <w:rPr>
          <w:color w:val="1A1A1A"/>
        </w:rPr>
        <w:t xml:space="preserve">Ya no es el momento en el que el estado deba intervenir con grandes inversiones en </w:t>
      </w:r>
      <w:r>
        <w:rPr>
          <w:color w:val="1A1A1A"/>
        </w:rPr>
        <w:t>infraestructura como en los 90”,</w:t>
      </w:r>
      <w:r w:rsidRPr="009957A1">
        <w:rPr>
          <w:color w:val="1A1A1A"/>
        </w:rPr>
        <w:t xml:space="preserve"> argumenta, incidiendo sin embargo en la importancia de destinar fondos </w:t>
      </w:r>
      <w:r>
        <w:rPr>
          <w:color w:val="1A1A1A"/>
        </w:rPr>
        <w:t>a recursos como la red digital.</w:t>
      </w:r>
    </w:p>
    <w:p w:rsidR="0039280D" w:rsidRDefault="0039280D" w:rsidP="0039280D">
      <w:pPr>
        <w:pStyle w:val="NormalWeb"/>
        <w:shd w:val="clear" w:color="auto" w:fill="FFFFFF"/>
        <w:spacing w:after="0"/>
        <w:jc w:val="both"/>
        <w:textAlignment w:val="baseline"/>
        <w:rPr>
          <w:color w:val="1A1A1A"/>
        </w:rPr>
      </w:pPr>
      <w:r>
        <w:rPr>
          <w:color w:val="1A1A1A"/>
        </w:rPr>
        <w:t>“</w:t>
      </w:r>
      <w:r w:rsidRPr="009957A1">
        <w:rPr>
          <w:color w:val="1A1A1A"/>
        </w:rPr>
        <w:t xml:space="preserve">No se trata de concentrarse sólo en el Este, sino en todas aquellas regiones estructuralmente débiles. Por suerte, a día de </w:t>
      </w:r>
      <w:r>
        <w:rPr>
          <w:color w:val="1A1A1A"/>
        </w:rPr>
        <w:t>hoy hemos llegado a este punto”,</w:t>
      </w:r>
      <w:r w:rsidRPr="009957A1">
        <w:rPr>
          <w:color w:val="1A1A1A"/>
        </w:rPr>
        <w:t xml:space="preserve"> remacha.</w:t>
      </w:r>
    </w:p>
    <w:p w:rsidR="0039280D" w:rsidRPr="00AC67B6" w:rsidRDefault="0039280D" w:rsidP="0039280D">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AC67B6">
        <w:rPr>
          <w:rFonts w:ascii="Times New Roman" w:hAnsi="Times New Roman" w:cs="Times New Roman"/>
          <w:color w:val="1A1A1A"/>
          <w:sz w:val="24"/>
          <w:szCs w:val="24"/>
          <w:u w:val="single"/>
        </w:rPr>
        <w:t>Merkel da marcha atrás: no habrá aumento del gasto ni planes de estímulo</w:t>
      </w:r>
      <w:r>
        <w:rPr>
          <w:rFonts w:ascii="Times New Roman" w:hAnsi="Times New Roman" w:cs="Times New Roman"/>
          <w:color w:val="1A1A1A"/>
          <w:sz w:val="24"/>
          <w:szCs w:val="24"/>
        </w:rPr>
        <w:t xml:space="preserve"> (Libertad Digital - </w:t>
      </w:r>
      <w:r>
        <w:rPr>
          <w:rFonts w:ascii="Times New Roman" w:hAnsi="Times New Roman" w:cs="Times New Roman"/>
          <w:b/>
          <w:color w:val="1A1A1A"/>
          <w:sz w:val="24"/>
          <w:szCs w:val="24"/>
        </w:rPr>
        <w:t>25</w:t>
      </w:r>
      <w:r w:rsidRPr="00AC67B6">
        <w:rPr>
          <w:rFonts w:ascii="Times New Roman" w:hAnsi="Times New Roman" w:cs="Times New Roman"/>
          <w:b/>
          <w:color w:val="1A1A1A"/>
          <w:sz w:val="24"/>
          <w:szCs w:val="24"/>
        </w:rPr>
        <w:t>/11/19</w:t>
      </w:r>
      <w:r>
        <w:rPr>
          <w:rFonts w:ascii="Times New Roman" w:hAnsi="Times New Roman" w:cs="Times New Roman"/>
          <w:color w:val="1A1A1A"/>
          <w:sz w:val="24"/>
          <w:szCs w:val="24"/>
        </w:rPr>
        <w:t>)</w:t>
      </w:r>
    </w:p>
    <w:p w:rsidR="0039280D" w:rsidRPr="00486B0A" w:rsidRDefault="0039280D" w:rsidP="0039280D">
      <w:pPr>
        <w:spacing w:line="240" w:lineRule="auto"/>
        <w:jc w:val="both"/>
        <w:textAlignment w:val="baseline"/>
        <w:rPr>
          <w:rFonts w:ascii="Times New Roman" w:hAnsi="Times New Roman" w:cs="Times New Roman"/>
          <w:color w:val="1A1A1A"/>
          <w:sz w:val="24"/>
          <w:szCs w:val="24"/>
        </w:rPr>
      </w:pPr>
      <w:r w:rsidRPr="00AC67B6">
        <w:rPr>
          <w:rFonts w:ascii="Times New Roman" w:hAnsi="Times New Roman" w:cs="Times New Roman"/>
          <w:color w:val="1A1A1A"/>
          <w:sz w:val="24"/>
          <w:szCs w:val="24"/>
        </w:rPr>
        <w:t>Aunque se habló de un paquete de estímulo valorado en 50.000 millones, los presupuestos reducirán el peso del Estado en 8.000 millones.</w:t>
      </w:r>
    </w:p>
    <w:p w:rsidR="0039280D" w:rsidRDefault="0039280D" w:rsidP="0039280D">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(Por Diego Sánchez de la Cruz)</w:t>
      </w:r>
    </w:p>
    <w:p w:rsidR="0039280D" w:rsidRPr="00025FDF" w:rsidRDefault="0039280D" w:rsidP="0039280D">
      <w:pPr>
        <w:pStyle w:val="NormalWeb"/>
        <w:spacing w:before="0" w:beforeAutospacing="0" w:after="0" w:afterAutospacing="0" w:line="300" w:lineRule="atLeast"/>
        <w:jc w:val="both"/>
        <w:textAlignment w:val="baseline"/>
        <w:rPr>
          <w:b/>
          <w:color w:val="333333"/>
          <w:bdr w:val="none" w:sz="0" w:space="0" w:color="auto" w:frame="1"/>
          <w:shd w:val="clear" w:color="auto" w:fill="FFFFFF"/>
        </w:rPr>
      </w:pPr>
      <w:r w:rsidRPr="00AC67B6">
        <w:rPr>
          <w:color w:val="333333"/>
          <w:bdr w:val="none" w:sz="0" w:space="0" w:color="auto" w:frame="1"/>
          <w:shd w:val="clear" w:color="auto" w:fill="FFFFFF"/>
        </w:rPr>
        <w:t>La economía alemana está funcionando muy por debajo de lo esperado. El último dato de crecimiento trimestral arroja un aumento casi testimonial de la producción, que se expandió un magro 0,1% y esquivó por muy poco el escenario de recesión. Este enfriamiento ha generado mucho nerviosismo en las élites germanas, hasta el punto de que el gobierno de coalición de Ángela Merkel y los socialdemócratas</w:t>
      </w:r>
      <w:r w:rsidRPr="00AC67B6">
        <w:rPr>
          <w:rStyle w:val="apple-converted-space"/>
          <w:color w:val="333333"/>
          <w:bdr w:val="none" w:sz="0" w:space="0" w:color="auto" w:frame="1"/>
          <w:shd w:val="clear" w:color="auto" w:fill="FFFFFF"/>
        </w:rPr>
        <w:t> </w:t>
      </w:r>
      <w:r w:rsidRPr="00025FDF">
        <w:rPr>
          <w:rStyle w:val="Textoennegrita"/>
          <w:rFonts w:eastAsiaTheme="minorEastAsia"/>
          <w:b w:val="0"/>
          <w:color w:val="333333"/>
          <w:bdr w:val="none" w:sz="0" w:space="0" w:color="auto" w:frame="1"/>
          <w:shd w:val="clear" w:color="auto" w:fill="FFFFFF"/>
        </w:rPr>
        <w:t>se planteó hace algunos meses un giro de 180 grados en su política fiscal</w:t>
      </w:r>
      <w:r w:rsidRPr="00025FDF">
        <w:rPr>
          <w:b/>
          <w:color w:val="333333"/>
          <w:bdr w:val="none" w:sz="0" w:space="0" w:color="auto" w:frame="1"/>
          <w:shd w:val="clear" w:color="auto" w:fill="FFFFFF"/>
        </w:rPr>
        <w:t>.</w:t>
      </w:r>
    </w:p>
    <w:p w:rsidR="0039280D" w:rsidRPr="00AC67B6"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p>
    <w:p w:rsidR="0039280D"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r w:rsidRPr="00AC67B6">
        <w:rPr>
          <w:color w:val="333333"/>
          <w:bdr w:val="none" w:sz="0" w:space="0" w:color="auto" w:frame="1"/>
          <w:shd w:val="clear" w:color="auto" w:fill="FFFFFF"/>
        </w:rPr>
        <w:t>Según apuntó</w:t>
      </w:r>
      <w:r w:rsidRPr="00AC67B6">
        <w:rPr>
          <w:rStyle w:val="apple-converted-space"/>
          <w:color w:val="333333"/>
          <w:bdr w:val="none" w:sz="0" w:space="0" w:color="auto" w:frame="1"/>
          <w:shd w:val="clear" w:color="auto" w:fill="FFFFFF"/>
        </w:rPr>
        <w:t> </w:t>
      </w:r>
      <w:r w:rsidRPr="00AC67B6">
        <w:rPr>
          <w:rStyle w:val="nfasis"/>
          <w:color w:val="333333"/>
          <w:bdr w:val="none" w:sz="0" w:space="0" w:color="auto" w:frame="1"/>
          <w:shd w:val="clear" w:color="auto" w:fill="FFFFFF"/>
        </w:rPr>
        <w:t>Der Spiegel</w:t>
      </w:r>
      <w:r w:rsidRPr="00AC67B6">
        <w:rPr>
          <w:rStyle w:val="apple-converted-space"/>
          <w:i/>
          <w:iCs/>
          <w:color w:val="333333"/>
          <w:bdr w:val="none" w:sz="0" w:space="0" w:color="auto" w:frame="1"/>
          <w:shd w:val="clear" w:color="auto" w:fill="FFFFFF"/>
        </w:rPr>
        <w:t> </w:t>
      </w:r>
      <w:r w:rsidRPr="00AC67B6">
        <w:rPr>
          <w:color w:val="333333"/>
          <w:bdr w:val="none" w:sz="0" w:space="0" w:color="auto" w:frame="1"/>
          <w:shd w:val="clear" w:color="auto" w:fill="FFFFFF"/>
        </w:rPr>
        <w:t>el pasado mes de agosto, el Ejecutivo teutón</w:t>
      </w:r>
      <w:r>
        <w:rPr>
          <w:color w:val="333333"/>
          <w:bdr w:val="none" w:sz="0" w:space="0" w:color="auto" w:frame="1"/>
          <w:shd w:val="clear" w:color="auto" w:fill="FFFFFF"/>
        </w:rPr>
        <w:t xml:space="preserve"> </w:t>
      </w:r>
      <w:hyperlink r:id="rId49" w:history="1">
        <w:r w:rsidRPr="00025FDF">
          <w:rPr>
            <w:rStyle w:val="Hipervnculo"/>
            <w:rFonts w:eastAsiaTheme="majorEastAsia"/>
            <w:color w:val="auto"/>
            <w:u w:val="none"/>
            <w:bdr w:val="none" w:sz="0" w:space="0" w:color="auto" w:frame="1"/>
            <w:shd w:val="clear" w:color="auto" w:fill="FFFFFF"/>
          </w:rPr>
          <w:t>barajó la posibilidad</w:t>
        </w:r>
      </w:hyperlink>
      <w:r w:rsidRPr="00025FDF">
        <w:rPr>
          <w:rStyle w:val="apple-converted-space"/>
          <w:bdr w:val="none" w:sz="0" w:space="0" w:color="auto" w:frame="1"/>
          <w:shd w:val="clear" w:color="auto" w:fill="FFFFFF"/>
        </w:rPr>
        <w:t> </w:t>
      </w:r>
      <w:r>
        <w:rPr>
          <w:color w:val="333333"/>
          <w:bdr w:val="none" w:sz="0" w:space="0" w:color="auto" w:frame="1"/>
          <w:shd w:val="clear" w:color="auto" w:fill="FFFFFF"/>
        </w:rPr>
        <w:t>de impulsar un “plan de estímulo”</w:t>
      </w:r>
      <w:r w:rsidRPr="00AC67B6">
        <w:rPr>
          <w:color w:val="333333"/>
          <w:bdr w:val="none" w:sz="0" w:space="0" w:color="auto" w:frame="1"/>
          <w:shd w:val="clear" w:color="auto" w:fill="FFFFFF"/>
        </w:rPr>
        <w:t xml:space="preserve"> de corte keynesiano, basado en</w:t>
      </w:r>
      <w:r w:rsidRPr="00AC67B6">
        <w:rPr>
          <w:rStyle w:val="apple-converted-space"/>
          <w:b/>
          <w:bCs/>
          <w:color w:val="333333"/>
          <w:bdr w:val="none" w:sz="0" w:space="0" w:color="auto" w:frame="1"/>
          <w:shd w:val="clear" w:color="auto" w:fill="FFFFFF"/>
        </w:rPr>
        <w:t> </w:t>
      </w:r>
      <w:r w:rsidRPr="00AC67B6">
        <w:rPr>
          <w:rStyle w:val="Textoennegrita"/>
          <w:rFonts w:eastAsiaTheme="minorEastAsia"/>
          <w:color w:val="333333"/>
          <w:bdr w:val="none" w:sz="0" w:space="0" w:color="auto" w:frame="1"/>
          <w:shd w:val="clear" w:color="auto" w:fill="FFFFFF"/>
        </w:rPr>
        <w:t xml:space="preserve">inyectar </w:t>
      </w:r>
      <w:r w:rsidRPr="00025FDF">
        <w:rPr>
          <w:rStyle w:val="Textoennegrita"/>
          <w:rFonts w:eastAsiaTheme="minorEastAsia"/>
          <w:b w:val="0"/>
          <w:color w:val="333333"/>
          <w:bdr w:val="none" w:sz="0" w:space="0" w:color="auto" w:frame="1"/>
          <w:shd w:val="clear" w:color="auto" w:fill="FFFFFF"/>
        </w:rPr>
        <w:t>50.000 millones</w:t>
      </w:r>
      <w:r w:rsidRPr="00AC67B6">
        <w:rPr>
          <w:rStyle w:val="apple-converted-space"/>
          <w:color w:val="333333"/>
          <w:bdr w:val="none" w:sz="0" w:space="0" w:color="auto" w:frame="1"/>
          <w:shd w:val="clear" w:color="auto" w:fill="FFFFFF"/>
        </w:rPr>
        <w:t> </w:t>
      </w:r>
      <w:r w:rsidRPr="00AC67B6">
        <w:rPr>
          <w:color w:val="333333"/>
          <w:bdr w:val="none" w:sz="0" w:space="0" w:color="auto" w:frame="1"/>
          <w:shd w:val="clear" w:color="auto" w:fill="FFFFFF"/>
        </w:rPr>
        <w:t>de euros para financiar distintos programas de gasto público, orientados en la mayoría de casos a promover industrias</w:t>
      </w:r>
      <w:r w:rsidRPr="00AC67B6">
        <w:rPr>
          <w:rStyle w:val="apple-converted-space"/>
          <w:color w:val="333333"/>
          <w:bdr w:val="none" w:sz="0" w:space="0" w:color="auto" w:frame="1"/>
          <w:shd w:val="clear" w:color="auto" w:fill="FFFFFF"/>
        </w:rPr>
        <w:t> </w:t>
      </w:r>
      <w:r w:rsidRPr="00AC67B6">
        <w:rPr>
          <w:rStyle w:val="nfasis"/>
          <w:color w:val="333333"/>
          <w:bdr w:val="none" w:sz="0" w:space="0" w:color="auto" w:frame="1"/>
          <w:shd w:val="clear" w:color="auto" w:fill="FFFFFF"/>
        </w:rPr>
        <w:t>verdes</w:t>
      </w:r>
      <w:r w:rsidRPr="00AC67B6">
        <w:rPr>
          <w:color w:val="333333"/>
          <w:bdr w:val="none" w:sz="0" w:space="0" w:color="auto" w:frame="1"/>
          <w:shd w:val="clear" w:color="auto" w:fill="FFFFFF"/>
        </w:rPr>
        <w:t>.</w:t>
      </w:r>
    </w:p>
    <w:p w:rsidR="0039280D" w:rsidRPr="00AC67B6"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p>
    <w:p w:rsidR="0039280D"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r w:rsidRPr="00AC67B6">
        <w:rPr>
          <w:color w:val="333333"/>
          <w:bdr w:val="none" w:sz="0" w:space="0" w:color="auto" w:frame="1"/>
          <w:shd w:val="clear" w:color="auto" w:fill="FFFFFF"/>
        </w:rPr>
        <w:t>Sin embargo, la mayoría parlamentaria de</w:t>
      </w:r>
      <w:r w:rsidRPr="00AC67B6">
        <w:rPr>
          <w:rStyle w:val="apple-converted-space"/>
          <w:b/>
          <w:bCs/>
          <w:color w:val="333333"/>
          <w:bdr w:val="none" w:sz="0" w:space="0" w:color="auto" w:frame="1"/>
          <w:shd w:val="clear" w:color="auto" w:fill="FFFFFF"/>
        </w:rPr>
        <w:t> </w:t>
      </w:r>
      <w:r w:rsidRPr="00025FDF">
        <w:rPr>
          <w:rStyle w:val="Textoennegrita"/>
          <w:rFonts w:eastAsiaTheme="minorEastAsia"/>
          <w:b w:val="0"/>
          <w:bdr w:val="none" w:sz="0" w:space="0" w:color="auto" w:frame="1"/>
          <w:shd w:val="clear" w:color="auto" w:fill="FFFFFF"/>
        </w:rPr>
        <w:t>la CDU y el SPD ha terminado optando por</w:t>
      </w:r>
      <w:r w:rsidRPr="00025FDF">
        <w:rPr>
          <w:rStyle w:val="apple-converted-space"/>
          <w:b/>
          <w:bCs/>
          <w:bdr w:val="none" w:sz="0" w:space="0" w:color="auto" w:frame="1"/>
          <w:shd w:val="clear" w:color="auto" w:fill="FFFFFF"/>
        </w:rPr>
        <w:t> </w:t>
      </w:r>
      <w:hyperlink r:id="rId50" w:history="1">
        <w:r w:rsidRPr="00D91D3C">
          <w:rPr>
            <w:rStyle w:val="Hipervnculo"/>
            <w:rFonts w:eastAsiaTheme="majorEastAsia"/>
            <w:bCs/>
            <w:color w:val="auto"/>
            <w:u w:val="none"/>
            <w:bdr w:val="none" w:sz="0" w:space="0" w:color="auto" w:frame="1"/>
            <w:shd w:val="clear" w:color="auto" w:fill="FFFFFF"/>
          </w:rPr>
          <w:t>mantener en pie</w:t>
        </w:r>
      </w:hyperlink>
      <w:r w:rsidRPr="00025FDF">
        <w:rPr>
          <w:rStyle w:val="apple-converted-space"/>
          <w:b/>
          <w:bCs/>
          <w:bdr w:val="none" w:sz="0" w:space="0" w:color="auto" w:frame="1"/>
          <w:shd w:val="clear" w:color="auto" w:fill="FFFFFF"/>
        </w:rPr>
        <w:t> </w:t>
      </w:r>
      <w:r w:rsidRPr="00025FDF">
        <w:rPr>
          <w:rStyle w:val="Textoennegrita"/>
          <w:rFonts w:eastAsiaTheme="minorEastAsia"/>
          <w:b w:val="0"/>
          <w:bdr w:val="none" w:sz="0" w:space="0" w:color="auto" w:frame="1"/>
          <w:shd w:val="clear" w:color="auto" w:fill="FFFFFF"/>
        </w:rPr>
        <w:t>la política de ortodoxia fiscal</w:t>
      </w:r>
      <w:r w:rsidRPr="00AC67B6">
        <w:rPr>
          <w:rStyle w:val="apple-converted-space"/>
          <w:b/>
          <w:bCs/>
          <w:color w:val="333333"/>
          <w:bdr w:val="none" w:sz="0" w:space="0" w:color="auto" w:frame="1"/>
          <w:shd w:val="clear" w:color="auto" w:fill="FFFFFF"/>
        </w:rPr>
        <w:t> </w:t>
      </w:r>
      <w:r w:rsidRPr="00AC67B6">
        <w:rPr>
          <w:color w:val="333333"/>
          <w:bdr w:val="none" w:sz="0" w:space="0" w:color="auto" w:frame="1"/>
          <w:shd w:val="clear" w:color="auto" w:fill="FFFFFF"/>
        </w:rPr>
        <w:t>desplegada durante la última década, rechazando la fórmula keynesiana que llegó a estar encima de la mesa. Y es que, tras una maratoniana reunión en las oficinas del Bundestag, los conservadores y los socialdemócratas han decidido que n</w:t>
      </w:r>
      <w:r>
        <w:rPr>
          <w:color w:val="333333"/>
          <w:bdr w:val="none" w:sz="0" w:space="0" w:color="auto" w:frame="1"/>
          <w:shd w:val="clear" w:color="auto" w:fill="FFFFFF"/>
        </w:rPr>
        <w:t>o es el momento de implementar “planes de estímulo”</w:t>
      </w:r>
      <w:r w:rsidRPr="00AC67B6">
        <w:rPr>
          <w:color w:val="333333"/>
          <w:bdr w:val="none" w:sz="0" w:space="0" w:color="auto" w:frame="1"/>
          <w:shd w:val="clear" w:color="auto" w:fill="FFFFFF"/>
        </w:rPr>
        <w:t>.</w:t>
      </w:r>
    </w:p>
    <w:p w:rsidR="0039280D" w:rsidRPr="00AC67B6"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p>
    <w:p w:rsidR="0039280D"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r w:rsidRPr="00AC67B6">
        <w:rPr>
          <w:color w:val="333333"/>
          <w:bdr w:val="none" w:sz="0" w:space="0" w:color="auto" w:frame="1"/>
          <w:shd w:val="clear" w:color="auto" w:fill="FFFFFF"/>
        </w:rPr>
        <w:t>De hecho, la idea que tiene el pacto de gobierno es reducir el peso del gasto público desde los 370.000 millones de euros que desembolsará el Ejecutivo federal en 2019 a los 362.000 millones que se van a presupuestar para 2020. Esta apuesta compensará la menor recaudación fiscal derivada del enfriamiento económico, manteniendo así un superávit presupuestario que, al final de la legislatura, dejará la deuda pública cerca del 45% del PIB, casi la mitad del</w:t>
      </w:r>
      <w:r w:rsidRPr="00AC67B6">
        <w:rPr>
          <w:rStyle w:val="apple-converted-space"/>
          <w:color w:val="333333"/>
          <w:bdr w:val="none" w:sz="0" w:space="0" w:color="auto" w:frame="1"/>
          <w:shd w:val="clear" w:color="auto" w:fill="FFFFFF"/>
        </w:rPr>
        <w:t> </w:t>
      </w:r>
      <w:r w:rsidRPr="00AC67B6">
        <w:rPr>
          <w:rStyle w:val="nfasis"/>
          <w:color w:val="333333"/>
          <w:bdr w:val="none" w:sz="0" w:space="0" w:color="auto" w:frame="1"/>
          <w:shd w:val="clear" w:color="auto" w:fill="FFFFFF"/>
        </w:rPr>
        <w:t>pico</w:t>
      </w:r>
      <w:r w:rsidRPr="00AC67B6">
        <w:rPr>
          <w:rStyle w:val="apple-converted-space"/>
          <w:color w:val="333333"/>
          <w:bdr w:val="none" w:sz="0" w:space="0" w:color="auto" w:frame="1"/>
          <w:shd w:val="clear" w:color="auto" w:fill="FFFFFF"/>
        </w:rPr>
        <w:t> </w:t>
      </w:r>
      <w:r w:rsidRPr="00AC67B6">
        <w:rPr>
          <w:color w:val="333333"/>
          <w:bdr w:val="none" w:sz="0" w:space="0" w:color="auto" w:frame="1"/>
          <w:shd w:val="clear" w:color="auto" w:fill="FFFFFF"/>
        </w:rPr>
        <w:t>alcanzado hace ahora una década.</w:t>
      </w:r>
    </w:p>
    <w:p w:rsidR="0039280D" w:rsidRPr="00AC67B6"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p>
    <w:p w:rsidR="0039280D"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r>
        <w:rPr>
          <w:color w:val="333333"/>
          <w:bdr w:val="none" w:sz="0" w:space="0" w:color="auto" w:frame="1"/>
          <w:shd w:val="clear" w:color="auto" w:fill="FFFFFF"/>
        </w:rPr>
        <w:t>“</w:t>
      </w:r>
      <w:r w:rsidRPr="00AC67B6">
        <w:rPr>
          <w:color w:val="333333"/>
          <w:bdr w:val="none" w:sz="0" w:space="0" w:color="auto" w:frame="1"/>
          <w:shd w:val="clear" w:color="auto" w:fill="FFFFFF"/>
        </w:rPr>
        <w:t>Seguimos como estábamos:</w:t>
      </w:r>
      <w:r w:rsidRPr="00AC67B6">
        <w:rPr>
          <w:rStyle w:val="apple-converted-space"/>
          <w:b/>
          <w:bCs/>
          <w:color w:val="333333"/>
          <w:bdr w:val="none" w:sz="0" w:space="0" w:color="auto" w:frame="1"/>
          <w:shd w:val="clear" w:color="auto" w:fill="FFFFFF"/>
        </w:rPr>
        <w:t> </w:t>
      </w:r>
      <w:r w:rsidRPr="00025FDF">
        <w:rPr>
          <w:rStyle w:val="Textoennegrita"/>
          <w:rFonts w:eastAsiaTheme="minorEastAsia"/>
          <w:b w:val="0"/>
          <w:color w:val="333333"/>
          <w:bdr w:val="none" w:sz="0" w:space="0" w:color="auto" w:frame="1"/>
          <w:shd w:val="clear" w:color="auto" w:fill="FFFFFF"/>
        </w:rPr>
        <w:t>no vamos a emitir más deuda</w:t>
      </w:r>
      <w:r w:rsidRPr="00AC67B6">
        <w:rPr>
          <w:color w:val="333333"/>
          <w:bdr w:val="none" w:sz="0" w:space="0" w:color="auto" w:frame="1"/>
          <w:shd w:val="clear" w:color="auto" w:fill="FFFFFF"/>
        </w:rPr>
        <w:t>. Alemania puede financiarse, no tenemos ese problema. Sin embargo, no tenemos por qué pedir dinero prestado, porque con los actuales niveles de recaudación podemos financiar todas nuestras prioridades: seguridad, educac</w:t>
      </w:r>
      <w:r>
        <w:rPr>
          <w:color w:val="333333"/>
          <w:bdr w:val="none" w:sz="0" w:space="0" w:color="auto" w:frame="1"/>
          <w:shd w:val="clear" w:color="auto" w:fill="FFFFFF"/>
        </w:rPr>
        <w:t>ión, pensiones, medio ambiente…”</w:t>
      </w:r>
      <w:r w:rsidRPr="00AC67B6">
        <w:rPr>
          <w:color w:val="333333"/>
          <w:bdr w:val="none" w:sz="0" w:space="0" w:color="auto" w:frame="1"/>
          <w:shd w:val="clear" w:color="auto" w:fill="FFFFFF"/>
        </w:rPr>
        <w:t>, explicó el</w:t>
      </w:r>
      <w:r w:rsidRPr="00AC67B6">
        <w:rPr>
          <w:rStyle w:val="apple-converted-space"/>
          <w:color w:val="333333"/>
          <w:bdr w:val="none" w:sz="0" w:space="0" w:color="auto" w:frame="1"/>
          <w:shd w:val="clear" w:color="auto" w:fill="FFFFFF"/>
        </w:rPr>
        <w:t> </w:t>
      </w:r>
      <w:r w:rsidRPr="00AC67B6">
        <w:rPr>
          <w:rStyle w:val="nfasis"/>
          <w:color w:val="333333"/>
          <w:bdr w:val="none" w:sz="0" w:space="0" w:color="auto" w:frame="1"/>
          <w:shd w:val="clear" w:color="auto" w:fill="FFFFFF"/>
        </w:rPr>
        <w:t>gurú</w:t>
      </w:r>
      <w:r w:rsidRPr="00AC67B6">
        <w:rPr>
          <w:rStyle w:val="apple-converted-space"/>
          <w:color w:val="333333"/>
          <w:bdr w:val="none" w:sz="0" w:space="0" w:color="auto" w:frame="1"/>
          <w:shd w:val="clear" w:color="auto" w:fill="FFFFFF"/>
        </w:rPr>
        <w:t> </w:t>
      </w:r>
      <w:r w:rsidRPr="00AC67B6">
        <w:rPr>
          <w:color w:val="333333"/>
          <w:bdr w:val="none" w:sz="0" w:space="0" w:color="auto" w:frame="1"/>
          <w:shd w:val="clear" w:color="auto" w:fill="FFFFFF"/>
        </w:rPr>
        <w:t>presupuestario de la CDU, Eckhardt Rehnberg, tras la conclusión de las negociaciones.</w:t>
      </w:r>
    </w:p>
    <w:p w:rsidR="0039280D" w:rsidRPr="00AC67B6" w:rsidRDefault="0039280D" w:rsidP="0039280D">
      <w:pPr>
        <w:pStyle w:val="NormalWeb"/>
        <w:spacing w:before="0" w:beforeAutospacing="0" w:after="0" w:afterAutospacing="0" w:line="300" w:lineRule="atLeast"/>
        <w:jc w:val="both"/>
        <w:textAlignment w:val="baseline"/>
        <w:rPr>
          <w:color w:val="333333"/>
          <w:bdr w:val="none" w:sz="0" w:space="0" w:color="auto" w:frame="1"/>
          <w:shd w:val="clear" w:color="auto" w:fill="FFFFFF"/>
        </w:rPr>
      </w:pPr>
    </w:p>
    <w:p w:rsidR="0039280D" w:rsidRPr="00AC67B6" w:rsidRDefault="0039280D" w:rsidP="0039280D">
      <w:pPr>
        <w:pStyle w:val="Ttulo3"/>
        <w:spacing w:before="0" w:after="242" w:line="242" w:lineRule="atLeast"/>
        <w:jc w:val="both"/>
        <w:textAlignment w:val="baseline"/>
        <w:rPr>
          <w:rFonts w:ascii="Times New Roman" w:hAnsi="Times New Roman" w:cs="Times New Roman"/>
          <w:b w:val="0"/>
          <w:bCs w:val="0"/>
          <w:color w:val="FF0000"/>
          <w:sz w:val="24"/>
          <w:szCs w:val="24"/>
          <w:bdr w:val="none" w:sz="0" w:space="0" w:color="auto" w:frame="1"/>
          <w:shd w:val="clear" w:color="auto" w:fill="FFFFFF"/>
        </w:rPr>
      </w:pPr>
      <w:r w:rsidRPr="00AC67B6">
        <w:rPr>
          <w:rFonts w:ascii="Times New Roman" w:hAnsi="Times New Roman" w:cs="Times New Roman"/>
          <w:b w:val="0"/>
          <w:bCs w:val="0"/>
          <w:color w:val="FF0000"/>
          <w:sz w:val="24"/>
          <w:szCs w:val="24"/>
          <w:bdr w:val="none" w:sz="0" w:space="0" w:color="auto" w:frame="1"/>
          <w:shd w:val="clear" w:color="auto" w:fill="FFFFFF"/>
        </w:rPr>
        <w:lastRenderedPageBreak/>
        <w:t>Diez años de austeridad</w:t>
      </w:r>
    </w:p>
    <w:p w:rsidR="0039280D" w:rsidRDefault="0039280D" w:rsidP="0039280D">
      <w:pPr>
        <w:pStyle w:val="NormalWeb"/>
        <w:spacing w:before="0" w:beforeAutospacing="0" w:after="0" w:afterAutospacing="0" w:line="300" w:lineRule="atLeast"/>
        <w:jc w:val="both"/>
        <w:textAlignment w:val="baseline"/>
        <w:rPr>
          <w:color w:val="FF0000"/>
          <w:bdr w:val="none" w:sz="0" w:space="0" w:color="auto" w:frame="1"/>
          <w:shd w:val="clear" w:color="auto" w:fill="FFFFFF"/>
        </w:rPr>
      </w:pPr>
      <w:r w:rsidRPr="00AC67B6">
        <w:rPr>
          <w:color w:val="FF0000"/>
          <w:bdr w:val="none" w:sz="0" w:space="0" w:color="auto" w:frame="1"/>
          <w:shd w:val="clear" w:color="auto" w:fill="FFFFFF"/>
        </w:rPr>
        <w:t>En 2009, Alemania incluyó en su Carta Magna un</w:t>
      </w:r>
      <w:r w:rsidRPr="00AC67B6">
        <w:rPr>
          <w:rStyle w:val="apple-converted-space"/>
          <w:color w:val="FF0000"/>
          <w:bdr w:val="none" w:sz="0" w:space="0" w:color="auto" w:frame="1"/>
          <w:shd w:val="clear" w:color="auto" w:fill="FFFFFF"/>
        </w:rPr>
        <w:t> </w:t>
      </w:r>
      <w:hyperlink r:id="rId51" w:history="1">
        <w:r w:rsidRPr="00D91D3C">
          <w:rPr>
            <w:rStyle w:val="Hipervnculo"/>
            <w:rFonts w:eastAsiaTheme="majorEastAsia"/>
            <w:color w:val="FF0000"/>
            <w:u w:val="none"/>
            <w:bdr w:val="none" w:sz="0" w:space="0" w:color="auto" w:frame="1"/>
            <w:shd w:val="clear" w:color="auto" w:fill="FFFFFF"/>
          </w:rPr>
          <w:t>mecanismo conocido como el</w:t>
        </w:r>
        <w:r w:rsidRPr="00AC67B6">
          <w:rPr>
            <w:rStyle w:val="apple-converted-space"/>
            <w:color w:val="FF0000"/>
            <w:bdr w:val="none" w:sz="0" w:space="0" w:color="auto" w:frame="1"/>
            <w:shd w:val="clear" w:color="auto" w:fill="FFFFFF"/>
          </w:rPr>
          <w:t> </w:t>
        </w:r>
        <w:r w:rsidRPr="00AC67B6">
          <w:rPr>
            <w:rStyle w:val="nfasis"/>
            <w:color w:val="FF0000"/>
            <w:bdr w:val="none" w:sz="0" w:space="0" w:color="auto" w:frame="1"/>
            <w:shd w:val="clear" w:color="auto" w:fill="FFFFFF"/>
          </w:rPr>
          <w:t>freno a la deuda</w:t>
        </w:r>
      </w:hyperlink>
      <w:r w:rsidRPr="00AC67B6">
        <w:rPr>
          <w:color w:val="FF0000"/>
          <w:bdr w:val="none" w:sz="0" w:space="0" w:color="auto" w:frame="1"/>
          <w:shd w:val="clear" w:color="auto" w:fill="FFFFFF"/>
        </w:rPr>
        <w:t>. Inspirado en reglas fiscales de países como Suiza, esta regla abarca los siguientes puntos:</w:t>
      </w:r>
    </w:p>
    <w:p w:rsidR="0039280D" w:rsidRPr="00AC67B6" w:rsidRDefault="0039280D" w:rsidP="0039280D">
      <w:pPr>
        <w:pStyle w:val="NormalWeb"/>
        <w:spacing w:before="0" w:beforeAutospacing="0" w:after="0" w:afterAutospacing="0" w:line="300" w:lineRule="atLeast"/>
        <w:jc w:val="both"/>
        <w:textAlignment w:val="baseline"/>
        <w:rPr>
          <w:color w:val="FF0000"/>
          <w:bdr w:val="none" w:sz="0" w:space="0" w:color="auto" w:frame="1"/>
          <w:shd w:val="clear" w:color="auto" w:fill="FFFFFF"/>
        </w:rPr>
      </w:pPr>
    </w:p>
    <w:p w:rsidR="0039280D" w:rsidRPr="00AC67B6" w:rsidRDefault="0039280D" w:rsidP="0039280D">
      <w:pPr>
        <w:numPr>
          <w:ilvl w:val="0"/>
          <w:numId w:val="13"/>
        </w:numPr>
        <w:spacing w:after="0" w:line="300" w:lineRule="atLeast"/>
        <w:ind w:left="360"/>
        <w:jc w:val="both"/>
        <w:textAlignment w:val="baseline"/>
        <w:rPr>
          <w:rFonts w:ascii="Times New Roman" w:hAnsi="Times New Roman" w:cs="Times New Roman"/>
          <w:color w:val="FF0000"/>
          <w:sz w:val="24"/>
          <w:szCs w:val="24"/>
          <w:bdr w:val="none" w:sz="0" w:space="0" w:color="auto" w:frame="1"/>
          <w:shd w:val="clear" w:color="auto" w:fill="FFFFFF"/>
        </w:rPr>
      </w:pPr>
      <w:r w:rsidRPr="00AC67B6">
        <w:rPr>
          <w:rFonts w:ascii="Times New Roman" w:hAnsi="Times New Roman" w:cs="Times New Roman"/>
          <w:color w:val="FF0000"/>
          <w:sz w:val="24"/>
          <w:szCs w:val="24"/>
          <w:bdr w:val="none" w:sz="0" w:space="0" w:color="auto" w:frame="1"/>
          <w:shd w:val="clear" w:color="auto" w:fill="FFFFFF"/>
        </w:rPr>
        <w:t>El déficit del Gobierno federal no puede rebasar el 0,35% del PIB.</w:t>
      </w:r>
    </w:p>
    <w:p w:rsidR="0039280D" w:rsidRPr="00AC67B6" w:rsidRDefault="0039280D" w:rsidP="0039280D">
      <w:pPr>
        <w:numPr>
          <w:ilvl w:val="0"/>
          <w:numId w:val="13"/>
        </w:numPr>
        <w:spacing w:after="0" w:line="300" w:lineRule="atLeast"/>
        <w:ind w:left="360"/>
        <w:jc w:val="both"/>
        <w:textAlignment w:val="baseline"/>
        <w:rPr>
          <w:rFonts w:ascii="Times New Roman" w:hAnsi="Times New Roman" w:cs="Times New Roman"/>
          <w:color w:val="FF0000"/>
          <w:sz w:val="24"/>
          <w:szCs w:val="24"/>
          <w:bdr w:val="none" w:sz="0" w:space="0" w:color="auto" w:frame="1"/>
          <w:shd w:val="clear" w:color="auto" w:fill="FFFFFF"/>
        </w:rPr>
      </w:pPr>
      <w:r w:rsidRPr="00AC67B6">
        <w:rPr>
          <w:rFonts w:ascii="Times New Roman" w:hAnsi="Times New Roman" w:cs="Times New Roman"/>
          <w:color w:val="FF0000"/>
          <w:sz w:val="24"/>
          <w:szCs w:val="24"/>
          <w:bdr w:val="none" w:sz="0" w:space="0" w:color="auto" w:frame="1"/>
          <w:shd w:val="clear" w:color="auto" w:fill="FFFFFF"/>
        </w:rPr>
        <w:t>El déficit está prohibido para las Administraciones regionales y locales: es obligado conseguir un superávit.</w:t>
      </w:r>
    </w:p>
    <w:p w:rsidR="0039280D" w:rsidRPr="00AC67B6" w:rsidRDefault="0039280D" w:rsidP="0039280D">
      <w:pPr>
        <w:numPr>
          <w:ilvl w:val="0"/>
          <w:numId w:val="13"/>
        </w:numPr>
        <w:spacing w:after="0" w:line="300" w:lineRule="atLeast"/>
        <w:ind w:left="360"/>
        <w:jc w:val="both"/>
        <w:textAlignment w:val="baseline"/>
        <w:rPr>
          <w:rFonts w:ascii="Times New Roman" w:hAnsi="Times New Roman" w:cs="Times New Roman"/>
          <w:color w:val="FF0000"/>
          <w:sz w:val="24"/>
          <w:szCs w:val="24"/>
          <w:bdr w:val="none" w:sz="0" w:space="0" w:color="auto" w:frame="1"/>
          <w:shd w:val="clear" w:color="auto" w:fill="FFFFFF"/>
        </w:rPr>
      </w:pPr>
      <w:r w:rsidRPr="00AC67B6">
        <w:rPr>
          <w:rFonts w:ascii="Times New Roman" w:hAnsi="Times New Roman" w:cs="Times New Roman"/>
          <w:color w:val="FF0000"/>
          <w:sz w:val="24"/>
          <w:szCs w:val="24"/>
          <w:bdr w:val="none" w:sz="0" w:space="0" w:color="auto" w:frame="1"/>
          <w:shd w:val="clear" w:color="auto" w:fill="FFFFFF"/>
        </w:rPr>
        <w:t>La evolución del ciclo económico permite que se den ciertas desviaciones en el corto y medio plazo.</w:t>
      </w:r>
    </w:p>
    <w:p w:rsidR="0039280D" w:rsidRDefault="0039280D" w:rsidP="0039280D">
      <w:pPr>
        <w:numPr>
          <w:ilvl w:val="0"/>
          <w:numId w:val="13"/>
        </w:numPr>
        <w:spacing w:after="0" w:line="300" w:lineRule="atLeast"/>
        <w:ind w:left="360"/>
        <w:jc w:val="both"/>
        <w:textAlignment w:val="baseline"/>
        <w:rPr>
          <w:rFonts w:ascii="Times New Roman" w:hAnsi="Times New Roman" w:cs="Times New Roman"/>
          <w:color w:val="FF0000"/>
          <w:sz w:val="24"/>
          <w:szCs w:val="24"/>
          <w:bdr w:val="none" w:sz="0" w:space="0" w:color="auto" w:frame="1"/>
          <w:shd w:val="clear" w:color="auto" w:fill="FFFFFF"/>
        </w:rPr>
      </w:pPr>
      <w:r w:rsidRPr="00AC67B6">
        <w:rPr>
          <w:rFonts w:ascii="Times New Roman" w:hAnsi="Times New Roman" w:cs="Times New Roman"/>
          <w:color w:val="FF0000"/>
          <w:sz w:val="24"/>
          <w:szCs w:val="24"/>
          <w:bdr w:val="none" w:sz="0" w:space="0" w:color="auto" w:frame="1"/>
          <w:shd w:val="clear" w:color="auto" w:fill="FFFFFF"/>
        </w:rPr>
        <w:t>Bajo escenarios de urgencia, hay un mecanismo de ajuste que permite mayores niveles de déficit (en torno al 0,5% del PIB, sin contar los pagos por intereses de la deuda).</w:t>
      </w:r>
    </w:p>
    <w:p w:rsidR="0039280D" w:rsidRPr="00AC67B6" w:rsidRDefault="0039280D" w:rsidP="0039280D">
      <w:pPr>
        <w:spacing w:after="0" w:line="300" w:lineRule="atLeast"/>
        <w:ind w:left="360"/>
        <w:jc w:val="both"/>
        <w:textAlignment w:val="baseline"/>
        <w:rPr>
          <w:rFonts w:ascii="Times New Roman" w:hAnsi="Times New Roman" w:cs="Times New Roman"/>
          <w:color w:val="FF0000"/>
          <w:sz w:val="24"/>
          <w:szCs w:val="24"/>
          <w:bdr w:val="none" w:sz="0" w:space="0" w:color="auto" w:frame="1"/>
          <w:shd w:val="clear" w:color="auto" w:fill="FFFFFF"/>
        </w:rPr>
      </w:pPr>
    </w:p>
    <w:p w:rsidR="0039280D" w:rsidRDefault="0039280D" w:rsidP="0039280D">
      <w:pPr>
        <w:pStyle w:val="NormalWeb"/>
        <w:spacing w:before="0" w:beforeAutospacing="0" w:after="360" w:afterAutospacing="0" w:line="300" w:lineRule="atLeast"/>
        <w:jc w:val="both"/>
        <w:textAlignment w:val="baseline"/>
        <w:rPr>
          <w:color w:val="FF0000"/>
          <w:bdr w:val="none" w:sz="0" w:space="0" w:color="auto" w:frame="1"/>
          <w:shd w:val="clear" w:color="auto" w:fill="FFFFFF"/>
        </w:rPr>
      </w:pPr>
      <w:r w:rsidRPr="00AC67B6">
        <w:rPr>
          <w:color w:val="FF0000"/>
          <w:bdr w:val="none" w:sz="0" w:space="0" w:color="auto" w:frame="1"/>
          <w:shd w:val="clear" w:color="auto" w:fill="FFFFFF"/>
        </w:rPr>
        <w:t>Desde la introducción de este nuevo marco institucional para la política fiscal, el déficit público pasó a mejor vida en cuestión de unos pocos años. Así, frente a un descuadre del 4,2% del PIB en 2010, las cuentas arrojaron un superávit del 0,6% del PIB en 2014. El saldo positivo siguió creciendo en los años siguientes y se ha situado por encima del 1% del PIB entre 2017 y 2019.</w:t>
      </w:r>
    </w:p>
    <w:p w:rsidR="00C57D91" w:rsidRPr="0071782C" w:rsidRDefault="00C57D91" w:rsidP="00C57D91">
      <w:pPr>
        <w:pStyle w:val="NormalWeb"/>
        <w:shd w:val="clear" w:color="auto" w:fill="FFFFFF"/>
        <w:spacing w:after="0"/>
        <w:jc w:val="both"/>
        <w:textAlignment w:val="baseline"/>
        <w:rPr>
          <w:b/>
        </w:rPr>
      </w:pPr>
      <w:r>
        <w:rPr>
          <w:b/>
        </w:rPr>
        <w:t xml:space="preserve">Conclusión - </w:t>
      </w:r>
      <w:r w:rsidRPr="0071782C">
        <w:rPr>
          <w:b/>
        </w:rPr>
        <w:t>La razón para esta disfunción</w:t>
      </w:r>
      <w:r w:rsidR="001B61AC">
        <w:rPr>
          <w:b/>
        </w:rPr>
        <w:t>, entre países de la UE,</w:t>
      </w:r>
      <w:r w:rsidRPr="0071782C">
        <w:rPr>
          <w:b/>
        </w:rPr>
        <w:t xml:space="preserve"> es obvia: corrupción</w:t>
      </w:r>
      <w:r>
        <w:rPr>
          <w:b/>
        </w:rPr>
        <w:t>.</w:t>
      </w:r>
    </w:p>
    <w:p w:rsidR="0039280D" w:rsidRPr="00C57D91" w:rsidRDefault="0039280D" w:rsidP="00C57D91">
      <w:pPr>
        <w:pStyle w:val="NormalWeb"/>
        <w:spacing w:before="0" w:beforeAutospacing="0" w:after="360" w:afterAutospacing="0" w:line="300" w:lineRule="atLeast"/>
        <w:jc w:val="both"/>
        <w:textAlignment w:val="baseline"/>
        <w:rPr>
          <w:b/>
          <w:bdr w:val="none" w:sz="0" w:space="0" w:color="auto" w:frame="1"/>
          <w:shd w:val="clear" w:color="auto" w:fill="FFFFFF"/>
        </w:rPr>
      </w:pPr>
      <w:r w:rsidRPr="003900F9">
        <w:rPr>
          <w:b/>
        </w:rPr>
        <w:t>A los gobiernos (manirrotos</w:t>
      </w:r>
      <w:r w:rsidR="009852CF">
        <w:rPr>
          <w:b/>
        </w:rPr>
        <w:t>, adictos al gasto</w:t>
      </w:r>
      <w:r>
        <w:rPr>
          <w:b/>
        </w:rPr>
        <w:t xml:space="preserve"> y pedigüeños</w:t>
      </w:r>
      <w:r w:rsidRPr="003900F9">
        <w:rPr>
          <w:b/>
        </w:rPr>
        <w:t>)</w:t>
      </w:r>
      <w:r w:rsidR="00C57D91">
        <w:rPr>
          <w:b/>
        </w:rPr>
        <w:t xml:space="preserve"> de los países</w:t>
      </w:r>
      <w:r w:rsidRPr="003900F9">
        <w:rPr>
          <w:b/>
        </w:rPr>
        <w:t xml:space="preserve"> que están del </w:t>
      </w:r>
      <w:r w:rsidR="001B61AC">
        <w:rPr>
          <w:b/>
        </w:rPr>
        <w:t>“</w:t>
      </w:r>
      <w:r w:rsidRPr="003900F9">
        <w:rPr>
          <w:b/>
        </w:rPr>
        <w:t>lado malo del muro</w:t>
      </w:r>
      <w:r w:rsidR="001B61AC">
        <w:rPr>
          <w:b/>
        </w:rPr>
        <w:t>” (Club Med)</w:t>
      </w:r>
      <w:r w:rsidRPr="003900F9">
        <w:rPr>
          <w:b/>
        </w:rPr>
        <w:t xml:space="preserve">: </w:t>
      </w:r>
    </w:p>
    <w:p w:rsidR="0071782C" w:rsidRDefault="0039280D" w:rsidP="0039280D">
      <w:pPr>
        <w:pStyle w:val="NormalWeb"/>
        <w:shd w:val="clear" w:color="auto" w:fill="FFFFFF"/>
        <w:spacing w:after="0"/>
        <w:jc w:val="both"/>
        <w:textAlignment w:val="baseline"/>
        <w:rPr>
          <w:b/>
        </w:rPr>
      </w:pPr>
      <w:r w:rsidRPr="003900F9">
        <w:rPr>
          <w:b/>
        </w:rPr>
        <w:t>Ustedes pueden elegir como</w:t>
      </w:r>
      <w:r>
        <w:rPr>
          <w:b/>
        </w:rPr>
        <w:t xml:space="preserve"> quieren</w:t>
      </w:r>
      <w:r w:rsidRPr="003900F9">
        <w:rPr>
          <w:b/>
        </w:rPr>
        <w:t xml:space="preserve"> vivir… pero no pueden hacer pagar a los </w:t>
      </w:r>
      <w:r>
        <w:rPr>
          <w:b/>
        </w:rPr>
        <w:t>“</w:t>
      </w:r>
      <w:r w:rsidRPr="003900F9">
        <w:rPr>
          <w:b/>
        </w:rPr>
        <w:t>unos</w:t>
      </w:r>
      <w:r>
        <w:rPr>
          <w:b/>
        </w:rPr>
        <w:t>” (austeros y ordenados)</w:t>
      </w:r>
      <w:r w:rsidRPr="003900F9">
        <w:rPr>
          <w:b/>
        </w:rPr>
        <w:t xml:space="preserve"> por los otros</w:t>
      </w:r>
      <w:r>
        <w:rPr>
          <w:b/>
        </w:rPr>
        <w:t xml:space="preserve"> (frívolos e imprevisores). Eso no es “espíritu de unidad”, eso es “abuso de confianza”</w:t>
      </w:r>
      <w:r w:rsidR="001B61AC">
        <w:rPr>
          <w:b/>
        </w:rPr>
        <w:t>,</w:t>
      </w:r>
      <w:r>
        <w:rPr>
          <w:b/>
        </w:rPr>
        <w:t xml:space="preserve"> e “irresponsabilidad manifiesta”.</w:t>
      </w:r>
    </w:p>
    <w:p w:rsidR="0039280D" w:rsidRDefault="0071782C" w:rsidP="0039280D">
      <w:pPr>
        <w:pStyle w:val="NormalWeb"/>
        <w:shd w:val="clear" w:color="auto" w:fill="FFFFFF"/>
        <w:spacing w:after="0"/>
        <w:jc w:val="both"/>
        <w:textAlignment w:val="baseline"/>
        <w:rPr>
          <w:b/>
        </w:rPr>
      </w:pPr>
      <w:r w:rsidRPr="0071782C">
        <w:rPr>
          <w:b/>
        </w:rPr>
        <w:t>Una demostración de democracia social europea exitosa (en un sentido operativo</w:t>
      </w:r>
      <w:r>
        <w:rPr>
          <w:b/>
        </w:rPr>
        <w:t>,</w:t>
      </w:r>
      <w:r w:rsidRPr="0071782C">
        <w:rPr>
          <w:b/>
        </w:rPr>
        <w:t xml:space="preserve"> más que partidario y estrec</w:t>
      </w:r>
      <w:r>
        <w:rPr>
          <w:b/>
        </w:rPr>
        <w:t>ho), podría fundamentarse</w:t>
      </w:r>
      <w:r w:rsidRPr="0071782C">
        <w:rPr>
          <w:b/>
        </w:rPr>
        <w:t xml:space="preserve"> en una economía mixta, que combine mercados, regulación gubernamental, sector público y sociedad civil, buscando una estrategia mixta: objetivos públicos, inversiones públicas en infraestructura, inversiones privadas en transformación industrial, misiones de investigación y desarrollo público-privadas, y una población informada. De hecho, eso sería una política económica en su grado más sofisticado. </w:t>
      </w:r>
      <w:r>
        <w:rPr>
          <w:b/>
        </w:rPr>
        <w:t xml:space="preserve">Un </w:t>
      </w:r>
      <w:r w:rsidRPr="0071782C">
        <w:rPr>
          <w:b/>
        </w:rPr>
        <w:t>plan ambicioso, desafiante y viable, siempre</w:t>
      </w:r>
      <w:r>
        <w:rPr>
          <w:b/>
        </w:rPr>
        <w:t xml:space="preserve"> que</w:t>
      </w:r>
      <w:r w:rsidR="00B160C2">
        <w:rPr>
          <w:b/>
        </w:rPr>
        <w:t xml:space="preserve"> los gobiernos de</w:t>
      </w:r>
      <w:r>
        <w:rPr>
          <w:b/>
        </w:rPr>
        <w:t xml:space="preserve"> los países que </w:t>
      </w:r>
      <w:r w:rsidR="00B160C2">
        <w:rPr>
          <w:b/>
        </w:rPr>
        <w:t>están en</w:t>
      </w:r>
      <w:r>
        <w:rPr>
          <w:b/>
        </w:rPr>
        <w:t xml:space="preserve"> el </w:t>
      </w:r>
      <w:r w:rsidR="001B61AC">
        <w:rPr>
          <w:b/>
        </w:rPr>
        <w:t>“</w:t>
      </w:r>
      <w:r>
        <w:rPr>
          <w:b/>
        </w:rPr>
        <w:t>lado malo de muro</w:t>
      </w:r>
      <w:r w:rsidR="001B61AC">
        <w:rPr>
          <w:b/>
        </w:rPr>
        <w:t>”</w:t>
      </w:r>
      <w:r>
        <w:rPr>
          <w:b/>
        </w:rPr>
        <w:t xml:space="preserve"> </w:t>
      </w:r>
      <w:r w:rsidR="00B160C2">
        <w:rPr>
          <w:b/>
        </w:rPr>
        <w:t>se</w:t>
      </w:r>
      <w:r>
        <w:rPr>
          <w:b/>
        </w:rPr>
        <w:t xml:space="preserve"> </w:t>
      </w:r>
      <w:r w:rsidR="00B160C2">
        <w:rPr>
          <w:b/>
        </w:rPr>
        <w:t>decidan</w:t>
      </w:r>
      <w:r w:rsidRPr="0071782C">
        <w:rPr>
          <w:b/>
        </w:rPr>
        <w:t xml:space="preserve"> a </w:t>
      </w:r>
      <w:r>
        <w:rPr>
          <w:b/>
        </w:rPr>
        <w:t>superar los intereses del statu</w:t>
      </w:r>
      <w:r w:rsidRPr="0071782C">
        <w:rPr>
          <w:b/>
        </w:rPr>
        <w:t xml:space="preserve"> quo</w:t>
      </w:r>
      <w:r>
        <w:rPr>
          <w:b/>
        </w:rPr>
        <w:t>.</w:t>
      </w:r>
      <w:r w:rsidR="0039280D" w:rsidRPr="0071782C">
        <w:rPr>
          <w:b/>
        </w:rPr>
        <w:t xml:space="preserve"> </w:t>
      </w:r>
    </w:p>
    <w:p w:rsidR="00E41998" w:rsidRDefault="00C57D91" w:rsidP="00E41998">
      <w:pPr>
        <w:pStyle w:val="NormalWeb"/>
        <w:shd w:val="clear" w:color="auto" w:fill="FFFFFF"/>
        <w:spacing w:after="0"/>
        <w:jc w:val="both"/>
        <w:textAlignment w:val="baseline"/>
        <w:rPr>
          <w:b/>
        </w:rPr>
      </w:pPr>
      <w:r>
        <w:rPr>
          <w:b/>
        </w:rPr>
        <w:t>Una demostración de gobierno exitoso sería gestionar las cuentas públicas con se</w:t>
      </w:r>
      <w:r w:rsidR="002B0609">
        <w:rPr>
          <w:b/>
        </w:rPr>
        <w:t xml:space="preserve">riedad y responsabilidad, </w:t>
      </w:r>
      <w:r>
        <w:rPr>
          <w:b/>
        </w:rPr>
        <w:t>reducir el déficit público, reducir la deu</w:t>
      </w:r>
      <w:r w:rsidR="002B0609">
        <w:rPr>
          <w:b/>
        </w:rPr>
        <w:t xml:space="preserve">da pública, elaborar un presupuesto de base cero, modificar las prioridades y estructura </w:t>
      </w:r>
      <w:r w:rsidR="001B61AC">
        <w:rPr>
          <w:b/>
        </w:rPr>
        <w:t>del gasto, achicar el aparato</w:t>
      </w:r>
      <w:r w:rsidR="002B0609">
        <w:rPr>
          <w:b/>
        </w:rPr>
        <w:t xml:space="preserve"> del estado, ofrecer seguridad jurídica, devolver a la sociedad mayores espacios de libertad y responsabilidad, no rescatar empresas o entidades financieras, no subvencionar organizaciones sindicales y cámaras empresariales… en fin, cumplir</w:t>
      </w:r>
      <w:r w:rsidR="00E41998">
        <w:rPr>
          <w:b/>
        </w:rPr>
        <w:t xml:space="preserve"> con</w:t>
      </w:r>
      <w:r w:rsidR="00272B0F">
        <w:rPr>
          <w:b/>
        </w:rPr>
        <w:t xml:space="preserve"> los Criterios</w:t>
      </w:r>
      <w:r w:rsidR="002B0609">
        <w:rPr>
          <w:b/>
        </w:rPr>
        <w:t xml:space="preserve"> de </w:t>
      </w:r>
      <w:r w:rsidR="00E41998">
        <w:rPr>
          <w:b/>
        </w:rPr>
        <w:t>Maastricht y, recién enton</w:t>
      </w:r>
      <w:r w:rsidR="00E02E20">
        <w:rPr>
          <w:b/>
        </w:rPr>
        <w:t>ces, solicitar una Unión Económica y Monetaria más justa y más profunda, una política comercial equilibrada</w:t>
      </w:r>
      <w:r w:rsidR="00E41998">
        <w:rPr>
          <w:b/>
        </w:rPr>
        <w:t>…</w:t>
      </w:r>
      <w:r w:rsidR="00E02E20">
        <w:rPr>
          <w:b/>
        </w:rPr>
        <w:t xml:space="preserve"> </w:t>
      </w:r>
      <w:r w:rsidR="00E41998">
        <w:rPr>
          <w:b/>
        </w:rPr>
        <w:t xml:space="preserve">and so on. </w:t>
      </w:r>
    </w:p>
    <w:p w:rsidR="00A543FA" w:rsidRDefault="00E41998" w:rsidP="00E41998">
      <w:pPr>
        <w:pStyle w:val="NormalWeb"/>
        <w:shd w:val="clear" w:color="auto" w:fill="FFFFFF"/>
        <w:spacing w:after="0"/>
        <w:jc w:val="both"/>
        <w:textAlignment w:val="baseline"/>
        <w:rPr>
          <w:b/>
        </w:rPr>
      </w:pPr>
      <w:r>
        <w:rPr>
          <w:b/>
        </w:rPr>
        <w:lastRenderedPageBreak/>
        <w:t>-</w:t>
      </w:r>
      <w:r w:rsidR="00A543FA" w:rsidRPr="00E13A54">
        <w:rPr>
          <w:b/>
        </w:rPr>
        <w:t>Anexo: Información estadística</w:t>
      </w:r>
      <w:r w:rsidR="003622F6" w:rsidRPr="00E13A54">
        <w:rPr>
          <w:b/>
        </w:rPr>
        <w:t xml:space="preserve"> de referencia (otra forma de visualizar los “muros” que -aún- separ</w:t>
      </w:r>
      <w:r w:rsidR="000E5CF4">
        <w:rPr>
          <w:b/>
        </w:rPr>
        <w:t>an a los países miembro de la Unión Europea</w:t>
      </w:r>
      <w:r w:rsidR="003622F6" w:rsidRPr="00E13A54">
        <w:rPr>
          <w:b/>
        </w:rPr>
        <w:t>)</w:t>
      </w:r>
    </w:p>
    <w:p w:rsidR="00E13A54" w:rsidRDefault="00E13A54" w:rsidP="001E0FC9">
      <w:pPr>
        <w:pStyle w:val="NormalWeb"/>
        <w:shd w:val="clear" w:color="auto" w:fill="FFFFFF"/>
        <w:spacing w:before="0" w:beforeAutospacing="0" w:after="0" w:afterAutospacing="0"/>
        <w:jc w:val="both"/>
        <w:textAlignment w:val="baseline"/>
        <w:rPr>
          <w:b/>
        </w:rPr>
      </w:pPr>
    </w:p>
    <w:p w:rsidR="00E13A54" w:rsidRDefault="00E13A54" w:rsidP="001E0FC9">
      <w:pPr>
        <w:pStyle w:val="NormalWeb"/>
        <w:shd w:val="clear" w:color="auto" w:fill="FFFFFF"/>
        <w:spacing w:before="0" w:beforeAutospacing="0" w:after="0" w:afterAutospacing="0"/>
        <w:jc w:val="both"/>
        <w:textAlignment w:val="baseline"/>
        <w:rPr>
          <w:b/>
        </w:rPr>
      </w:pPr>
    </w:p>
    <w:p w:rsidR="00E13A54" w:rsidRDefault="00E13A54" w:rsidP="001E0FC9">
      <w:pPr>
        <w:pStyle w:val="NormalWeb"/>
        <w:shd w:val="clear" w:color="auto" w:fill="FFFFFF"/>
        <w:spacing w:before="0" w:beforeAutospacing="0" w:after="0" w:afterAutospacing="0"/>
        <w:jc w:val="both"/>
        <w:textAlignment w:val="baseline"/>
        <w:rPr>
          <w:b/>
        </w:rPr>
      </w:pPr>
    </w:p>
    <w:p w:rsidR="00E13A54" w:rsidRDefault="00E13A54" w:rsidP="001E0FC9">
      <w:pPr>
        <w:pStyle w:val="NormalWeb"/>
        <w:shd w:val="clear" w:color="auto" w:fill="FFFFFF"/>
        <w:spacing w:before="0" w:beforeAutospacing="0" w:after="0" w:afterAutospacing="0"/>
        <w:jc w:val="both"/>
        <w:textAlignment w:val="baseline"/>
        <w:rPr>
          <w:b/>
        </w:rPr>
      </w:pPr>
    </w:p>
    <w:p w:rsidR="00E13A54" w:rsidRDefault="00E13A54" w:rsidP="001E0FC9">
      <w:pPr>
        <w:pStyle w:val="NormalWeb"/>
        <w:shd w:val="clear" w:color="auto" w:fill="FFFFFF"/>
        <w:spacing w:before="0" w:beforeAutospacing="0" w:after="0" w:afterAutospacing="0"/>
        <w:jc w:val="both"/>
        <w:textAlignment w:val="baseline"/>
        <w:rPr>
          <w:b/>
        </w:rPr>
      </w:pPr>
    </w:p>
    <w:p w:rsidR="00E13A54" w:rsidRDefault="00E13A54" w:rsidP="001E0FC9">
      <w:pPr>
        <w:pStyle w:val="NormalWeb"/>
        <w:shd w:val="clear" w:color="auto" w:fill="FFFFFF"/>
        <w:spacing w:before="0" w:beforeAutospacing="0" w:after="0" w:afterAutospacing="0"/>
        <w:jc w:val="both"/>
        <w:textAlignment w:val="baseline"/>
        <w:rPr>
          <w:b/>
        </w:rPr>
      </w:pPr>
    </w:p>
    <w:p w:rsidR="00E13A54" w:rsidRDefault="00E13A54" w:rsidP="001E0FC9">
      <w:pPr>
        <w:pStyle w:val="NormalWeb"/>
        <w:shd w:val="clear" w:color="auto" w:fill="FFFFFF"/>
        <w:spacing w:before="0" w:beforeAutospacing="0" w:after="0" w:afterAutospacing="0"/>
        <w:jc w:val="both"/>
        <w:textAlignment w:val="baseline"/>
        <w:rPr>
          <w:b/>
        </w:rPr>
      </w:pPr>
      <w:r w:rsidRPr="007946CF">
        <w:rPr>
          <w:b/>
          <w:noProof/>
          <w:color w:val="FF0000"/>
        </w:rPr>
        <w:drawing>
          <wp:inline distT="0" distB="0" distL="0" distR="0">
            <wp:extent cx="5731510" cy="2931275"/>
            <wp:effectExtent l="0" t="0" r="2540" b="254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731510" cy="2931275"/>
                    </a:xfrm>
                    <a:prstGeom prst="rect">
                      <a:avLst/>
                    </a:prstGeom>
                  </pic:spPr>
                </pic:pic>
              </a:graphicData>
            </a:graphic>
          </wp:inline>
        </w:drawing>
      </w:r>
    </w:p>
    <w:p w:rsidR="00E13A54" w:rsidRPr="00E13A54" w:rsidRDefault="00E13A54" w:rsidP="001E0FC9">
      <w:pPr>
        <w:pStyle w:val="NormalWeb"/>
        <w:shd w:val="clear" w:color="auto" w:fill="FFFFFF"/>
        <w:spacing w:before="0" w:beforeAutospacing="0" w:after="0" w:afterAutospacing="0"/>
        <w:jc w:val="both"/>
        <w:textAlignment w:val="baseline"/>
        <w:rPr>
          <w:b/>
        </w:rPr>
      </w:pPr>
      <w:r w:rsidRPr="007946CF">
        <w:rPr>
          <w:b/>
          <w:noProof/>
          <w:color w:val="FF0000"/>
        </w:rPr>
        <w:drawing>
          <wp:inline distT="0" distB="0" distL="0" distR="0">
            <wp:extent cx="5731510" cy="1349599"/>
            <wp:effectExtent l="0" t="0" r="2540" b="317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5731510" cy="1349599"/>
                    </a:xfrm>
                    <a:prstGeom prst="rect">
                      <a:avLst/>
                    </a:prstGeom>
                  </pic:spPr>
                </pic:pic>
              </a:graphicData>
            </a:graphic>
          </wp:inline>
        </w:drawing>
      </w: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39280D" w:rsidRDefault="0039280D"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sectPr w:rsidR="00E13A54" w:rsidSect="00E13A54">
          <w:pgSz w:w="11906" w:h="16838"/>
          <w:pgMar w:top="1440" w:right="1440" w:bottom="1440" w:left="1440" w:header="708" w:footer="708" w:gutter="0"/>
          <w:cols w:space="708"/>
          <w:docGrid w:linePitch="360"/>
        </w:sectPr>
      </w:pPr>
    </w:p>
    <w:p w:rsidR="007946CF" w:rsidRDefault="007946CF" w:rsidP="001E0FC9">
      <w:pPr>
        <w:pStyle w:val="NormalWeb"/>
        <w:shd w:val="clear" w:color="auto" w:fill="FFFFFF"/>
        <w:spacing w:before="0" w:beforeAutospacing="0" w:after="0" w:afterAutospacing="0"/>
        <w:jc w:val="both"/>
        <w:textAlignment w:val="baseline"/>
        <w:rPr>
          <w:b/>
          <w:color w:val="FF0000"/>
        </w:rPr>
      </w:pPr>
      <w:r w:rsidRPr="007946CF">
        <w:rPr>
          <w:b/>
          <w:noProof/>
          <w:color w:val="FF0000"/>
        </w:rPr>
        <w:lastRenderedPageBreak/>
        <w:drawing>
          <wp:inline distT="0" distB="0" distL="0" distR="0">
            <wp:extent cx="5943600" cy="3039745"/>
            <wp:effectExtent l="0" t="0" r="0"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943600" cy="3039745"/>
                    </a:xfrm>
                    <a:prstGeom prst="rect">
                      <a:avLst/>
                    </a:prstGeom>
                  </pic:spPr>
                </pic:pic>
              </a:graphicData>
            </a:graphic>
          </wp:inline>
        </w:drawing>
      </w:r>
    </w:p>
    <w:p w:rsidR="007946CF" w:rsidRDefault="007946CF" w:rsidP="001E0FC9">
      <w:pPr>
        <w:pStyle w:val="NormalWeb"/>
        <w:shd w:val="clear" w:color="auto" w:fill="FFFFFF"/>
        <w:spacing w:before="0" w:beforeAutospacing="0" w:after="0" w:afterAutospacing="0"/>
        <w:jc w:val="both"/>
        <w:textAlignment w:val="baseline"/>
        <w:rPr>
          <w:b/>
          <w:color w:val="FF0000"/>
        </w:rPr>
      </w:pPr>
      <w:r w:rsidRPr="007946CF">
        <w:rPr>
          <w:b/>
          <w:noProof/>
          <w:color w:val="FF0000"/>
        </w:rPr>
        <w:drawing>
          <wp:inline distT="0" distB="0" distL="0" distR="0">
            <wp:extent cx="5943600" cy="139954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5943600" cy="1399540"/>
                    </a:xfrm>
                    <a:prstGeom prst="rect">
                      <a:avLst/>
                    </a:prstGeom>
                  </pic:spPr>
                </pic:pic>
              </a:graphicData>
            </a:graphic>
          </wp:inline>
        </w:drawing>
      </w: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7946CF" w:rsidRDefault="007946CF" w:rsidP="001E0FC9">
      <w:pPr>
        <w:pStyle w:val="NormalWeb"/>
        <w:shd w:val="clear" w:color="auto" w:fill="FFFFFF"/>
        <w:spacing w:before="0" w:beforeAutospacing="0" w:after="0" w:afterAutospacing="0"/>
        <w:jc w:val="both"/>
        <w:textAlignment w:val="baseline"/>
        <w:rPr>
          <w:b/>
          <w:color w:val="FF0000"/>
        </w:rPr>
      </w:pPr>
    </w:p>
    <w:p w:rsidR="007946CF" w:rsidRDefault="007946CF" w:rsidP="001E0FC9">
      <w:pPr>
        <w:pStyle w:val="NormalWeb"/>
        <w:shd w:val="clear" w:color="auto" w:fill="FFFFFF"/>
        <w:spacing w:before="0" w:beforeAutospacing="0" w:after="0" w:afterAutospacing="0"/>
        <w:jc w:val="both"/>
        <w:textAlignment w:val="baseline"/>
        <w:rPr>
          <w:b/>
          <w:color w:val="FF0000"/>
        </w:rPr>
      </w:pPr>
      <w:r w:rsidRPr="007946CF">
        <w:rPr>
          <w:b/>
          <w:noProof/>
          <w:color w:val="FF0000"/>
        </w:rPr>
        <w:lastRenderedPageBreak/>
        <w:drawing>
          <wp:inline distT="0" distB="0" distL="0" distR="0">
            <wp:extent cx="5943600" cy="23812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943600" cy="2381250"/>
                    </a:xfrm>
                    <a:prstGeom prst="rect">
                      <a:avLst/>
                    </a:prstGeom>
                  </pic:spPr>
                </pic:pic>
              </a:graphicData>
            </a:graphic>
          </wp:inline>
        </w:drawing>
      </w:r>
    </w:p>
    <w:p w:rsidR="007946CF" w:rsidRDefault="007946CF" w:rsidP="001E0FC9">
      <w:pPr>
        <w:pStyle w:val="NormalWeb"/>
        <w:shd w:val="clear" w:color="auto" w:fill="FFFFFF"/>
        <w:spacing w:before="0" w:beforeAutospacing="0" w:after="0" w:afterAutospacing="0"/>
        <w:jc w:val="both"/>
        <w:textAlignment w:val="baseline"/>
        <w:rPr>
          <w:b/>
          <w:color w:val="FF0000"/>
        </w:rPr>
      </w:pPr>
      <w:r w:rsidRPr="007946CF">
        <w:rPr>
          <w:b/>
          <w:noProof/>
          <w:color w:val="FF0000"/>
        </w:rPr>
        <w:drawing>
          <wp:inline distT="0" distB="0" distL="0" distR="0">
            <wp:extent cx="5943600" cy="15621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943600" cy="1562100"/>
                    </a:xfrm>
                    <a:prstGeom prst="rect">
                      <a:avLst/>
                    </a:prstGeom>
                  </pic:spPr>
                </pic:pic>
              </a:graphicData>
            </a:graphic>
          </wp:inline>
        </w:drawing>
      </w:r>
    </w:p>
    <w:p w:rsidR="00FE19B2" w:rsidRDefault="00FE19B2" w:rsidP="001E0FC9">
      <w:pPr>
        <w:pStyle w:val="NormalWeb"/>
        <w:shd w:val="clear" w:color="auto" w:fill="FFFFFF"/>
        <w:spacing w:before="0" w:beforeAutospacing="0" w:after="0" w:afterAutospacing="0"/>
        <w:jc w:val="both"/>
        <w:textAlignment w:val="baseline"/>
        <w:rPr>
          <w:b/>
          <w:color w:val="FF0000"/>
        </w:rPr>
      </w:pPr>
      <w:r w:rsidRPr="00FE19B2">
        <w:rPr>
          <w:b/>
          <w:noProof/>
          <w:color w:val="FF0000"/>
        </w:rPr>
        <w:drawing>
          <wp:inline distT="0" distB="0" distL="0" distR="0">
            <wp:extent cx="5943600" cy="171513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943600" cy="1715135"/>
                    </a:xfrm>
                    <a:prstGeom prst="rect">
                      <a:avLst/>
                    </a:prstGeom>
                  </pic:spPr>
                </pic:pic>
              </a:graphicData>
            </a:graphic>
          </wp:inline>
        </w:drawing>
      </w: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E13A54" w:rsidRDefault="00E13A54" w:rsidP="001E0FC9">
      <w:pPr>
        <w:pStyle w:val="NormalWeb"/>
        <w:shd w:val="clear" w:color="auto" w:fill="FFFFFF"/>
        <w:spacing w:before="0" w:beforeAutospacing="0" w:after="0" w:afterAutospacing="0"/>
        <w:jc w:val="both"/>
        <w:textAlignment w:val="baseline"/>
        <w:rPr>
          <w:b/>
          <w:color w:val="FF0000"/>
        </w:rPr>
      </w:pPr>
    </w:p>
    <w:p w:rsidR="00FE19B2" w:rsidRDefault="00FE19B2" w:rsidP="001E0FC9">
      <w:pPr>
        <w:pStyle w:val="NormalWeb"/>
        <w:shd w:val="clear" w:color="auto" w:fill="FFFFFF"/>
        <w:spacing w:before="0" w:beforeAutospacing="0" w:after="0" w:afterAutospacing="0"/>
        <w:jc w:val="both"/>
        <w:textAlignment w:val="baseline"/>
        <w:rPr>
          <w:b/>
          <w:color w:val="FF0000"/>
        </w:rPr>
      </w:pPr>
      <w:r w:rsidRPr="00FE19B2">
        <w:rPr>
          <w:b/>
          <w:noProof/>
          <w:color w:val="FF0000"/>
        </w:rPr>
        <w:lastRenderedPageBreak/>
        <w:drawing>
          <wp:inline distT="0" distB="0" distL="0" distR="0">
            <wp:extent cx="5943600" cy="233680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943600" cy="2336800"/>
                    </a:xfrm>
                    <a:prstGeom prst="rect">
                      <a:avLst/>
                    </a:prstGeom>
                  </pic:spPr>
                </pic:pic>
              </a:graphicData>
            </a:graphic>
          </wp:inline>
        </w:drawing>
      </w:r>
    </w:p>
    <w:p w:rsidR="00FE19B2" w:rsidRDefault="00FE19B2" w:rsidP="001E0FC9">
      <w:pPr>
        <w:pStyle w:val="NormalWeb"/>
        <w:shd w:val="clear" w:color="auto" w:fill="FFFFFF"/>
        <w:spacing w:before="0" w:beforeAutospacing="0" w:after="0" w:afterAutospacing="0"/>
        <w:jc w:val="both"/>
        <w:textAlignment w:val="baseline"/>
        <w:rPr>
          <w:b/>
          <w:color w:val="FF0000"/>
        </w:rPr>
      </w:pPr>
      <w:r w:rsidRPr="00FE19B2">
        <w:rPr>
          <w:b/>
          <w:noProof/>
          <w:color w:val="FF0000"/>
        </w:rPr>
        <w:drawing>
          <wp:inline distT="0" distB="0" distL="0" distR="0">
            <wp:extent cx="5941544" cy="1568450"/>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943600" cy="1568993"/>
                    </a:xfrm>
                    <a:prstGeom prst="rect">
                      <a:avLst/>
                    </a:prstGeom>
                  </pic:spPr>
                </pic:pic>
              </a:graphicData>
            </a:graphic>
          </wp:inline>
        </w:drawing>
      </w:r>
    </w:p>
    <w:p w:rsidR="00FE19B2" w:rsidRDefault="00FE19B2" w:rsidP="001E0FC9">
      <w:pPr>
        <w:pStyle w:val="NormalWeb"/>
        <w:shd w:val="clear" w:color="auto" w:fill="FFFFFF"/>
        <w:spacing w:before="0" w:beforeAutospacing="0" w:after="0" w:afterAutospacing="0"/>
        <w:jc w:val="both"/>
        <w:textAlignment w:val="baseline"/>
        <w:rPr>
          <w:b/>
          <w:color w:val="FF0000"/>
        </w:rPr>
      </w:pPr>
      <w:r w:rsidRPr="00FE19B2">
        <w:rPr>
          <w:b/>
          <w:noProof/>
          <w:color w:val="FF0000"/>
        </w:rPr>
        <w:drawing>
          <wp:inline distT="0" distB="0" distL="0" distR="0">
            <wp:extent cx="5941720" cy="1708150"/>
            <wp:effectExtent l="0" t="0" r="1905"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943600" cy="1708691"/>
                    </a:xfrm>
                    <a:prstGeom prst="rect">
                      <a:avLst/>
                    </a:prstGeom>
                  </pic:spPr>
                </pic:pic>
              </a:graphicData>
            </a:graphic>
          </wp:inline>
        </w:drawing>
      </w:r>
    </w:p>
    <w:p w:rsidR="00D8766A" w:rsidRDefault="00FE19B2" w:rsidP="001E0FC9">
      <w:r w:rsidRPr="00FE19B2">
        <w:rPr>
          <w:noProof/>
        </w:rPr>
        <w:lastRenderedPageBreak/>
        <w:drawing>
          <wp:inline distT="0" distB="0" distL="0" distR="0">
            <wp:extent cx="5937147" cy="2584450"/>
            <wp:effectExtent l="0" t="0" r="6985"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943600" cy="2587259"/>
                    </a:xfrm>
                    <a:prstGeom prst="rect">
                      <a:avLst/>
                    </a:prstGeom>
                  </pic:spPr>
                </pic:pic>
              </a:graphicData>
            </a:graphic>
          </wp:inline>
        </w:drawing>
      </w:r>
      <w:r w:rsidRPr="00FE19B2">
        <w:rPr>
          <w:noProof/>
        </w:rPr>
        <w:drawing>
          <wp:inline distT="0" distB="0" distL="0" distR="0">
            <wp:extent cx="5943600" cy="15621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5943600" cy="1562100"/>
                    </a:xfrm>
                    <a:prstGeom prst="rect">
                      <a:avLst/>
                    </a:prstGeom>
                  </pic:spPr>
                </pic:pic>
              </a:graphicData>
            </a:graphic>
          </wp:inline>
        </w:drawing>
      </w:r>
      <w:r w:rsidR="00D8766A" w:rsidRPr="00D8766A">
        <w:rPr>
          <w:noProof/>
        </w:rPr>
        <w:drawing>
          <wp:inline distT="0" distB="0" distL="0" distR="0">
            <wp:extent cx="5943600" cy="13779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943600" cy="1377950"/>
                    </a:xfrm>
                    <a:prstGeom prst="rect">
                      <a:avLst/>
                    </a:prstGeom>
                  </pic:spPr>
                </pic:pic>
              </a:graphicData>
            </a:graphic>
          </wp:inline>
        </w:drawing>
      </w:r>
    </w:p>
    <w:p w:rsidR="00D8766A" w:rsidRDefault="00D8766A" w:rsidP="001E0FC9">
      <w:r w:rsidRPr="00D8766A">
        <w:rPr>
          <w:noProof/>
        </w:rPr>
        <w:lastRenderedPageBreak/>
        <w:drawing>
          <wp:inline distT="0" distB="0" distL="0" distR="0">
            <wp:extent cx="5943600" cy="29718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943600" cy="2971800"/>
                    </a:xfrm>
                    <a:prstGeom prst="rect">
                      <a:avLst/>
                    </a:prstGeom>
                  </pic:spPr>
                </pic:pic>
              </a:graphicData>
            </a:graphic>
          </wp:inline>
        </w:drawing>
      </w:r>
      <w:r w:rsidRPr="00D8766A">
        <w:rPr>
          <w:noProof/>
        </w:rPr>
        <w:drawing>
          <wp:inline distT="0" distB="0" distL="0" distR="0">
            <wp:extent cx="5941776" cy="1860550"/>
            <wp:effectExtent l="0" t="0" r="1905"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43600" cy="1861121"/>
                    </a:xfrm>
                    <a:prstGeom prst="rect">
                      <a:avLst/>
                    </a:prstGeom>
                  </pic:spPr>
                </pic:pic>
              </a:graphicData>
            </a:graphic>
          </wp:inline>
        </w:drawing>
      </w:r>
      <w:r w:rsidRPr="00D8766A">
        <w:rPr>
          <w:noProof/>
        </w:rPr>
        <w:drawing>
          <wp:inline distT="0" distB="0" distL="0" distR="0">
            <wp:extent cx="5943600" cy="636905"/>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5943600" cy="636905"/>
                    </a:xfrm>
                    <a:prstGeom prst="rect">
                      <a:avLst/>
                    </a:prstGeom>
                  </pic:spPr>
                </pic:pic>
              </a:graphicData>
            </a:graphic>
          </wp:inline>
        </w:drawing>
      </w:r>
    </w:p>
    <w:p w:rsidR="00D8766A" w:rsidRDefault="00D8766A" w:rsidP="001E0FC9"/>
    <w:p w:rsidR="00D8766A" w:rsidRDefault="00D8766A" w:rsidP="001E0FC9">
      <w:r w:rsidRPr="00D8766A">
        <w:rPr>
          <w:noProof/>
        </w:rPr>
        <w:lastRenderedPageBreak/>
        <w:drawing>
          <wp:inline distT="0" distB="0" distL="0" distR="0">
            <wp:extent cx="5943600" cy="2584450"/>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943600" cy="2584450"/>
                    </a:xfrm>
                    <a:prstGeom prst="rect">
                      <a:avLst/>
                    </a:prstGeom>
                  </pic:spPr>
                </pic:pic>
              </a:graphicData>
            </a:graphic>
          </wp:inline>
        </w:drawing>
      </w:r>
      <w:r w:rsidRPr="00D8766A">
        <w:rPr>
          <w:noProof/>
        </w:rPr>
        <w:drawing>
          <wp:inline distT="0" distB="0" distL="0" distR="0">
            <wp:extent cx="5937250" cy="175260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943600" cy="1754474"/>
                    </a:xfrm>
                    <a:prstGeom prst="rect">
                      <a:avLst/>
                    </a:prstGeom>
                  </pic:spPr>
                </pic:pic>
              </a:graphicData>
            </a:graphic>
          </wp:inline>
        </w:drawing>
      </w:r>
      <w:r w:rsidRPr="00D8766A">
        <w:rPr>
          <w:noProof/>
        </w:rPr>
        <w:drawing>
          <wp:inline distT="0" distB="0" distL="0" distR="0">
            <wp:extent cx="5943600" cy="969645"/>
            <wp:effectExtent l="0" t="0" r="0" b="190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943600" cy="969645"/>
                    </a:xfrm>
                    <a:prstGeom prst="rect">
                      <a:avLst/>
                    </a:prstGeom>
                  </pic:spPr>
                </pic:pic>
              </a:graphicData>
            </a:graphic>
          </wp:inline>
        </w:drawing>
      </w:r>
    </w:p>
    <w:p w:rsidR="007D3C9A" w:rsidRDefault="00D8766A" w:rsidP="001E0FC9">
      <w:r w:rsidRPr="00D8766A">
        <w:rPr>
          <w:noProof/>
        </w:rPr>
        <w:lastRenderedPageBreak/>
        <w:drawing>
          <wp:inline distT="0" distB="0" distL="0" distR="0">
            <wp:extent cx="5943600" cy="288925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5943600" cy="2889250"/>
                    </a:xfrm>
                    <a:prstGeom prst="rect">
                      <a:avLst/>
                    </a:prstGeom>
                  </pic:spPr>
                </pic:pic>
              </a:graphicData>
            </a:graphic>
          </wp:inline>
        </w:drawing>
      </w:r>
      <w:r w:rsidR="007D3C9A" w:rsidRPr="007D3C9A">
        <w:rPr>
          <w:noProof/>
        </w:rPr>
        <w:drawing>
          <wp:inline distT="0" distB="0" distL="0" distR="0">
            <wp:extent cx="5938623" cy="1936750"/>
            <wp:effectExtent l="0" t="0" r="508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5943599" cy="1938373"/>
                    </a:xfrm>
                    <a:prstGeom prst="rect">
                      <a:avLst/>
                    </a:prstGeom>
                  </pic:spPr>
                </pic:pic>
              </a:graphicData>
            </a:graphic>
          </wp:inline>
        </w:drawing>
      </w:r>
      <w:r w:rsidR="007D3C9A" w:rsidRPr="007D3C9A">
        <w:rPr>
          <w:noProof/>
        </w:rPr>
        <w:drawing>
          <wp:inline distT="0" distB="0" distL="0" distR="0">
            <wp:extent cx="5930123" cy="8001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5943600" cy="801918"/>
                    </a:xfrm>
                    <a:prstGeom prst="rect">
                      <a:avLst/>
                    </a:prstGeom>
                  </pic:spPr>
                </pic:pic>
              </a:graphicData>
            </a:graphic>
          </wp:inline>
        </w:drawing>
      </w:r>
    </w:p>
    <w:p w:rsidR="0019347A" w:rsidRDefault="007D3C9A" w:rsidP="001E0FC9">
      <w:pPr>
        <w:sectPr w:rsidR="0019347A" w:rsidSect="00E13A54">
          <w:pgSz w:w="11906" w:h="16838"/>
          <w:pgMar w:top="1440" w:right="1440" w:bottom="1440" w:left="1440" w:header="709" w:footer="709" w:gutter="0"/>
          <w:cols w:space="708"/>
          <w:docGrid w:linePitch="360"/>
        </w:sectPr>
      </w:pPr>
      <w:r w:rsidRPr="007D3C9A">
        <w:rPr>
          <w:noProof/>
        </w:rPr>
        <w:lastRenderedPageBreak/>
        <w:drawing>
          <wp:inline distT="0" distB="0" distL="0" distR="0">
            <wp:extent cx="5941109" cy="2673350"/>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5943600" cy="2674471"/>
                    </a:xfrm>
                    <a:prstGeom prst="rect">
                      <a:avLst/>
                    </a:prstGeom>
                  </pic:spPr>
                </pic:pic>
              </a:graphicData>
            </a:graphic>
          </wp:inline>
        </w:drawing>
      </w:r>
      <w:r w:rsidRPr="007D3C9A">
        <w:rPr>
          <w:noProof/>
        </w:rPr>
        <w:drawing>
          <wp:inline distT="0" distB="0" distL="0" distR="0">
            <wp:extent cx="5943600" cy="188595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tretch>
                      <a:fillRect/>
                    </a:stretch>
                  </pic:blipFill>
                  <pic:spPr>
                    <a:xfrm>
                      <a:off x="0" y="0"/>
                      <a:ext cx="5943600" cy="1885950"/>
                    </a:xfrm>
                    <a:prstGeom prst="rect">
                      <a:avLst/>
                    </a:prstGeom>
                  </pic:spPr>
                </pic:pic>
              </a:graphicData>
            </a:graphic>
          </wp:inline>
        </w:drawing>
      </w:r>
      <w:r w:rsidRPr="007D3C9A">
        <w:rPr>
          <w:noProof/>
        </w:rPr>
        <w:drawing>
          <wp:inline distT="0" distB="0" distL="0" distR="0">
            <wp:extent cx="5943600" cy="9950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5943600" cy="995045"/>
                    </a:xfrm>
                    <a:prstGeom prst="rect">
                      <a:avLst/>
                    </a:prstGeom>
                  </pic:spPr>
                </pic:pic>
              </a:graphicData>
            </a:graphic>
          </wp:inline>
        </w:drawing>
      </w:r>
    </w:p>
    <w:p w:rsidR="0019347A" w:rsidRPr="0068000E" w:rsidRDefault="0068000E" w:rsidP="001E0FC9">
      <w:pPr>
        <w:rPr>
          <w:rFonts w:ascii="Times New Roman" w:hAnsi="Times New Roman" w:cs="Times New Roman"/>
          <w:b/>
          <w:sz w:val="24"/>
          <w:szCs w:val="24"/>
          <w:lang w:val="en-US"/>
        </w:rPr>
      </w:pPr>
      <w:r w:rsidRPr="0068000E">
        <w:rPr>
          <w:rFonts w:ascii="Times New Roman" w:hAnsi="Times New Roman" w:cs="Times New Roman"/>
          <w:b/>
          <w:sz w:val="24"/>
          <w:szCs w:val="24"/>
          <w:lang w:val="en-US"/>
        </w:rPr>
        <w:lastRenderedPageBreak/>
        <w:t>Key figures on Europe - Eurostat 2019</w:t>
      </w:r>
    </w:p>
    <w:p w:rsidR="0019347A" w:rsidRDefault="0019347A" w:rsidP="001E0FC9">
      <w:r w:rsidRPr="0019347A">
        <w:rPr>
          <w:noProof/>
        </w:rPr>
        <w:drawing>
          <wp:inline distT="0" distB="0" distL="0" distR="0">
            <wp:extent cx="5731510" cy="1799670"/>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5731510" cy="1799670"/>
                    </a:xfrm>
                    <a:prstGeom prst="rect">
                      <a:avLst/>
                    </a:prstGeom>
                  </pic:spPr>
                </pic:pic>
              </a:graphicData>
            </a:graphic>
          </wp:inline>
        </w:drawing>
      </w:r>
    </w:p>
    <w:p w:rsidR="0019347A" w:rsidRDefault="0019347A" w:rsidP="001E0FC9">
      <w:r w:rsidRPr="0019347A">
        <w:rPr>
          <w:noProof/>
        </w:rPr>
        <w:drawing>
          <wp:inline distT="0" distB="0" distL="0" distR="0">
            <wp:extent cx="5731510" cy="3343993"/>
            <wp:effectExtent l="0" t="0" r="2540" b="889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stretch>
                      <a:fillRect/>
                    </a:stretch>
                  </pic:blipFill>
                  <pic:spPr>
                    <a:xfrm>
                      <a:off x="0" y="0"/>
                      <a:ext cx="5731510" cy="3343993"/>
                    </a:xfrm>
                    <a:prstGeom prst="rect">
                      <a:avLst/>
                    </a:prstGeom>
                  </pic:spPr>
                </pic:pic>
              </a:graphicData>
            </a:graphic>
          </wp:inline>
        </w:drawing>
      </w:r>
    </w:p>
    <w:p w:rsidR="0019347A" w:rsidRDefault="0019347A" w:rsidP="001E0FC9">
      <w:r w:rsidRPr="0019347A">
        <w:rPr>
          <w:noProof/>
        </w:rPr>
        <w:drawing>
          <wp:inline distT="0" distB="0" distL="0" distR="0">
            <wp:extent cx="5731510" cy="2938011"/>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5731510" cy="2938011"/>
                    </a:xfrm>
                    <a:prstGeom prst="rect">
                      <a:avLst/>
                    </a:prstGeom>
                  </pic:spPr>
                </pic:pic>
              </a:graphicData>
            </a:graphic>
          </wp:inline>
        </w:drawing>
      </w:r>
    </w:p>
    <w:p w:rsidR="0068000E" w:rsidRDefault="0068000E" w:rsidP="001E0FC9">
      <w:r w:rsidRPr="0068000E">
        <w:rPr>
          <w:noProof/>
        </w:rPr>
        <w:lastRenderedPageBreak/>
        <w:drawing>
          <wp:inline distT="0" distB="0" distL="0" distR="0">
            <wp:extent cx="5731510" cy="3900611"/>
            <wp:effectExtent l="0" t="0" r="2540" b="508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5731510" cy="3900611"/>
                    </a:xfrm>
                    <a:prstGeom prst="rect">
                      <a:avLst/>
                    </a:prstGeom>
                  </pic:spPr>
                </pic:pic>
              </a:graphicData>
            </a:graphic>
          </wp:inline>
        </w:drawing>
      </w:r>
      <w:r w:rsidRPr="0068000E">
        <w:rPr>
          <w:noProof/>
        </w:rPr>
        <w:drawing>
          <wp:inline distT="0" distB="0" distL="0" distR="0">
            <wp:extent cx="933450" cy="355600"/>
            <wp:effectExtent l="0" t="0" r="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939975" cy="358086"/>
                    </a:xfrm>
                    <a:prstGeom prst="rect">
                      <a:avLst/>
                    </a:prstGeom>
                  </pic:spPr>
                </pic:pic>
              </a:graphicData>
            </a:graphic>
          </wp:inline>
        </w:drawing>
      </w:r>
    </w:p>
    <w:p w:rsidR="0068000E" w:rsidRDefault="0068000E" w:rsidP="001E0FC9">
      <w:r w:rsidRPr="0068000E">
        <w:rPr>
          <w:noProof/>
        </w:rPr>
        <w:drawing>
          <wp:inline distT="0" distB="0" distL="0" distR="0">
            <wp:extent cx="5731510" cy="3137022"/>
            <wp:effectExtent l="0" t="0" r="254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5731510" cy="3137022"/>
                    </a:xfrm>
                    <a:prstGeom prst="rect">
                      <a:avLst/>
                    </a:prstGeom>
                  </pic:spPr>
                </pic:pic>
              </a:graphicData>
            </a:graphic>
          </wp:inline>
        </w:drawing>
      </w:r>
    </w:p>
    <w:p w:rsidR="0068000E" w:rsidRDefault="0068000E" w:rsidP="001E0FC9">
      <w:r w:rsidRPr="0068000E">
        <w:rPr>
          <w:noProof/>
        </w:rPr>
        <w:drawing>
          <wp:inline distT="0" distB="0" distL="0" distR="0">
            <wp:extent cx="1276350" cy="1089994"/>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1279112" cy="1092353"/>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68000E" w:rsidRDefault="0068000E" w:rsidP="001E0FC9">
      <w:r w:rsidRPr="0068000E">
        <w:rPr>
          <w:noProof/>
        </w:rPr>
        <w:drawing>
          <wp:inline distT="0" distB="0" distL="0" distR="0">
            <wp:extent cx="4829849" cy="6344535"/>
            <wp:effectExtent l="0" t="0" r="889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4829849" cy="6344535"/>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68000E" w:rsidRDefault="0068000E" w:rsidP="001E0FC9">
      <w:r w:rsidRPr="0068000E">
        <w:rPr>
          <w:noProof/>
        </w:rPr>
        <w:drawing>
          <wp:inline distT="0" distB="0" distL="0" distR="0">
            <wp:extent cx="4963218" cy="6458851"/>
            <wp:effectExtent l="0" t="0" r="889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4963218" cy="6458851"/>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68000E" w:rsidRDefault="0068000E" w:rsidP="001E0FC9">
      <w:r w:rsidRPr="0068000E">
        <w:rPr>
          <w:noProof/>
        </w:rPr>
        <w:drawing>
          <wp:inline distT="0" distB="0" distL="0" distR="0">
            <wp:extent cx="4810796" cy="6315956"/>
            <wp:effectExtent l="0" t="0" r="8890" b="889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4810796" cy="6315956"/>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68000E" w:rsidRDefault="0068000E" w:rsidP="001E0FC9">
      <w:r w:rsidRPr="0068000E">
        <w:rPr>
          <w:noProof/>
        </w:rPr>
        <w:drawing>
          <wp:inline distT="0" distB="0" distL="0" distR="0">
            <wp:extent cx="4896533" cy="6611273"/>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4896533" cy="6611273"/>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68000E" w:rsidRDefault="00173E4D" w:rsidP="001E0FC9">
      <w:r w:rsidRPr="00173E4D">
        <w:rPr>
          <w:noProof/>
        </w:rPr>
        <w:drawing>
          <wp:inline distT="0" distB="0" distL="0" distR="0">
            <wp:extent cx="4839375" cy="6335009"/>
            <wp:effectExtent l="0" t="0" r="0" b="889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4839375" cy="6335009"/>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r w:rsidRPr="00173E4D">
        <w:rPr>
          <w:noProof/>
        </w:rPr>
        <w:drawing>
          <wp:inline distT="0" distB="0" distL="0" distR="0">
            <wp:extent cx="4934639" cy="6611273"/>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4934639" cy="6611273"/>
                    </a:xfrm>
                    <a:prstGeom prst="rect">
                      <a:avLst/>
                    </a:prstGeom>
                  </pic:spPr>
                </pic:pic>
              </a:graphicData>
            </a:graphic>
          </wp:inline>
        </w:drawing>
      </w:r>
    </w:p>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p w:rsidR="00173E4D" w:rsidRDefault="00173E4D" w:rsidP="001E0FC9">
      <w:r w:rsidRPr="00173E4D">
        <w:rPr>
          <w:noProof/>
        </w:rPr>
        <w:drawing>
          <wp:inline distT="0" distB="0" distL="0" distR="0">
            <wp:extent cx="5039428" cy="6668431"/>
            <wp:effectExtent l="0" t="0" r="889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5039428" cy="6668431"/>
                    </a:xfrm>
                    <a:prstGeom prst="rect">
                      <a:avLst/>
                    </a:prstGeom>
                  </pic:spPr>
                </pic:pic>
              </a:graphicData>
            </a:graphic>
          </wp:inline>
        </w:drawing>
      </w:r>
    </w:p>
    <w:p w:rsidR="00173E4D" w:rsidRDefault="00173E4D" w:rsidP="001E0FC9">
      <w:r w:rsidRPr="00173E4D">
        <w:rPr>
          <w:noProof/>
        </w:rPr>
        <w:lastRenderedPageBreak/>
        <w:drawing>
          <wp:inline distT="0" distB="0" distL="0" distR="0">
            <wp:extent cx="4279900" cy="31813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4286848" cy="3186515"/>
                    </a:xfrm>
                    <a:prstGeom prst="rect">
                      <a:avLst/>
                    </a:prstGeom>
                  </pic:spPr>
                </pic:pic>
              </a:graphicData>
            </a:graphic>
          </wp:inline>
        </w:drawing>
      </w:r>
    </w:p>
    <w:p w:rsidR="00173E4D" w:rsidRDefault="00173E4D" w:rsidP="001E0FC9">
      <w:r w:rsidRPr="00173E4D">
        <w:rPr>
          <w:noProof/>
        </w:rPr>
        <w:drawing>
          <wp:inline distT="0" distB="0" distL="0" distR="0">
            <wp:extent cx="4800600" cy="549910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4801270" cy="5499868"/>
                    </a:xfrm>
                    <a:prstGeom prst="rect">
                      <a:avLst/>
                    </a:prstGeom>
                  </pic:spPr>
                </pic:pic>
              </a:graphicData>
            </a:graphic>
          </wp:inline>
        </w:drawing>
      </w:r>
    </w:p>
    <w:p w:rsidR="00173E4D" w:rsidRDefault="00173E4D" w:rsidP="001E0FC9">
      <w:r w:rsidRPr="00173E4D">
        <w:rPr>
          <w:noProof/>
        </w:rPr>
        <w:lastRenderedPageBreak/>
        <w:drawing>
          <wp:inline distT="0" distB="0" distL="0" distR="0">
            <wp:extent cx="4239217" cy="4229690"/>
            <wp:effectExtent l="0" t="0" r="952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4239217" cy="4229690"/>
                    </a:xfrm>
                    <a:prstGeom prst="rect">
                      <a:avLst/>
                    </a:prstGeom>
                  </pic:spPr>
                </pic:pic>
              </a:graphicData>
            </a:graphic>
          </wp:inline>
        </w:drawing>
      </w:r>
    </w:p>
    <w:p w:rsidR="00670E17" w:rsidRPr="00366833" w:rsidRDefault="00366833" w:rsidP="00366833">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670E17" w:rsidRPr="00366833">
        <w:rPr>
          <w:rFonts w:ascii="Times New Roman" w:hAnsi="Times New Roman" w:cs="Times New Roman"/>
          <w:b/>
          <w:sz w:val="24"/>
          <w:szCs w:val="24"/>
          <w:lang w:val="en-US"/>
        </w:rPr>
        <w:t xml:space="preserve">MACRO-ECONOMIC TRENDS - Eurostat </w:t>
      </w:r>
      <w:r w:rsidRPr="00366833">
        <w:rPr>
          <w:rFonts w:ascii="Times New Roman" w:hAnsi="Times New Roman" w:cs="Times New Roman"/>
          <w:b/>
          <w:sz w:val="24"/>
          <w:szCs w:val="24"/>
          <w:lang w:val="en-US"/>
        </w:rPr>
        <w:t>-</w:t>
      </w:r>
      <w:r w:rsidR="00670E17" w:rsidRPr="00366833">
        <w:rPr>
          <w:rFonts w:ascii="Times New Roman" w:hAnsi="Times New Roman" w:cs="Times New Roman"/>
          <w:b/>
          <w:sz w:val="24"/>
          <w:szCs w:val="24"/>
          <w:lang w:val="en-US"/>
        </w:rPr>
        <w:t xml:space="preserve"> 2019</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Unemployment on the decline</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After being relatively stable at around 9 % between 2000 and 2005, the unemployment rate fell to 7.0 % in 2008. Since then the rate in the EU rose continuously to attain a peak of 10.9 % in 2013. In line with the economic recovery, unemployment fell subsequently to reach 7.6 % in 2017. A similar trend is observed for male, female and youth unemployment, however with slightly higher rates for women than men and around double the rate for young people.</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recent years, the euro area and all Member States have also recorded a decreasing unemployment rate. However, large differences still exist between Member States, with rates ranging from 2.2 % in Czechia, 3.4 % in Germany and 3.7 % in Hungary and Malta to 10.6 % in Italy, 15.3 % in Spain and 19.3 % in Greece in 2018.</w:t>
      </w:r>
    </w:p>
    <w:p w:rsidR="00173E4D" w:rsidRPr="00366833" w:rsidRDefault="00173E4D"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Temporary and part-time employment increasing</w:t>
      </w:r>
    </w:p>
    <w:p w:rsidR="00173E4D" w:rsidRPr="00366833" w:rsidRDefault="00173E4D"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the period 2002 to 2018, the possibility to find a job with an unlimited duration has slightly reduced with the share of temporary employees in the EU increasing from 11 % in 2002 to 13 % in 2018. Temporary employment in 2018 was nearly the same among women (14 %) as among men (13 %) in the EU. The total share of temporary employees varied among the Member States, with the highest shares observed in Spain (26 %), Poland (24 %), Portugal (22 %) and Croatia (19 %), and the lowest in Romania and Lithuania (both 1 %), Estonia and Latvia (both 3 %).</w:t>
      </w:r>
    </w:p>
    <w:p w:rsidR="00173E4D" w:rsidRPr="00366833" w:rsidRDefault="00173E4D"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Another important change in working conditions is the development of part-time work. In the EU, the proportion of those working part-time rose from 15 % in 2002 to 19 % in 2018. Part-</w:t>
      </w:r>
      <w:r w:rsidRPr="00366833">
        <w:rPr>
          <w:rFonts w:ascii="Times New Roman" w:hAnsi="Times New Roman" w:cs="Times New Roman"/>
          <w:sz w:val="24"/>
          <w:szCs w:val="24"/>
          <w:lang w:val="en-US"/>
        </w:rPr>
        <w:lastRenderedPageBreak/>
        <w:t>time employment in 2018 was much more common among women (31 %) than among men (8 %) in the EU. The total share of part-time workers varied among the Member States, with the highest observed in the Netherlands (47 %), Austria (28 %), Germany (27 %), Belgium (24 %) and the United Kingdom (23 %), and the lowest in Bulgaria (2 %), Hungary (4 %) and Croatia and Slovakia (both 5 %).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Share of population at risk-of-poverty or social exclusion decreasing since 2012</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Economic fluctuations also have a strong impact on the population at risk-of-poverty or social exclusion. In the EU, the share of the population being at risk of poverty or severely materially deprived or living in a household with very low work intensity increased from 23.8 % in 2010 to 24.8 % in 2012, before decreasing to reach 22.4 % in 2017. There are large differences among Member States with the highest rates in 2017 observed in Bulgaria (38.9 % of the population), Romania (35.7 %), Greece (34.8 %) and Lithuania (29.6 %), while the lowest were found in Czechia (12.2 %), Finland (15.7 %), Slovakia (16.3 %) and the Netherlands (17.0 %).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Three jobs out of four in services</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shift towards a service economy is a long-term trend already observed in the EU in the second half of the 20th century. In 2018, employment in services accounted for 74 % of total employment in the EU compared with 66 % in 2000, while employment in industry decreased from 26 % in 2000 to 22 % in 2018 and agriculture halved from 8 % to 4 %. As regards value added, services generated 73 % of total value added in 2018, industry 25 % and agriculture 2 %.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detailed service activities that have had the largest increases in proportion of emplo</w:t>
      </w:r>
      <w:r w:rsidR="00EB4A2A">
        <w:rPr>
          <w:rFonts w:ascii="Times New Roman" w:hAnsi="Times New Roman" w:cs="Times New Roman"/>
          <w:sz w:val="24"/>
          <w:szCs w:val="24"/>
          <w:lang w:val="en-US"/>
        </w:rPr>
        <w:t>yment since 2000 in the EU are “</w:t>
      </w:r>
      <w:r w:rsidRPr="00366833">
        <w:rPr>
          <w:rFonts w:ascii="Times New Roman" w:hAnsi="Times New Roman" w:cs="Times New Roman"/>
          <w:sz w:val="24"/>
          <w:szCs w:val="24"/>
          <w:lang w:val="en-US"/>
        </w:rPr>
        <w:t>computer programming, consultancy and</w:t>
      </w:r>
      <w:r w:rsidR="00EB4A2A">
        <w:rPr>
          <w:rFonts w:ascii="Times New Roman" w:hAnsi="Times New Roman" w:cs="Times New Roman"/>
          <w:sz w:val="24"/>
          <w:szCs w:val="24"/>
          <w:lang w:val="en-US"/>
        </w:rPr>
        <w:t xml:space="preserve"> information service activities”, “human health activities”, “real estate activities”, “legal and accounting activities”, “security and investigation”</w:t>
      </w:r>
      <w:r w:rsidRPr="00366833">
        <w:rPr>
          <w:rFonts w:ascii="Times New Roman" w:hAnsi="Times New Roman" w:cs="Times New Roman"/>
          <w:sz w:val="24"/>
          <w:szCs w:val="24"/>
          <w:lang w:val="en-US"/>
        </w:rPr>
        <w:t xml:space="preserve"> as well as </w:t>
      </w:r>
      <w:r w:rsidR="00EB4A2A">
        <w:rPr>
          <w:rFonts w:ascii="Times New Roman" w:hAnsi="Times New Roman" w:cs="Times New Roman"/>
          <w:sz w:val="24"/>
          <w:szCs w:val="24"/>
          <w:lang w:val="en-US"/>
        </w:rPr>
        <w:t>“residential care activities”, while the share of “telecommunications”</w:t>
      </w:r>
      <w:r w:rsidRPr="00366833">
        <w:rPr>
          <w:rFonts w:ascii="Times New Roman" w:hAnsi="Times New Roman" w:cs="Times New Roman"/>
          <w:sz w:val="24"/>
          <w:szCs w:val="24"/>
          <w:lang w:val="en-US"/>
        </w:rPr>
        <w:t xml:space="preserve"> has decreased.</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Among the Member States, the share of agricultural employment in 2018 was the highest in Romania (23 % of total employment), Bulgaria (18 %), Greece (11 %) and Poland (10 %), while the highest shares for industrial employment were observed in Czechia (37 %), Slovakia (32 %), Poland (31 %), Romania and Slovenia (both 30 %). Service activities represented 80 % of total employment or just over in the Netherlands, the United Kingdom, Belgium, Malta, France, Luxembourg and Denmark.</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Large enterprises generate one third of employment</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Only 0.2 % of enterprises in the EU are large…</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the EU in 2016, there were in total 24.5 million non-financial enterprises, of which only a minor part (0.9 %) were medium (50-249 employed persons) and 0.2 % were large (250 employed persons and over). It should be noted that among small enterprises, the smallest ones of less than 10 persons employed accounted for 94 % of the total number of enterprises. Among the Member States, the share of small, medium and large enterprises were largely identical in 2016.</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…but they generate 33 % of employment and 44 % of total value added</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lastRenderedPageBreak/>
        <w:t>When looking at the number of persons employed in the EU, however, the shares change considerably with around half working in small enterprises in 2016, 17 % in medium and a third in large. Among the Member States, the largest shares of persons employed in small enterprises were observed in Italy (66 %) and Spain (59 %), and for medium sized enterprises in Luxembourg (24 %), Estonia and Lithuania (both 23 %). For large enterprises, the highest proportions were found in the United Kingdom (46 %), France and Germany (both 37 %).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Regarding value added, 38 % of value added came from small enterprises, 18 % from medium sized and 44 % from large enterprises. These shares vary among the Member States for which data are available. In 2016, the largest share of value added generated by small enterprises were found in Malta (60 %), Estonia (51 %) and Italy (49 %), while medium sized enterprises generated the largest shares of value added in Lithuania (27 %), Estonia and Latvia (both 26 %). The highest proportions for large enterprises were observed in the United Kingdom (52 %), Poland (49 %) and Hungary (46 %).</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Investment rate and profit share relatively stable on the long term</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investment rate of non-financial corporations (excluding the financial sector), showing businesses’ investments as a share of their gross value added, is a key indicator for the business sector. In both the EU and the euro area, the investment rate remained relatively stable around 24 % between 2000 and 2008. It then went down to 21 % in 2009 and 2010 due to the financial crisis, before increasing slowly to reach 23 % in 2017.</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2017, among the Member States, the highest investment rates for businesses were observed in Czechia, Slovakia and Sweden (all 28 %), Ireland, Spain and Cyprus (all 27 %). The lowest rates were found in Greece (17 %), Lithuania, the United Kingdom and the Netherlands (all 18 %).</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profit share of non-financial corporations, meaning businesses’ gross operating surplus as a share of their gross value added, is an indicator of businesses profitability. This rate has been quite stable in the EU, fluctuating around 40 % in the period 2000 to 2017.</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2017, the highest profit share of businesses was observed in Ireland (73 %), followed by Malta (61 %) and Romania (54 %). The lowest rates were found in Luxembourg (31 %), France (32 %), Slovenia and the United Kingdom (both 36 %).</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 reduced indebtedness</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net debt-to-income ratio of non-financial corporations shows the liabilities within the business sector. It is calculated as liabilities minus assets as a share of the net entrepreneurial income. This rate, which stood at 324 % in the EU in 2004, reached a peak of 403 % in 2009 and then decreased to reach 267 % in 2017.</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debt to income ratio strongly differs among the Member States for which data are available, ranging in 2017 from 106 % in Denmark, 111 % in Luxembourg, 115 % in Estonia, and 144 % in the Netherlands to 568 % in Greece, 558 % in Portugal, 503 % in Italy and 404 % in France.</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Government revenue to GDP ratio nearly stable since 2012</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 xml:space="preserve">The whole government sector includes all central, state and local governments as well as social security funds. Government revenue, expressed as a percentage of GDP, slightly </w:t>
      </w:r>
      <w:r w:rsidRPr="00366833">
        <w:rPr>
          <w:rFonts w:ascii="Times New Roman" w:hAnsi="Times New Roman" w:cs="Times New Roman"/>
          <w:sz w:val="24"/>
          <w:szCs w:val="24"/>
          <w:lang w:val="en-US"/>
        </w:rPr>
        <w:lastRenderedPageBreak/>
        <w:t>increased in the EU, from around 43 % at the beginning of the millennium to around 45 % in 2012. Since then, the ratio remained stable.</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2018, the highest ratios among the Member States were observed in France (53.5 %), Finland (52.5 %), Denmark (51.9 %)</w:t>
      </w:r>
      <w:r w:rsidR="00C13914">
        <w:rPr>
          <w:rFonts w:ascii="Times New Roman" w:hAnsi="Times New Roman" w:cs="Times New Roman"/>
          <w:sz w:val="24"/>
          <w:szCs w:val="24"/>
          <w:lang w:val="en-US"/>
        </w:rPr>
        <w:t>,</w:t>
      </w:r>
      <w:r w:rsidRPr="00366833">
        <w:rPr>
          <w:rFonts w:ascii="Times New Roman" w:hAnsi="Times New Roman" w:cs="Times New Roman"/>
          <w:sz w:val="24"/>
          <w:szCs w:val="24"/>
          <w:lang w:val="en-US"/>
        </w:rPr>
        <w:t xml:space="preserve"> Belgium (51.7 %) and Sweden (50.8 %), and the lowest in Ireland (25.8 %), Romania (32.0 %), Lithuania (34.7 %) and Bulgaria (36.8 %).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Highest tax to GDP ratios in France, Denmark and Belgium</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 large part of government revenue comes from taxes and social contributions which represented 89 % of total government revenue in the EU in 2017. Revenue from taxes and social contributions as a share of GDP, which reflect the tax burden of a country, slightly increased since the start of the millennium, from 38 % in 2002 to 40 % in 2013, and then remained stable.</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Among the Member States, the highest tax-to-GDP ratios in 2017 were observed in France (48.2 % of GDP), Belgium (46.5 %) and Denmark (46.4 %) and the smallest in Ireland (23.3 %), Romania (25.7 %) and Bulgaria (29.4 %).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Government expenditure to GDP ratio down since 2010</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ratio of government expenditure, expressed as a percentage of GDP, has been less stable than the ratio of government revenue. Between 2001 and 2008, government expenditure in the EU stood at 45 % to 46 % of GDP. In 2009 and 2010, the rate increased sharply to a peak of 50 %, due to the financial crisis. Since then the rate has decreased grad</w:t>
      </w:r>
      <w:r w:rsidR="00366833" w:rsidRPr="00366833">
        <w:rPr>
          <w:rFonts w:ascii="Times New Roman" w:hAnsi="Times New Roman" w:cs="Times New Roman"/>
          <w:sz w:val="24"/>
          <w:szCs w:val="24"/>
          <w:lang w:val="en-US"/>
        </w:rPr>
        <w:t>ually, to reach 45.6 % in 2018.</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2018, the highest government expenditure-to-GDP shares were observed in France (56.0 %), Finland (53.1 %), Belgium (52.4 %) and Denmark (51.4 %), and the lowest in Ireland (25.7 %), Lithuania (34.0 %), Bulgaria (34.8 %) and Romania (35.0 %).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Largest part of government expenditure spent on social protection</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How does the government use its revenue? In 2017, the largest part of government expenditure in the EU was spent on social protection (41.1 % of total expenditure), followed by health (15.3 %), general public services (12.8 %), education (10.2 %</w:t>
      </w:r>
      <w:r w:rsidR="007215A0">
        <w:rPr>
          <w:rFonts w:ascii="Times New Roman" w:hAnsi="Times New Roman" w:cs="Times New Roman"/>
          <w:sz w:val="24"/>
          <w:szCs w:val="24"/>
          <w:lang w:val="en-US"/>
        </w:rPr>
        <w:t>) and economic affairs (8.9 %) -</w:t>
      </w:r>
      <w:r w:rsidRPr="00366833">
        <w:rPr>
          <w:rFonts w:ascii="Times New Roman" w:hAnsi="Times New Roman" w:cs="Times New Roman"/>
          <w:sz w:val="24"/>
          <w:szCs w:val="24"/>
          <w:lang w:val="en-US"/>
        </w:rPr>
        <w:t xml:space="preserve"> these items make up almost 90 % of government expenditure in the EU.</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Social protection represents the largest share of government expenditure in all Member States. In 2017, the highest shares were observed in Finland (45.9 %), Germany (44.1 %) and Denmark (43.7 %) and the lowest in Hungary (29.9 %), Czechia (30.7 %) and Latvia (30.8 %).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 strong increase of government debt</w:t>
      </w:r>
    </w:p>
    <w:p w:rsidR="00670E17"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difference between government revenue and expenditure shows either the surplus or the deficit of a country. Under the terms of the EU’s Stability and Growth Pact stemming from the Maastricht Treaty, EU Member States engaged to keep their deficit and debt below certain limits: a Member State’s government deficit should not exceed 3 % of its GDP, while its debt should not exceed 60 % of GDP. If a Member State does not respect these limits, the so-called excessive deficit procedure (EDP) may be launched.</w:t>
      </w:r>
    </w:p>
    <w:p w:rsidR="00F036E1" w:rsidRPr="00366833" w:rsidRDefault="00F036E1" w:rsidP="00366833">
      <w:pPr>
        <w:spacing w:line="240" w:lineRule="auto"/>
        <w:jc w:val="both"/>
        <w:rPr>
          <w:rFonts w:ascii="Times New Roman" w:hAnsi="Times New Roman" w:cs="Times New Roman"/>
          <w:sz w:val="24"/>
          <w:szCs w:val="24"/>
          <w:lang w:val="en-US"/>
        </w:rPr>
      </w:pP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lastRenderedPageBreak/>
        <w:t>EU government deficit-to-GDP ratio decreasing steadily since 2009</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EU has recorded an annual government deficit since the start of the millennium. However after reaching a maximum of more than -6 % of GDP in 2009 and 2010, the deficit-to-GDP ratio decreased steadily to -0.6 % in 2018.</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The situation in 2018 among the Member States is contrasted with half of the Member States having a deficit and the others a surplus. The largest government deficit ratios were observed in Cyprus (-4.8 %), Romania (-3.0 %), Spain and France (both -2.5 %) and the largest surpluses in Luxembourg (+2.4 %), Bulgaria and Malta (both +2.0 %) and Germany (+1.7 %).</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EU government debt-to-GDP ratio down since 2015</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After being relatively stable at around 60 % of GDP from 2000 to 2008, the government debt ratio drastically increased to 73 % in 2009, following the financial crisis. The debt ratio continued to rise until 2014 when it stood at 87 %. Since then, the rate decreased continuously to reach 80 % in 2018.</w:t>
      </w:r>
    </w:p>
    <w:p w:rsidR="00670E17" w:rsidRPr="00366833" w:rsidRDefault="00670E17"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Among the Member States, the largest government debt ratios in 2018 were observed in Greece (181.1 %), Italy (132.2 %), Portugal (121.5 %), Cyprus (102.5 %) and Belgium (102.0 %), and the lowest in Estonia (8.4 %), Luxembourg (21.4 %), Bulgaria (22.6 %) and Czechia (32.7 %).</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Share of government employment nearly stable</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Government employment includes civil servants and other government employees (on a national, regional and local level) as well as armed forces. It should be noted that the limits of the government sector vary across Member States, as, for example, jobs in education or health are part of government employment in some countries, while they are not in others. The share of government employment in the EU has remained almost stable between 16 % and 17 % of total employment since 2000, accounting for 16 % in 2017. Among the Member States for which data are available, the largest falls between 2000 and 2017 were observed in Malta, Slovakia, the United Kingdom and Italy, and the largest increases in Romania, Slovenia and Hungary.</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2017, the share of those employed in the government sector varied among the Member States, with the highest proportions observed in Sweden (29 % of total employment), Denmark (28 %), Finland (24 %), France and Lithuania (both 22 %) and the lowest in Germany (10 %), the Netherlands and Luxembourg (both 12 %), Italy (13 %) and Portugal (14 %).</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Monthly gross earnings</w:t>
      </w:r>
      <w:r w:rsidR="00E13A54">
        <w:rPr>
          <w:rFonts w:ascii="Times New Roman" w:hAnsi="Times New Roman" w:cs="Times New Roman"/>
          <w:sz w:val="24"/>
          <w:szCs w:val="24"/>
          <w:lang w:val="en-US"/>
        </w:rPr>
        <w:t xml:space="preserve"> in public administration at € 2.</w:t>
      </w:r>
      <w:r w:rsidRPr="00366833">
        <w:rPr>
          <w:rFonts w:ascii="Times New Roman" w:hAnsi="Times New Roman" w:cs="Times New Roman"/>
          <w:sz w:val="24"/>
          <w:szCs w:val="24"/>
          <w:lang w:val="en-US"/>
        </w:rPr>
        <w:t>600 in the EU in 2014</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In 2014 (latest year available), the mean monthly gross earnings in public administration and defence (excluding the public health and educa</w:t>
      </w:r>
      <w:r w:rsidR="00E13A54">
        <w:rPr>
          <w:rFonts w:ascii="Times New Roman" w:hAnsi="Times New Roman" w:cs="Times New Roman"/>
          <w:sz w:val="24"/>
          <w:szCs w:val="24"/>
          <w:lang w:val="en-US"/>
        </w:rPr>
        <w:t>tion sectors) in the EU was € 2.</w:t>
      </w:r>
      <w:r w:rsidRPr="00366833">
        <w:rPr>
          <w:rFonts w:ascii="Times New Roman" w:hAnsi="Times New Roman" w:cs="Times New Roman"/>
          <w:sz w:val="24"/>
          <w:szCs w:val="24"/>
          <w:lang w:val="en-US"/>
        </w:rPr>
        <w:t>600. Compared with other sectors, av</w:t>
      </w:r>
      <w:r w:rsidR="00E13A54">
        <w:rPr>
          <w:rFonts w:ascii="Times New Roman" w:hAnsi="Times New Roman" w:cs="Times New Roman"/>
          <w:sz w:val="24"/>
          <w:szCs w:val="24"/>
          <w:lang w:val="en-US"/>
        </w:rPr>
        <w:t>erage earnings were highest in “</w:t>
      </w:r>
      <w:r w:rsidRPr="00366833">
        <w:rPr>
          <w:rFonts w:ascii="Times New Roman" w:hAnsi="Times New Roman" w:cs="Times New Roman"/>
          <w:sz w:val="24"/>
          <w:szCs w:val="24"/>
          <w:lang w:val="en-US"/>
        </w:rPr>
        <w:t>financial and insurance activitie</w:t>
      </w:r>
      <w:r w:rsidR="00E13A54">
        <w:rPr>
          <w:rFonts w:ascii="Times New Roman" w:hAnsi="Times New Roman" w:cs="Times New Roman"/>
          <w:sz w:val="24"/>
          <w:szCs w:val="24"/>
          <w:lang w:val="en-US"/>
        </w:rPr>
        <w:t>s” (€ 3.800), “information and communication” and “</w:t>
      </w:r>
      <w:r w:rsidRPr="00366833">
        <w:rPr>
          <w:rFonts w:ascii="Times New Roman" w:hAnsi="Times New Roman" w:cs="Times New Roman"/>
          <w:sz w:val="24"/>
          <w:szCs w:val="24"/>
          <w:lang w:val="en-US"/>
        </w:rPr>
        <w:t>profes</w:t>
      </w:r>
      <w:r w:rsidR="00E13A54">
        <w:rPr>
          <w:rFonts w:ascii="Times New Roman" w:hAnsi="Times New Roman" w:cs="Times New Roman"/>
          <w:sz w:val="24"/>
          <w:szCs w:val="24"/>
          <w:lang w:val="en-US"/>
        </w:rPr>
        <w:t>sional and technical activities” (both € 3.500), while “</w:t>
      </w:r>
      <w:r w:rsidRPr="00366833">
        <w:rPr>
          <w:rFonts w:ascii="Times New Roman" w:hAnsi="Times New Roman" w:cs="Times New Roman"/>
          <w:sz w:val="24"/>
          <w:szCs w:val="24"/>
          <w:lang w:val="en-US"/>
        </w:rPr>
        <w:t>accommodation an</w:t>
      </w:r>
      <w:r w:rsidR="00E13A54">
        <w:rPr>
          <w:rFonts w:ascii="Times New Roman" w:hAnsi="Times New Roman" w:cs="Times New Roman"/>
          <w:sz w:val="24"/>
          <w:szCs w:val="24"/>
          <w:lang w:val="en-US"/>
        </w:rPr>
        <w:t>d food service activities” (€ 1.700), “</w:t>
      </w:r>
      <w:r w:rsidRPr="00366833">
        <w:rPr>
          <w:rFonts w:ascii="Times New Roman" w:hAnsi="Times New Roman" w:cs="Times New Roman"/>
          <w:sz w:val="24"/>
          <w:szCs w:val="24"/>
          <w:lang w:val="en-US"/>
        </w:rPr>
        <w:t>admi</w:t>
      </w:r>
      <w:r w:rsidR="00E13A54">
        <w:rPr>
          <w:rFonts w:ascii="Times New Roman" w:hAnsi="Times New Roman" w:cs="Times New Roman"/>
          <w:sz w:val="24"/>
          <w:szCs w:val="24"/>
          <w:lang w:val="en-US"/>
        </w:rPr>
        <w:t>nistrative and support services” (€ 2.000), “</w:t>
      </w:r>
      <w:r w:rsidRPr="00366833">
        <w:rPr>
          <w:rFonts w:ascii="Times New Roman" w:hAnsi="Times New Roman" w:cs="Times New Roman"/>
          <w:sz w:val="24"/>
          <w:szCs w:val="24"/>
          <w:lang w:val="en-US"/>
        </w:rPr>
        <w:t>water supply, sewerage, waste managemen</w:t>
      </w:r>
      <w:r w:rsidR="00E13A54">
        <w:rPr>
          <w:rFonts w:ascii="Times New Roman" w:hAnsi="Times New Roman" w:cs="Times New Roman"/>
          <w:sz w:val="24"/>
          <w:szCs w:val="24"/>
          <w:lang w:val="en-US"/>
        </w:rPr>
        <w:t>t activities” (€ 2.100) and “wholesale and retail trade” (€ 2.</w:t>
      </w:r>
      <w:r w:rsidRPr="00366833">
        <w:rPr>
          <w:rFonts w:ascii="Times New Roman" w:hAnsi="Times New Roman" w:cs="Times New Roman"/>
          <w:sz w:val="24"/>
          <w:szCs w:val="24"/>
          <w:lang w:val="en-US"/>
        </w:rPr>
        <w:t>200) had the lowest earnings.</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lastRenderedPageBreak/>
        <w:t xml:space="preserve">In 2014 (latest year available), the highest mean monthly gross earnings in public administration and defence (excluding the public health and education sectors) were observed </w:t>
      </w:r>
      <w:r w:rsidR="00E13A54">
        <w:rPr>
          <w:rFonts w:ascii="Times New Roman" w:hAnsi="Times New Roman" w:cs="Times New Roman"/>
          <w:sz w:val="24"/>
          <w:szCs w:val="24"/>
          <w:lang w:val="en-US"/>
        </w:rPr>
        <w:t>in Denmark (€ 4.500), Ireland (€ 4.300), Sweden (€ 3.700) and the Netherlands (€ 3.</w:t>
      </w:r>
      <w:r w:rsidRPr="00366833">
        <w:rPr>
          <w:rFonts w:ascii="Times New Roman" w:hAnsi="Times New Roman" w:cs="Times New Roman"/>
          <w:sz w:val="24"/>
          <w:szCs w:val="24"/>
          <w:lang w:val="en-US"/>
        </w:rPr>
        <w:t>600), and the lowest in Bulgaria (€ 500), Romania (€ 600) and Hungary (€ 700).</w:t>
      </w:r>
    </w:p>
    <w:p w:rsidR="00366833" w:rsidRPr="00366833" w:rsidRDefault="00366833" w:rsidP="00366833">
      <w:pPr>
        <w:spacing w:line="240" w:lineRule="auto"/>
        <w:jc w:val="both"/>
        <w:rPr>
          <w:rFonts w:ascii="Times New Roman" w:hAnsi="Times New Roman" w:cs="Times New Roman"/>
          <w:sz w:val="24"/>
          <w:szCs w:val="24"/>
          <w:lang w:val="en-US"/>
        </w:rPr>
      </w:pPr>
      <w:r w:rsidRPr="00366833">
        <w:rPr>
          <w:rFonts w:ascii="Times New Roman" w:hAnsi="Times New Roman" w:cs="Times New Roman"/>
          <w:sz w:val="24"/>
          <w:szCs w:val="24"/>
          <w:lang w:val="en-US"/>
        </w:rPr>
        <w:t>When comparing these earnings in purchasing power standards (eliminating price level differences between countries), the pattern is somewhat different: Ireland then has the highest earnings, followed by Germany, the Netherlands and Denmark. For the lowest earnings, the same ranking appears.</w:t>
      </w:r>
    </w:p>
    <w:p w:rsidR="00366833" w:rsidRDefault="00366833" w:rsidP="00670E17">
      <w:pPr>
        <w:rPr>
          <w:lang w:val="en-US"/>
        </w:rPr>
      </w:pPr>
      <w:r>
        <w:rPr>
          <w:noProof/>
        </w:rPr>
        <w:drawing>
          <wp:inline distT="0" distB="0" distL="0" distR="0">
            <wp:extent cx="5734050" cy="3232150"/>
            <wp:effectExtent l="0" t="0" r="0" b="6350"/>
            <wp:docPr id="66" name="Imagen 66" descr="Government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vernment employmen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1510" cy="3230718"/>
                    </a:xfrm>
                    <a:prstGeom prst="rect">
                      <a:avLst/>
                    </a:prstGeom>
                    <a:noFill/>
                    <a:ln>
                      <a:noFill/>
                    </a:ln>
                  </pic:spPr>
                </pic:pic>
              </a:graphicData>
            </a:graphic>
          </wp:inline>
        </w:drawing>
      </w:r>
    </w:p>
    <w:p w:rsidR="00A14D00" w:rsidRPr="00A14D00" w:rsidRDefault="00A14D00" w:rsidP="00670E17">
      <w:pPr>
        <w:rPr>
          <w:rFonts w:ascii="Times New Roman" w:hAnsi="Times New Roman" w:cs="Times New Roman"/>
          <w:b/>
          <w:sz w:val="24"/>
          <w:szCs w:val="24"/>
          <w:lang w:val="en-US"/>
        </w:rPr>
      </w:pPr>
      <w:r>
        <w:rPr>
          <w:rFonts w:ascii="Times New Roman" w:hAnsi="Times New Roman" w:cs="Times New Roman"/>
          <w:b/>
          <w:sz w:val="24"/>
          <w:szCs w:val="24"/>
          <w:lang w:val="en-US"/>
        </w:rPr>
        <w:t>Eurostat Regional Year</w:t>
      </w:r>
      <w:r w:rsidRPr="00A14D00">
        <w:rPr>
          <w:rFonts w:ascii="Times New Roman" w:hAnsi="Times New Roman" w:cs="Times New Roman"/>
          <w:b/>
          <w:sz w:val="24"/>
          <w:szCs w:val="24"/>
          <w:lang w:val="en-US"/>
        </w:rPr>
        <w:t>book - 2019</w:t>
      </w:r>
    </w:p>
    <w:p w:rsidR="00A14D00" w:rsidRDefault="00A14D00" w:rsidP="00670E17">
      <w:pPr>
        <w:rPr>
          <w:lang w:val="en-US"/>
        </w:rPr>
      </w:pPr>
      <w:r w:rsidRPr="00A14D00">
        <w:rPr>
          <w:noProof/>
        </w:rPr>
        <w:drawing>
          <wp:inline distT="0" distB="0" distL="0" distR="0">
            <wp:extent cx="5734050" cy="33147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5731510" cy="3313232"/>
                    </a:xfrm>
                    <a:prstGeom prst="rect">
                      <a:avLst/>
                    </a:prstGeom>
                  </pic:spPr>
                </pic:pic>
              </a:graphicData>
            </a:graphic>
          </wp:inline>
        </w:drawing>
      </w:r>
    </w:p>
    <w:p w:rsidR="00366833" w:rsidRDefault="00A14D00" w:rsidP="00670E17">
      <w:pPr>
        <w:rPr>
          <w:lang w:val="en-US"/>
        </w:rPr>
      </w:pPr>
      <w:r w:rsidRPr="00A14D00">
        <w:rPr>
          <w:noProof/>
        </w:rPr>
        <w:lastRenderedPageBreak/>
        <w:drawing>
          <wp:inline distT="0" distB="0" distL="0" distR="0">
            <wp:extent cx="5731510" cy="4056146"/>
            <wp:effectExtent l="0" t="0" r="2540" b="19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5731510" cy="4056146"/>
                    </a:xfrm>
                    <a:prstGeom prst="rect">
                      <a:avLst/>
                    </a:prstGeom>
                  </pic:spPr>
                </pic:pic>
              </a:graphicData>
            </a:graphic>
          </wp:inline>
        </w:drawing>
      </w:r>
    </w:p>
    <w:p w:rsidR="00A14D00" w:rsidRDefault="00A14D00" w:rsidP="00670E17">
      <w:pPr>
        <w:rPr>
          <w:lang w:val="en-US"/>
        </w:rPr>
      </w:pPr>
    </w:p>
    <w:p w:rsidR="00A14D00" w:rsidRDefault="00A14D00" w:rsidP="00670E17">
      <w:pPr>
        <w:rPr>
          <w:lang w:val="en-US"/>
        </w:rPr>
      </w:pPr>
      <w:r w:rsidRPr="00A14D00">
        <w:rPr>
          <w:noProof/>
        </w:rPr>
        <w:drawing>
          <wp:inline distT="0" distB="0" distL="0" distR="0">
            <wp:extent cx="5731510" cy="3312151"/>
            <wp:effectExtent l="0" t="0" r="2540" b="317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5731510" cy="3312151"/>
                    </a:xfrm>
                    <a:prstGeom prst="rect">
                      <a:avLst/>
                    </a:prstGeom>
                  </pic:spPr>
                </pic:pic>
              </a:graphicData>
            </a:graphic>
          </wp:inline>
        </w:drawing>
      </w:r>
    </w:p>
    <w:p w:rsidR="00A14D00" w:rsidRDefault="00A14D00" w:rsidP="00670E17">
      <w:pPr>
        <w:rPr>
          <w:lang w:val="en-US"/>
        </w:rPr>
      </w:pPr>
      <w:r w:rsidRPr="00A14D00">
        <w:rPr>
          <w:noProof/>
        </w:rPr>
        <w:lastRenderedPageBreak/>
        <w:drawing>
          <wp:inline distT="0" distB="0" distL="0" distR="0">
            <wp:extent cx="5416550" cy="64833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stretch>
                      <a:fillRect/>
                    </a:stretch>
                  </pic:blipFill>
                  <pic:spPr>
                    <a:xfrm>
                      <a:off x="0" y="0"/>
                      <a:ext cx="5414464" cy="6480853"/>
                    </a:xfrm>
                    <a:prstGeom prst="rect">
                      <a:avLst/>
                    </a:prstGeom>
                  </pic:spPr>
                </pic:pic>
              </a:graphicData>
            </a:graphic>
          </wp:inline>
        </w:drawing>
      </w:r>
    </w:p>
    <w:p w:rsidR="00A14D00" w:rsidRDefault="00A14D00" w:rsidP="00670E17">
      <w:pPr>
        <w:rPr>
          <w:lang w:val="en-US"/>
        </w:rPr>
      </w:pPr>
      <w:r w:rsidRPr="00A14D00">
        <w:rPr>
          <w:noProof/>
        </w:rPr>
        <w:lastRenderedPageBreak/>
        <w:drawing>
          <wp:inline distT="0" distB="0" distL="0" distR="0">
            <wp:extent cx="5451813" cy="66103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5455411" cy="6614712"/>
                    </a:xfrm>
                    <a:prstGeom prst="rect">
                      <a:avLst/>
                    </a:prstGeom>
                  </pic:spPr>
                </pic:pic>
              </a:graphicData>
            </a:graphic>
          </wp:inline>
        </w:drawing>
      </w:r>
      <w:r w:rsidRPr="00A14D00">
        <w:rPr>
          <w:noProof/>
        </w:rPr>
        <w:lastRenderedPageBreak/>
        <w:drawing>
          <wp:inline distT="0" distB="0" distL="0" distR="0">
            <wp:extent cx="5727700" cy="452755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stretch>
                      <a:fillRect/>
                    </a:stretch>
                  </pic:blipFill>
                  <pic:spPr>
                    <a:xfrm>
                      <a:off x="0" y="0"/>
                      <a:ext cx="5731510" cy="4530562"/>
                    </a:xfrm>
                    <a:prstGeom prst="rect">
                      <a:avLst/>
                    </a:prstGeom>
                  </pic:spPr>
                </pic:pic>
              </a:graphicData>
            </a:graphic>
          </wp:inline>
        </w:drawing>
      </w:r>
    </w:p>
    <w:p w:rsidR="00A14D00" w:rsidRDefault="00A14D00" w:rsidP="00670E17">
      <w:pPr>
        <w:rPr>
          <w:lang w:val="en-US"/>
        </w:rPr>
      </w:pPr>
      <w:r w:rsidRPr="00A14D00">
        <w:rPr>
          <w:noProof/>
        </w:rPr>
        <w:drawing>
          <wp:inline distT="0" distB="0" distL="0" distR="0">
            <wp:extent cx="5727100" cy="365760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stretch>
                      <a:fillRect/>
                    </a:stretch>
                  </pic:blipFill>
                  <pic:spPr>
                    <a:xfrm>
                      <a:off x="0" y="0"/>
                      <a:ext cx="5731510" cy="3660417"/>
                    </a:xfrm>
                    <a:prstGeom prst="rect">
                      <a:avLst/>
                    </a:prstGeom>
                  </pic:spPr>
                </pic:pic>
              </a:graphicData>
            </a:graphic>
          </wp:inline>
        </w:drawing>
      </w:r>
    </w:p>
    <w:p w:rsidR="00A14D00" w:rsidRDefault="00A14D00" w:rsidP="00670E17">
      <w:pPr>
        <w:rPr>
          <w:lang w:val="en-US"/>
        </w:rPr>
      </w:pPr>
      <w:r w:rsidRPr="00A14D00">
        <w:rPr>
          <w:noProof/>
        </w:rPr>
        <w:lastRenderedPageBreak/>
        <w:drawing>
          <wp:inline distT="0" distB="0" distL="0" distR="0">
            <wp:extent cx="5731510" cy="3448091"/>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5731510" cy="3448091"/>
                    </a:xfrm>
                    <a:prstGeom prst="rect">
                      <a:avLst/>
                    </a:prstGeom>
                  </pic:spPr>
                </pic:pic>
              </a:graphicData>
            </a:graphic>
          </wp:inline>
        </w:drawing>
      </w:r>
    </w:p>
    <w:p w:rsidR="00A14D00" w:rsidRDefault="00A14D00" w:rsidP="00670E17">
      <w:pPr>
        <w:rPr>
          <w:lang w:val="en-US"/>
        </w:rPr>
      </w:pPr>
      <w:r w:rsidRPr="00A14D00">
        <w:rPr>
          <w:noProof/>
        </w:rPr>
        <w:drawing>
          <wp:inline distT="0" distB="0" distL="0" distR="0">
            <wp:extent cx="5731510" cy="5142438"/>
            <wp:effectExtent l="0" t="0" r="2540" b="12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5731510" cy="5142438"/>
                    </a:xfrm>
                    <a:prstGeom prst="rect">
                      <a:avLst/>
                    </a:prstGeom>
                  </pic:spPr>
                </pic:pic>
              </a:graphicData>
            </a:graphic>
          </wp:inline>
        </w:drawing>
      </w:r>
    </w:p>
    <w:p w:rsidR="00A14D00" w:rsidRDefault="00A14D00" w:rsidP="00670E17">
      <w:pPr>
        <w:rPr>
          <w:lang w:val="en-US"/>
        </w:rPr>
      </w:pPr>
      <w:r w:rsidRPr="00A14D00">
        <w:rPr>
          <w:noProof/>
        </w:rPr>
        <w:lastRenderedPageBreak/>
        <w:drawing>
          <wp:inline distT="0" distB="0" distL="0" distR="0">
            <wp:extent cx="5492750" cy="66103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stretch>
                      <a:fillRect/>
                    </a:stretch>
                  </pic:blipFill>
                  <pic:spPr>
                    <a:xfrm>
                      <a:off x="0" y="0"/>
                      <a:ext cx="5493516" cy="6611272"/>
                    </a:xfrm>
                    <a:prstGeom prst="rect">
                      <a:avLst/>
                    </a:prstGeom>
                  </pic:spPr>
                </pic:pic>
              </a:graphicData>
            </a:graphic>
          </wp:inline>
        </w:drawing>
      </w:r>
    </w:p>
    <w:p w:rsidR="00A14D00" w:rsidRDefault="00A14D00" w:rsidP="00670E17">
      <w:pPr>
        <w:rPr>
          <w:lang w:val="en-US"/>
        </w:rPr>
      </w:pPr>
      <w:r w:rsidRPr="00A14D00">
        <w:rPr>
          <w:noProof/>
        </w:rPr>
        <w:lastRenderedPageBreak/>
        <w:drawing>
          <wp:inline distT="0" distB="0" distL="0" distR="0">
            <wp:extent cx="5588000" cy="682625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5585980" cy="6823782"/>
                    </a:xfrm>
                    <a:prstGeom prst="rect">
                      <a:avLst/>
                    </a:prstGeom>
                  </pic:spPr>
                </pic:pic>
              </a:graphicData>
            </a:graphic>
          </wp:inline>
        </w:drawing>
      </w:r>
    </w:p>
    <w:p w:rsidR="00EA5A9A" w:rsidRDefault="00EA5A9A" w:rsidP="00670E17">
      <w:pPr>
        <w:rPr>
          <w:lang w:val="en-US"/>
        </w:rPr>
      </w:pPr>
      <w:r w:rsidRPr="00EA5A9A">
        <w:rPr>
          <w:noProof/>
        </w:rPr>
        <w:lastRenderedPageBreak/>
        <w:drawing>
          <wp:inline distT="0" distB="0" distL="0" distR="0">
            <wp:extent cx="5638800" cy="65151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stretch>
                      <a:fillRect/>
                    </a:stretch>
                  </pic:blipFill>
                  <pic:spPr>
                    <a:xfrm>
                      <a:off x="0" y="0"/>
                      <a:ext cx="5639587" cy="6516009"/>
                    </a:xfrm>
                    <a:prstGeom prst="rect">
                      <a:avLst/>
                    </a:prstGeom>
                  </pic:spPr>
                </pic:pic>
              </a:graphicData>
            </a:graphic>
          </wp:inline>
        </w:drawing>
      </w:r>
    </w:p>
    <w:p w:rsidR="00EA5A9A" w:rsidRDefault="00EA5A9A" w:rsidP="00670E17">
      <w:pPr>
        <w:rPr>
          <w:lang w:val="en-US"/>
        </w:rPr>
      </w:pPr>
      <w:r w:rsidRPr="00EA5A9A">
        <w:rPr>
          <w:noProof/>
        </w:rPr>
        <w:lastRenderedPageBreak/>
        <w:drawing>
          <wp:inline distT="0" distB="0" distL="0" distR="0">
            <wp:extent cx="5568950" cy="662940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stretch>
                      <a:fillRect/>
                    </a:stretch>
                  </pic:blipFill>
                  <pic:spPr>
                    <a:xfrm>
                      <a:off x="0" y="0"/>
                      <a:ext cx="5569728" cy="6630326"/>
                    </a:xfrm>
                    <a:prstGeom prst="rect">
                      <a:avLst/>
                    </a:prstGeom>
                  </pic:spPr>
                </pic:pic>
              </a:graphicData>
            </a:graphic>
          </wp:inline>
        </w:drawing>
      </w:r>
    </w:p>
    <w:p w:rsidR="00EA5A9A" w:rsidRDefault="00EA5A9A" w:rsidP="00670E17">
      <w:pPr>
        <w:rPr>
          <w:lang w:val="en-US"/>
        </w:rPr>
      </w:pPr>
      <w:r w:rsidRPr="00EA5A9A">
        <w:rPr>
          <w:noProof/>
        </w:rPr>
        <w:lastRenderedPageBreak/>
        <w:drawing>
          <wp:inline distT="0" distB="0" distL="0" distR="0">
            <wp:extent cx="5725970" cy="2825750"/>
            <wp:effectExtent l="0" t="0" r="825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print"/>
                    <a:stretch>
                      <a:fillRect/>
                    </a:stretch>
                  </pic:blipFill>
                  <pic:spPr>
                    <a:xfrm>
                      <a:off x="0" y="0"/>
                      <a:ext cx="5731510" cy="2828484"/>
                    </a:xfrm>
                    <a:prstGeom prst="rect">
                      <a:avLst/>
                    </a:prstGeom>
                  </pic:spPr>
                </pic:pic>
              </a:graphicData>
            </a:graphic>
          </wp:inline>
        </w:drawing>
      </w:r>
    </w:p>
    <w:p w:rsidR="00EA5A9A" w:rsidRDefault="00EA5A9A" w:rsidP="00670E17">
      <w:pPr>
        <w:rPr>
          <w:lang w:val="en-US"/>
        </w:rPr>
      </w:pPr>
      <w:r>
        <w:rPr>
          <w:lang w:val="en-US"/>
        </w:rPr>
        <w:t xml:space="preserve">     </w:t>
      </w:r>
      <w:r w:rsidRPr="00EA5A9A">
        <w:rPr>
          <w:noProof/>
        </w:rPr>
        <w:drawing>
          <wp:inline distT="0" distB="0" distL="0" distR="0">
            <wp:extent cx="5524500" cy="5705168"/>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stretch>
                      <a:fillRect/>
                    </a:stretch>
                  </pic:blipFill>
                  <pic:spPr>
                    <a:xfrm>
                      <a:off x="0" y="0"/>
                      <a:ext cx="5534933" cy="5715942"/>
                    </a:xfrm>
                    <a:prstGeom prst="rect">
                      <a:avLst/>
                    </a:prstGeom>
                  </pic:spPr>
                </pic:pic>
              </a:graphicData>
            </a:graphic>
          </wp:inline>
        </w:drawing>
      </w:r>
    </w:p>
    <w:p w:rsidR="00EA5A9A" w:rsidRDefault="00EA5A9A" w:rsidP="00670E17">
      <w:pPr>
        <w:rPr>
          <w:lang w:val="en-US"/>
        </w:rPr>
      </w:pPr>
      <w:r w:rsidRPr="00EA5A9A">
        <w:rPr>
          <w:noProof/>
        </w:rPr>
        <w:lastRenderedPageBreak/>
        <w:drawing>
          <wp:inline distT="0" distB="0" distL="0" distR="0">
            <wp:extent cx="5731510" cy="4533159"/>
            <wp:effectExtent l="0" t="0" r="2540" b="127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cstate="print"/>
                    <a:stretch>
                      <a:fillRect/>
                    </a:stretch>
                  </pic:blipFill>
                  <pic:spPr>
                    <a:xfrm>
                      <a:off x="0" y="0"/>
                      <a:ext cx="5731510" cy="4533159"/>
                    </a:xfrm>
                    <a:prstGeom prst="rect">
                      <a:avLst/>
                    </a:prstGeom>
                  </pic:spPr>
                </pic:pic>
              </a:graphicData>
            </a:graphic>
          </wp:inline>
        </w:drawing>
      </w:r>
    </w:p>
    <w:p w:rsidR="00F365A9" w:rsidRDefault="00F365A9" w:rsidP="00670E17">
      <w:pPr>
        <w:rPr>
          <w:lang w:val="en-US"/>
        </w:rPr>
      </w:pPr>
      <w:r w:rsidRPr="00F365A9">
        <w:rPr>
          <w:noProof/>
        </w:rPr>
        <w:drawing>
          <wp:inline distT="0" distB="0" distL="0" distR="0">
            <wp:extent cx="5731510" cy="3207441"/>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print"/>
                    <a:stretch>
                      <a:fillRect/>
                    </a:stretch>
                  </pic:blipFill>
                  <pic:spPr>
                    <a:xfrm>
                      <a:off x="0" y="0"/>
                      <a:ext cx="5731510" cy="3207441"/>
                    </a:xfrm>
                    <a:prstGeom prst="rect">
                      <a:avLst/>
                    </a:prstGeom>
                  </pic:spPr>
                </pic:pic>
              </a:graphicData>
            </a:graphic>
          </wp:inline>
        </w:drawing>
      </w:r>
    </w:p>
    <w:p w:rsidR="00F365A9" w:rsidRDefault="00F365A9" w:rsidP="00670E17">
      <w:pPr>
        <w:rPr>
          <w:lang w:val="en-US"/>
        </w:rPr>
      </w:pPr>
      <w:r w:rsidRPr="00F365A9">
        <w:rPr>
          <w:noProof/>
        </w:rPr>
        <w:lastRenderedPageBreak/>
        <w:drawing>
          <wp:inline distT="0" distB="0" distL="0" distR="0">
            <wp:extent cx="5734050" cy="6451600"/>
            <wp:effectExtent l="0" t="0" r="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stretch>
                      <a:fillRect/>
                    </a:stretch>
                  </pic:blipFill>
                  <pic:spPr>
                    <a:xfrm>
                      <a:off x="0" y="0"/>
                      <a:ext cx="5734851" cy="6452501"/>
                    </a:xfrm>
                    <a:prstGeom prst="rect">
                      <a:avLst/>
                    </a:prstGeom>
                  </pic:spPr>
                </pic:pic>
              </a:graphicData>
            </a:graphic>
          </wp:inline>
        </w:drawing>
      </w:r>
    </w:p>
    <w:p w:rsidR="00F365A9" w:rsidRDefault="00F365A9" w:rsidP="00670E17">
      <w:pPr>
        <w:rPr>
          <w:lang w:val="en-US"/>
        </w:rPr>
      </w:pPr>
      <w:r>
        <w:rPr>
          <w:lang w:val="en-US"/>
        </w:rPr>
        <w:lastRenderedPageBreak/>
        <w:t xml:space="preserve">           </w:t>
      </w:r>
      <w:r w:rsidRPr="00F365A9">
        <w:rPr>
          <w:noProof/>
        </w:rPr>
        <w:drawing>
          <wp:inline distT="0" distB="0" distL="0" distR="0">
            <wp:extent cx="5105400" cy="556895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stretch>
                      <a:fillRect/>
                    </a:stretch>
                  </pic:blipFill>
                  <pic:spPr>
                    <a:xfrm>
                      <a:off x="0" y="0"/>
                      <a:ext cx="5106113" cy="5569728"/>
                    </a:xfrm>
                    <a:prstGeom prst="rect">
                      <a:avLst/>
                    </a:prstGeom>
                  </pic:spPr>
                </pic:pic>
              </a:graphicData>
            </a:graphic>
          </wp:inline>
        </w:drawing>
      </w:r>
    </w:p>
    <w:p w:rsidR="00F365A9" w:rsidRDefault="00F365A9" w:rsidP="00670E17">
      <w:pPr>
        <w:rPr>
          <w:lang w:val="en-US"/>
        </w:rPr>
      </w:pPr>
      <w:r w:rsidRPr="00F365A9">
        <w:rPr>
          <w:noProof/>
        </w:rPr>
        <w:drawing>
          <wp:inline distT="0" distB="0" distL="0" distR="0">
            <wp:extent cx="5727191" cy="3016250"/>
            <wp:effectExtent l="0" t="0" r="698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stretch>
                      <a:fillRect/>
                    </a:stretch>
                  </pic:blipFill>
                  <pic:spPr>
                    <a:xfrm>
                      <a:off x="0" y="0"/>
                      <a:ext cx="5731510" cy="3018524"/>
                    </a:xfrm>
                    <a:prstGeom prst="rect">
                      <a:avLst/>
                    </a:prstGeom>
                  </pic:spPr>
                </pic:pic>
              </a:graphicData>
            </a:graphic>
          </wp:inline>
        </w:drawing>
      </w:r>
    </w:p>
    <w:p w:rsidR="00F365A9" w:rsidRDefault="00F365A9" w:rsidP="00670E17">
      <w:pPr>
        <w:rPr>
          <w:lang w:val="en-US"/>
        </w:rPr>
      </w:pPr>
      <w:r w:rsidRPr="00F365A9">
        <w:rPr>
          <w:noProof/>
        </w:rPr>
        <w:lastRenderedPageBreak/>
        <w:drawing>
          <wp:inline distT="0" distB="0" distL="0" distR="0">
            <wp:extent cx="5730999" cy="2533650"/>
            <wp:effectExtent l="0" t="0" r="3175"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cstate="print"/>
                    <a:stretch>
                      <a:fillRect/>
                    </a:stretch>
                  </pic:blipFill>
                  <pic:spPr>
                    <a:xfrm>
                      <a:off x="0" y="0"/>
                      <a:ext cx="5731510" cy="2533876"/>
                    </a:xfrm>
                    <a:prstGeom prst="rect">
                      <a:avLst/>
                    </a:prstGeom>
                  </pic:spPr>
                </pic:pic>
              </a:graphicData>
            </a:graphic>
          </wp:inline>
        </w:drawing>
      </w:r>
    </w:p>
    <w:p w:rsidR="00132726" w:rsidRDefault="00132726" w:rsidP="00670E17">
      <w:pPr>
        <w:rPr>
          <w:lang w:val="en-US"/>
        </w:rPr>
      </w:pPr>
      <w:r>
        <w:rPr>
          <w:lang w:val="en-US"/>
        </w:rPr>
        <w:t xml:space="preserve">          </w:t>
      </w:r>
      <w:r w:rsidRPr="00132726">
        <w:rPr>
          <w:noProof/>
        </w:rPr>
        <w:drawing>
          <wp:inline distT="0" distB="0" distL="0" distR="0">
            <wp:extent cx="5172797" cy="6173061"/>
            <wp:effectExtent l="0" t="0" r="889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cstate="print"/>
                    <a:stretch>
                      <a:fillRect/>
                    </a:stretch>
                  </pic:blipFill>
                  <pic:spPr>
                    <a:xfrm>
                      <a:off x="0" y="0"/>
                      <a:ext cx="5172797" cy="6173061"/>
                    </a:xfrm>
                    <a:prstGeom prst="rect">
                      <a:avLst/>
                    </a:prstGeom>
                  </pic:spPr>
                </pic:pic>
              </a:graphicData>
            </a:graphic>
          </wp:inline>
        </w:drawing>
      </w:r>
    </w:p>
    <w:p w:rsidR="00132726" w:rsidRDefault="00132726" w:rsidP="00670E17">
      <w:pPr>
        <w:rPr>
          <w:lang w:val="en-US"/>
        </w:rPr>
      </w:pPr>
      <w:r w:rsidRPr="00132726">
        <w:rPr>
          <w:noProof/>
        </w:rPr>
        <w:lastRenderedPageBreak/>
        <w:drawing>
          <wp:inline distT="0" distB="0" distL="0" distR="0">
            <wp:extent cx="5731522" cy="2946400"/>
            <wp:effectExtent l="0" t="0" r="254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cstate="print"/>
                    <a:stretch>
                      <a:fillRect/>
                    </a:stretch>
                  </pic:blipFill>
                  <pic:spPr>
                    <a:xfrm>
                      <a:off x="0" y="0"/>
                      <a:ext cx="5731510" cy="2946394"/>
                    </a:xfrm>
                    <a:prstGeom prst="rect">
                      <a:avLst/>
                    </a:prstGeom>
                  </pic:spPr>
                </pic:pic>
              </a:graphicData>
            </a:graphic>
          </wp:inline>
        </w:drawing>
      </w:r>
    </w:p>
    <w:p w:rsidR="00132726" w:rsidRDefault="00132726" w:rsidP="00670E17">
      <w:pPr>
        <w:rPr>
          <w:lang w:val="en-US"/>
        </w:rPr>
      </w:pPr>
      <w:r w:rsidRPr="00132726">
        <w:rPr>
          <w:noProof/>
        </w:rPr>
        <w:drawing>
          <wp:inline distT="0" distB="0" distL="0" distR="0">
            <wp:extent cx="5727700" cy="2876550"/>
            <wp:effectExtent l="0" t="0" r="635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cstate="print"/>
                    <a:stretch>
                      <a:fillRect/>
                    </a:stretch>
                  </pic:blipFill>
                  <pic:spPr>
                    <a:xfrm>
                      <a:off x="0" y="0"/>
                      <a:ext cx="5731510" cy="2878463"/>
                    </a:xfrm>
                    <a:prstGeom prst="rect">
                      <a:avLst/>
                    </a:prstGeom>
                  </pic:spPr>
                </pic:pic>
              </a:graphicData>
            </a:graphic>
          </wp:inline>
        </w:drawing>
      </w:r>
    </w:p>
    <w:p w:rsidR="00132726" w:rsidRDefault="00132726" w:rsidP="00670E17">
      <w:pPr>
        <w:rPr>
          <w:lang w:val="en-US"/>
        </w:rPr>
      </w:pPr>
      <w:r w:rsidRPr="00132726">
        <w:rPr>
          <w:noProof/>
        </w:rPr>
        <w:drawing>
          <wp:inline distT="0" distB="0" distL="0" distR="0">
            <wp:extent cx="5734050" cy="2451100"/>
            <wp:effectExtent l="0" t="0" r="0"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cstate="print"/>
                    <a:stretch>
                      <a:fillRect/>
                    </a:stretch>
                  </pic:blipFill>
                  <pic:spPr>
                    <a:xfrm>
                      <a:off x="0" y="0"/>
                      <a:ext cx="5731510" cy="2450014"/>
                    </a:xfrm>
                    <a:prstGeom prst="rect">
                      <a:avLst/>
                    </a:prstGeom>
                  </pic:spPr>
                </pic:pic>
              </a:graphicData>
            </a:graphic>
          </wp:inline>
        </w:drawing>
      </w:r>
    </w:p>
    <w:p w:rsidR="00132726" w:rsidRDefault="00132726" w:rsidP="00670E17">
      <w:pPr>
        <w:rPr>
          <w:lang w:val="en-US"/>
        </w:rPr>
      </w:pPr>
      <w:r w:rsidRPr="00132726">
        <w:rPr>
          <w:noProof/>
        </w:rPr>
        <w:lastRenderedPageBreak/>
        <w:drawing>
          <wp:inline distT="0" distB="0" distL="0" distR="0">
            <wp:extent cx="5727700" cy="2641600"/>
            <wp:effectExtent l="0" t="0" r="635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stretch>
                      <a:fillRect/>
                    </a:stretch>
                  </pic:blipFill>
                  <pic:spPr>
                    <a:xfrm>
                      <a:off x="0" y="0"/>
                      <a:ext cx="5731510" cy="2643357"/>
                    </a:xfrm>
                    <a:prstGeom prst="rect">
                      <a:avLst/>
                    </a:prstGeom>
                  </pic:spPr>
                </pic:pic>
              </a:graphicData>
            </a:graphic>
          </wp:inline>
        </w:drawing>
      </w:r>
    </w:p>
    <w:p w:rsidR="00132726" w:rsidRDefault="00132726" w:rsidP="00670E17">
      <w:pPr>
        <w:rPr>
          <w:lang w:val="en-US"/>
        </w:rPr>
      </w:pPr>
      <w:r w:rsidRPr="00132726">
        <w:rPr>
          <w:noProof/>
        </w:rPr>
        <w:drawing>
          <wp:inline distT="0" distB="0" distL="0" distR="0">
            <wp:extent cx="5727400" cy="2590800"/>
            <wp:effectExtent l="0" t="0" r="698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stretch>
                      <a:fillRect/>
                    </a:stretch>
                  </pic:blipFill>
                  <pic:spPr>
                    <a:xfrm>
                      <a:off x="0" y="0"/>
                      <a:ext cx="5731510" cy="2592659"/>
                    </a:xfrm>
                    <a:prstGeom prst="rect">
                      <a:avLst/>
                    </a:prstGeom>
                  </pic:spPr>
                </pic:pic>
              </a:graphicData>
            </a:graphic>
          </wp:inline>
        </w:drawing>
      </w:r>
    </w:p>
    <w:p w:rsidR="00132726" w:rsidRDefault="00132726" w:rsidP="00670E17">
      <w:pPr>
        <w:rPr>
          <w:lang w:val="en-US"/>
        </w:rPr>
      </w:pPr>
      <w:r w:rsidRPr="00132726">
        <w:rPr>
          <w:noProof/>
        </w:rPr>
        <w:drawing>
          <wp:inline distT="0" distB="0" distL="0" distR="0">
            <wp:extent cx="5731510" cy="3008430"/>
            <wp:effectExtent l="0" t="0" r="2540" b="190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print"/>
                    <a:stretch>
                      <a:fillRect/>
                    </a:stretch>
                  </pic:blipFill>
                  <pic:spPr>
                    <a:xfrm>
                      <a:off x="0" y="0"/>
                      <a:ext cx="5731510" cy="3008430"/>
                    </a:xfrm>
                    <a:prstGeom prst="rect">
                      <a:avLst/>
                    </a:prstGeom>
                  </pic:spPr>
                </pic:pic>
              </a:graphicData>
            </a:graphic>
          </wp:inline>
        </w:drawing>
      </w:r>
    </w:p>
    <w:p w:rsidR="00132726" w:rsidRDefault="00132726" w:rsidP="00670E17">
      <w:pPr>
        <w:rPr>
          <w:lang w:val="en-US"/>
        </w:rPr>
      </w:pPr>
      <w:r w:rsidRPr="00132726">
        <w:rPr>
          <w:noProof/>
        </w:rPr>
        <w:lastRenderedPageBreak/>
        <w:drawing>
          <wp:inline distT="0" distB="0" distL="0" distR="0">
            <wp:extent cx="5695949" cy="6686550"/>
            <wp:effectExtent l="0" t="0" r="63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print"/>
                    <a:stretch>
                      <a:fillRect/>
                    </a:stretch>
                  </pic:blipFill>
                  <pic:spPr>
                    <a:xfrm>
                      <a:off x="0" y="0"/>
                      <a:ext cx="5696745" cy="6687484"/>
                    </a:xfrm>
                    <a:prstGeom prst="rect">
                      <a:avLst/>
                    </a:prstGeom>
                  </pic:spPr>
                </pic:pic>
              </a:graphicData>
            </a:graphic>
          </wp:inline>
        </w:drawing>
      </w:r>
    </w:p>
    <w:p w:rsidR="00132726" w:rsidRDefault="00132726" w:rsidP="00670E17">
      <w:pPr>
        <w:rPr>
          <w:lang w:val="en-US"/>
        </w:rPr>
      </w:pPr>
      <w:r w:rsidRPr="00132726">
        <w:rPr>
          <w:noProof/>
        </w:rPr>
        <w:lastRenderedPageBreak/>
        <w:drawing>
          <wp:inline distT="0" distB="0" distL="0" distR="0">
            <wp:extent cx="5499100" cy="68961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print"/>
                    <a:stretch>
                      <a:fillRect/>
                    </a:stretch>
                  </pic:blipFill>
                  <pic:spPr>
                    <a:xfrm>
                      <a:off x="0" y="0"/>
                      <a:ext cx="5499868" cy="6897063"/>
                    </a:xfrm>
                    <a:prstGeom prst="rect">
                      <a:avLst/>
                    </a:prstGeom>
                  </pic:spPr>
                </pic:pic>
              </a:graphicData>
            </a:graphic>
          </wp:inline>
        </w:drawing>
      </w:r>
    </w:p>
    <w:p w:rsidR="00132726" w:rsidRDefault="00132726" w:rsidP="00670E17">
      <w:pPr>
        <w:rPr>
          <w:lang w:val="en-US"/>
        </w:rPr>
      </w:pPr>
    </w:p>
    <w:p w:rsidR="00132726" w:rsidRDefault="00ED4762" w:rsidP="00670E17">
      <w:pPr>
        <w:rPr>
          <w:lang w:val="en-US"/>
        </w:rPr>
      </w:pPr>
      <w:r w:rsidRPr="00ED4762">
        <w:rPr>
          <w:noProof/>
        </w:rPr>
        <w:lastRenderedPageBreak/>
        <w:drawing>
          <wp:inline distT="0" distB="0" distL="0" distR="0">
            <wp:extent cx="5670550" cy="6959600"/>
            <wp:effectExtent l="0" t="0" r="635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print"/>
                    <a:stretch>
                      <a:fillRect/>
                    </a:stretch>
                  </pic:blipFill>
                  <pic:spPr>
                    <a:xfrm>
                      <a:off x="0" y="0"/>
                      <a:ext cx="5671341" cy="6960571"/>
                    </a:xfrm>
                    <a:prstGeom prst="rect">
                      <a:avLst/>
                    </a:prstGeom>
                  </pic:spPr>
                </pic:pic>
              </a:graphicData>
            </a:graphic>
          </wp:inline>
        </w:drawing>
      </w:r>
    </w:p>
    <w:p w:rsidR="00ED4762" w:rsidRDefault="00ED4762" w:rsidP="00670E17">
      <w:pPr>
        <w:rPr>
          <w:lang w:val="en-US"/>
        </w:rPr>
      </w:pPr>
      <w:r w:rsidRPr="00ED4762">
        <w:rPr>
          <w:noProof/>
        </w:rPr>
        <w:lastRenderedPageBreak/>
        <w:drawing>
          <wp:inline distT="0" distB="0" distL="0" distR="0">
            <wp:extent cx="5461000" cy="6794500"/>
            <wp:effectExtent l="0" t="0" r="635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cstate="print"/>
                    <a:stretch>
                      <a:fillRect/>
                    </a:stretch>
                  </pic:blipFill>
                  <pic:spPr>
                    <a:xfrm>
                      <a:off x="0" y="0"/>
                      <a:ext cx="5461762" cy="6795448"/>
                    </a:xfrm>
                    <a:prstGeom prst="rect">
                      <a:avLst/>
                    </a:prstGeom>
                  </pic:spPr>
                </pic:pic>
              </a:graphicData>
            </a:graphic>
          </wp:inline>
        </w:drawing>
      </w:r>
    </w:p>
    <w:p w:rsidR="00ED4762" w:rsidRDefault="00ED4762" w:rsidP="00670E17">
      <w:pPr>
        <w:rPr>
          <w:lang w:val="en-US"/>
        </w:rPr>
      </w:pPr>
      <w:r w:rsidRPr="00ED4762">
        <w:rPr>
          <w:noProof/>
        </w:rPr>
        <w:lastRenderedPageBreak/>
        <w:drawing>
          <wp:inline distT="0" distB="0" distL="0" distR="0">
            <wp:extent cx="5619750" cy="662940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stretch>
                      <a:fillRect/>
                    </a:stretch>
                  </pic:blipFill>
                  <pic:spPr>
                    <a:xfrm>
                      <a:off x="0" y="0"/>
                      <a:ext cx="5620535" cy="6630326"/>
                    </a:xfrm>
                    <a:prstGeom prst="rect">
                      <a:avLst/>
                    </a:prstGeom>
                  </pic:spPr>
                </pic:pic>
              </a:graphicData>
            </a:graphic>
          </wp:inline>
        </w:drawing>
      </w:r>
    </w:p>
    <w:p w:rsidR="00ED4762" w:rsidRDefault="00ED4762" w:rsidP="00670E17">
      <w:pPr>
        <w:rPr>
          <w:lang w:val="en-US"/>
        </w:rPr>
      </w:pPr>
      <w:r w:rsidRPr="00ED4762">
        <w:rPr>
          <w:noProof/>
        </w:rPr>
        <w:lastRenderedPageBreak/>
        <w:drawing>
          <wp:inline distT="0" distB="0" distL="0" distR="0">
            <wp:extent cx="5737386" cy="7156450"/>
            <wp:effectExtent l="0" t="0" r="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stretch>
                      <a:fillRect/>
                    </a:stretch>
                  </pic:blipFill>
                  <pic:spPr>
                    <a:xfrm>
                      <a:off x="0" y="0"/>
                      <a:ext cx="5741201" cy="7161208"/>
                    </a:xfrm>
                    <a:prstGeom prst="rect">
                      <a:avLst/>
                    </a:prstGeom>
                  </pic:spPr>
                </pic:pic>
              </a:graphicData>
            </a:graphic>
          </wp:inline>
        </w:drawing>
      </w:r>
    </w:p>
    <w:p w:rsidR="00ED4762" w:rsidRDefault="00ED4762" w:rsidP="00670E17">
      <w:pPr>
        <w:rPr>
          <w:lang w:val="en-US"/>
        </w:rPr>
      </w:pPr>
      <w:r w:rsidRPr="00ED4762">
        <w:rPr>
          <w:noProof/>
        </w:rPr>
        <w:lastRenderedPageBreak/>
        <w:drawing>
          <wp:inline distT="0" distB="0" distL="0" distR="0">
            <wp:extent cx="5407323" cy="6845300"/>
            <wp:effectExtent l="0" t="0" r="317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print"/>
                    <a:stretch>
                      <a:fillRect/>
                    </a:stretch>
                  </pic:blipFill>
                  <pic:spPr>
                    <a:xfrm>
                      <a:off x="0" y="0"/>
                      <a:ext cx="5410955" cy="6849898"/>
                    </a:xfrm>
                    <a:prstGeom prst="rect">
                      <a:avLst/>
                    </a:prstGeom>
                  </pic:spPr>
                </pic:pic>
              </a:graphicData>
            </a:graphic>
          </wp:inline>
        </w:drawing>
      </w:r>
    </w:p>
    <w:p w:rsidR="00ED4762" w:rsidRDefault="00ED4762" w:rsidP="00670E17">
      <w:pPr>
        <w:rPr>
          <w:lang w:val="en-US"/>
        </w:rPr>
      </w:pPr>
    </w:p>
    <w:p w:rsidR="00023C04" w:rsidRDefault="00023C04" w:rsidP="00670E17">
      <w:pPr>
        <w:rPr>
          <w:lang w:val="en-US"/>
        </w:rPr>
      </w:pPr>
    </w:p>
    <w:p w:rsidR="00023C04" w:rsidRDefault="00023C04" w:rsidP="00670E17">
      <w:pPr>
        <w:rPr>
          <w:lang w:val="en-US"/>
        </w:rPr>
      </w:pPr>
    </w:p>
    <w:p w:rsidR="00023C04" w:rsidRDefault="00023C04" w:rsidP="00670E17">
      <w:pPr>
        <w:rPr>
          <w:lang w:val="en-US"/>
        </w:rPr>
      </w:pPr>
    </w:p>
    <w:p w:rsidR="00023C04" w:rsidRPr="003128EA" w:rsidRDefault="00023C04" w:rsidP="003128EA">
      <w:pPr>
        <w:pStyle w:val="Ttulo1"/>
        <w:shd w:val="clear" w:color="auto" w:fill="FFFFFF"/>
        <w:spacing w:before="0" w:after="420" w:line="435" w:lineRule="atLeast"/>
        <w:jc w:val="both"/>
        <w:rPr>
          <w:rFonts w:ascii="Times New Roman" w:hAnsi="Times New Roman" w:cs="Times New Roman"/>
          <w:bCs w:val="0"/>
          <w:color w:val="auto"/>
          <w:sz w:val="24"/>
          <w:szCs w:val="24"/>
        </w:rPr>
      </w:pPr>
      <w:r w:rsidRPr="003128EA">
        <w:rPr>
          <w:rFonts w:ascii="Times New Roman" w:hAnsi="Times New Roman" w:cs="Times New Roman"/>
          <w:bCs w:val="0"/>
          <w:color w:val="auto"/>
          <w:sz w:val="24"/>
          <w:szCs w:val="24"/>
        </w:rPr>
        <w:lastRenderedPageBreak/>
        <w:t>Los distintos ritmos de la economía sostenible en Europa</w:t>
      </w:r>
    </w:p>
    <w:p w:rsidR="00023C04" w:rsidRPr="003128EA" w:rsidRDefault="00023C04" w:rsidP="003128EA">
      <w:pPr>
        <w:pStyle w:val="Ttulo3"/>
        <w:shd w:val="clear" w:color="auto" w:fill="FFFFFF"/>
        <w:spacing w:before="240" w:after="240"/>
        <w:jc w:val="both"/>
        <w:rPr>
          <w:rFonts w:ascii="Times New Roman" w:hAnsi="Times New Roman" w:cs="Times New Roman"/>
          <w:b w:val="0"/>
          <w:bCs w:val="0"/>
          <w:color w:val="auto"/>
          <w:sz w:val="24"/>
          <w:szCs w:val="24"/>
        </w:rPr>
      </w:pPr>
      <w:r w:rsidRPr="003128EA">
        <w:rPr>
          <w:rFonts w:ascii="Times New Roman" w:hAnsi="Times New Roman" w:cs="Times New Roman"/>
          <w:b w:val="0"/>
          <w:bCs w:val="0"/>
          <w:color w:val="auto"/>
          <w:sz w:val="24"/>
          <w:szCs w:val="24"/>
        </w:rPr>
        <w:t>Los países de la UE y los Objetivos de Desarrollo Sostenible de la ONU.</w:t>
      </w:r>
    </w:p>
    <w:p w:rsidR="00023C04" w:rsidRDefault="00023C04" w:rsidP="003128EA">
      <w:pPr>
        <w:pStyle w:val="NormalWeb"/>
        <w:shd w:val="clear" w:color="auto" w:fill="FFFFFF"/>
        <w:spacing w:before="0" w:beforeAutospacing="0" w:after="300" w:afterAutospacing="0"/>
        <w:jc w:val="both"/>
      </w:pPr>
      <w:r w:rsidRPr="003128EA">
        <w:t>La agencia </w:t>
      </w:r>
      <w:r w:rsidRPr="003128EA">
        <w:rPr>
          <w:rStyle w:val="nfasis"/>
        </w:rPr>
        <w:t>Eurostat</w:t>
      </w:r>
      <w:r w:rsidRPr="003128EA">
        <w:t> ha publicado una visión estadística de la </w:t>
      </w:r>
      <w:r w:rsidRPr="003128EA">
        <w:rPr>
          <w:rStyle w:val="Textoennegrita"/>
        </w:rPr>
        <w:t>Unión Europea</w:t>
      </w:r>
      <w:r w:rsidRPr="003128EA">
        <w:t> en relación a los </w:t>
      </w:r>
      <w:r w:rsidRPr="003128EA">
        <w:rPr>
          <w:rStyle w:val="Textoennegrita"/>
        </w:rPr>
        <w:t>17 Objetivos de Desarrollo Sostenible</w:t>
      </w:r>
      <w:r w:rsidRPr="003128EA">
        <w:t> (SDG), aprobados por la ONU en septiembre de 2015 y que están muy relacionados con una economía sostenible. Si bien el informe no abarca todas las políticas pertinentes de la UE en el contexto de esta Agenda 2030, ni todos los aspectos de los SDG, sirve para tomar el pulso de su cumplimiento en los Estados miembros a fecha de hoy y las diferencias que hay entre éstos. Hemos selecciona</w:t>
      </w:r>
      <w:r w:rsidR="003128EA">
        <w:t>do un gráfico por cada objetivo.</w:t>
      </w:r>
    </w:p>
    <w:p w:rsidR="003128EA" w:rsidRPr="003128EA" w:rsidRDefault="003128EA" w:rsidP="003128EA">
      <w:pPr>
        <w:pStyle w:val="NormalWeb"/>
        <w:shd w:val="clear" w:color="auto" w:fill="FFFFFF"/>
        <w:spacing w:before="0" w:beforeAutospacing="0" w:after="300" w:afterAutospacing="0"/>
        <w:jc w:val="both"/>
      </w:pP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765800" cy="5441950"/>
            <wp:effectExtent l="0" t="0" r="6350" b="6350"/>
            <wp:docPr id="116" name="Imagen 116" descr="ODS Fin de la pobrez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DS Fin de la pobreza UE"/>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65800" cy="54419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5645150" cy="4159250"/>
            <wp:effectExtent l="0" t="0" r="0" b="0"/>
            <wp:docPr id="115" name="Imagen 115" descr="ODS HAMBRE CERO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DS HAMBRE CERO UE"/>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645150" cy="41592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505450" cy="4159250"/>
            <wp:effectExtent l="0" t="0" r="0" b="0"/>
            <wp:docPr id="114" name="Imagen 114" descr="ODS UE SALUD Y BIENE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S UE SALUD Y BIENEST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05450" cy="41592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5041900" cy="4292600"/>
            <wp:effectExtent l="0" t="0" r="6350" b="0"/>
            <wp:docPr id="113" name="Imagen 113" descr="4-educacion-de-calidad ODS-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educacion-de-calidad ODS-UE"/>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41900" cy="4292600"/>
                    </a:xfrm>
                    <a:prstGeom prst="rect">
                      <a:avLst/>
                    </a:prstGeom>
                    <a:noFill/>
                    <a:ln>
                      <a:noFill/>
                    </a:ln>
                  </pic:spPr>
                </pic:pic>
              </a:graphicData>
            </a:graphic>
          </wp:inline>
        </w:drawing>
      </w: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372100" cy="3841750"/>
            <wp:effectExtent l="0" t="0" r="0" b="6350"/>
            <wp:docPr id="112" name="Imagen 112" descr="5-igualdad-de-genero ODS-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igualdad-de-genero ODS-UE"/>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72100" cy="38417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5448300" cy="4178300"/>
            <wp:effectExtent l="0" t="0" r="0" b="0"/>
            <wp:docPr id="111" name="Imagen 111" descr="6-agua-limpia-y-sanea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agua-limpia-y-saneamiento"/>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48300" cy="417830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245100" cy="4216400"/>
            <wp:effectExtent l="0" t="0" r="0" b="0"/>
            <wp:docPr id="110" name="Imagen 110" descr="7-energia-asequible-y-no-contamin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energia-asequible-y-no-contaminante"/>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245100" cy="421640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5283200" cy="3492500"/>
            <wp:effectExtent l="0" t="0" r="0" b="0"/>
            <wp:docPr id="109" name="Imagen 109" descr="8-trabajo-decente-y-creci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trabajo-decente-y-crecimiento"/>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283200" cy="349250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4953000" cy="4343400"/>
            <wp:effectExtent l="0" t="0" r="0" b="0"/>
            <wp:docPr id="108" name="Imagen 108" descr="9-industria-innovacion-e-infraestruc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industria-innovacion-e-infraestructura"/>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953000" cy="434340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5283200" cy="4095750"/>
            <wp:effectExtent l="0" t="0" r="0" b="0"/>
            <wp:docPr id="107" name="Imagen 107" descr="10-reduccion-de-las-desigual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reduccion-de-las-desigualdades"/>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83200" cy="40957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689600" cy="4108450"/>
            <wp:effectExtent l="0" t="0" r="6350" b="6350"/>
            <wp:docPr id="106" name="Imagen 106" descr="11-comunidades-y-ciudades-sosteni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comunidades-y-ciudades-sostenibles"/>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689600" cy="41084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5708650" cy="4133850"/>
            <wp:effectExtent l="0" t="0" r="6350" b="0"/>
            <wp:docPr id="105" name="Imagen 105" descr="12-produccion-y-consumo-respons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produccion-y-consumo-responsables"/>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08650" cy="41338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6013450" cy="4070350"/>
            <wp:effectExtent l="0" t="0" r="6350" b="6350"/>
            <wp:docPr id="104" name="Imagen 104" descr="13-accion-por-el-clima, ODS, UE,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accion-por-el-clima, ODS, UE, España"/>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13450" cy="40703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6013450" cy="4057650"/>
            <wp:effectExtent l="0" t="0" r="6350" b="0"/>
            <wp:docPr id="103" name="Imagen 103" descr="14-vida-submarina, ODS, UE,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vida-submarina, ODS, UE, españa"/>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013450" cy="40576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607050" cy="3949700"/>
            <wp:effectExtent l="0" t="0" r="0" b="0"/>
            <wp:docPr id="102" name="Imagen 102" descr="15-vida-de-ecosistemas-terrestres, ODS,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vida-de-ecosistemas-terrestres, ODS, UE"/>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607050" cy="3949700"/>
                    </a:xfrm>
                    <a:prstGeom prst="rect">
                      <a:avLst/>
                    </a:prstGeom>
                    <a:noFill/>
                    <a:ln>
                      <a:noFill/>
                    </a:ln>
                  </pic:spPr>
                </pic:pic>
              </a:graphicData>
            </a:graphic>
          </wp:inline>
        </w:drawing>
      </w:r>
      <w:r>
        <w:rPr>
          <w:rFonts w:ascii="Arial" w:hAnsi="Arial" w:cs="Arial"/>
          <w:color w:val="747474"/>
        </w:rPr>
        <w:t> </w:t>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lastRenderedPageBreak/>
        <w:drawing>
          <wp:inline distT="0" distB="0" distL="0" distR="0">
            <wp:extent cx="4883150" cy="4375150"/>
            <wp:effectExtent l="0" t="0" r="0" b="6350"/>
            <wp:docPr id="101" name="Imagen 101" descr="16-paz-justicia-e-instituciones-soli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paz-justicia-e-instituciones-solidas"/>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83150" cy="4375150"/>
                    </a:xfrm>
                    <a:prstGeom prst="rect">
                      <a:avLst/>
                    </a:prstGeom>
                    <a:noFill/>
                    <a:ln>
                      <a:noFill/>
                    </a:ln>
                  </pic:spPr>
                </pic:pic>
              </a:graphicData>
            </a:graphic>
          </wp:inline>
        </w:drawing>
      </w:r>
    </w:p>
    <w:p w:rsidR="00023C04" w:rsidRDefault="00023C04" w:rsidP="00023C04">
      <w:pPr>
        <w:pStyle w:val="NormalWeb"/>
        <w:shd w:val="clear" w:color="auto" w:fill="FFFFFF"/>
        <w:spacing w:before="0" w:beforeAutospacing="0" w:after="300" w:afterAutospacing="0"/>
        <w:rPr>
          <w:rFonts w:ascii="Arial" w:hAnsi="Arial" w:cs="Arial"/>
          <w:color w:val="747474"/>
        </w:rPr>
      </w:pPr>
      <w:r>
        <w:rPr>
          <w:rFonts w:ascii="Arial" w:hAnsi="Arial" w:cs="Arial"/>
          <w:noProof/>
          <w:color w:val="747474"/>
        </w:rPr>
        <w:drawing>
          <wp:inline distT="0" distB="0" distL="0" distR="0">
            <wp:extent cx="5245100" cy="4038600"/>
            <wp:effectExtent l="0" t="0" r="0" b="0"/>
            <wp:docPr id="100" name="Imagen 100" descr="17-alianzas-para-lograr-objeti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alianzas-para-lograr-objetivo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245100" cy="4038600"/>
                    </a:xfrm>
                    <a:prstGeom prst="rect">
                      <a:avLst/>
                    </a:prstGeom>
                    <a:noFill/>
                    <a:ln>
                      <a:noFill/>
                    </a:ln>
                  </pic:spPr>
                </pic:pic>
              </a:graphicData>
            </a:graphic>
          </wp:inline>
        </w:drawing>
      </w:r>
    </w:p>
    <w:p w:rsidR="00023C04" w:rsidRPr="0043396B" w:rsidRDefault="00C3191A" w:rsidP="00F036E1">
      <w:pPr>
        <w:pStyle w:val="NormalWeb"/>
        <w:shd w:val="clear" w:color="auto" w:fill="FFFFFF"/>
        <w:spacing w:after="300"/>
        <w:jc w:val="both"/>
      </w:pPr>
      <w:r w:rsidRPr="0043396B">
        <w:lastRenderedPageBreak/>
        <w:t xml:space="preserve">- </w:t>
      </w:r>
      <w:r w:rsidR="003128EA" w:rsidRPr="0043396B">
        <w:rPr>
          <w:u w:val="single"/>
        </w:rPr>
        <w:t>La Unión Europea y su problemática de integración</w:t>
      </w:r>
      <w:r w:rsidR="003128EA" w:rsidRPr="0043396B">
        <w:t xml:space="preserve"> </w:t>
      </w:r>
      <w:r w:rsidR="0025253C" w:rsidRPr="0043396B">
        <w:t>(Economía Informa</w:t>
      </w:r>
      <w:r w:rsidR="00F036E1">
        <w:t xml:space="preserve"> - </w:t>
      </w:r>
      <w:r w:rsidR="0025253C" w:rsidRPr="0043396B">
        <w:t xml:space="preserve">Volume 403, </w:t>
      </w:r>
      <w:r w:rsidR="0025253C" w:rsidRPr="0043396B">
        <w:rPr>
          <w:b/>
        </w:rPr>
        <w:t>March-</w:t>
      </w:r>
      <w:r w:rsidR="003128EA" w:rsidRPr="0043396B">
        <w:rPr>
          <w:b/>
        </w:rPr>
        <w:t>April 2017</w:t>
      </w:r>
      <w:r w:rsidR="003128EA" w:rsidRPr="0043396B">
        <w:t>, Pages 4-20</w:t>
      </w:r>
      <w:r w:rsidR="0025253C" w:rsidRPr="0043396B">
        <w:t>)</w:t>
      </w:r>
    </w:p>
    <w:p w:rsidR="0025253C" w:rsidRPr="0043396B" w:rsidRDefault="0025253C" w:rsidP="0025253C">
      <w:pPr>
        <w:pStyle w:val="NormalWeb"/>
        <w:shd w:val="clear" w:color="auto" w:fill="FFFFFF"/>
        <w:spacing w:after="300"/>
      </w:pPr>
      <w:r w:rsidRPr="0043396B">
        <w:t xml:space="preserve">(Por Santiaga Ánima Puentes) </w:t>
      </w:r>
    </w:p>
    <w:p w:rsidR="0025253C" w:rsidRPr="0043396B" w:rsidRDefault="0025253C" w:rsidP="0025253C">
      <w:pPr>
        <w:spacing w:after="240" w:line="240" w:lineRule="auto"/>
        <w:jc w:val="both"/>
        <w:rPr>
          <w:rFonts w:ascii="Times New Roman" w:eastAsia="Times New Roman" w:hAnsi="Times New Roman" w:cs="Times New Roman"/>
          <w:sz w:val="24"/>
          <w:szCs w:val="24"/>
        </w:rPr>
      </w:pPr>
      <w:r w:rsidRPr="0043396B">
        <w:rPr>
          <w:rFonts w:ascii="Times New Roman" w:eastAsia="Times New Roman" w:hAnsi="Times New Roman" w:cs="Times New Roman"/>
          <w:sz w:val="24"/>
          <w:szCs w:val="24"/>
        </w:rPr>
        <w:t>La Unión Europea ha enfrentado en los últimos años serios problemas que han puesto en duda su viabilidad, frente a esa situación se plantea en este trabajo cuáles serían las posibles vías por las cuales los países integrantes de la Unión pueden superar las dificultades de la integración. Europa se ha visto cimbrada por la crisis global y ha mostrado su vulnerabilidad frente a embates externos de carácter financiero; en ese sentido, la Unión Europea no se ha visto fortalecida como era el objetivo de su creación.</w:t>
      </w:r>
    </w:p>
    <w:p w:rsidR="0025253C" w:rsidRPr="0043396B" w:rsidRDefault="0025253C" w:rsidP="0025253C">
      <w:pPr>
        <w:spacing w:after="240" w:line="240" w:lineRule="auto"/>
        <w:jc w:val="both"/>
        <w:rPr>
          <w:rFonts w:ascii="Times New Roman" w:eastAsia="Times New Roman" w:hAnsi="Times New Roman" w:cs="Times New Roman"/>
          <w:sz w:val="24"/>
          <w:szCs w:val="24"/>
        </w:rPr>
      </w:pPr>
      <w:r w:rsidRPr="0043396B">
        <w:rPr>
          <w:rFonts w:ascii="Times New Roman" w:eastAsia="Times New Roman" w:hAnsi="Times New Roman" w:cs="Times New Roman"/>
          <w:sz w:val="24"/>
          <w:szCs w:val="24"/>
        </w:rPr>
        <w:t>Los indicadores económicos han mostrado que los países de la Unión Europea están enfrentando fluctuaciones en su actividad económica a partir de la recesión de 2009, obligando a responder en un primer momento con políticas expansivas de la demanda agregada vía aumento del déficit público y de los niveles de endeudamiento, y en un segundo momento con políticas de ajuste y reducción del gasto.</w:t>
      </w:r>
    </w:p>
    <w:p w:rsidR="0025253C" w:rsidRPr="0043396B" w:rsidRDefault="0025253C" w:rsidP="0025253C">
      <w:pPr>
        <w:spacing w:after="240" w:line="240" w:lineRule="auto"/>
        <w:jc w:val="both"/>
        <w:rPr>
          <w:rFonts w:ascii="Times New Roman" w:eastAsia="Times New Roman" w:hAnsi="Times New Roman" w:cs="Times New Roman"/>
          <w:sz w:val="24"/>
          <w:szCs w:val="24"/>
        </w:rPr>
      </w:pPr>
      <w:r w:rsidRPr="0043396B">
        <w:rPr>
          <w:rFonts w:ascii="Times New Roman" w:eastAsia="Times New Roman" w:hAnsi="Times New Roman" w:cs="Times New Roman"/>
          <w:sz w:val="24"/>
          <w:szCs w:val="24"/>
        </w:rPr>
        <w:t>El contexto de crisis global en el cual la Unión Europea es un protagonista central la obliga a tener una mayor participación económica y social. El mayor reto que tiene es resolver sus problemas internos, una vez que lo logre podrá actuar en bloque frente a problemas provenientes de fuera de la zona europea, sino lo resuelven, se acrecentaran los conflicto económicos y sociales, mismos que pueden complicar más el escenario actual y retardar el proceso de integración europea.</w:t>
      </w:r>
    </w:p>
    <w:p w:rsidR="0025253C" w:rsidRPr="0043396B" w:rsidRDefault="0025253C" w:rsidP="0025253C">
      <w:pPr>
        <w:pStyle w:val="Ttulo2"/>
        <w:jc w:val="both"/>
        <w:rPr>
          <w:sz w:val="24"/>
          <w:szCs w:val="24"/>
        </w:rPr>
      </w:pPr>
      <w:r w:rsidRPr="0043396B">
        <w:rPr>
          <w:sz w:val="24"/>
          <w:szCs w:val="24"/>
        </w:rPr>
        <w:t>Introducción</w:t>
      </w:r>
    </w:p>
    <w:p w:rsidR="0025253C" w:rsidRPr="0043396B" w:rsidRDefault="0025253C" w:rsidP="0025253C">
      <w:pPr>
        <w:pStyle w:val="NormalWeb"/>
        <w:spacing w:before="0" w:beforeAutospacing="0" w:after="0" w:afterAutospacing="0"/>
        <w:jc w:val="both"/>
      </w:pPr>
      <w:r w:rsidRPr="0043396B">
        <w:t>El artículo se basa en las conclusiones obtenidas en el Seminario Semestral organizado por Centro de Estudios Económicos de la Unión Europea-México</w:t>
      </w:r>
      <w:r w:rsidR="00D24641" w:rsidRPr="0043396B">
        <w:t xml:space="preserve"> (CEEUEM)</w:t>
      </w:r>
      <w:r w:rsidRPr="0043396B">
        <w:t>, sobre la situación económico-social de la Unión Europea</w:t>
      </w:r>
      <w:r w:rsidR="00D24641" w:rsidRPr="0043396B">
        <w:t xml:space="preserve"> (UE)</w:t>
      </w:r>
      <w:r w:rsidRPr="0043396B">
        <w:t>; por lo mismo, incorpora algunas discusiones estructurales y los efectos de las coyunturas existentes en esta región.</w:t>
      </w:r>
    </w:p>
    <w:p w:rsidR="00D24641" w:rsidRPr="0043396B" w:rsidRDefault="00D24641"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La Unión Europea ha enfrentado en los últimos años serios problemas que han puesto en duda su viabilidad de integración, en consecuencia, nos enfrentamos a un escenario donde surgen algunos interrogantes de la viabilidad del proceso de integración.</w:t>
      </w:r>
    </w:p>
    <w:p w:rsidR="0025253C" w:rsidRPr="0043396B" w:rsidRDefault="0025253C" w:rsidP="0025253C">
      <w:pPr>
        <w:pStyle w:val="NormalWeb"/>
        <w:spacing w:before="0" w:beforeAutospacing="0" w:after="240" w:afterAutospacing="0"/>
        <w:jc w:val="both"/>
      </w:pPr>
      <w:r w:rsidRPr="0043396B">
        <w:t>Cuáles son las principales dificultades que enfrenta el proceso de integración en su actual fase y cuáles pueden ser las formas de superación de las mismas.</w:t>
      </w:r>
    </w:p>
    <w:p w:rsidR="0025253C" w:rsidRPr="0043396B" w:rsidRDefault="0025253C" w:rsidP="0025253C">
      <w:pPr>
        <w:pStyle w:val="NormalWeb"/>
        <w:spacing w:before="0" w:beforeAutospacing="0" w:after="240" w:afterAutospacing="0"/>
        <w:jc w:val="both"/>
      </w:pPr>
      <w:r w:rsidRPr="0043396B">
        <w:t>La Unión Europea se vio sacudida por la crisis que afrontaron varios de los países integrantes, entre los más destacados se encuentran algunos de los países de reciente integración a la Unión, como Chipre, además de países que ya venían formando parte de Unión como Grecia, España, Portugal e Italia. Para el caso particular de Ucrania el contexto de la problemática de su posible incorporación a la Unión, tuvo tintes políticos y estratégicos y no solo a cuestiones de integración económica.</w:t>
      </w:r>
    </w:p>
    <w:p w:rsidR="0025253C" w:rsidRPr="0043396B" w:rsidRDefault="0025253C" w:rsidP="0025253C">
      <w:pPr>
        <w:pStyle w:val="NormalWeb"/>
        <w:spacing w:before="0" w:beforeAutospacing="0" w:after="0" w:afterAutospacing="0"/>
        <w:jc w:val="both"/>
      </w:pPr>
      <w:r w:rsidRPr="0043396B">
        <w:t xml:space="preserve">El horizonte temporal del trabajo abarca el periodo que va 2007 a 2014 y su exposición se presenta en cuatro apartados, en los que se destaca como los niveles de la demanda agregada, han afectado la actividad económica y mostrando la fragilidad de la integración económica Europea frente a la inestabilidad de los mercados financieros internacionales, así en el primer apartado se examina las causas recientes de la crisis y sus efectos en la integración; el </w:t>
      </w:r>
      <w:r w:rsidRPr="0043396B">
        <w:lastRenderedPageBreak/>
        <w:t>segundo aborda uno de los rasgos más notorios de dicha crisis que son los altos niveles de endeudamiento de algunos de sus países miembros de la </w:t>
      </w:r>
      <w:r w:rsidR="00D24641" w:rsidRPr="0043396B">
        <w:rPr>
          <w:rStyle w:val="small-caps"/>
          <w:smallCaps/>
        </w:rPr>
        <w:t>UE</w:t>
      </w:r>
      <w:r w:rsidRPr="0043396B">
        <w:t xml:space="preserve"> (Grecia, España entre otros) que violentan las disposiciones del Tratado de Maastricht, en el tercer apartado se muestra </w:t>
      </w:r>
      <w:r w:rsidR="00C13914" w:rsidRPr="0043396B">
        <w:t>cómo</w:t>
      </w:r>
      <w:r w:rsidRPr="0043396B">
        <w:t xml:space="preserve"> se han presentado los aumentos en el déficit público a raíz de la crisis financiera y económica mundial; y el cuarto revisa como mediante una política keynesiana, de expansión del gasto público, los países integrantes de la Unión Europea reaccionaron ante los efectos devastadores en el empleo y caída en la demanda agregada y que como hemos señalado fueron ocasionados por la crisis financiera global proveniente del mercado financiero norteamericano. Por último, el artículo concluye que la reciente inestabilidad económica global y financiera mostró la vulnerabilidad del proceso de integración económica de la </w:t>
      </w:r>
      <w:r w:rsidR="00C13914">
        <w:rPr>
          <w:rStyle w:val="small-caps"/>
          <w:smallCaps/>
        </w:rPr>
        <w:t>UE</w:t>
      </w:r>
      <w:r w:rsidRPr="0043396B">
        <w:t> y que frente a la magnitud de la crisis, las respuestas de una mayor intervención del estado en la economía, a través de expansión del gasto público, para revitalizar la demanda agregada apenas fue una respuesta limitada que no ha resuelto como avanzar en la integración de aquellos países que presentan problemas de insuficiente capital de inversión para crecer, y que su situación se agudiza por los efectos globalizadores de la crisis.</w:t>
      </w:r>
    </w:p>
    <w:p w:rsidR="0025253C" w:rsidRPr="0043396B" w:rsidRDefault="0025253C" w:rsidP="0025253C">
      <w:pPr>
        <w:pStyle w:val="Ttulo2"/>
        <w:jc w:val="both"/>
        <w:rPr>
          <w:sz w:val="24"/>
          <w:szCs w:val="24"/>
        </w:rPr>
      </w:pPr>
      <w:r w:rsidRPr="0043396B">
        <w:rPr>
          <w:sz w:val="24"/>
          <w:szCs w:val="24"/>
        </w:rPr>
        <w:t>Crisis Europea</w:t>
      </w:r>
    </w:p>
    <w:p w:rsidR="0025253C" w:rsidRPr="0043396B" w:rsidRDefault="0025253C" w:rsidP="0025253C">
      <w:pPr>
        <w:pStyle w:val="NormalWeb"/>
        <w:spacing w:before="0" w:beforeAutospacing="0" w:after="240" w:afterAutospacing="0"/>
        <w:jc w:val="both"/>
      </w:pPr>
      <w:r w:rsidRPr="0043396B">
        <w:t>Las causas recientes de la crisis enfrentada desde hace varios años por la Unión Europea tienen su origen en la crisis de 2008. Esta crisis se generó por la situación de insolvencia de los deudores de créditos hipotecarios, lo que afecto el valor de los instrumentos financieros a la baja ocasionando la caída de instituciones financieras como Lehman Brothers, en los Estados Unidos y su posterior transmisión hacia Europa.</w:t>
      </w:r>
    </w:p>
    <w:p w:rsidR="0025253C" w:rsidRPr="0043396B" w:rsidRDefault="0025253C" w:rsidP="0025253C">
      <w:pPr>
        <w:pStyle w:val="NormalWeb"/>
        <w:spacing w:before="0" w:beforeAutospacing="0" w:after="240" w:afterAutospacing="0"/>
        <w:jc w:val="both"/>
      </w:pPr>
      <w:r w:rsidRPr="0043396B">
        <w:t>Estas causas se encuentran en los altos niveles de endeudamiento que tenían las instituciones financieras europeas, quienes de inmediato resintieron la ola de la crisis.</w:t>
      </w:r>
    </w:p>
    <w:p w:rsidR="0025253C" w:rsidRPr="0043396B" w:rsidRDefault="0025253C" w:rsidP="0025253C">
      <w:pPr>
        <w:pStyle w:val="NormalWeb"/>
        <w:spacing w:before="0" w:beforeAutospacing="0" w:after="0" w:afterAutospacing="0"/>
        <w:jc w:val="both"/>
      </w:pPr>
      <w:r w:rsidRPr="0043396B">
        <w:t>En el Reino Unido el sistema financiero se vio seriamente comprometido obligando al Banco de Inglaterra a intervenir para rescatar a instituciones financieras al borde de la quiebra. En el caso de los demás integrantes de la </w:t>
      </w:r>
      <w:r w:rsidR="00D24641" w:rsidRPr="0043396B">
        <w:rPr>
          <w:rStyle w:val="small-caps"/>
          <w:smallCaps/>
        </w:rPr>
        <w:t>UE</w:t>
      </w:r>
      <w:r w:rsidRPr="0043396B">
        <w:t>, los efectos se dejaron sentir no solo en el sistema financiero sino que también repercutieron en las actividades productivas; la crisis de 2009</w:t>
      </w:r>
      <w:bookmarkStart w:id="1" w:name="bfn0005"/>
      <w:r w:rsidR="00AE1E48" w:rsidRPr="0043396B">
        <w:fldChar w:fldCharType="begin"/>
      </w:r>
      <w:r w:rsidRPr="0043396B">
        <w:instrText xml:space="preserve"> HYPERLINK "https://www.sciencedirect.com/science/article/pii/S0185084917300117" \l "fn0005" </w:instrText>
      </w:r>
      <w:r w:rsidR="00AE1E48" w:rsidRPr="0043396B">
        <w:fldChar w:fldCharType="separate"/>
      </w:r>
      <w:r w:rsidRPr="0043396B">
        <w:rPr>
          <w:rStyle w:val="Hipervnculo"/>
          <w:color w:val="auto"/>
          <w:vertAlign w:val="superscript"/>
        </w:rPr>
        <w:t>1</w:t>
      </w:r>
      <w:r w:rsidR="00AE1E48" w:rsidRPr="0043396B">
        <w:fldChar w:fldCharType="end"/>
      </w:r>
      <w:bookmarkEnd w:id="1"/>
      <w:r w:rsidRPr="0043396B">
        <w:t> afectó seriamente el </w:t>
      </w:r>
      <w:r w:rsidR="00D24641" w:rsidRPr="0043396B">
        <w:rPr>
          <w:rStyle w:val="small-caps"/>
          <w:smallCaps/>
        </w:rPr>
        <w:t>PIB</w:t>
      </w:r>
      <w:r w:rsidRPr="0043396B">
        <w:t> de los países de la Unión como puede verse en las tasas de crecimiento de la </w:t>
      </w:r>
      <w:bookmarkStart w:id="2" w:name="bfig0005"/>
      <w:r w:rsidR="00AE1E48" w:rsidRPr="0043396B">
        <w:fldChar w:fldCharType="begin"/>
      </w:r>
      <w:r w:rsidRPr="0043396B">
        <w:instrText xml:space="preserve"> HYPERLINK "https://www.sciencedirect.com/science/article/pii/S0185084917300117" \l "fig0005" </w:instrText>
      </w:r>
      <w:r w:rsidR="00AE1E48" w:rsidRPr="0043396B">
        <w:fldChar w:fldCharType="separate"/>
      </w:r>
      <w:r w:rsidRPr="0043396B">
        <w:rPr>
          <w:rStyle w:val="Hipervnculo"/>
          <w:color w:val="auto"/>
        </w:rPr>
        <w:t>gráfica 1</w:t>
      </w:r>
      <w:r w:rsidR="00AE1E48" w:rsidRPr="0043396B">
        <w:fldChar w:fldCharType="end"/>
      </w:r>
      <w:bookmarkEnd w:id="2"/>
      <w:r w:rsidRPr="0043396B">
        <w:t>.</w:t>
      </w:r>
    </w:p>
    <w:p w:rsidR="0025253C" w:rsidRPr="0043396B" w:rsidRDefault="0025253C" w:rsidP="0025253C">
      <w:pPr>
        <w:pStyle w:val="NormalWeb"/>
        <w:spacing w:before="0" w:beforeAutospacing="0" w:after="0" w:afterAutospacing="0"/>
        <w:jc w:val="both"/>
      </w:pPr>
    </w:p>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noProof/>
          <w:sz w:val="24"/>
          <w:szCs w:val="24"/>
        </w:rPr>
        <w:drawing>
          <wp:inline distT="0" distB="0" distL="0" distR="0">
            <wp:extent cx="5740400" cy="2451100"/>
            <wp:effectExtent l="0" t="0" r="0" b="6350"/>
            <wp:docPr id="119" name="Imagen 119" descr="https://ars.els-cdn.com/content/image/1-s2.0-S0185084917300117-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ars.els-cdn.com/content/image/1-s2.0-S0185084917300117-gr1.jp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40400" cy="2451100"/>
                    </a:xfrm>
                    <a:prstGeom prst="rect">
                      <a:avLst/>
                    </a:prstGeom>
                    <a:noFill/>
                    <a:ln>
                      <a:noFill/>
                    </a:ln>
                  </pic:spPr>
                </pic:pic>
              </a:graphicData>
            </a:graphic>
          </wp:inline>
        </w:drawing>
      </w: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Gráfica 1</w:t>
      </w:r>
      <w:r w:rsidRPr="0043396B">
        <w:t>. Tasas de crecimiento UE(28), Alemania, Francia e Italia 2003-2014</w:t>
      </w:r>
    </w:p>
    <w:p w:rsidR="0025253C" w:rsidRPr="0043396B" w:rsidRDefault="0025253C" w:rsidP="0025253C">
      <w:pPr>
        <w:pStyle w:val="NormalWeb"/>
        <w:spacing w:before="0" w:beforeAutospacing="0" w:after="240" w:afterAutospacing="0"/>
        <w:ind w:left="360" w:right="360"/>
        <w:jc w:val="both"/>
      </w:pPr>
      <w:r w:rsidRPr="0043396B">
        <w:t>Fuente: elaboración propia con datos de la página de Eurostat.</w:t>
      </w:r>
    </w:p>
    <w:p w:rsidR="0025253C" w:rsidRPr="0043396B" w:rsidRDefault="0025253C" w:rsidP="0025253C">
      <w:pPr>
        <w:pStyle w:val="NormalWeb"/>
        <w:spacing w:before="0" w:beforeAutospacing="0" w:after="0" w:afterAutospacing="0"/>
        <w:jc w:val="both"/>
      </w:pPr>
      <w:r w:rsidRPr="0043396B">
        <w:lastRenderedPageBreak/>
        <w:t>Las tasas de crecimiento de los 28 países que integran la Unión registran una caída generalizada en sus tasas de crecimiento en el año de 2009 (</w:t>
      </w:r>
      <w:bookmarkStart w:id="3" w:name="btbl0005"/>
      <w:r w:rsidR="00AE1E48" w:rsidRPr="0043396B">
        <w:fldChar w:fldCharType="begin"/>
      </w:r>
      <w:r w:rsidRPr="0043396B">
        <w:instrText xml:space="preserve"> HYPERLINK "https://www.sciencedirect.com/science/article/pii/S0185084917300117" \l "tbl0005" </w:instrText>
      </w:r>
      <w:r w:rsidR="00AE1E48" w:rsidRPr="0043396B">
        <w:fldChar w:fldCharType="separate"/>
      </w:r>
      <w:r w:rsidRPr="0043396B">
        <w:rPr>
          <w:rStyle w:val="Hipervnculo"/>
          <w:color w:val="auto"/>
        </w:rPr>
        <w:t>Cuadro 1</w:t>
      </w:r>
      <w:r w:rsidR="00AE1E48" w:rsidRPr="0043396B">
        <w:fldChar w:fldCharType="end"/>
      </w:r>
      <w:r w:rsidRPr="0043396B">
        <w:t>), aunque algunos países de la </w:t>
      </w:r>
      <w:r w:rsidR="00C13914">
        <w:rPr>
          <w:rStyle w:val="small-caps"/>
          <w:smallCaps/>
        </w:rPr>
        <w:t>UE</w:t>
      </w:r>
      <w:r w:rsidRPr="0043396B">
        <w:t> empezaron a resentir los efectos desde 2008, debido a la crisis financiera proveniente de los mercados financieros de Estados Unidos y que afectaron el sector real de la actividad productiva, inhibiendo los niveles de inversión y contrayendo la demanda agregada, tales fueron los casos de Italia, Suecia, Dinamarca, Luxemburgo, Grecia, Irlanda, Estonia, Letonia y Reino Unido. Las causas de la caída en la actividad económica se derivan de los efectos que el sector financiero de Estados Unidos trasmitió hacia el resto de las economías, adicionalmente la falta de control en el mercado financiero que permitiera regular los flujos de inversión financiera acentuaron los niveles de especulación prevalecientes en los mercados mundiales de capitales, lo que ocasionó que afectará las decisiones de inversión y consumo en los países de la Unión Europea.</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Cuadro 1</w:t>
      </w:r>
      <w:r w:rsidRPr="0043396B">
        <w:t>. Producto Interno Bruto Unión Europea 2003-2014. Tasas de crecimiento anual</w:t>
      </w:r>
    </w:p>
    <w:tbl>
      <w:tblPr>
        <w:tblW w:w="9705" w:type="dxa"/>
        <w:tblBorders>
          <w:top w:val="single" w:sz="6" w:space="0" w:color="EBEBEB"/>
          <w:bottom w:val="single" w:sz="6" w:space="0" w:color="EBEBEB"/>
        </w:tblBorders>
        <w:tblCellMar>
          <w:left w:w="0" w:type="dxa"/>
          <w:right w:w="0" w:type="dxa"/>
        </w:tblCellMar>
        <w:tblLook w:val="04A0" w:firstRow="1" w:lastRow="0" w:firstColumn="1" w:lastColumn="0" w:noHBand="0" w:noVBand="1"/>
      </w:tblPr>
      <w:tblGrid>
        <w:gridCol w:w="1936"/>
        <w:gridCol w:w="645"/>
        <w:gridCol w:w="645"/>
        <w:gridCol w:w="645"/>
        <w:gridCol w:w="646"/>
        <w:gridCol w:w="646"/>
        <w:gridCol w:w="646"/>
        <w:gridCol w:w="666"/>
        <w:gridCol w:w="646"/>
        <w:gridCol w:w="646"/>
        <w:gridCol w:w="646"/>
        <w:gridCol w:w="646"/>
        <w:gridCol w:w="646"/>
      </w:tblGrid>
      <w:tr w:rsidR="0025253C" w:rsidRPr="0043396B" w:rsidTr="0025253C">
        <w:trPr>
          <w:tblHeader/>
        </w:trPr>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País/Año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F036E1" w:rsidP="0025253C">
            <w:pPr>
              <w:spacing w:line="240" w:lineRule="auto"/>
              <w:jc w:val="both"/>
              <w:rPr>
                <w:rFonts w:ascii="Times New Roman" w:hAnsi="Times New Roman" w:cs="Times New Roman"/>
                <w:b/>
                <w:bCs/>
                <w:sz w:val="24"/>
                <w:szCs w:val="24"/>
              </w:rPr>
            </w:pPr>
            <w:r>
              <w:rPr>
                <w:rStyle w:val="small-caps"/>
                <w:rFonts w:ascii="Times New Roman" w:hAnsi="Times New Roman" w:cs="Times New Roman"/>
                <w:b/>
                <w:bCs/>
                <w:smallCaps/>
                <w:sz w:val="24"/>
                <w:szCs w:val="24"/>
              </w:rPr>
              <w:t>UE</w:t>
            </w:r>
            <w:r w:rsidR="0025253C" w:rsidRPr="0043396B">
              <w:rPr>
                <w:rFonts w:ascii="Times New Roman" w:hAnsi="Times New Roman" w:cs="Times New Roman"/>
                <w:b/>
                <w:bCs/>
                <w:sz w:val="24"/>
                <w:szCs w:val="24"/>
              </w:rPr>
              <w:t> (28 países)</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Bélgica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Luxemburgo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Países Bajos</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Alemania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Francia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Italia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Reino Unido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Irlanda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Dinamarca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Grecia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España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Portugal</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Austria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lastRenderedPageBreak/>
              <w:t>Finlandia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Suecia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Polonia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República Checa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Hungría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Eslovenia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Eslovaquia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Letonia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Lituana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Malta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Chipre</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Bulgaria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Rumania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Croacia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p>
        </w:tc>
      </w:tr>
    </w:tbl>
    <w:p w:rsidR="0025253C" w:rsidRPr="0043396B" w:rsidRDefault="0025253C" w:rsidP="0025253C">
      <w:pPr>
        <w:pStyle w:val="NormalWeb"/>
        <w:spacing w:before="0" w:beforeAutospacing="0" w:after="0" w:afterAutospacing="0"/>
        <w:jc w:val="both"/>
      </w:pPr>
      <w:r w:rsidRPr="0043396B">
        <w:t>Fuente: elaborado con datos del sitio web de la Unión Europea. </w:t>
      </w:r>
    </w:p>
    <w:p w:rsidR="0025253C" w:rsidRPr="0043396B" w:rsidRDefault="005A38F3" w:rsidP="0025253C">
      <w:pPr>
        <w:pStyle w:val="NormalWeb"/>
        <w:spacing w:before="0" w:beforeAutospacing="0" w:after="0" w:afterAutospacing="0"/>
        <w:jc w:val="both"/>
      </w:pPr>
      <w:hyperlink r:id="rId146" w:tgtFrame="_blank" w:history="1">
        <w:r w:rsidR="0025253C" w:rsidRPr="0043396B">
          <w:rPr>
            <w:rStyle w:val="Hipervnculo"/>
            <w:color w:val="auto"/>
          </w:rPr>
          <w:t>http://ec.europa.eu/eurostat/tgm/table.do?tab=table&amp;init=1&amp;language=en&amp;pcode=tec00115</w:t>
        </w:r>
      </w:hyperlink>
    </w:p>
    <w:p w:rsidR="0025253C" w:rsidRPr="0043396B" w:rsidRDefault="0025253C" w:rsidP="0025253C">
      <w:pPr>
        <w:pStyle w:val="NormalWeb"/>
        <w:spacing w:before="0" w:beforeAutospacing="0" w:after="240" w:afterAutospacing="0"/>
        <w:jc w:val="both"/>
      </w:pPr>
    </w:p>
    <w:p w:rsidR="0025253C" w:rsidRPr="0043396B" w:rsidRDefault="0025253C" w:rsidP="0025253C">
      <w:pPr>
        <w:pStyle w:val="NormalWeb"/>
        <w:spacing w:before="0" w:beforeAutospacing="0" w:after="240" w:afterAutospacing="0"/>
        <w:jc w:val="both"/>
      </w:pPr>
      <w:r w:rsidRPr="0043396B">
        <w:t>Para los habitantes de Alemania asumir los costos de la integración ha sido una crítica constante</w:t>
      </w:r>
    </w:p>
    <w:p w:rsidR="0025253C" w:rsidRPr="0043396B" w:rsidRDefault="0025253C" w:rsidP="0025253C">
      <w:pPr>
        <w:pStyle w:val="NormalWeb"/>
        <w:spacing w:before="0" w:beforeAutospacing="0" w:after="0" w:afterAutospacing="0"/>
        <w:jc w:val="both"/>
        <w:rPr>
          <w:vertAlign w:val="superscript"/>
        </w:rPr>
      </w:pPr>
      <w:r w:rsidRPr="0043396B">
        <w:t>“… ¿pero por qué es necesario que paguen los trabajadores alemanes en vez de los griegos acaudalados?...”</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 xml:space="preserve">Ante el descontento de los ciudadanos alemanes que observan cómo su gobierno sostiene a países que no aportan al desarrollo de la Unión y si en cambio, según aprecian, se ven aparentemente beneficiados con recursos provenientes del país que prácticamente sostienen a </w:t>
      </w:r>
      <w:r w:rsidRPr="0043396B">
        <w:lastRenderedPageBreak/>
        <w:t>la Unión, como es el caso de Alemania, lo anterior indica que el proceso de integración plantea un dilema continuar con los actuales países o dejar que los países más vulnerables dejen la Unión y no dificulten la integración de la misma.</w:t>
      </w:r>
    </w:p>
    <w:p w:rsidR="0025253C" w:rsidRPr="0043396B" w:rsidRDefault="0025253C" w:rsidP="0025253C">
      <w:pPr>
        <w:pStyle w:val="NormalWeb"/>
        <w:spacing w:before="0" w:beforeAutospacing="0" w:after="0" w:afterAutospacing="0"/>
        <w:jc w:val="both"/>
        <w:rPr>
          <w:vertAlign w:val="superscript"/>
        </w:rPr>
      </w:pPr>
      <w:r w:rsidRPr="0043396B">
        <w:t>La parte del ciclo económico recesivo fue el resultado de la crisis financiera mundial y que especialmente algunos de los 18 países que integran la zona euro resintieron la crisis generalizada de 2009, su situación crítica se reflejó en la agudización de los problemas de endeudamiento público y gasto gubernamental, ambos superiores a su capacidad de endeudamiento y a sus ingresos públicos, ocasionando un gigantesco aumento del déficit público, a pesar de los requisitos tan restrictivos que se asentaron en el Tratado de Maastricht.</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El promedio de crecimiento económico de los 28 países de la </w:t>
      </w:r>
      <w:r w:rsidR="00D24641" w:rsidRPr="0043396B">
        <w:rPr>
          <w:rStyle w:val="small-caps"/>
          <w:smallCaps/>
        </w:rPr>
        <w:t>UE</w:t>
      </w:r>
      <w:r w:rsidRPr="0043396B">
        <w:t> tuvo un comportamiento fluctuante entre 2003-2007, que se agudizo en 2008 y 2009 con la crisis global, hubo después un ligero repunte en 2010, sin embargo en los años de 2011 a 2014 el promedio de crecimiento ha sido errático sin tener un ritmo sostenido en el aumento de la actividad económica. Como ejemplo Alemania, la principal economía de la </w:t>
      </w:r>
      <w:r w:rsidR="00D24641" w:rsidRPr="0043396B">
        <w:rPr>
          <w:rStyle w:val="small-caps"/>
          <w:smallCaps/>
        </w:rPr>
        <w:t>UE</w:t>
      </w:r>
      <w:r w:rsidRPr="0043396B">
        <w:t>, a pesar de que se recuperó en 2010, tuvo un decrecimiento de 2011 a 2013 y para 2014 apenas obtuvo un ligero crecimiento de 1.6%. Todo ello indica que la demanda agregada, en los países de la Unión Europea ha estado sujeta en el sector financiero al mercado global y a las recesivas fluctuaciones cíclicas de corto plazo en la actividad productiva, la respuesta ante esa situación fue una mayor intervención del Estado en la economía.</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El restar soberanía monetaria a raíz de la creación de la zona euro y adaptarse al mercado monetario basado en una moneda única entre sus integrantes, limitó la capacidad de acción de los hacedores de política monetaria en cada uno de los países miembros, al subordinar los instrumentos de la política económica y cambiaria al sostenimiento de una tasa de interés y tipo de cambio.</w:t>
      </w:r>
    </w:p>
    <w:p w:rsidR="0025253C" w:rsidRPr="0043396B" w:rsidRDefault="0025253C" w:rsidP="0025253C">
      <w:pPr>
        <w:pStyle w:val="NormalWeb"/>
        <w:spacing w:before="0" w:beforeAutospacing="0" w:after="240" w:afterAutospacing="0"/>
        <w:jc w:val="both"/>
      </w:pPr>
      <w:r w:rsidRPr="0043396B">
        <w:t>En los años de 2011 a 2014 el promedio de crecimiento ha sido errático sin tener un ritmo sostenido en el aumento de la actividad económica</w:t>
      </w:r>
    </w:p>
    <w:p w:rsidR="0025253C" w:rsidRPr="0043396B" w:rsidRDefault="0025253C" w:rsidP="0025253C">
      <w:pPr>
        <w:pStyle w:val="NormalWeb"/>
        <w:spacing w:before="0" w:beforeAutospacing="0" w:after="0" w:afterAutospacing="0"/>
        <w:jc w:val="both"/>
        <w:rPr>
          <w:vertAlign w:val="superscript"/>
        </w:rPr>
      </w:pPr>
      <w:r w:rsidRPr="0043396B">
        <w:t>Frente a esta situación los países integrantes de la Unión Europea se sujetaron al control de la política monetaria establecida por el Banco Central Europeo, dejando en cambio que los países tuvieran margen de acción en la política fiscal. Sin embargo la misma política fiscal tiene que equilibrar los desajustes monetarios a través de la reducción del déficit público y del nivel de endeudamiento, lo que sólo es posible si se reduce el gasto público, se aumentan los impuestos y se reestructura la deuda solicitando más créditos para cubrir el desbalance en los recursos públicos.</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Nuevamente recurrimos al ejemplo griego donde los distintos gobiernos de cualquier orientación política o ideológica tuvieron que imponer medidas restrictivas que permitieron cumplir con los pagos mínimos de la deuda afectando el nivel de producto, los niveles salariales y de empleo. Además de producir la caída de las pensiones, el incremento de la edad de jubilación, entre otros efectos negativos para la población.</w:t>
      </w:r>
    </w:p>
    <w:p w:rsidR="0025253C" w:rsidRPr="0043396B" w:rsidRDefault="0025253C" w:rsidP="0025253C">
      <w:pPr>
        <w:pStyle w:val="Ttulo2"/>
        <w:jc w:val="both"/>
        <w:rPr>
          <w:sz w:val="24"/>
          <w:szCs w:val="24"/>
        </w:rPr>
      </w:pPr>
      <w:r w:rsidRPr="0043396B">
        <w:rPr>
          <w:sz w:val="24"/>
          <w:szCs w:val="24"/>
        </w:rPr>
        <w:t>Creciente endeudamiento</w:t>
      </w:r>
    </w:p>
    <w:p w:rsidR="0025253C" w:rsidRPr="0043396B" w:rsidRDefault="0025253C" w:rsidP="0025253C">
      <w:pPr>
        <w:pStyle w:val="NormalWeb"/>
        <w:spacing w:before="0" w:beforeAutospacing="0" w:after="0" w:afterAutospacing="0"/>
        <w:jc w:val="both"/>
      </w:pPr>
      <w:r w:rsidRPr="0043396B">
        <w:t xml:space="preserve">El proceso de integración de la zona euro ha estado a prueba por los efectos negativos que se han dejado sentir sobre las economías europeas a partir de la crisis de 2009, el problema macroeconómico fundamental es el llamado problema de la deuda soberana que enfrentaron </w:t>
      </w:r>
      <w:r w:rsidRPr="0043396B">
        <w:lastRenderedPageBreak/>
        <w:t>cinco</w:t>
      </w:r>
      <w:bookmarkStart w:id="4" w:name="bfn0040"/>
      <w:r w:rsidR="00AE1E48" w:rsidRPr="0043396B">
        <w:fldChar w:fldCharType="begin"/>
      </w:r>
      <w:r w:rsidRPr="0043396B">
        <w:instrText xml:space="preserve"> HYPERLINK "https://www.sciencedirect.com/science/article/pii/S0185084917300117" \l "fn0040" </w:instrText>
      </w:r>
      <w:r w:rsidR="00AE1E48" w:rsidRPr="0043396B">
        <w:fldChar w:fldCharType="separate"/>
      </w:r>
      <w:r w:rsidRPr="0043396B">
        <w:rPr>
          <w:rStyle w:val="Hipervnculo"/>
          <w:color w:val="auto"/>
          <w:vertAlign w:val="superscript"/>
        </w:rPr>
        <w:t>8</w:t>
      </w:r>
      <w:r w:rsidR="00AE1E48" w:rsidRPr="0043396B">
        <w:fldChar w:fldCharType="end"/>
      </w:r>
      <w:bookmarkEnd w:id="4"/>
      <w:r w:rsidRPr="0043396B">
        <w:t> de sus países miembros, este problema consiste en una deuda de magnitud superior al 100 por ciento de su </w:t>
      </w:r>
      <w:r w:rsidR="00D24641" w:rsidRPr="0043396B">
        <w:rPr>
          <w:rStyle w:val="small-caps"/>
          <w:smallCaps/>
        </w:rPr>
        <w:t>PIB</w:t>
      </w:r>
      <w:r w:rsidRPr="0043396B">
        <w:t>.</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Los países que registraron esos montos elevados de endeudamiento del sector gubernamental, como se observa en el </w:t>
      </w:r>
      <w:bookmarkStart w:id="5" w:name="btbl0010"/>
      <w:r w:rsidR="00AE1E48" w:rsidRPr="0043396B">
        <w:fldChar w:fldCharType="begin"/>
      </w:r>
      <w:r w:rsidRPr="0043396B">
        <w:instrText xml:space="preserve"> HYPERLINK "https://www.sciencedirect.com/science/article/pii/S0185084917300117" \l "tbl0010" </w:instrText>
      </w:r>
      <w:r w:rsidR="00AE1E48" w:rsidRPr="0043396B">
        <w:fldChar w:fldCharType="separate"/>
      </w:r>
      <w:r w:rsidRPr="0043396B">
        <w:rPr>
          <w:rStyle w:val="Hipervnculo"/>
          <w:color w:val="auto"/>
        </w:rPr>
        <w:t>cuadro 2</w:t>
      </w:r>
      <w:r w:rsidR="00AE1E48" w:rsidRPr="0043396B">
        <w:fldChar w:fldCharType="end"/>
      </w:r>
      <w:r w:rsidRPr="0043396B">
        <w:t>, con datos trimestrales de 2011 hasta el primero de 2014 son Grecia, España, Portugal, Italia, Irlanda y Chipre.</w:t>
      </w:r>
    </w:p>
    <w:p w:rsidR="0025253C" w:rsidRPr="0043396B" w:rsidRDefault="0025253C" w:rsidP="0025253C">
      <w:pPr>
        <w:pStyle w:val="NormalWeb"/>
        <w:spacing w:before="0" w:beforeAutospacing="0" w:after="0" w:afterAutospacing="0"/>
        <w:jc w:val="both"/>
      </w:pPr>
    </w:p>
    <w:p w:rsidR="0025253C" w:rsidRPr="0043396B" w:rsidRDefault="0025253C" w:rsidP="00F036E1">
      <w:pPr>
        <w:pStyle w:val="NormalWeb"/>
        <w:spacing w:before="0" w:beforeAutospacing="0" w:after="0" w:afterAutospacing="0"/>
        <w:ind w:right="360"/>
        <w:jc w:val="both"/>
      </w:pPr>
      <w:r w:rsidRPr="0043396B">
        <w:rPr>
          <w:rStyle w:val="label"/>
          <w:rFonts w:eastAsiaTheme="majorEastAsia"/>
        </w:rPr>
        <w:t>Cuadro 2</w:t>
      </w:r>
      <w:r w:rsidRPr="0043396B">
        <w:t>. Deuda Pública como porcentaje del </w:t>
      </w:r>
      <w:r w:rsidR="00D24641" w:rsidRPr="0043396B">
        <w:rPr>
          <w:rStyle w:val="small-caps"/>
          <w:smallCaps/>
        </w:rPr>
        <w:t>PIB</w:t>
      </w:r>
      <w:r w:rsidRPr="0043396B">
        <w:t> d</w:t>
      </w:r>
      <w:r w:rsidR="00F036E1">
        <w:t xml:space="preserve">el gobierno central por países </w:t>
      </w:r>
      <w:r w:rsidRPr="0043396B">
        <w:t>Trimestral</w:t>
      </w:r>
    </w:p>
    <w:tbl>
      <w:tblPr>
        <w:tblW w:w="9900" w:type="dxa"/>
        <w:tblBorders>
          <w:top w:val="single" w:sz="6" w:space="0" w:color="EBEBEB"/>
          <w:bottom w:val="single" w:sz="6" w:space="0" w:color="EBEBEB"/>
        </w:tblBorders>
        <w:tblCellMar>
          <w:left w:w="0" w:type="dxa"/>
          <w:right w:w="0" w:type="dxa"/>
        </w:tblCellMar>
        <w:tblLook w:val="04A0" w:firstRow="1" w:lastRow="0" w:firstColumn="1" w:lastColumn="0" w:noHBand="0" w:noVBand="1"/>
      </w:tblPr>
      <w:tblGrid>
        <w:gridCol w:w="1484"/>
        <w:gridCol w:w="937"/>
        <w:gridCol w:w="937"/>
        <w:gridCol w:w="937"/>
        <w:gridCol w:w="937"/>
        <w:gridCol w:w="937"/>
        <w:gridCol w:w="937"/>
        <w:gridCol w:w="937"/>
        <w:gridCol w:w="937"/>
        <w:gridCol w:w="937"/>
        <w:gridCol w:w="937"/>
      </w:tblGrid>
      <w:tr w:rsidR="0025253C" w:rsidRPr="0043396B" w:rsidTr="0025253C">
        <w:trPr>
          <w:tblHeader/>
        </w:trPr>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País/Año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2011Q4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2012Q1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2021Q2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2012Q3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2012Q4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2013Q1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2013Q2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2013Q3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2013Q4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2014Q1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F036E1" w:rsidP="0025253C">
            <w:pPr>
              <w:spacing w:line="240" w:lineRule="auto"/>
              <w:jc w:val="both"/>
              <w:rPr>
                <w:rFonts w:ascii="Times New Roman" w:hAnsi="Times New Roman" w:cs="Times New Roman"/>
                <w:b/>
                <w:bCs/>
                <w:sz w:val="24"/>
                <w:szCs w:val="24"/>
              </w:rPr>
            </w:pPr>
            <w:r>
              <w:rPr>
                <w:rStyle w:val="small-caps"/>
                <w:rFonts w:ascii="Times New Roman" w:hAnsi="Times New Roman" w:cs="Times New Roman"/>
                <w:b/>
                <w:bCs/>
                <w:smallCaps/>
                <w:sz w:val="24"/>
                <w:szCs w:val="24"/>
              </w:rPr>
              <w:t>UE</w:t>
            </w:r>
            <w:r w:rsidR="0025253C" w:rsidRPr="0043396B">
              <w:rPr>
                <w:rFonts w:ascii="Times New Roman" w:hAnsi="Times New Roman" w:cs="Times New Roman"/>
                <w:b/>
                <w:bCs/>
                <w:sz w:val="24"/>
                <w:szCs w:val="24"/>
              </w:rPr>
              <w:t> (28 países)</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76.0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78.4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Bélgica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94.7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94.6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Luxemburgo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Holanda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Alemania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Francia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78.6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80.1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Italia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118.8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126.4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126.1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129.4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Reino Unido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88.0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87.5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89.0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88.6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89.5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90.1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Irlanda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109.7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Dinamarca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Grecia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178.8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España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84.5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Portugal</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118.9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129.0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133.0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Austria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Suecia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Finland</w:t>
            </w:r>
            <w:r w:rsidR="0039280D">
              <w:rPr>
                <w:rFonts w:ascii="Times New Roman" w:hAnsi="Times New Roman" w:cs="Times New Roman"/>
                <w:b/>
                <w:bCs/>
                <w:sz w:val="24"/>
                <w:szCs w:val="24"/>
              </w:rPr>
              <w:t>i</w:t>
            </w:r>
            <w:r w:rsidRPr="0043396B">
              <w:rPr>
                <w:rFonts w:ascii="Times New Roman" w:hAnsi="Times New Roman" w:cs="Times New Roman"/>
                <w:b/>
                <w:bCs/>
                <w:sz w:val="24"/>
                <w:szCs w:val="24"/>
              </w:rPr>
              <w: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lastRenderedPageBreak/>
              <w:t>Polonia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República Checa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Hungría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84.6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Eslovenia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Eslovaquia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Lituana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Malta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Chipre</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160.0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Bulgaria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18.6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Rumania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Croacia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66.5</w:t>
            </w:r>
          </w:p>
        </w:tc>
      </w:tr>
    </w:tbl>
    <w:p w:rsidR="0025253C" w:rsidRPr="0043396B" w:rsidRDefault="0025253C" w:rsidP="0025253C">
      <w:pPr>
        <w:pStyle w:val="NormalWeb"/>
        <w:spacing w:before="0" w:beforeAutospacing="0" w:after="240" w:afterAutospacing="0"/>
        <w:jc w:val="both"/>
      </w:pPr>
      <w:r w:rsidRPr="0043396B">
        <w:t>Fuente: Eurostat; nd=no disponible.</w:t>
      </w:r>
    </w:p>
    <w:p w:rsidR="0025253C" w:rsidRPr="0043396B" w:rsidRDefault="0025253C" w:rsidP="0025253C">
      <w:pPr>
        <w:pStyle w:val="NormalWeb"/>
        <w:spacing w:before="0" w:beforeAutospacing="0" w:after="0" w:afterAutospacing="0"/>
        <w:jc w:val="both"/>
      </w:pPr>
      <w:r w:rsidRPr="0043396B">
        <w:t>En el mismo cuadro, puede comprobarse que el promedio de la deuda pública de los 28 países que actualmente integran la </w:t>
      </w:r>
      <w:r w:rsidR="00D24641" w:rsidRPr="0043396B">
        <w:rPr>
          <w:rStyle w:val="small-caps"/>
          <w:smallCaps/>
        </w:rPr>
        <w:t>UE</w:t>
      </w:r>
      <w:r w:rsidRPr="0043396B">
        <w:t>, aumentó en el mismo periodo del 71.6 al 78.4 por ciento del </w:t>
      </w:r>
      <w:r w:rsidR="00D24641" w:rsidRPr="0043396B">
        <w:rPr>
          <w:rStyle w:val="small-caps"/>
          <w:smallCaps/>
        </w:rPr>
        <w:t>PIB</w:t>
      </w:r>
      <w:r w:rsidRPr="0043396B">
        <w:t>, lo cual muestra el efecto de la crisis financiera mundial.</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Como ya habíamos señalado estos datos indican una clara violación de lo establecido en el Tratado de Maastricht de mantener en un 60 por ciento el nivel de endeudamiento con respecto al </w:t>
      </w:r>
      <w:r w:rsidR="00D24641" w:rsidRPr="0043396B">
        <w:rPr>
          <w:rStyle w:val="small-caps"/>
          <w:smallCaps/>
        </w:rPr>
        <w:t>PIB</w:t>
      </w:r>
      <w:r w:rsidRPr="0043396B">
        <w:t>.</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En el caso de España los efectos de la crisis se vieron reflejados en la creciente demanda de trabajo de la población joven y preparada, que se enfrentaban a un mundo laboral cada vez más restringido, y que con la recesión del ciclo de corto disparo los niveles de endeudamiento partir del 2012, que como ya se señaló superaron lo exigido por el Tratado de Maastricht; alcanzando el 84.5 por ciento de endeudamiento del </w:t>
      </w:r>
      <w:r w:rsidR="00D24641" w:rsidRPr="0043396B">
        <w:rPr>
          <w:rStyle w:val="small-caps"/>
          <w:smallCaps/>
        </w:rPr>
        <w:t>PIB</w:t>
      </w:r>
      <w:r w:rsidRPr="0043396B">
        <w:t> para el primer trimestre de 2014.</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Lo anterior lo antecedió un aumento constante del ritmo de crecimiento económico, el cual se indica en el </w:t>
      </w:r>
      <w:hyperlink r:id="rId147" w:anchor="tbl0005" w:history="1">
        <w:r w:rsidRPr="0043396B">
          <w:rPr>
            <w:rStyle w:val="Hipervnculo"/>
            <w:color w:val="auto"/>
          </w:rPr>
          <w:t>cuadro 1</w:t>
        </w:r>
      </w:hyperlink>
      <w:bookmarkEnd w:id="3"/>
      <w:r w:rsidRPr="0043396B">
        <w:t xml:space="preserve">, observamos cómo la situación de España y Grecia en los años de 2003 a 2007 fue de un crecimiento económico positivo, sin embargo, este ritmo de crecimiento </w:t>
      </w:r>
      <w:r w:rsidRPr="0043396B">
        <w:lastRenderedPageBreak/>
        <w:t>mostró su fragilidad frente a la crisis financiera global; en el caso de Portugal mostró, para los mismos años, un crecimiento económico precario de su actividad económica.</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Con respecto al nivel de endeudamiento medido en términos del </w:t>
      </w:r>
      <w:r w:rsidR="00D24641" w:rsidRPr="0043396B">
        <w:rPr>
          <w:rStyle w:val="small-caps"/>
          <w:smallCaps/>
        </w:rPr>
        <w:t>PIB</w:t>
      </w:r>
      <w:r w:rsidRPr="0043396B">
        <w:t> para Grecia y Portugal en los años de 2011 a 2014, muestran (</w:t>
      </w:r>
      <w:hyperlink r:id="rId148" w:anchor="tbl0010" w:history="1">
        <w:r w:rsidRPr="0043396B">
          <w:rPr>
            <w:rStyle w:val="Hipervnculo"/>
            <w:color w:val="auto"/>
          </w:rPr>
          <w:t>cuadro 2</w:t>
        </w:r>
      </w:hyperlink>
      <w:bookmarkEnd w:id="5"/>
      <w:r w:rsidRPr="0043396B">
        <w:t>) niveles superiores al 100 por ciento con respecto al </w:t>
      </w:r>
      <w:r w:rsidR="00D24641" w:rsidRPr="0043396B">
        <w:rPr>
          <w:rStyle w:val="small-caps"/>
          <w:smallCaps/>
        </w:rPr>
        <w:t>PIB</w:t>
      </w:r>
      <w:r w:rsidRPr="0043396B">
        <w:t>, mientras España para esos años tiene un promedio de endeudamiento con respecto al </w:t>
      </w:r>
      <w:r w:rsidR="00D24641" w:rsidRPr="0043396B">
        <w:rPr>
          <w:rStyle w:val="small-caps"/>
          <w:smallCaps/>
        </w:rPr>
        <w:t>PIB</w:t>
      </w:r>
      <w:r w:rsidRPr="0043396B">
        <w:t> de alrededor del 70 por ciento.</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Estos hechos indican que los países de la Unión se mantenían dentro de los “límites” de un endeudamiento “manejable”, implicando un alto riesgo frente a circunstancias externas (choques externos) como una crisis que dificulte el control gubernamental sobre tales variables, -como en realidad sucedió- y en condiciones recesivas estos países tuvieron poco margen de maniobra de su política económica.</w:t>
      </w:r>
    </w:p>
    <w:p w:rsidR="0025253C" w:rsidRPr="0043396B" w:rsidRDefault="0025253C" w:rsidP="0025253C">
      <w:pPr>
        <w:pStyle w:val="NormalWeb"/>
        <w:spacing w:before="0" w:beforeAutospacing="0" w:after="0" w:afterAutospacing="0"/>
        <w:jc w:val="both"/>
      </w:pPr>
      <w:r w:rsidRPr="0043396B">
        <w:t>“El aumento de la deuda privada a cargo del sector privado es reciente: hubo un primer momento importante después de la entrada de Grecia en la zona euro, 2001; una segunda explosión de la deuda se inició a partir de 2007, cuando la ayuda financiera concedida a los bancos por la Reserva Federal de Estados Unidos por los gobiernos europeos y por el Banco Central Europeo (</w:t>
      </w:r>
      <w:r w:rsidR="00D24641" w:rsidRPr="0043396B">
        <w:rPr>
          <w:rStyle w:val="small-caps"/>
          <w:smallCaps/>
        </w:rPr>
        <w:t>BCE</w:t>
      </w:r>
      <w:r w:rsidRPr="0043396B">
        <w:t xml:space="preserve">), fue en parte reciclada </w:t>
      </w:r>
      <w:r w:rsidR="00B54FCF" w:rsidRPr="0043396B">
        <w:t>por los banqueros hacia Grecia (…)</w:t>
      </w:r>
      <w:r w:rsidRPr="0043396B">
        <w:t xml:space="preserve"> En cambio el crecimiento de la deuda pública es más antiguo. Después de la deuda heredada de la dictadura de los coroneles, el recurso del préstamo sirvió desde los años noventa para rellenar el agujero prod</w:t>
      </w:r>
      <w:r w:rsidR="00B54FCF" w:rsidRPr="0043396B">
        <w:t>ucido en las finanzas públicas (…)</w:t>
      </w:r>
      <w:r w:rsidRPr="0043396B">
        <w:t xml:space="preserve"> endeudamiento en que el cayó gobierno griego para financiar la organización de los juegos olímpicos de 2004 en Atenas”.</w:t>
      </w:r>
    </w:p>
    <w:p w:rsidR="0025253C" w:rsidRPr="0043396B" w:rsidRDefault="0025253C" w:rsidP="0025253C">
      <w:pPr>
        <w:pStyle w:val="NormalWeb"/>
        <w:spacing w:before="0" w:beforeAutospacing="0" w:after="0" w:afterAutospacing="0"/>
        <w:jc w:val="both"/>
      </w:pPr>
    </w:p>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noProof/>
          <w:sz w:val="24"/>
          <w:szCs w:val="24"/>
        </w:rPr>
        <w:drawing>
          <wp:inline distT="0" distB="0" distL="0" distR="0">
            <wp:extent cx="5791200" cy="2971800"/>
            <wp:effectExtent l="0" t="0" r="0" b="0"/>
            <wp:docPr id="118" name="Imagen 118" descr="https://ars.els-cdn.com/content/image/1-s2.0-S0185084917300117-g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ars.els-cdn.com/content/image/1-s2.0-S0185084917300117-gr2.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91200" cy="2971800"/>
                    </a:xfrm>
                    <a:prstGeom prst="rect">
                      <a:avLst/>
                    </a:prstGeom>
                    <a:noFill/>
                    <a:ln>
                      <a:noFill/>
                    </a:ln>
                  </pic:spPr>
                </pic:pic>
              </a:graphicData>
            </a:graphic>
          </wp:inline>
        </w:drawing>
      </w: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Gráfica 2</w:t>
      </w:r>
      <w:r w:rsidRPr="0043396B">
        <w:t>. Deuda con respecto al </w:t>
      </w:r>
      <w:r w:rsidR="00D24641" w:rsidRPr="0043396B">
        <w:rPr>
          <w:rStyle w:val="small-caps"/>
          <w:smallCaps/>
        </w:rPr>
        <w:t>PIB</w:t>
      </w:r>
      <w:r w:rsidRPr="0043396B">
        <w:t> de los países de la unión europea</w:t>
      </w:r>
    </w:p>
    <w:p w:rsidR="0025253C" w:rsidRPr="0043396B" w:rsidRDefault="0025253C" w:rsidP="0025253C">
      <w:pPr>
        <w:pStyle w:val="NormalWeb"/>
        <w:spacing w:before="0" w:beforeAutospacing="0" w:after="240" w:afterAutospacing="0"/>
        <w:ind w:left="360" w:right="360"/>
        <w:jc w:val="both"/>
      </w:pPr>
      <w:r w:rsidRPr="0043396B">
        <w:t>Fuente: elaboración propia con datos de Eurostat.</w:t>
      </w:r>
    </w:p>
    <w:p w:rsidR="0025253C" w:rsidRPr="0043396B" w:rsidRDefault="0025253C" w:rsidP="0025253C">
      <w:pPr>
        <w:pStyle w:val="NormalWeb"/>
        <w:spacing w:before="0" w:beforeAutospacing="0" w:after="240" w:afterAutospacing="0"/>
        <w:jc w:val="both"/>
      </w:pPr>
      <w:r w:rsidRPr="0043396B">
        <w:t xml:space="preserve">Frente a esta situación de sobreendeudamiento y ante la incapacidad de generar los ingresos suficientes para el pago de la deuda pública, las medidas de impulso de la demanda agregada recayeron exclusivamente en el área de las finanzas públicas, dado que la política monetaria, a través de los instrumentos del tipo de cambio y de la tasa de interés son variables manejadas por el Banco Central Europeo, no pueden ser utilizadas por los países integrantes de la Unión </w:t>
      </w:r>
      <w:r w:rsidRPr="0043396B">
        <w:lastRenderedPageBreak/>
        <w:t>Europea, para hacer sus ajustes y corregir sus desequilibrios en el sector financiero interno y externo.</w:t>
      </w:r>
    </w:p>
    <w:p w:rsidR="0025253C" w:rsidRPr="0043396B" w:rsidRDefault="0025253C" w:rsidP="0025253C">
      <w:pPr>
        <w:pStyle w:val="NormalWeb"/>
        <w:spacing w:before="0" w:beforeAutospacing="0" w:after="0" w:afterAutospacing="0"/>
        <w:jc w:val="both"/>
        <w:rPr>
          <w:vertAlign w:val="superscript"/>
        </w:rPr>
      </w:pPr>
      <w:r w:rsidRPr="0043396B">
        <w:t>La crisis de la deuda se instaló en Europa, y arrastró dramáticamente a los actores europeos casi al borde de la salida de Grecia de la zona euro, al someter a este país a un riguroso recorte del gasto público en sectores sociales sensibles para la población griega, pero esto mismo se hizo extensivo a los países que alcanzaron altos niveles de endeudamiento.</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Los problemas que enfrento Grecia ante los altos niveles de endeudamiento tuvieron como antecedente el crónico nivel de deuda que Grecia tenía previo a los juegos olímpicos, el problema se agudizo a partir de los mismos juegos. Además, llama la atención cómo pese a este problema estructural de endeudamiento griego, fue el entonces banco de inversión Goldman Sachs quién solapo la fragilidad financiera de Grecia al dar su aval para la entrada a la zona euro, ello a través, del uso de ingeniería financiera que oculto las verdaderas cifras de endeudamiento de dicho país.</w:t>
      </w:r>
    </w:p>
    <w:p w:rsidR="0025253C" w:rsidRPr="0043396B" w:rsidRDefault="0025253C" w:rsidP="0025253C">
      <w:pPr>
        <w:pStyle w:val="NormalWeb"/>
        <w:spacing w:before="0" w:beforeAutospacing="0" w:after="240" w:afterAutospacing="0"/>
        <w:jc w:val="both"/>
      </w:pPr>
      <w:r w:rsidRPr="0043396B">
        <w:t>Por otra parte, el problema de Chipre se debió a un colapso de su sistema bancario “altamente internacionalizado” que obligó al cierre de sus instituciones financieras y a que el gobierno asumiera los costos del saneamiento de la quiebra bancaria a cargo de las finanzas públicas, en consecuencia, Chipre tuvo que aceptar duras condiciones para tener acceso a los recursos con los cuales solventar su nivel de endeudamiento y corregir su déficit público.</w:t>
      </w:r>
    </w:p>
    <w:p w:rsidR="0025253C" w:rsidRPr="0043396B" w:rsidRDefault="0025253C" w:rsidP="0025253C">
      <w:pPr>
        <w:pStyle w:val="NormalWeb"/>
        <w:spacing w:before="0" w:beforeAutospacing="0" w:after="0" w:afterAutospacing="0"/>
        <w:jc w:val="both"/>
      </w:pPr>
      <w:r w:rsidRPr="0043396B">
        <w:t>Entre los países que tienen endeudamiento por debajo de lo establecido en Maastricht se encuentran Alemania, Luxemburgo, Suecia, Republica Checa, Dinamarca, Estonia, Lituania, Polonia, Eslovaquia y Finlandia, sin embargo, el promedio de endeudamiento de los 28 países es superior a lo acordado en el Tratado de integración de la Unión, situación que muestra la fragilidad en la que pueden caer varios países por los niveles tan altos de endeudamiento con respecto al </w:t>
      </w:r>
      <w:r w:rsidR="00F036E1">
        <w:rPr>
          <w:rStyle w:val="small-caps"/>
          <w:smallCaps/>
        </w:rPr>
        <w:t>PIB</w:t>
      </w:r>
      <w:r w:rsidRPr="0043396B">
        <w:t>. Cabe notar que salvo Alemania el resto de los países con finanzas sanas tienen poco peso relativo en términos de su participación en la actividad económica.</w:t>
      </w:r>
    </w:p>
    <w:p w:rsidR="0025253C" w:rsidRPr="0043396B" w:rsidRDefault="0025253C" w:rsidP="0025253C">
      <w:pPr>
        <w:pStyle w:val="Ttulo2"/>
        <w:jc w:val="both"/>
        <w:rPr>
          <w:sz w:val="24"/>
          <w:szCs w:val="24"/>
        </w:rPr>
      </w:pPr>
      <w:r w:rsidRPr="0043396B">
        <w:rPr>
          <w:sz w:val="24"/>
          <w:szCs w:val="24"/>
        </w:rPr>
        <w:t>Aumento del déficit público</w:t>
      </w:r>
    </w:p>
    <w:p w:rsidR="0025253C" w:rsidRPr="0043396B" w:rsidRDefault="0025253C" w:rsidP="0025253C">
      <w:pPr>
        <w:pStyle w:val="NormalWeb"/>
        <w:spacing w:before="0" w:beforeAutospacing="0" w:after="240" w:afterAutospacing="0"/>
        <w:jc w:val="both"/>
      </w:pPr>
      <w:r w:rsidRPr="0043396B">
        <w:t>El déficit gubernamental al estar asociado con la capacidad de equilibrar las fuentes de los ingresos con el destino de los mismos hacia actividades económicas y sociales, ha establecido que para no permitir que se gaste más de lo que ingresa en las arcas públicas, el Tratado de Maastricht le puso un límite numérico al déficit público no superior al 3 por ciento.</w:t>
      </w:r>
    </w:p>
    <w:p w:rsidR="0025253C" w:rsidRPr="0043396B" w:rsidRDefault="0025253C" w:rsidP="0025253C">
      <w:pPr>
        <w:pStyle w:val="NormalWeb"/>
        <w:spacing w:before="0" w:beforeAutospacing="0" w:after="0" w:afterAutospacing="0"/>
        <w:jc w:val="both"/>
      </w:pPr>
      <w:r w:rsidRPr="0043396B">
        <w:t>El comportamiento del balance público de las 28 economías de la </w:t>
      </w:r>
      <w:r w:rsidR="00D24641" w:rsidRPr="0043396B">
        <w:rPr>
          <w:rStyle w:val="small-caps"/>
          <w:smallCaps/>
        </w:rPr>
        <w:t>UE</w:t>
      </w:r>
      <w:r w:rsidRPr="0043396B">
        <w:t> se incrementó en más del doble a partir de 2009 cuando registró un -6.7 por ciento, mismo que se redujo a -4.5 por ciento en 2011 y para el año de 2014 se situó en lo establecido por las reglas de la </w:t>
      </w:r>
      <w:r w:rsidR="00D24641" w:rsidRPr="0043396B">
        <w:rPr>
          <w:rStyle w:val="small-caps"/>
          <w:smallCaps/>
        </w:rPr>
        <w:t>UE</w:t>
      </w:r>
      <w:r w:rsidRPr="0043396B">
        <w:t> en -3.0 por ciento. (</w:t>
      </w:r>
      <w:bookmarkStart w:id="6" w:name="btbl0015"/>
      <w:r w:rsidR="00AE1E48" w:rsidRPr="0043396B">
        <w:fldChar w:fldCharType="begin"/>
      </w:r>
      <w:r w:rsidRPr="0043396B">
        <w:instrText xml:space="preserve"> HYPERLINK "https://www.sciencedirect.com/science/article/pii/S0185084917300117" \l "tbl0015" </w:instrText>
      </w:r>
      <w:r w:rsidR="00AE1E48" w:rsidRPr="0043396B">
        <w:fldChar w:fldCharType="separate"/>
      </w:r>
      <w:r w:rsidRPr="0043396B">
        <w:rPr>
          <w:rStyle w:val="Hipervnculo"/>
          <w:color w:val="auto"/>
        </w:rPr>
        <w:t>Cuadro 3</w:t>
      </w:r>
      <w:r w:rsidR="00AE1E48" w:rsidRPr="0043396B">
        <w:fldChar w:fldCharType="end"/>
      </w:r>
      <w:r w:rsidRPr="0043396B">
        <w:t>).</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Cuadro 3</w:t>
      </w:r>
      <w:r w:rsidRPr="0043396B">
        <w:t>. Déficit público como porcentaje del </w:t>
      </w:r>
      <w:r w:rsidR="00D24641" w:rsidRPr="0043396B">
        <w:rPr>
          <w:rStyle w:val="small-caps"/>
          <w:smallCaps/>
        </w:rPr>
        <w:t>PIB</w:t>
      </w:r>
    </w:p>
    <w:tbl>
      <w:tblPr>
        <w:tblW w:w="9705" w:type="dxa"/>
        <w:tblBorders>
          <w:top w:val="single" w:sz="6" w:space="0" w:color="EBEBEB"/>
          <w:bottom w:val="single" w:sz="6" w:space="0" w:color="EBEBEB"/>
        </w:tblBorders>
        <w:tblCellMar>
          <w:left w:w="0" w:type="dxa"/>
          <w:right w:w="0" w:type="dxa"/>
        </w:tblCellMar>
        <w:tblLook w:val="04A0" w:firstRow="1" w:lastRow="0" w:firstColumn="1" w:lastColumn="0" w:noHBand="0" w:noVBand="1"/>
      </w:tblPr>
      <w:tblGrid>
        <w:gridCol w:w="2595"/>
        <w:gridCol w:w="866"/>
        <w:gridCol w:w="892"/>
        <w:gridCol w:w="892"/>
        <w:gridCol w:w="892"/>
        <w:gridCol w:w="892"/>
        <w:gridCol w:w="892"/>
        <w:gridCol w:w="892"/>
        <w:gridCol w:w="892"/>
      </w:tblGrid>
      <w:tr w:rsidR="0025253C" w:rsidRPr="0043396B" w:rsidTr="0025253C">
        <w:trPr>
          <w:tblHeader/>
        </w:trPr>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País/Año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F036E1" w:rsidP="0025253C">
            <w:pPr>
              <w:spacing w:line="240" w:lineRule="auto"/>
              <w:jc w:val="both"/>
              <w:rPr>
                <w:rFonts w:ascii="Times New Roman" w:hAnsi="Times New Roman" w:cs="Times New Roman"/>
                <w:b/>
                <w:bCs/>
                <w:sz w:val="24"/>
                <w:szCs w:val="24"/>
              </w:rPr>
            </w:pPr>
            <w:r>
              <w:rPr>
                <w:rStyle w:val="small-caps"/>
                <w:rFonts w:ascii="Times New Roman" w:hAnsi="Times New Roman" w:cs="Times New Roman"/>
                <w:b/>
                <w:bCs/>
                <w:smallCaps/>
                <w:sz w:val="24"/>
                <w:szCs w:val="24"/>
              </w:rPr>
              <w:t>UE</w:t>
            </w:r>
            <w:r w:rsidR="0025253C" w:rsidRPr="0043396B">
              <w:rPr>
                <w:rFonts w:ascii="Times New Roman" w:hAnsi="Times New Roman" w:cs="Times New Roman"/>
                <w:b/>
                <w:bCs/>
                <w:sz w:val="24"/>
                <w:szCs w:val="24"/>
              </w:rPr>
              <w:t> (28 países)</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Bélgica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lastRenderedPageBreak/>
              <w:t>Luxemburgo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Holanda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Alemania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Francia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Italia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Reino Unido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Irlanda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Dinamarca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Grecia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España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Portugal</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Austria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Suecia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Finland</w:t>
            </w:r>
            <w:r w:rsidR="0039280D">
              <w:rPr>
                <w:rFonts w:ascii="Times New Roman" w:hAnsi="Times New Roman" w:cs="Times New Roman"/>
                <w:b/>
                <w:bCs/>
                <w:sz w:val="24"/>
                <w:szCs w:val="24"/>
              </w:rPr>
              <w:t>i</w:t>
            </w:r>
            <w:r w:rsidRPr="0043396B">
              <w:rPr>
                <w:rFonts w:ascii="Times New Roman" w:hAnsi="Times New Roman" w:cs="Times New Roman"/>
                <w:b/>
                <w:bCs/>
                <w:sz w:val="24"/>
                <w:szCs w:val="24"/>
              </w:rPr>
              <w: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Polonia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República Checa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Hungría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Eslovenia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Eslovaquia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Letonia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lastRenderedPageBreak/>
              <w:t>Lituana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Malta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Chipre</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Bulgaria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Rumania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Croacia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w:t>
            </w:r>
          </w:p>
        </w:tc>
      </w:tr>
    </w:tbl>
    <w:p w:rsidR="0025253C" w:rsidRPr="0043396B" w:rsidRDefault="0025253C" w:rsidP="0025253C">
      <w:pPr>
        <w:pStyle w:val="NormalWeb"/>
        <w:spacing w:before="0" w:beforeAutospacing="0" w:after="240" w:afterAutospacing="0"/>
        <w:jc w:val="both"/>
      </w:pPr>
      <w:r w:rsidRPr="0043396B">
        <w:t>Fuente: Eurostat.</w:t>
      </w:r>
    </w:p>
    <w:p w:rsidR="0025253C" w:rsidRPr="0043396B" w:rsidRDefault="0025253C" w:rsidP="0025253C">
      <w:pPr>
        <w:pStyle w:val="NormalWeb"/>
        <w:spacing w:before="0" w:beforeAutospacing="0" w:after="0" w:afterAutospacing="0"/>
        <w:jc w:val="both"/>
      </w:pPr>
      <w:r w:rsidRPr="0043396B">
        <w:t>Los países que vieron un aumento significativo del déficit en 2009 fueron, Grecia -15.2, Irlanda -13.8, España -11.0 y el Reino Unido en 10.8 por ciento, aunque este último país no ha adoptado el Euro, conserva el manejo de su política monetaria por ende puede realizar los ajustes de sus balances internos y externos tanto en su política fiscal como cambiaria y comercial. (</w:t>
      </w:r>
      <w:bookmarkStart w:id="7" w:name="bfig0015"/>
      <w:r w:rsidR="00AE1E48" w:rsidRPr="0043396B">
        <w:fldChar w:fldCharType="begin"/>
      </w:r>
      <w:r w:rsidRPr="0043396B">
        <w:instrText xml:space="preserve"> HYPERLINK "https://www.sciencedirect.com/science/article/pii/S0185084917300117" \l "fig0015" </w:instrText>
      </w:r>
      <w:r w:rsidR="00AE1E48" w:rsidRPr="0043396B">
        <w:fldChar w:fldCharType="separate"/>
      </w:r>
      <w:r w:rsidRPr="0043396B">
        <w:rPr>
          <w:rStyle w:val="Hipervnculo"/>
          <w:color w:val="auto"/>
        </w:rPr>
        <w:t>Gráfica 3</w:t>
      </w:r>
      <w:r w:rsidR="00AE1E48" w:rsidRPr="0043396B">
        <w:fldChar w:fldCharType="end"/>
      </w:r>
      <w:bookmarkEnd w:id="7"/>
      <w:r w:rsidRPr="0043396B">
        <w:t>). Para el año 2010 Irlanda fue el país que registró el más alto déficit público y el país que ajusto su gasto público para reducir drásticamente el déficit y mitigar el alto nivel de endeudamiento.</w:t>
      </w:r>
    </w:p>
    <w:p w:rsidR="0025253C" w:rsidRPr="0043396B" w:rsidRDefault="0025253C" w:rsidP="0025253C">
      <w:pPr>
        <w:pStyle w:val="NormalWeb"/>
        <w:spacing w:before="0" w:beforeAutospacing="0" w:after="0" w:afterAutospacing="0"/>
        <w:jc w:val="both"/>
      </w:pPr>
    </w:p>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noProof/>
          <w:sz w:val="24"/>
          <w:szCs w:val="24"/>
        </w:rPr>
        <w:drawing>
          <wp:inline distT="0" distB="0" distL="0" distR="0">
            <wp:extent cx="5721350" cy="2343150"/>
            <wp:effectExtent l="0" t="0" r="0" b="0"/>
            <wp:docPr id="117" name="Imagen 117" descr="https://ars.els-cdn.com/content/image/1-s2.0-S0185084917300117-g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ars.els-cdn.com/content/image/1-s2.0-S0185084917300117-gr3.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21350" cy="2343150"/>
                    </a:xfrm>
                    <a:prstGeom prst="rect">
                      <a:avLst/>
                    </a:prstGeom>
                    <a:noFill/>
                    <a:ln>
                      <a:noFill/>
                    </a:ln>
                  </pic:spPr>
                </pic:pic>
              </a:graphicData>
            </a:graphic>
          </wp:inline>
        </w:drawing>
      </w: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Gráfica 3</w:t>
      </w:r>
      <w:r w:rsidRPr="0043396B">
        <w:t>. Déficit público como porcentaje del </w:t>
      </w:r>
      <w:r w:rsidR="00D24641" w:rsidRPr="0043396B">
        <w:rPr>
          <w:rStyle w:val="small-caps"/>
          <w:smallCaps/>
        </w:rPr>
        <w:t>PIB</w:t>
      </w:r>
    </w:p>
    <w:p w:rsidR="0025253C" w:rsidRPr="0043396B" w:rsidRDefault="0025253C" w:rsidP="0025253C">
      <w:pPr>
        <w:pStyle w:val="NormalWeb"/>
        <w:spacing w:before="0" w:beforeAutospacing="0" w:after="240" w:afterAutospacing="0"/>
        <w:ind w:left="360" w:right="360"/>
        <w:jc w:val="both"/>
      </w:pPr>
      <w:r w:rsidRPr="0043396B">
        <w:t>Fuente: Elaboración propia con datos de Eurostat.</w:t>
      </w:r>
    </w:p>
    <w:p w:rsidR="0025253C" w:rsidRPr="0043396B" w:rsidRDefault="0025253C" w:rsidP="0025253C">
      <w:pPr>
        <w:pStyle w:val="NormalWeb"/>
        <w:spacing w:before="0" w:beforeAutospacing="0" w:after="0" w:afterAutospacing="0"/>
        <w:jc w:val="both"/>
      </w:pPr>
      <w:r w:rsidRPr="0043396B">
        <w:t>Respecto del comportamiento del déficit público como porcentaje del </w:t>
      </w:r>
      <w:r w:rsidR="00D24641" w:rsidRPr="0043396B">
        <w:rPr>
          <w:rStyle w:val="small-caps"/>
          <w:smallCaps/>
        </w:rPr>
        <w:t>PIB</w:t>
      </w:r>
      <w:r w:rsidRPr="0043396B">
        <w:t> (</w:t>
      </w:r>
      <w:hyperlink r:id="rId151" w:anchor="tbl0015" w:history="1">
        <w:r w:rsidRPr="0043396B">
          <w:rPr>
            <w:rStyle w:val="Hipervnculo"/>
            <w:color w:val="auto"/>
          </w:rPr>
          <w:t>Cuadro 3</w:t>
        </w:r>
      </w:hyperlink>
      <w:bookmarkEnd w:id="6"/>
      <w:r w:rsidRPr="0043396B">
        <w:t>) podemos constatar que de 2007 a 2014 la mayoría de los 28 países que integran la </w:t>
      </w:r>
      <w:r w:rsidR="00D24641" w:rsidRPr="0043396B">
        <w:rPr>
          <w:rStyle w:val="small-caps"/>
          <w:smallCaps/>
        </w:rPr>
        <w:t>UE</w:t>
      </w:r>
      <w:r w:rsidRPr="0043396B">
        <w:t> han incurrido en un déficit superior al 3 por ciento. Este comportamiento del déficit nos obliga a preguntarnos ¿hasta qué grado es realista mantener una situación restrictiva en el equilibrio de las finanzas públicas?, si en situación de crisis económica existe la necesidad de aumentar el gasto para mitigar los efectos recesivos de la crisis.</w:t>
      </w:r>
    </w:p>
    <w:p w:rsidR="00D24641" w:rsidRPr="0043396B" w:rsidRDefault="00D24641"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lastRenderedPageBreak/>
        <w:t>La Unión Europea dada la evidencia de los resultados de las políticas de ajuste, (de aumento del desempleo, caídas en la producción y deterioro de las condiciones sociales de las poblaciones más vulnerables de la Unión), estaría en posibilidad de reconsiderar y reevaluar las políticas hasta ahora aplicadas, es decir ¿Qué es más importante para la </w:t>
      </w:r>
      <w:r w:rsidR="00D24641" w:rsidRPr="0043396B">
        <w:rPr>
          <w:rStyle w:val="small-caps"/>
          <w:smallCaps/>
        </w:rPr>
        <w:t>UE</w:t>
      </w:r>
      <w:r w:rsidRPr="0043396B">
        <w:t> mantener la zona euro o preservar las condiciones de vida de los europeos?</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El reto que sigue planteando la viabilidad del proceso de integración europea es continuar por la ruta o ajustarse a los cambios dinámicos de los mercados comerciales y financieros internacionales y entonces permitirse establecer nuevos acuerdos que permitan cierto grado de flexibilidad de las políticas monetarias, cambiarias y fiscales que estén a tono con la resolución de problemas sociales a tendiendo el lacerante problema del empleo y la migración ajustando las medidas a las circunstancias económicas globales que la misma realidad muestra.</w:t>
      </w:r>
    </w:p>
    <w:p w:rsidR="0025253C" w:rsidRPr="0043396B" w:rsidRDefault="0025253C" w:rsidP="0025253C">
      <w:pPr>
        <w:pStyle w:val="NormalWeb"/>
        <w:spacing w:before="0" w:beforeAutospacing="0" w:after="240" w:afterAutospacing="0"/>
        <w:jc w:val="both"/>
      </w:pPr>
      <w:r w:rsidRPr="0043396B">
        <w:t>La Unión Europea ha logrado al observar las cifras presentadas si resintió los efectos de la crisis global, sin embargo, logró reaccionar aumentando los niveles de demanda agregada con un incremento del gasto público, pero esto fue temporal no se resuelve de fondo la vulnerabilidad y fragilidad de la integración misma que se ve sometida a pruebas cada vez más fuertes por también más fuertes crisis globales.</w:t>
      </w:r>
    </w:p>
    <w:p w:rsidR="0025253C" w:rsidRPr="0043396B" w:rsidRDefault="0025253C" w:rsidP="0025253C">
      <w:pPr>
        <w:pStyle w:val="NormalWeb"/>
        <w:spacing w:before="0" w:beforeAutospacing="0" w:after="240" w:afterAutospacing="0"/>
        <w:jc w:val="both"/>
      </w:pPr>
      <w:r w:rsidRPr="0043396B">
        <w:t>Los países que comandan el proceso de integración como son Alemania y Francia también, a consecuencia de la crisis financiera, aumentaron su déficit público entre 2009-2010 para después a partir de 2011 disminuirlo con programas de ajuste. Es decir, estos países padecieron problemas de déficit público, mismos que de inmediato fueron corregidos debido a su poder económico y soporte de las demás economías, sabiendo que con su intervención establecían medidas de ajuste a los países con mayores problemas de endeudamiento, ya que en caso de no hacerlo los mercados financieros los habrían castigado dificultando todavía más una solución integral que preserve el proceso de integración.</w:t>
      </w:r>
    </w:p>
    <w:p w:rsidR="0025253C" w:rsidRPr="0043396B" w:rsidRDefault="0025253C" w:rsidP="0025253C">
      <w:pPr>
        <w:pStyle w:val="NormalWeb"/>
        <w:spacing w:before="0" w:beforeAutospacing="0" w:after="240" w:afterAutospacing="0"/>
        <w:jc w:val="both"/>
      </w:pPr>
      <w:r w:rsidRPr="0043396B">
        <w:t>De los años de 2011 a 2014 el déficit público fue una constante para la Unión Europea, no obstante, el comportamiento del déficit no fue uniforme ni estuvo acorde a lo establecido en el Tratado de Maastricht. Aunque algunos países si cumplieron con la regla la mayor parte no lo hizo, implicando que algunos de ellos recurrieron a políticas de incrementos del gasto público para evitar los efectos recesivos en sus economías. Alemania y Francia, además tuvieron que asumirse como fiadores del resto de las economías frente a sus acreedores combinando el uso de sus ahorros con medidas de ajuste económico.</w:t>
      </w:r>
    </w:p>
    <w:p w:rsidR="0025253C" w:rsidRPr="0043396B" w:rsidRDefault="0025253C" w:rsidP="0025253C">
      <w:pPr>
        <w:pStyle w:val="NormalWeb"/>
        <w:spacing w:before="0" w:beforeAutospacing="0" w:after="0" w:afterAutospacing="0"/>
        <w:jc w:val="both"/>
      </w:pPr>
      <w:r w:rsidRPr="0043396B">
        <w:t>La política económica de la </w:t>
      </w:r>
      <w:r w:rsidR="00C13914">
        <w:rPr>
          <w:rStyle w:val="small-caps"/>
          <w:smallCaps/>
        </w:rPr>
        <w:t>UE</w:t>
      </w:r>
      <w:r w:rsidRPr="0043396B">
        <w:t> en un contexto de recesión económica obliga a tomar medidas de carácter keynesiano, es decir de expansión de la demanda agregada vía el componente autónomo del gasto público, con la finalidad de tratar de contrarrestar la caída en la actividad económica.</w:t>
      </w:r>
    </w:p>
    <w:p w:rsidR="00D24641" w:rsidRPr="0043396B" w:rsidRDefault="00D24641"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El mercado financiero para acceder a los recursos se vio restringido por lo extendido de los instrumentos financieros conocidos como bonos tóxicos, que al derrumbarse la confianza sobre los mismos y su incapacidad para solventar los pagos correspondientes por concepto de intereses, ocasionaron en el mercado financiero una astringencia de crédito que frenó las expectativas de inversión ya no solo en el sector financiero sino también en el sector real de la actividad económica de los países que resintieron los efectos de la crisis subprime</w:t>
      </w:r>
      <w:bookmarkStart w:id="8" w:name="bfn0060"/>
      <w:r w:rsidR="00AE1E48" w:rsidRPr="0043396B">
        <w:fldChar w:fldCharType="begin"/>
      </w:r>
      <w:r w:rsidRPr="0043396B">
        <w:instrText xml:space="preserve"> HYPERLINK "https://www.sciencedirect.com/science/article/pii/S0185084917300117" \l "fn0060" </w:instrText>
      </w:r>
      <w:r w:rsidR="00AE1E48" w:rsidRPr="0043396B">
        <w:fldChar w:fldCharType="separate"/>
      </w:r>
      <w:r w:rsidRPr="0043396B">
        <w:rPr>
          <w:rStyle w:val="Hipervnculo"/>
          <w:color w:val="auto"/>
          <w:vertAlign w:val="superscript"/>
        </w:rPr>
        <w:t>12</w:t>
      </w:r>
      <w:r w:rsidR="00AE1E48" w:rsidRPr="0043396B">
        <w:fldChar w:fldCharType="end"/>
      </w:r>
      <w:bookmarkEnd w:id="8"/>
      <w:r w:rsidRPr="0043396B">
        <w:t> en Estados Unidos. Igual ocurrió con los países de la Unión Europea que también resintieron los efectos de la globalización financiera.</w:t>
      </w:r>
    </w:p>
    <w:p w:rsidR="0025253C" w:rsidRPr="0043396B" w:rsidRDefault="0025253C" w:rsidP="0025253C">
      <w:pPr>
        <w:pStyle w:val="Ttulo2"/>
        <w:jc w:val="both"/>
        <w:rPr>
          <w:sz w:val="24"/>
          <w:szCs w:val="24"/>
        </w:rPr>
      </w:pPr>
      <w:r w:rsidRPr="0043396B">
        <w:rPr>
          <w:sz w:val="24"/>
          <w:szCs w:val="24"/>
        </w:rPr>
        <w:lastRenderedPageBreak/>
        <w:t>Gasto Público y Desempleo en los países de la Unión</w:t>
      </w:r>
    </w:p>
    <w:p w:rsidR="0025253C" w:rsidRPr="0043396B" w:rsidRDefault="0025253C" w:rsidP="0025253C">
      <w:pPr>
        <w:pStyle w:val="NormalWeb"/>
        <w:spacing w:before="0" w:beforeAutospacing="0" w:after="240" w:afterAutospacing="0"/>
        <w:jc w:val="both"/>
      </w:pPr>
      <w:r w:rsidRPr="0043396B">
        <w:t>Como se había mencionado, el impacto de la crisis en 2009 obligó a los gobiernos de la Unión Europea a incrementar sus niveles de gasto público, buscando paliar los efectos recesivos que provenían del sector financiero y golpeaban a la actividad productiva, es decir se buscó reactivar de lado de la demanda agregada el componente autónomo del gasto público y contrarrestar los efectos recesivos en la demanda agregada y el empleo de la crisis global en los países de la Unión.</w:t>
      </w:r>
    </w:p>
    <w:p w:rsidR="0025253C" w:rsidRPr="0043396B" w:rsidRDefault="0025253C" w:rsidP="0025253C">
      <w:pPr>
        <w:pStyle w:val="NormalWeb"/>
        <w:spacing w:before="0" w:beforeAutospacing="0" w:after="0" w:afterAutospacing="0"/>
        <w:jc w:val="both"/>
      </w:pPr>
      <w:r w:rsidRPr="0043396B">
        <w:t>La medida de expansión gubernamental, como se ha señalado, fue que todos los países incrementaron su gasto público en 2009 siendo los más altos Francia, Dinamarca y Finlandia, con ello en el corto plazo incentivar una política fiscal anticiclíca que no permita caer en una profunda recesión; a pesar de los efectos positivos de dicha medida, para 2010, el gasto se redujo en todos los países excepto en Irlanda donde se incrementó al 65.5 como porcentaje del </w:t>
      </w:r>
      <w:r w:rsidR="00D24641" w:rsidRPr="0043396B">
        <w:rPr>
          <w:rStyle w:val="small-caps"/>
          <w:smallCaps/>
        </w:rPr>
        <w:t>PIB</w:t>
      </w:r>
      <w:r w:rsidRPr="0043396B">
        <w:t>.</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Así, prácticamente todos los países de la </w:t>
      </w:r>
      <w:r w:rsidR="00D24641" w:rsidRPr="0043396B">
        <w:rPr>
          <w:rStyle w:val="small-caps"/>
          <w:smallCaps/>
        </w:rPr>
        <w:t>UE</w:t>
      </w:r>
      <w:r w:rsidRPr="0043396B">
        <w:t> (</w:t>
      </w:r>
      <w:bookmarkStart w:id="9" w:name="btbl0020"/>
      <w:r w:rsidR="00AE1E48" w:rsidRPr="0043396B">
        <w:fldChar w:fldCharType="begin"/>
      </w:r>
      <w:r w:rsidRPr="0043396B">
        <w:instrText xml:space="preserve"> HYPERLINK "https://www.sciencedirect.com/science/article/pii/S0185084917300117" \l "tbl0020" </w:instrText>
      </w:r>
      <w:r w:rsidR="00AE1E48" w:rsidRPr="0043396B">
        <w:fldChar w:fldCharType="separate"/>
      </w:r>
      <w:r w:rsidRPr="0043396B">
        <w:rPr>
          <w:rStyle w:val="Hipervnculo"/>
          <w:color w:val="auto"/>
        </w:rPr>
        <w:t>cuadro 4</w:t>
      </w:r>
      <w:r w:rsidR="00AE1E48" w:rsidRPr="0043396B">
        <w:fldChar w:fldCharType="end"/>
      </w:r>
      <w:bookmarkEnd w:id="9"/>
      <w:r w:rsidRPr="0043396B">
        <w:t>) aumentaron sus niveles del gasto público como porcentaje del </w:t>
      </w:r>
      <w:r w:rsidR="00D24641" w:rsidRPr="0043396B">
        <w:rPr>
          <w:rStyle w:val="small-caps"/>
          <w:smallCaps/>
        </w:rPr>
        <w:t>PIB</w:t>
      </w:r>
      <w:r w:rsidRPr="0043396B">
        <w:t>, para posteriormente estabilizarse en un promedio de 50 por ciento; entre los países que incrementaron el gasto publico arriba del 55 por ciento del </w:t>
      </w:r>
      <w:r w:rsidR="00D24641" w:rsidRPr="0043396B">
        <w:rPr>
          <w:rStyle w:val="small-caps"/>
          <w:smallCaps/>
        </w:rPr>
        <w:t>PIB</w:t>
      </w:r>
      <w:r w:rsidRPr="0043396B">
        <w:t> en 2010 fueron Irlanda, Dinamarca, Francia y Finlandia.</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Cuadro 4</w:t>
      </w:r>
      <w:r w:rsidRPr="0043396B">
        <w:t>. Déficit público como porcentaje del </w:t>
      </w:r>
      <w:r w:rsidR="00D24641" w:rsidRPr="0043396B">
        <w:rPr>
          <w:rStyle w:val="small-caps"/>
          <w:smallCaps/>
        </w:rPr>
        <w:t>PIB</w:t>
      </w:r>
    </w:p>
    <w:tbl>
      <w:tblPr>
        <w:tblW w:w="9705" w:type="dxa"/>
        <w:tblBorders>
          <w:top w:val="single" w:sz="6" w:space="0" w:color="EBEBEB"/>
          <w:bottom w:val="single" w:sz="6" w:space="0" w:color="EBEBEB"/>
        </w:tblBorders>
        <w:tblCellMar>
          <w:left w:w="0" w:type="dxa"/>
          <w:right w:w="0" w:type="dxa"/>
        </w:tblCellMar>
        <w:tblLook w:val="04A0" w:firstRow="1" w:lastRow="0" w:firstColumn="1" w:lastColumn="0" w:noHBand="0" w:noVBand="1"/>
      </w:tblPr>
      <w:tblGrid>
        <w:gridCol w:w="2911"/>
        <w:gridCol w:w="970"/>
        <w:gridCol w:w="970"/>
        <w:gridCol w:w="970"/>
        <w:gridCol w:w="971"/>
        <w:gridCol w:w="971"/>
        <w:gridCol w:w="971"/>
        <w:gridCol w:w="971"/>
      </w:tblGrid>
      <w:tr w:rsidR="0025253C" w:rsidRPr="0043396B" w:rsidTr="0025253C">
        <w:trPr>
          <w:tblHeader/>
        </w:trPr>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País/Año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2009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F036E1" w:rsidP="0025253C">
            <w:pPr>
              <w:spacing w:line="240" w:lineRule="auto"/>
              <w:jc w:val="both"/>
              <w:rPr>
                <w:rFonts w:ascii="Times New Roman" w:hAnsi="Times New Roman" w:cs="Times New Roman"/>
                <w:b/>
                <w:bCs/>
                <w:sz w:val="24"/>
                <w:szCs w:val="24"/>
              </w:rPr>
            </w:pPr>
            <w:r>
              <w:rPr>
                <w:rStyle w:val="small-caps"/>
                <w:rFonts w:ascii="Times New Roman" w:hAnsi="Times New Roman" w:cs="Times New Roman"/>
                <w:b/>
                <w:bCs/>
                <w:smallCaps/>
                <w:sz w:val="24"/>
                <w:szCs w:val="24"/>
              </w:rPr>
              <w:t>UE</w:t>
            </w:r>
            <w:r w:rsidR="0025253C" w:rsidRPr="0043396B">
              <w:rPr>
                <w:rFonts w:ascii="Times New Roman" w:hAnsi="Times New Roman" w:cs="Times New Roman"/>
                <w:b/>
                <w:bCs/>
                <w:sz w:val="24"/>
                <w:szCs w:val="24"/>
              </w:rPr>
              <w:t> (28 países)</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Bélgica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Luxemburgo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Holanda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Alemania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Francia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Italia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Reino Unido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Irlanda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65.5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Dinamarca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Grecia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lastRenderedPageBreak/>
              <w:t>España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Portugal</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Austria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Suecia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Finland</w:t>
            </w:r>
            <w:r w:rsidR="0039280D">
              <w:rPr>
                <w:rFonts w:ascii="Times New Roman" w:hAnsi="Times New Roman" w:cs="Times New Roman"/>
                <w:b/>
                <w:bCs/>
                <w:sz w:val="24"/>
                <w:szCs w:val="24"/>
              </w:rPr>
              <w:t>i</w:t>
            </w:r>
            <w:r w:rsidRPr="0043396B">
              <w:rPr>
                <w:rFonts w:ascii="Times New Roman" w:hAnsi="Times New Roman" w:cs="Times New Roman"/>
                <w:b/>
                <w:bCs/>
                <w:sz w:val="24"/>
                <w:szCs w:val="24"/>
              </w:rPr>
              <w: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58.5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Polonia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República Checa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Hungría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50.0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Eslovenia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59.4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Eslovaquia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40.5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Letonia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36.1</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Lituana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34.4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Malta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Chipre</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42.1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45.8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Bulgaria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Rumania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38.2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41.1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40.1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39.4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35.0</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Croacia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44.0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43.4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48.1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46.1</w:t>
            </w:r>
          </w:p>
        </w:tc>
      </w:tr>
    </w:tbl>
    <w:p w:rsidR="0025253C" w:rsidRPr="0043396B" w:rsidRDefault="0025253C" w:rsidP="0025253C">
      <w:pPr>
        <w:pStyle w:val="NormalWeb"/>
        <w:spacing w:before="0" w:beforeAutospacing="0" w:after="240" w:afterAutospacing="0"/>
        <w:jc w:val="both"/>
      </w:pPr>
      <w:r w:rsidRPr="0043396B">
        <w:t>Fuente: Eurostat.</w:t>
      </w:r>
    </w:p>
    <w:p w:rsidR="0025253C" w:rsidRPr="0043396B" w:rsidRDefault="0025253C" w:rsidP="0025253C">
      <w:pPr>
        <w:pStyle w:val="NormalWeb"/>
        <w:spacing w:before="0" w:beforeAutospacing="0" w:after="240" w:afterAutospacing="0"/>
        <w:jc w:val="both"/>
      </w:pPr>
      <w:r w:rsidRPr="0043396B">
        <w:t xml:space="preserve">Debido al manejo que tienen los gobiernos en las variables fiscales y de gasto público, ante la falta de manejo de la política monetaria, se aplicó una política contra cíclica convencional para ajustar el desequilibrio vía el gasto, en un primer momento, en especial durante 2009 ante la gravedad de la crisis se recurrió al aumento del gasto; en un segundo momento, a partir de 2010 se aplicaron medidas de restricción y reducción de recursos públicos para </w:t>
      </w:r>
      <w:r w:rsidRPr="0043396B">
        <w:lastRenderedPageBreak/>
        <w:t>equilibrar las finanzas públicas en el largo plazo, a costa de afectar a los sectores sociales que se veían beneficiados con el apoyo del sector público. Es por eso, que en los países que requerían recursos para salir de la crisis tenían por obligación que realizar recortes a sus programas particularmente sociales con la finalidad de evitar un mayor endeudamiento y déficit público.</w:t>
      </w:r>
    </w:p>
    <w:p w:rsidR="0025253C" w:rsidRPr="0043396B" w:rsidRDefault="0025253C" w:rsidP="0025253C">
      <w:pPr>
        <w:pStyle w:val="NormalWeb"/>
        <w:spacing w:before="0" w:beforeAutospacing="0" w:after="0" w:afterAutospacing="0"/>
        <w:jc w:val="both"/>
      </w:pPr>
      <w:r w:rsidRPr="0043396B">
        <w:t>En este contexto la llamada Troika (integrada por El Consejo Europeo, Fondo Monetario Internacional (FMI) y el Banco Central Europeo </w:t>
      </w:r>
      <w:r w:rsidR="00C13914">
        <w:t>(</w:t>
      </w:r>
      <w:r w:rsidR="00C13914">
        <w:rPr>
          <w:rStyle w:val="small-caps"/>
          <w:smallCaps/>
        </w:rPr>
        <w:t>BCE</w:t>
      </w:r>
      <w:r w:rsidRPr="0043396B">
        <w:t>) ante la astringencia de liquidez internacional para otorgar créditos condicionaron el acceso a los mismos solo si se cumplían duros programas de ajustes en el gasto público que afectaban al sector social, el caso que más repercusiones internacionales tuvo fue el de Grecia.</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La situación de crisis se expresó en el aumento del desempleo como consecuencia de la caída de la inversión y la falta de liquidez en los mercados internacionales. Países como España</w:t>
      </w:r>
      <w:bookmarkStart w:id="10" w:name="bfn0065"/>
      <w:r w:rsidR="00AE1E48" w:rsidRPr="0043396B">
        <w:fldChar w:fldCharType="begin"/>
      </w:r>
      <w:r w:rsidRPr="0043396B">
        <w:instrText xml:space="preserve"> HYPERLINK "https://www.sciencedirect.com/science/article/pii/S0185084917300117" \l "fn0065" </w:instrText>
      </w:r>
      <w:r w:rsidR="00AE1E48" w:rsidRPr="0043396B">
        <w:fldChar w:fldCharType="separate"/>
      </w:r>
      <w:r w:rsidRPr="0043396B">
        <w:rPr>
          <w:rStyle w:val="Hipervnculo"/>
          <w:color w:val="auto"/>
          <w:vertAlign w:val="superscript"/>
        </w:rPr>
        <w:t>13</w:t>
      </w:r>
      <w:r w:rsidR="00AE1E48" w:rsidRPr="0043396B">
        <w:fldChar w:fldCharType="end"/>
      </w:r>
      <w:bookmarkEnd w:id="10"/>
      <w:r w:rsidRPr="0043396B">
        <w:t> resintieron los problemas del creciente desempleo, situación que hoy día sigue sin resolverse en dicho país.</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jc w:val="both"/>
      </w:pPr>
      <w:r w:rsidRPr="0043396B">
        <w:t>Los efectos recesivos de las economías de la Unión Europea se manifestaron de diferentes maneras, pero quienes más lo resintieron, fueron los países con altos niveles de endeudamiento y frágil integración a la Unión, así las tasas de desempleo más altas en los últimos años las registraron en países como Grecia y España con un 27 y 25 por ciento respectivamente para 2013. (</w:t>
      </w:r>
      <w:bookmarkStart w:id="11" w:name="btbl0025"/>
      <w:r w:rsidR="00AE1E48" w:rsidRPr="0043396B">
        <w:fldChar w:fldCharType="begin"/>
      </w:r>
      <w:r w:rsidRPr="0043396B">
        <w:instrText xml:space="preserve"> HYPERLINK "https://www.sciencedirect.com/science/article/pii/S0185084917300117" \l "tbl0025" </w:instrText>
      </w:r>
      <w:r w:rsidR="00AE1E48" w:rsidRPr="0043396B">
        <w:fldChar w:fldCharType="separate"/>
      </w:r>
      <w:r w:rsidRPr="0043396B">
        <w:rPr>
          <w:rStyle w:val="Hipervnculo"/>
          <w:color w:val="auto"/>
        </w:rPr>
        <w:t>Cuadro 5</w:t>
      </w:r>
      <w:r w:rsidR="00AE1E48" w:rsidRPr="0043396B">
        <w:fldChar w:fldCharType="end"/>
      </w:r>
      <w:bookmarkEnd w:id="11"/>
      <w:r w:rsidRPr="0043396B">
        <w:t>). Y los países con mayor fortaleza económica tuvieron menores tasas de desempleo como fueron Alemania y Austria con tasas similares de 5.2 (5.1) y 4.9 para los años de 2013 y 2014.</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0" w:afterAutospacing="0"/>
        <w:ind w:left="360" w:right="360"/>
        <w:jc w:val="both"/>
      </w:pPr>
      <w:r w:rsidRPr="0043396B">
        <w:rPr>
          <w:rStyle w:val="label"/>
          <w:rFonts w:eastAsiaTheme="majorEastAsia"/>
        </w:rPr>
        <w:t>Cuadro 5</w:t>
      </w:r>
      <w:r w:rsidRPr="0043396B">
        <w:t>. Tasa de desempleo</w:t>
      </w:r>
    </w:p>
    <w:tbl>
      <w:tblPr>
        <w:tblW w:w="9705" w:type="dxa"/>
        <w:tblBorders>
          <w:top w:val="single" w:sz="6" w:space="0" w:color="EBEBEB"/>
          <w:bottom w:val="single" w:sz="6" w:space="0" w:color="EBEBEB"/>
        </w:tblBorders>
        <w:tblCellMar>
          <w:left w:w="0" w:type="dxa"/>
          <w:right w:w="0" w:type="dxa"/>
        </w:tblCellMar>
        <w:tblLook w:val="04A0" w:firstRow="1" w:lastRow="0" w:firstColumn="1" w:lastColumn="0" w:noHBand="0" w:noVBand="1"/>
      </w:tblPr>
      <w:tblGrid>
        <w:gridCol w:w="5014"/>
        <w:gridCol w:w="2327"/>
        <w:gridCol w:w="2364"/>
      </w:tblGrid>
      <w:tr w:rsidR="0025253C" w:rsidRPr="0043396B" w:rsidTr="0025253C">
        <w:trPr>
          <w:tblHeader/>
        </w:trPr>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País/año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2013 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2014 b/</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EU (28 países)</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10.2</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Bélgica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Luxemburgo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Holanda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Alemania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Francia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10.3</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Italia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Reino Unido</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Irlanda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lastRenderedPageBreak/>
              <w:t>Dinamarca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Grecia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27.4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España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25.6</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24.5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Portugal</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15.2</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Austria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4.9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Suecia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Finlandia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Polonia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10</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República Checa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Hungría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8.7</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Eslovenia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9.9</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9.8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Eslovaquia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13.8</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Estonia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8.3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Letonia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nd</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Lituania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Malta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6.4</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5.7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Chipre</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16.5</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14.9</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Bulgaria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12.8</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11.5</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Rumania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7.3</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7</w:t>
            </w:r>
          </w:p>
        </w:tc>
      </w:tr>
      <w:tr w:rsidR="0025253C" w:rsidRPr="0043396B" w:rsidTr="0025253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b/>
                <w:bCs/>
                <w:sz w:val="24"/>
                <w:szCs w:val="24"/>
              </w:rPr>
            </w:pPr>
            <w:r w:rsidRPr="0043396B">
              <w:rPr>
                <w:rFonts w:ascii="Times New Roman" w:hAnsi="Times New Roman" w:cs="Times New Roman"/>
                <w:b/>
                <w:bCs/>
                <w:sz w:val="24"/>
                <w:szCs w:val="24"/>
              </w:rPr>
              <w:t>Croacia</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17.1</w:t>
            </w:r>
          </w:p>
        </w:tc>
        <w:tc>
          <w:tcPr>
            <w:tcW w:w="0" w:type="auto"/>
            <w:tcBorders>
              <w:bottom w:val="nil"/>
              <w:right w:val="nil"/>
            </w:tcBorders>
            <w:tcMar>
              <w:top w:w="75" w:type="dxa"/>
              <w:left w:w="75" w:type="dxa"/>
              <w:bottom w:w="75" w:type="dxa"/>
              <w:right w:w="75" w:type="dxa"/>
            </w:tcMar>
            <w:vAlign w:val="center"/>
            <w:hideMark/>
          </w:tcPr>
          <w:p w:rsidR="0025253C" w:rsidRPr="0043396B" w:rsidRDefault="0025253C" w:rsidP="0025253C">
            <w:pPr>
              <w:spacing w:line="240" w:lineRule="auto"/>
              <w:jc w:val="both"/>
              <w:rPr>
                <w:rFonts w:ascii="Times New Roman" w:hAnsi="Times New Roman" w:cs="Times New Roman"/>
                <w:sz w:val="24"/>
                <w:szCs w:val="24"/>
              </w:rPr>
            </w:pPr>
            <w:r w:rsidRPr="0043396B">
              <w:rPr>
                <w:rFonts w:ascii="Times New Roman" w:hAnsi="Times New Roman" w:cs="Times New Roman"/>
                <w:sz w:val="24"/>
                <w:szCs w:val="24"/>
              </w:rPr>
              <w:t>16.2</w:t>
            </w:r>
          </w:p>
        </w:tc>
      </w:tr>
    </w:tbl>
    <w:p w:rsidR="0025253C" w:rsidRPr="0043396B" w:rsidRDefault="0025253C" w:rsidP="0025253C">
      <w:pPr>
        <w:pStyle w:val="NormalWeb"/>
        <w:spacing w:before="0" w:beforeAutospacing="0" w:after="240" w:afterAutospacing="0"/>
        <w:jc w:val="both"/>
      </w:pPr>
      <w:r w:rsidRPr="0043396B">
        <w:t>Fuente: Eurostat.</w:t>
      </w:r>
    </w:p>
    <w:p w:rsidR="0025253C" w:rsidRPr="0043396B" w:rsidRDefault="0025253C" w:rsidP="0025253C">
      <w:pPr>
        <w:pStyle w:val="NormalWeb"/>
        <w:spacing w:before="0" w:beforeAutospacing="0" w:after="240" w:afterAutospacing="0"/>
        <w:jc w:val="both"/>
      </w:pPr>
      <w:r w:rsidRPr="0043396B">
        <w:t>a/ mes de diciembre; b/mes de julio; nd=no disponible.</w:t>
      </w:r>
    </w:p>
    <w:p w:rsidR="0025253C" w:rsidRPr="0043396B" w:rsidRDefault="0025253C" w:rsidP="0025253C">
      <w:pPr>
        <w:pStyle w:val="Ttulo2"/>
        <w:jc w:val="both"/>
        <w:rPr>
          <w:sz w:val="24"/>
          <w:szCs w:val="24"/>
        </w:rPr>
      </w:pPr>
      <w:r w:rsidRPr="0043396B">
        <w:rPr>
          <w:sz w:val="24"/>
          <w:szCs w:val="24"/>
        </w:rPr>
        <w:lastRenderedPageBreak/>
        <w:t>Conclusión</w:t>
      </w:r>
    </w:p>
    <w:p w:rsidR="0025253C" w:rsidRPr="0043396B" w:rsidRDefault="0025253C" w:rsidP="0025253C">
      <w:pPr>
        <w:pStyle w:val="NormalWeb"/>
        <w:spacing w:before="0" w:beforeAutospacing="0" w:after="240" w:afterAutospacing="0"/>
        <w:jc w:val="both"/>
      </w:pPr>
      <w:r w:rsidRPr="0043396B">
        <w:t>En conjunto se observa que hoy más que nunca los países integrantes de la Unión Europea son más vulnerables y frágiles frente a choques externos de los mercados financieros internacionales. En ese sentido, el proceso de integración económica de la Unión Europea no se ha traducido en una fortaleza que resista los movimientos especulativos y cíclicos de los mercados financieros, como era el objetivo original.</w:t>
      </w:r>
    </w:p>
    <w:p w:rsidR="0025253C" w:rsidRPr="0043396B" w:rsidRDefault="0025253C" w:rsidP="0025253C">
      <w:pPr>
        <w:pStyle w:val="NormalWeb"/>
        <w:spacing w:before="0" w:beforeAutospacing="0" w:after="0" w:afterAutospacing="0"/>
        <w:jc w:val="both"/>
      </w:pPr>
      <w:r w:rsidRPr="0043396B">
        <w:t>En este contexto, el país que está asumiendo el liderazgo de la Unión, Alemania por ser económicamente más importante de la Unión en términos de su aportación al </w:t>
      </w:r>
      <w:r w:rsidR="00D24641" w:rsidRPr="0043396B">
        <w:rPr>
          <w:rStyle w:val="small-caps"/>
          <w:smallCaps/>
        </w:rPr>
        <w:t>PIB</w:t>
      </w:r>
      <w:r w:rsidRPr="0043396B">
        <w:t> de la región, ha establecido medidas que buscan preservar el proceso de integración económica, incluso promoviendo medidas de política fiscal anticiclíca con fuerte incremento del gasto público en clara violación a el Tratado de Maastricht, sin embargo a pesar de ser el país que asume el costo de los apoyos al resto de los integrantes de la Unión, enfrenta serios problemas de endeudamiento, déficit público y creciente desempleo; aunque no a niveles de Grecia, España, Portugal e Italia.</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La crisis de la deuda soberana ha llevado a poner en cuestión el proceso de integración plena de la Unión, llegándose a mencionar la posible salida de Grecia de la Zona Euro, situación que pondría en entredicho la viabilidad de la propia integración económica de la región.</w:t>
      </w:r>
    </w:p>
    <w:p w:rsidR="0025253C" w:rsidRPr="0043396B" w:rsidRDefault="0025253C" w:rsidP="0025253C">
      <w:pPr>
        <w:pStyle w:val="NormalWeb"/>
        <w:spacing w:before="0" w:beforeAutospacing="0" w:after="240" w:afterAutospacing="0"/>
        <w:jc w:val="both"/>
      </w:pPr>
      <w:r w:rsidRPr="0043396B">
        <w:t>La crisis de la deuda soberana ha llevado a poner en cuestión el proceso de integración plena de la Unión, llegándose a mencionar la posible salida de Grecia de la Zona Euro</w:t>
      </w:r>
    </w:p>
    <w:p w:rsidR="0025253C" w:rsidRPr="0043396B" w:rsidRDefault="0025253C" w:rsidP="0025253C">
      <w:pPr>
        <w:pStyle w:val="NormalWeb"/>
        <w:spacing w:before="0" w:beforeAutospacing="0" w:after="240" w:afterAutospacing="0"/>
        <w:jc w:val="both"/>
      </w:pPr>
      <w:r w:rsidRPr="0043396B">
        <w:t>La salida de Grecia implicaría, en términos de los procesos de integración europea, un retroceso de consecuencias no solo económicas sino de carácter social y político, tales como: la pérdida de confianza en la unidad europea, presiones sobre el tipo de cambio y la viabilidad del euro, acentuando la restricción de la liquidez internacional y afectando el comercio en la zona euro y en el mundo. Y aunque el presente trabajo no aborda específicamente la situación de inestabilidad de la integración económica de la zona a raíz del llamado crisis del Brexit, por la no continuación de Inglaterra en el proceso de integración, se reconoce que la Unión Europea enfrenta el reto de continuar o fragmentarse.</w:t>
      </w:r>
    </w:p>
    <w:p w:rsidR="0025253C" w:rsidRPr="0043396B" w:rsidRDefault="0025253C" w:rsidP="0025253C">
      <w:pPr>
        <w:pStyle w:val="NormalWeb"/>
        <w:spacing w:before="0" w:beforeAutospacing="0" w:after="0" w:afterAutospacing="0"/>
        <w:jc w:val="both"/>
      </w:pPr>
      <w:r w:rsidRPr="0043396B">
        <w:t>El proceso de integración de la </w:t>
      </w:r>
      <w:r w:rsidR="00D24641" w:rsidRPr="0043396B">
        <w:rPr>
          <w:rStyle w:val="small-caps"/>
          <w:smallCaps/>
        </w:rPr>
        <w:t>UE</w:t>
      </w:r>
      <w:r w:rsidRPr="0043396B">
        <w:t> se ve enfrentado a problemáticas que como identificamos se encuentran en las reacciones de política anticiclícas, que implementaron los países de la Unión, para aminorar los impactos devastadores de la crisis financiera global, aunado a esto la problemática se agudiza con los conflictos en Ucrania-Crimea-Rusia y la migración masiva de los refugiados sirios, ambos fenómenos de reciente arribo.</w:t>
      </w:r>
    </w:p>
    <w:p w:rsidR="0025253C" w:rsidRPr="0043396B" w:rsidRDefault="0025253C"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La situación del proceso de integración económico europeo está supeditado a la buena marcha de la actividad económica y del impulso a los agregados macroeconómicos fundamentales que permitan el crecimiento económico de la región, pero si siguen enfrentando fluctuaciones en su actividad económica que no logran contrarrestar con su proceso de integración los resultados serán un incremento de países con fuertes problemas económicos, como ya se destacó en el trabajo, a raíz de la crisis global de 2009.</w:t>
      </w:r>
    </w:p>
    <w:p w:rsidR="0025253C" w:rsidRPr="0043396B" w:rsidRDefault="0025253C" w:rsidP="0025253C">
      <w:pPr>
        <w:pStyle w:val="NormalWeb"/>
        <w:spacing w:before="0" w:beforeAutospacing="0" w:after="240" w:afterAutospacing="0"/>
        <w:jc w:val="both"/>
      </w:pPr>
      <w:r w:rsidRPr="0043396B">
        <w:t>Los países integrantes de la Unión en su conjunto, ante la severa caída de sus niveles de crecimiento, se han visto obligados a responder con políticas expansivas en la demanda agregada (vía aumento del déficit público y de los niveles de endeudamiento), en consecuencia, prácticamente la totalidad de los países de la zona euro no han cumplido, como lo señalamos, con lo establecido en Maastricht durante el periodo 2007-2014.</w:t>
      </w:r>
    </w:p>
    <w:p w:rsidR="0025253C" w:rsidRPr="0043396B" w:rsidRDefault="0025253C" w:rsidP="0025253C">
      <w:pPr>
        <w:pStyle w:val="NormalWeb"/>
        <w:spacing w:before="0" w:beforeAutospacing="0" w:after="0" w:afterAutospacing="0"/>
        <w:jc w:val="both"/>
      </w:pPr>
      <w:r w:rsidRPr="0043396B">
        <w:lastRenderedPageBreak/>
        <w:t>Ha sido el desempleo la expresión más dura y difícil de la situación crítica que le ha tocado vivir a la </w:t>
      </w:r>
      <w:r w:rsidR="00C13914">
        <w:rPr>
          <w:rStyle w:val="small-caps"/>
          <w:smallCaps/>
        </w:rPr>
        <w:t>UE</w:t>
      </w:r>
      <w:r w:rsidRPr="0043396B">
        <w:t>, amenazando incluso su propia existencia; sin embargo, los países de la zona siguen permaneciendo en ella a pesar de la crisis que han padecido, aun considerando lo acontecido con el Brexit, la mayoría de los países y de sus poblaciones siguen considerando continuar con el proceso de integración y verían más grave salir de la Unión que permanecer en la misma.</w:t>
      </w:r>
    </w:p>
    <w:p w:rsidR="00C3191A" w:rsidRPr="0043396B" w:rsidRDefault="00C3191A" w:rsidP="0025253C">
      <w:pPr>
        <w:pStyle w:val="NormalWeb"/>
        <w:spacing w:before="0" w:beforeAutospacing="0" w:after="0" w:afterAutospacing="0"/>
        <w:jc w:val="both"/>
      </w:pPr>
    </w:p>
    <w:p w:rsidR="0025253C" w:rsidRPr="0043396B" w:rsidRDefault="0025253C" w:rsidP="0025253C">
      <w:pPr>
        <w:pStyle w:val="NormalWeb"/>
        <w:spacing w:before="0" w:beforeAutospacing="0" w:after="240" w:afterAutospacing="0"/>
        <w:jc w:val="both"/>
      </w:pPr>
      <w:r w:rsidRPr="0043396B">
        <w:t>La situación en la que ha entrado la Unión Europea la hacen un protagonista fundamental y que no debe de concentrarse únicamente en sus procesos internos, sino que su peso específico adquirido en el ámbito económico y político internacional, la obligan a actuar de manera más abierta y responsable en el ámbito global. Europa se encuentra bajo nuevas circunstancias, el reto inmediato que tiene es resolver sus problemas internos, para posteriormente actuar como un verdadero bloque frente a problemas ajenos a sus países miembros.</w:t>
      </w:r>
    </w:p>
    <w:p w:rsidR="0025253C" w:rsidRPr="0043396B" w:rsidRDefault="0025253C" w:rsidP="0025253C">
      <w:pPr>
        <w:pStyle w:val="NormalWeb"/>
        <w:spacing w:before="0" w:beforeAutospacing="0" w:after="240" w:afterAutospacing="0"/>
        <w:jc w:val="both"/>
      </w:pPr>
      <w:r w:rsidRPr="0043396B">
        <w:t>Si se sigue dificultando la resolución de sus problemas inmediatos, veremos acrecentarse los conflictos, mismos que como se vio recientemente con el Brexit, complican el escenario actual de integración económica y retardan, sino es que cuestionan todo el proceso mismo de integración europea.</w:t>
      </w:r>
    </w:p>
    <w:p w:rsidR="00B54FCF" w:rsidRDefault="00B54FCF" w:rsidP="00B54FCF">
      <w:pPr>
        <w:pStyle w:val="Ttulo1"/>
        <w:spacing w:before="0"/>
        <w:textAlignment w:val="baseline"/>
        <w:rPr>
          <w:rFonts w:ascii="Times New Roman" w:hAnsi="Times New Roman" w:cs="Times New Roman"/>
          <w:b w:val="0"/>
          <w:color w:val="auto"/>
          <w:sz w:val="24"/>
          <w:szCs w:val="24"/>
        </w:rPr>
      </w:pPr>
      <w:r w:rsidRPr="0043396B">
        <w:rPr>
          <w:rFonts w:ascii="Times New Roman" w:hAnsi="Times New Roman" w:cs="Times New Roman"/>
          <w:b w:val="0"/>
          <w:color w:val="auto"/>
          <w:sz w:val="24"/>
          <w:szCs w:val="24"/>
        </w:rPr>
        <w:t xml:space="preserve">- </w:t>
      </w:r>
      <w:r w:rsidRPr="0043396B">
        <w:rPr>
          <w:rFonts w:ascii="Times New Roman" w:hAnsi="Times New Roman" w:cs="Times New Roman"/>
          <w:b w:val="0"/>
          <w:color w:val="auto"/>
          <w:sz w:val="24"/>
          <w:szCs w:val="24"/>
          <w:u w:val="single"/>
        </w:rPr>
        <w:t>D</w:t>
      </w:r>
      <w:hyperlink r:id="rId152" w:history="1">
        <w:r w:rsidRPr="0043396B">
          <w:rPr>
            <w:rStyle w:val="Hipervnculo"/>
            <w:rFonts w:ascii="Times New Roman" w:hAnsi="Times New Roman" w:cs="Times New Roman"/>
            <w:b w:val="0"/>
            <w:color w:val="auto"/>
            <w:sz w:val="24"/>
            <w:szCs w:val="24"/>
            <w:bdr w:val="none" w:sz="0" w:space="0" w:color="auto" w:frame="1"/>
          </w:rPr>
          <w:t>esigualdad económica regional en Europa: ¿de dónde venimos, a dónde vamos? (I)</w:t>
        </w:r>
      </w:hyperlink>
      <w:r w:rsidRPr="0043396B">
        <w:rPr>
          <w:rFonts w:ascii="Times New Roman" w:hAnsi="Times New Roman" w:cs="Times New Roman"/>
          <w:b w:val="0"/>
          <w:color w:val="auto"/>
          <w:sz w:val="24"/>
          <w:szCs w:val="24"/>
        </w:rPr>
        <w:t xml:space="preserve"> (Fedea - </w:t>
      </w:r>
      <w:r w:rsidRPr="0043396B">
        <w:rPr>
          <w:rFonts w:ascii="Times New Roman" w:hAnsi="Times New Roman" w:cs="Times New Roman"/>
          <w:color w:val="auto"/>
          <w:sz w:val="24"/>
          <w:szCs w:val="24"/>
        </w:rPr>
        <w:t>17/1/18</w:t>
      </w:r>
      <w:r w:rsidRPr="0043396B">
        <w:rPr>
          <w:rFonts w:ascii="Times New Roman" w:hAnsi="Times New Roman" w:cs="Times New Roman"/>
          <w:b w:val="0"/>
          <w:color w:val="auto"/>
          <w:sz w:val="24"/>
          <w:szCs w:val="24"/>
        </w:rPr>
        <w:t>)</w:t>
      </w:r>
    </w:p>
    <w:p w:rsidR="007215A0" w:rsidRDefault="007215A0" w:rsidP="00B140B8">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B54FCF" w:rsidRPr="0043396B" w:rsidRDefault="00B140B8" w:rsidP="00B140B8">
      <w:pPr>
        <w:pStyle w:val="NormalWeb"/>
        <w:shd w:val="clear" w:color="auto" w:fill="FFFFFF"/>
        <w:spacing w:before="0" w:beforeAutospacing="0" w:after="0" w:afterAutospacing="0"/>
        <w:jc w:val="both"/>
        <w:textAlignment w:val="baseline"/>
      </w:pPr>
      <w:r w:rsidRPr="0043396B">
        <w:t>(</w:t>
      </w:r>
      <w:hyperlink r:id="rId153" w:history="1">
        <w:r w:rsidR="00B54FCF" w:rsidRPr="0043396B">
          <w:rPr>
            <w:rStyle w:val="Hipervnculo"/>
            <w:color w:val="auto"/>
            <w:u w:val="none"/>
            <w:bdr w:val="none" w:sz="0" w:space="0" w:color="auto" w:frame="1"/>
          </w:rPr>
          <w:t>Alfonso Díez-Minguela</w:t>
        </w:r>
      </w:hyperlink>
      <w:r w:rsidR="00B54FCF" w:rsidRPr="0043396B">
        <w:t>, </w:t>
      </w:r>
      <w:hyperlink r:id="rId154" w:history="1">
        <w:r w:rsidR="00B54FCF" w:rsidRPr="0043396B">
          <w:rPr>
            <w:rStyle w:val="Hipervnculo"/>
            <w:color w:val="auto"/>
            <w:u w:val="none"/>
            <w:bdr w:val="none" w:sz="0" w:space="0" w:color="auto" w:frame="1"/>
          </w:rPr>
          <w:t>Rafael González-Val</w:t>
        </w:r>
      </w:hyperlink>
      <w:r w:rsidR="00B54FCF" w:rsidRPr="0043396B">
        <w:t>, </w:t>
      </w:r>
      <w:hyperlink r:id="rId155" w:history="1">
        <w:r w:rsidR="00B54FCF" w:rsidRPr="0043396B">
          <w:rPr>
            <w:rStyle w:val="Hipervnculo"/>
            <w:color w:val="auto"/>
            <w:u w:val="none"/>
            <w:bdr w:val="none" w:sz="0" w:space="0" w:color="auto" w:frame="1"/>
          </w:rPr>
          <w:t>Julio Martínez-Galarraga</w:t>
        </w:r>
      </w:hyperlink>
      <w:r w:rsidR="00B54FCF" w:rsidRPr="0043396B">
        <w:t>, </w:t>
      </w:r>
      <w:hyperlink r:id="rId156" w:history="1">
        <w:r w:rsidRPr="0043396B">
          <w:rPr>
            <w:rStyle w:val="Hipervnculo"/>
            <w:color w:val="auto"/>
            <w:u w:val="none"/>
            <w:bdr w:val="none" w:sz="0" w:space="0" w:color="auto" w:frame="1"/>
          </w:rPr>
          <w:t xml:space="preserve">Teresa Sanchis- </w:t>
        </w:r>
        <w:r w:rsidR="00B54FCF" w:rsidRPr="0043396B">
          <w:rPr>
            <w:rStyle w:val="Hipervnculo"/>
            <w:color w:val="auto"/>
            <w:u w:val="none"/>
            <w:bdr w:val="none" w:sz="0" w:space="0" w:color="auto" w:frame="1"/>
          </w:rPr>
          <w:t>Llopis</w:t>
        </w:r>
      </w:hyperlink>
      <w:r w:rsidR="00B54FCF" w:rsidRPr="0043396B">
        <w:t> y </w:t>
      </w:r>
      <w:hyperlink r:id="rId157" w:history="1">
        <w:r w:rsidR="00B54FCF" w:rsidRPr="0043396B">
          <w:rPr>
            <w:rStyle w:val="Hipervnculo"/>
            <w:color w:val="auto"/>
            <w:u w:val="none"/>
            <w:bdr w:val="none" w:sz="0" w:space="0" w:color="auto" w:frame="1"/>
          </w:rPr>
          <w:t>Daniel A. Tirado</w:t>
        </w:r>
      </w:hyperlink>
      <w:r w:rsidR="00B54FCF" w:rsidRPr="0043396B">
        <w:t>)</w:t>
      </w:r>
    </w:p>
    <w:p w:rsidR="00B54FCF" w:rsidRPr="0043396B" w:rsidRDefault="00B54FCF" w:rsidP="00B140B8">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La desigualdad territorial ha centrado la atención de académicos, políticos y también organismos internacionales durante los últimos años. La razón no es otra que el importante avance de la desigualdad económica territorial derivado de las exitosas experiencias de crecimiento de países emergentes como China o India (</w:t>
      </w:r>
      <w:hyperlink r:id="rId158"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w:t>
      </w:r>
      <w:hyperlink r:id="rId159"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No obstante, la preocupación por las desigualdades territoriales también está presente en las economías desarrolladas. Tanto es así que la Unión Europea tiene previsto dedicar 352 billones de euros a las llamadas políticas de cohesión en el periodo 2014-2020, suma que representa prácticamente un tercio de su presupuesto total. En particular, 182 billones de euros se dirigirán hacia aquellas regiones con niveles de renta per cápita que se sitúan por debajo del 75% de la media de la UE.</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El tema no es menor, como tampoco lo es la realidad económica (¿y política?) que pretende ser atendida. Así, los Anuarios Regionales de Eurostat (</w:t>
      </w:r>
      <w:hyperlink r:id="rId160" w:history="1">
        <w:r w:rsidRPr="0043396B">
          <w:rPr>
            <w:rStyle w:val="Hipervnculo"/>
            <w:rFonts w:ascii="inherit" w:hAnsi="inherit"/>
            <w:color w:val="auto"/>
            <w:sz w:val="23"/>
            <w:szCs w:val="23"/>
            <w:bdr w:val="none" w:sz="0" w:space="0" w:color="auto" w:frame="1"/>
          </w:rPr>
          <w:t>ERY</w:t>
        </w:r>
      </w:hyperlink>
      <w:r w:rsidRPr="0043396B">
        <w:rPr>
          <w:rFonts w:ascii="inherit" w:hAnsi="inherit"/>
          <w:sz w:val="23"/>
          <w:szCs w:val="23"/>
        </w:rPr>
        <w:t>) advierten de la gravedad del problema e identifican tres características de la desigualdad territorial europea que merecen ser destacadas. La primera es que la desigualdad económica territorial es muy elevada. La región (NUTS2) más rica de la UE (Inner London West) multiplica por un factor superior a 5 (5,8 en 2015) la media de PIB per cápita de la UE-28. En el extremo opuesto, las regiones más pobres registran unos niveles de PIB per cápita muy por debajo de la mitad de la media UE (Severozapaden, Bulgaria, 29 sobre EU28=100). Y no son casos aislados, 78 de las 276 regiones NUTS2 que componen la UE-28 tienen un PIB per cápita por debajo del 75% de la media, 4 de ellas españolas. Otras 45, por el contrario, superan esta media en más de un 25% y, lamentablemente, ninguna de ellas es española.</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 xml:space="preserve">En segundo lugar, según la agencia estadística europea, la geografía de la desigualdad muestra un marcado patrón centro-periferia. Así, el ERY de 2017 señala que gran parte de las regiones ricas de Europa se sitúan en un eje que arranca en el Norte de Italia y recorre Austria y Alemania antes de dividirse en dos ramales de prosperidad, uno que transita el Benelux en dirección al Sur de </w:t>
      </w:r>
      <w:r w:rsidRPr="0043396B">
        <w:rPr>
          <w:rFonts w:ascii="inherit" w:hAnsi="inherit"/>
          <w:sz w:val="23"/>
          <w:szCs w:val="23"/>
        </w:rPr>
        <w:lastRenderedPageBreak/>
        <w:t>Inglaterra y otro que se dirige hacia los países nórdicos. El eje pobre nace en las repúblicas bálticas, recorre el Este de Europa en dirección Sur y alcanza Grecia, el Sur de Italia y la parte más meridional de la Península Ibérica. Finalmente, los citados informes también destacan el creciente protagonismo del “efecto capitalidad”. Las regiones NUTS2 donde se encuentran las capitales tienden a registrar los mayores niveles de PIB per cápita de sus respectivos estados y, en ocasiones, son como islas de prosperidad rodeadas de territorios relativamente pobres. Uno de los exponentes más claros de este efecto es París, y su región, la </w:t>
      </w:r>
      <w:r w:rsidRPr="0043396B">
        <w:rPr>
          <w:rStyle w:val="nfasis"/>
          <w:rFonts w:ascii="inherit" w:hAnsi="inherit"/>
          <w:sz w:val="23"/>
          <w:szCs w:val="23"/>
          <w:bdr w:val="none" w:sz="0" w:space="0" w:color="auto" w:frame="1"/>
        </w:rPr>
        <w:t>Île de France</w:t>
      </w:r>
      <w:r w:rsidRPr="0043396B">
        <w:rPr>
          <w:rFonts w:ascii="inherit" w:hAnsi="inherit"/>
          <w:sz w:val="23"/>
          <w:szCs w:val="23"/>
        </w:rPr>
        <w:t>.</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Nada de esto es nuevo, pues gran parte de las diferencias regionales en renta por habitante observadas hoy tienden a hundir sus raíces en el pasado. Ya en los trabajos pioneros de </w:t>
      </w:r>
      <w:hyperlink r:id="rId161" w:history="1">
        <w:r w:rsidRPr="0043396B">
          <w:rPr>
            <w:rStyle w:val="Hipervnculo"/>
            <w:rFonts w:ascii="inherit" w:hAnsi="inherit"/>
            <w:color w:val="auto"/>
            <w:sz w:val="23"/>
            <w:szCs w:val="23"/>
            <w:bdr w:val="none" w:sz="0" w:space="0" w:color="auto" w:frame="1"/>
          </w:rPr>
          <w:t>Sidney Pollard</w:t>
        </w:r>
      </w:hyperlink>
      <w:r w:rsidRPr="0043396B">
        <w:rPr>
          <w:rFonts w:ascii="inherit" w:hAnsi="inherit"/>
          <w:sz w:val="23"/>
          <w:szCs w:val="23"/>
        </w:rPr>
        <w:t>, se sostenía la hipótesis de que el arranque de la industrialización tuvo un marcado carácter regional que agudizó la</w:t>
      </w:r>
      <w:r w:rsidR="00B140B8" w:rsidRPr="0043396B">
        <w:rPr>
          <w:rFonts w:ascii="inherit" w:hAnsi="inherit"/>
          <w:sz w:val="23"/>
          <w:szCs w:val="23"/>
        </w:rPr>
        <w:t>s</w:t>
      </w:r>
      <w:r w:rsidRPr="0043396B">
        <w:rPr>
          <w:rFonts w:ascii="inherit" w:hAnsi="inherit"/>
          <w:sz w:val="23"/>
          <w:szCs w:val="23"/>
        </w:rPr>
        <w:t xml:space="preserve"> disparidades territoriales en la distribución de la renta. No obstante, hasta hace una década, la evidencia empírica disponible al respecto era más bien escasa y poco concluyente debido, sobre todo, a las dificultades para reconstruir series históricas de PIBs regionales.</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La recopilación, por parte de diversos autores, de este tipo de series nos ha permitido explorar en un trabajo reciente (</w:t>
      </w:r>
      <w:hyperlink r:id="rId162"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el patrón histórico de la desigualdad territorial en los cuatro países que configuran en Sudoeste de la UE-28 (Francia, Italia, España y Portugal). Nuestra principal aportación frente a la mayor parte de los trabajos publicados hasta ahora (</w:t>
      </w:r>
      <w:hyperlink r:id="rId163"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w:t>
      </w:r>
      <w:hyperlink r:id="rId164"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o </w:t>
      </w:r>
      <w:hyperlink r:id="rId165"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xml:space="preserve">), es que el lapso temporal analizado no se limita a los últimos 25 </w:t>
      </w:r>
      <w:r w:rsidR="00C13914" w:rsidRPr="0043396B">
        <w:rPr>
          <w:rFonts w:ascii="inherit" w:hAnsi="inherit"/>
          <w:sz w:val="23"/>
          <w:szCs w:val="23"/>
        </w:rPr>
        <w:t>o</w:t>
      </w:r>
      <w:r w:rsidRPr="0043396B">
        <w:rPr>
          <w:rFonts w:ascii="inherit" w:hAnsi="inherit"/>
          <w:sz w:val="23"/>
          <w:szCs w:val="23"/>
        </w:rPr>
        <w:t xml:space="preserve"> 50 años, sino que abarca la totalidad de la experiencia histórica de crecimiento desde mediados del siglo XIX, en plena difusión de los procesos de industrialización, hasta hoy (1860-2010). De este análisis, y en relación a las características de la desigualdad regional hoy, se desprenden tres ideas importantes. La primera, a la que dedicaremos esta primera entrada, se centra en la trayectoria en forma de U-invertida (o de N) descrita por la desigualdad territorial en el largo plazo. Las otras dos, que se abordarán en una segunda entrada mañana, tienen que ver con la geografía de la desigualdad y con el impulso que está cobrando a raíz del renovado dinamismo económico de las capitales de algunos estados.</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5A38F3" w:rsidP="00B54FCF">
      <w:pPr>
        <w:pStyle w:val="NormalWeb"/>
        <w:shd w:val="clear" w:color="auto" w:fill="FFFFFF"/>
        <w:spacing w:before="0" w:beforeAutospacing="0" w:after="0" w:afterAutospacing="0"/>
        <w:jc w:val="both"/>
        <w:textAlignment w:val="baseline"/>
        <w:rPr>
          <w:rFonts w:ascii="inherit" w:hAnsi="inherit"/>
          <w:sz w:val="23"/>
          <w:szCs w:val="23"/>
        </w:rPr>
      </w:pPr>
      <w:hyperlink r:id="rId166" w:history="1">
        <w:r w:rsidR="00B54FCF" w:rsidRPr="0043396B">
          <w:rPr>
            <w:rStyle w:val="Hipervnculo"/>
            <w:rFonts w:ascii="inherit" w:hAnsi="inherit"/>
            <w:color w:val="auto"/>
            <w:sz w:val="23"/>
            <w:szCs w:val="23"/>
            <w:bdr w:val="none" w:sz="0" w:space="0" w:color="auto" w:frame="1"/>
          </w:rPr>
          <w:t>Jeffrey Williamson</w:t>
        </w:r>
      </w:hyperlink>
      <w:r w:rsidR="00B54FCF" w:rsidRPr="0043396B">
        <w:rPr>
          <w:rFonts w:ascii="inherit" w:hAnsi="inherit"/>
          <w:sz w:val="23"/>
          <w:szCs w:val="23"/>
        </w:rPr>
        <w:t> (</w:t>
      </w:r>
      <w:hyperlink r:id="rId167" w:history="1">
        <w:r w:rsidR="00B54FCF" w:rsidRPr="0043396B">
          <w:rPr>
            <w:rStyle w:val="Hipervnculo"/>
            <w:rFonts w:ascii="inherit" w:hAnsi="inherit"/>
            <w:color w:val="auto"/>
            <w:sz w:val="23"/>
            <w:szCs w:val="23"/>
            <w:bdr w:val="none" w:sz="0" w:space="0" w:color="auto" w:frame="1"/>
          </w:rPr>
          <w:t>aquí</w:t>
        </w:r>
      </w:hyperlink>
      <w:r w:rsidR="00B54FCF" w:rsidRPr="0043396B">
        <w:rPr>
          <w:rFonts w:ascii="inherit" w:hAnsi="inherit"/>
          <w:sz w:val="23"/>
          <w:szCs w:val="23"/>
        </w:rPr>
        <w:t>) apuntaba que la desigualdad regional podría exhibir un patrón similar de comportamiento al de la famosa curva en forma de </w:t>
      </w:r>
      <w:hyperlink r:id="rId168" w:history="1">
        <w:r w:rsidR="00B54FCF" w:rsidRPr="0043396B">
          <w:rPr>
            <w:rStyle w:val="Hipervnculo"/>
            <w:rFonts w:ascii="inherit" w:hAnsi="inherit"/>
            <w:color w:val="auto"/>
            <w:sz w:val="23"/>
            <w:szCs w:val="23"/>
            <w:bdr w:val="none" w:sz="0" w:space="0" w:color="auto" w:frame="1"/>
          </w:rPr>
          <w:t>U-invertida de Kuznets</w:t>
        </w:r>
      </w:hyperlink>
      <w:r w:rsidR="00B54FCF" w:rsidRPr="0043396B">
        <w:rPr>
          <w:rFonts w:ascii="inherit" w:hAnsi="inherit"/>
          <w:sz w:val="23"/>
          <w:szCs w:val="23"/>
        </w:rPr>
        <w:t>. Esta curva relacionaba el nivel de desarrollo económico con la desigualdad personal en renta, mientras que la curva de Williamson hace lo propio con la dispersión territorial en renta por habitante. Según Williamson, a medida que un país se desarrolla y está económicamente más integrado, la distribución de la actividad económica en su territorio deviene más desigual. En las primeras etapas, las nuevas industrias y los servicios más avanzados se concentran en unas pocas regiones, mientras que el resto del país sigue especializado en la agricultura o en actividades tradicionales de baja productividad. Esto provocará un distanciamiento entre las regiones más ricas, que crecerán más rápido, y las más pobres que seguirán relativamente estancadas (tramo creciente de la U-invertida). Dado que la productividad avanza más rápido en las regiones modernas, sus salarios serán también más elevados, así como los rendimientos del capital. Esto atraerá a los factores (trabajo y capital). Sin embargo, llegará un momento, variable de un país a otro, en el que este proceso se detendrá, y la desigualdad se reducirá (tramo decreciente de la U-invertida). Detrás de este cambio se encuentran tanto los flujos de factores entre regiones, como la difusión del progreso técnico (</w:t>
      </w:r>
      <w:r w:rsidR="00B54FCF" w:rsidRPr="0043396B">
        <w:rPr>
          <w:rStyle w:val="nfasis"/>
          <w:rFonts w:ascii="inherit" w:hAnsi="inherit"/>
          <w:sz w:val="23"/>
          <w:szCs w:val="23"/>
          <w:bdr w:val="none" w:sz="0" w:space="0" w:color="auto" w:frame="1"/>
        </w:rPr>
        <w:t>catch-up</w:t>
      </w:r>
      <w:r w:rsidR="00B54FCF" w:rsidRPr="0043396B">
        <w:rPr>
          <w:rFonts w:ascii="inherit" w:hAnsi="inherit"/>
          <w:sz w:val="23"/>
          <w:szCs w:val="23"/>
        </w:rPr>
        <w:t> tecnológico) y la emulación de las estructuras productivas típicas de las regiones más modernas (cambio estructural).</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 xml:space="preserve">Los resultados ofrecidos en el gráfico 1, en el que se relaciona la evolución de la desigualdad (medida a través de un coeficiente de variación ponderado por población) con el PIB per cápita de cada uno de los países, muestran cómo, tal como sugería Jeffrey Williamson, la desigualdad territorial ha seguido a grandes rasgos una curva en forma de U-invertida a lo largo del proceso </w:t>
      </w:r>
      <w:r w:rsidRPr="0043396B">
        <w:rPr>
          <w:rFonts w:ascii="inherit" w:hAnsi="inherit"/>
          <w:sz w:val="23"/>
          <w:szCs w:val="23"/>
        </w:rPr>
        <w:lastRenderedPageBreak/>
        <w:t>de desarrollo de los cuatro países que componen el Sudoeste europeo. Como consecuencia, hoy se sitúa en niveles relativamente bajos. No obstante, el dibujo para los tres países más desarrollados de la muestra parece convertirse en el de una N, que auguraría el arranque de una nueva etapa de crecimiento de las desigualdades territoriales.</w:t>
      </w:r>
    </w:p>
    <w:p w:rsidR="00B54FCF" w:rsidRPr="0043396B" w:rsidRDefault="00B54FCF" w:rsidP="00B54FCF">
      <w:pPr>
        <w:pStyle w:val="NormalWeb"/>
        <w:shd w:val="clear" w:color="auto" w:fill="FFFFFF"/>
        <w:spacing w:before="0" w:beforeAutospacing="0" w:after="0" w:afterAutospacing="0"/>
        <w:jc w:val="both"/>
        <w:textAlignment w:val="baseline"/>
        <w:rPr>
          <w:rStyle w:val="Textoennegrita"/>
          <w:rFonts w:ascii="inherit" w:hAnsi="inherit"/>
          <w:sz w:val="23"/>
          <w:szCs w:val="23"/>
          <w:bdr w:val="none" w:sz="0" w:space="0" w:color="auto" w:frame="1"/>
        </w:rPr>
      </w:pPr>
      <w:r w:rsidRPr="0043396B">
        <w:rPr>
          <w:rStyle w:val="Textoennegrita"/>
          <w:rFonts w:ascii="inherit" w:hAnsi="inherit"/>
          <w:sz w:val="23"/>
          <w:szCs w:val="23"/>
          <w:bdr w:val="none" w:sz="0" w:space="0" w:color="auto" w:frame="1"/>
        </w:rPr>
        <w:t>Gráfico 1.- Desigualdad vs. PIB per cápita</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noProof/>
          <w:sz w:val="23"/>
          <w:szCs w:val="23"/>
          <w:bdr w:val="none" w:sz="0" w:space="0" w:color="auto" w:frame="1"/>
        </w:rPr>
        <w:drawing>
          <wp:inline distT="0" distB="0" distL="0" distR="0">
            <wp:extent cx="5715000" cy="3962400"/>
            <wp:effectExtent l="0" t="0" r="0" b="0"/>
            <wp:docPr id="126" name="Imagen 126" descr="https://nadaesgratis.es/wp-content/uploads/des1.png">
              <a:hlinkClick xmlns:a="http://schemas.openxmlformats.org/drawingml/2006/main" r:id="rId1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aesgratis.es/wp-content/uploads/des1.png">
                      <a:hlinkClick r:id="rId169"/>
                    </pic:cNvPr>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15000" cy="3962400"/>
                    </a:xfrm>
                    <a:prstGeom prst="rect">
                      <a:avLst/>
                    </a:prstGeom>
                    <a:noFill/>
                    <a:ln>
                      <a:noFill/>
                    </a:ln>
                  </pic:spPr>
                </pic:pic>
              </a:graphicData>
            </a:graphic>
          </wp:inline>
        </w:drawing>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El análisis detallado de esta relación en el conjunto del Sudoeste de Europa (es decir, considerando a su vez los diferentes factores que pueden haberla alterado a lo largo del tiempo como la apertura exterior de las economías, la importancia de las economías de aglomeración o de urbanización o las políticas públicas) avala la idea expresada por Williamson. Como se observa en el gráfico 2, el proceso de desarrollo económico guarda una relación no monótona con el nivel de desigualdad territorial.  Adicionalmente, el elemento tal vez más relevante (y preocupante) es que la anunciada U-invertida se ha convertido en una N o, en expresión popularizada por </w:t>
      </w:r>
      <w:hyperlink r:id="rId171" w:history="1">
        <w:r w:rsidRPr="0043396B">
          <w:rPr>
            <w:rStyle w:val="Hipervnculo"/>
            <w:rFonts w:ascii="inherit" w:hAnsi="inherit"/>
            <w:color w:val="auto"/>
            <w:sz w:val="23"/>
            <w:szCs w:val="23"/>
            <w:bdr w:val="none" w:sz="0" w:space="0" w:color="auto" w:frame="1"/>
          </w:rPr>
          <w:t>Branko Milanovic</w:t>
        </w:r>
      </w:hyperlink>
      <w:r w:rsidRPr="0043396B">
        <w:rPr>
          <w:rFonts w:ascii="inherit" w:hAnsi="inherit"/>
          <w:sz w:val="23"/>
          <w:szCs w:val="23"/>
        </w:rPr>
        <w:t> en el caso de la desigualdad personal, en una curva en forma de elefante (</w:t>
      </w:r>
      <w:hyperlink r:id="rId172" w:history="1">
        <w:r w:rsidRPr="0043396B">
          <w:rPr>
            <w:rStyle w:val="Hipervnculo"/>
            <w:rFonts w:ascii="inherit" w:hAnsi="inherit"/>
            <w:color w:val="auto"/>
            <w:sz w:val="23"/>
            <w:szCs w:val="23"/>
            <w:bdr w:val="none" w:sz="0" w:space="0" w:color="auto" w:frame="1"/>
          </w:rPr>
          <w:t>aquí</w:t>
        </w:r>
      </w:hyperlink>
      <w:r w:rsidRPr="0043396B">
        <w:rPr>
          <w:rFonts w:ascii="inherit" w:hAnsi="inherit"/>
          <w:sz w:val="23"/>
          <w:szCs w:val="23"/>
        </w:rPr>
        <w:t>). Malas noticias. Hoy, cuando estas cuatro economías transitan por la fase más avanzada de su proceso de desarrollo, la relación existente entre PIB per cápita y desigualdad territorial vuelve a ser positiva.</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Style w:val="Textoennegrita"/>
          <w:rFonts w:ascii="inherit" w:hAnsi="inherit"/>
          <w:sz w:val="23"/>
          <w:szCs w:val="23"/>
          <w:bdr w:val="none" w:sz="0" w:space="0" w:color="auto" w:frame="1"/>
        </w:rPr>
        <w:lastRenderedPageBreak/>
        <w:t>Gráfico 2. Estimación  de la relación entre PIB per cápita y desigualdad regional</w:t>
      </w:r>
      <w:r w:rsidRPr="0043396B">
        <w:rPr>
          <w:rFonts w:ascii="inherit" w:hAnsi="inherit"/>
          <w:b/>
          <w:bCs/>
          <w:noProof/>
          <w:sz w:val="23"/>
          <w:szCs w:val="23"/>
          <w:bdr w:val="none" w:sz="0" w:space="0" w:color="auto" w:frame="1"/>
        </w:rPr>
        <w:drawing>
          <wp:inline distT="0" distB="0" distL="0" distR="0">
            <wp:extent cx="5727700" cy="4178300"/>
            <wp:effectExtent l="0" t="0" r="6350" b="0"/>
            <wp:docPr id="124" name="Imagen 124" descr="https://nadaesgratis.es/wp-content/uploads/des2.png">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nadaesgratis.es/wp-content/uploads/des2.png">
                      <a:hlinkClick r:id="rId173"/>
                    </pic:cNvPr>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727700" cy="4178300"/>
                    </a:xfrm>
                    <a:prstGeom prst="rect">
                      <a:avLst/>
                    </a:prstGeom>
                    <a:noFill/>
                    <a:ln>
                      <a:noFill/>
                    </a:ln>
                  </pic:spPr>
                </pic:pic>
              </a:graphicData>
            </a:graphic>
          </wp:inline>
        </w:drawing>
      </w:r>
    </w:p>
    <w:p w:rsidR="00B54FCF" w:rsidRPr="0043396B" w:rsidRDefault="00B54FCF" w:rsidP="00B54FCF">
      <w:pPr>
        <w:pStyle w:val="Ttulo1"/>
        <w:spacing w:before="0"/>
        <w:textAlignment w:val="baseline"/>
        <w:rPr>
          <w:rFonts w:ascii="inherit" w:hAnsi="inherit"/>
          <w:color w:val="auto"/>
          <w:sz w:val="38"/>
          <w:szCs w:val="38"/>
        </w:rPr>
      </w:pPr>
    </w:p>
    <w:p w:rsidR="00B54FCF" w:rsidRPr="0043396B" w:rsidRDefault="00B54FCF" w:rsidP="00B54FCF">
      <w:pPr>
        <w:pStyle w:val="Ttulo1"/>
        <w:spacing w:before="0"/>
        <w:textAlignment w:val="baseline"/>
        <w:rPr>
          <w:rFonts w:ascii="Times New Roman" w:hAnsi="Times New Roman" w:cs="Times New Roman"/>
          <w:b w:val="0"/>
          <w:color w:val="auto"/>
          <w:sz w:val="24"/>
          <w:szCs w:val="24"/>
        </w:rPr>
      </w:pPr>
      <w:r w:rsidRPr="0043396B">
        <w:rPr>
          <w:rFonts w:ascii="Times New Roman" w:hAnsi="Times New Roman" w:cs="Times New Roman"/>
          <w:b w:val="0"/>
          <w:color w:val="auto"/>
          <w:sz w:val="24"/>
          <w:szCs w:val="24"/>
        </w:rPr>
        <w:t xml:space="preserve">- </w:t>
      </w:r>
      <w:r w:rsidRPr="0043396B">
        <w:rPr>
          <w:rFonts w:ascii="Times New Roman" w:hAnsi="Times New Roman" w:cs="Times New Roman"/>
          <w:b w:val="0"/>
          <w:color w:val="auto"/>
          <w:sz w:val="24"/>
          <w:szCs w:val="24"/>
          <w:u w:val="single"/>
        </w:rPr>
        <w:t>D</w:t>
      </w:r>
      <w:hyperlink r:id="rId175" w:history="1">
        <w:r w:rsidRPr="0043396B">
          <w:rPr>
            <w:rStyle w:val="Hipervnculo"/>
            <w:rFonts w:ascii="Times New Roman" w:hAnsi="Times New Roman" w:cs="Times New Roman"/>
            <w:b w:val="0"/>
            <w:color w:val="auto"/>
            <w:sz w:val="24"/>
            <w:szCs w:val="24"/>
            <w:bdr w:val="none" w:sz="0" w:space="0" w:color="auto" w:frame="1"/>
          </w:rPr>
          <w:t>esigualdad económica regional en Europa: ¿de dónde venimos, a dónde vamos? (II)</w:t>
        </w:r>
      </w:hyperlink>
      <w:r w:rsidRPr="0043396B">
        <w:rPr>
          <w:rFonts w:ascii="Times New Roman" w:hAnsi="Times New Roman" w:cs="Times New Roman"/>
          <w:b w:val="0"/>
          <w:color w:val="auto"/>
          <w:sz w:val="24"/>
          <w:szCs w:val="24"/>
        </w:rPr>
        <w:t xml:space="preserve"> (Fedea - </w:t>
      </w:r>
      <w:r w:rsidRPr="0043396B">
        <w:rPr>
          <w:rFonts w:ascii="Times New Roman" w:hAnsi="Times New Roman" w:cs="Times New Roman"/>
          <w:color w:val="auto"/>
          <w:sz w:val="24"/>
          <w:szCs w:val="24"/>
        </w:rPr>
        <w:t>18/1/18</w:t>
      </w:r>
      <w:r w:rsidRPr="0043396B">
        <w:rPr>
          <w:rFonts w:ascii="Times New Roman" w:hAnsi="Times New Roman" w:cs="Times New Roman"/>
          <w:b w:val="0"/>
          <w:color w:val="auto"/>
          <w:sz w:val="24"/>
          <w:szCs w:val="24"/>
        </w:rPr>
        <w:t>)</w:t>
      </w:r>
    </w:p>
    <w:p w:rsidR="00B140B8" w:rsidRPr="0043396B" w:rsidRDefault="00B140B8" w:rsidP="00B54FCF">
      <w:pPr>
        <w:pStyle w:val="NormalWeb"/>
        <w:shd w:val="clear" w:color="auto" w:fill="FFFFFF"/>
        <w:spacing w:before="0" w:beforeAutospacing="0" w:after="0" w:afterAutospacing="0"/>
        <w:jc w:val="both"/>
        <w:textAlignment w:val="baseline"/>
      </w:pPr>
    </w:p>
    <w:p w:rsidR="00B54FCF" w:rsidRPr="0043396B" w:rsidRDefault="00B140B8" w:rsidP="00B54FCF">
      <w:pPr>
        <w:pStyle w:val="NormalWeb"/>
        <w:shd w:val="clear" w:color="auto" w:fill="FFFFFF"/>
        <w:spacing w:before="0" w:beforeAutospacing="0" w:after="0" w:afterAutospacing="0"/>
        <w:jc w:val="both"/>
        <w:textAlignment w:val="baseline"/>
      </w:pPr>
      <w:r w:rsidRPr="0043396B">
        <w:t>(</w:t>
      </w:r>
      <w:hyperlink r:id="rId176" w:history="1">
        <w:r w:rsidRPr="0043396B">
          <w:rPr>
            <w:rStyle w:val="Hipervnculo"/>
            <w:color w:val="auto"/>
            <w:u w:val="none"/>
            <w:bdr w:val="none" w:sz="0" w:space="0" w:color="auto" w:frame="1"/>
          </w:rPr>
          <w:t xml:space="preserve">Alfonso </w:t>
        </w:r>
        <w:r w:rsidR="00B54FCF" w:rsidRPr="0043396B">
          <w:rPr>
            <w:rStyle w:val="Hipervnculo"/>
            <w:color w:val="auto"/>
            <w:u w:val="none"/>
            <w:bdr w:val="none" w:sz="0" w:space="0" w:color="auto" w:frame="1"/>
          </w:rPr>
          <w:t>Díez-Minguela</w:t>
        </w:r>
      </w:hyperlink>
      <w:r w:rsidR="00B54FCF" w:rsidRPr="0043396B">
        <w:t>, </w:t>
      </w:r>
      <w:hyperlink r:id="rId177" w:history="1">
        <w:r w:rsidR="00B54FCF" w:rsidRPr="0043396B">
          <w:rPr>
            <w:rStyle w:val="Hipervnculo"/>
            <w:color w:val="auto"/>
            <w:u w:val="none"/>
            <w:bdr w:val="none" w:sz="0" w:space="0" w:color="auto" w:frame="1"/>
          </w:rPr>
          <w:t>Rafael González-Val</w:t>
        </w:r>
      </w:hyperlink>
      <w:r w:rsidR="00B54FCF" w:rsidRPr="0043396B">
        <w:t>, </w:t>
      </w:r>
      <w:hyperlink r:id="rId178" w:history="1">
        <w:r w:rsidR="00B54FCF" w:rsidRPr="0043396B">
          <w:rPr>
            <w:rStyle w:val="Hipervnculo"/>
            <w:color w:val="auto"/>
            <w:u w:val="none"/>
            <w:bdr w:val="none" w:sz="0" w:space="0" w:color="auto" w:frame="1"/>
          </w:rPr>
          <w:t>Julio Martínez-Galarraga</w:t>
        </w:r>
      </w:hyperlink>
      <w:r w:rsidR="00B54FCF" w:rsidRPr="0043396B">
        <w:t>, </w:t>
      </w:r>
      <w:hyperlink r:id="rId179" w:history="1">
        <w:r w:rsidR="00B54FCF" w:rsidRPr="0043396B">
          <w:rPr>
            <w:rStyle w:val="Hipervnculo"/>
            <w:color w:val="auto"/>
            <w:u w:val="none"/>
            <w:bdr w:val="none" w:sz="0" w:space="0" w:color="auto" w:frame="1"/>
          </w:rPr>
          <w:t>Teresa Sanchis-Llopis</w:t>
        </w:r>
      </w:hyperlink>
      <w:r w:rsidR="00B54FCF" w:rsidRPr="0043396B">
        <w:t> y </w:t>
      </w:r>
      <w:hyperlink r:id="rId180" w:history="1">
        <w:r w:rsidR="00B54FCF" w:rsidRPr="0043396B">
          <w:rPr>
            <w:rStyle w:val="Hipervnculo"/>
            <w:color w:val="auto"/>
            <w:u w:val="none"/>
            <w:bdr w:val="none" w:sz="0" w:space="0" w:color="auto" w:frame="1"/>
          </w:rPr>
          <w:t>Daniel A. Tirado</w:t>
        </w:r>
      </w:hyperlink>
      <w:r w:rsidR="00B54FCF" w:rsidRPr="0043396B">
        <w:t>)</w:t>
      </w:r>
    </w:p>
    <w:p w:rsidR="00B54FCF" w:rsidRPr="0043396B" w:rsidRDefault="00B54FCF" w:rsidP="00B54FCF">
      <w:pPr>
        <w:pStyle w:val="NormalWeb"/>
        <w:shd w:val="clear" w:color="auto" w:fill="FFFFFF"/>
        <w:spacing w:before="0" w:beforeAutospacing="0" w:after="0" w:afterAutospacing="0"/>
        <w:jc w:val="both"/>
        <w:textAlignment w:val="baseline"/>
      </w:pPr>
    </w:p>
    <w:p w:rsidR="00B54FCF" w:rsidRPr="0043396B" w:rsidRDefault="00B140B8"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En la entrada anterior</w:t>
      </w:r>
      <w:r w:rsidR="00B54FCF" w:rsidRPr="0043396B">
        <w:rPr>
          <w:rFonts w:ascii="inherit" w:hAnsi="inherit"/>
          <w:sz w:val="23"/>
          <w:szCs w:val="23"/>
        </w:rPr>
        <w:t xml:space="preserve"> aportábamos evidencia acerca la relación en forma de U-invertida (o de N) entre nivel de renta y desigualdad regional en renta per cápita de las cuatro economías que componen el Sudoeste de Europa (España, Francia, Italia y Portugal). Siguiendo con la pauta descrita por los Anuarios Estadísticos Regionales (</w:t>
      </w:r>
      <w:hyperlink r:id="rId181" w:history="1">
        <w:r w:rsidR="00B54FCF" w:rsidRPr="0043396B">
          <w:rPr>
            <w:rStyle w:val="Hipervnculo"/>
            <w:rFonts w:ascii="inherit" w:hAnsi="inherit"/>
            <w:color w:val="auto"/>
            <w:sz w:val="23"/>
            <w:szCs w:val="23"/>
            <w:bdr w:val="none" w:sz="0" w:space="0" w:color="auto" w:frame="1"/>
          </w:rPr>
          <w:t>ERY</w:t>
        </w:r>
      </w:hyperlink>
      <w:r w:rsidR="00B54FCF" w:rsidRPr="0043396B">
        <w:rPr>
          <w:rFonts w:ascii="inherit" w:hAnsi="inherit"/>
          <w:sz w:val="23"/>
          <w:szCs w:val="23"/>
        </w:rPr>
        <w:t>) en relación con la realidad regional actual, hoy nos centraremos en el aspecto histórico de la geografía de la desigualdad territorial y en el papel que tradicionalmente han desempeñado las regiones que albergan las capitales de los estados. Por lo que respecta a la geografía de la desigualdad, en el mapa 1 se ofrece información de los niveles de PIB per cápita de las 67 NUTS2 que componen la Europa del Sudoeste agrupadas por quintiles en 1900, 1950, 1980 y 2010. El negro identifica regiones muy ricas y los grises más claros las regiones más pobres. De su observación se desprenden dos ideas básicas. La primera es, como han señalado de forma reiterada los ERY, que la geografía importa. Las regiones pobres se sitúan en el Sur de Italia y en un gradiente que atraviesa la península ibérica de Sudeste a Noroeste. La segunda es que este patrón estaba ya bien conformado en 1950 mostrando, por tanto, una elevada persistencia temporal.</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sz w:val="23"/>
          <w:szCs w:val="23"/>
        </w:rPr>
        <w:t>Mapa 1. PIB per cápita regional (NUTS2) en la Europa del Sudoeste, 1900-2010 (Quintiles)</w:t>
      </w: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p>
    <w:p w:rsidR="00B54FCF" w:rsidRPr="0043396B" w:rsidRDefault="00B54FCF" w:rsidP="00B54FCF">
      <w:pPr>
        <w:pStyle w:val="NormalWeb"/>
        <w:shd w:val="clear" w:color="auto" w:fill="FFFFFF"/>
        <w:spacing w:before="0" w:beforeAutospacing="0" w:after="0" w:afterAutospacing="0"/>
        <w:jc w:val="both"/>
        <w:textAlignment w:val="baseline"/>
        <w:rPr>
          <w:rFonts w:ascii="inherit" w:hAnsi="inherit"/>
          <w:sz w:val="23"/>
          <w:szCs w:val="23"/>
        </w:rPr>
      </w:pPr>
      <w:r w:rsidRPr="0043396B">
        <w:rPr>
          <w:rFonts w:ascii="inherit" w:hAnsi="inherit"/>
          <w:noProof/>
          <w:sz w:val="23"/>
          <w:szCs w:val="23"/>
          <w:bdr w:val="none" w:sz="0" w:space="0" w:color="auto" w:frame="1"/>
        </w:rPr>
        <w:drawing>
          <wp:inline distT="0" distB="0" distL="0" distR="0">
            <wp:extent cx="5683250" cy="4254500"/>
            <wp:effectExtent l="0" t="0" r="0" b="0"/>
            <wp:docPr id="130" name="Imagen 130" descr="https://nadaesgratis.es/wp-content/uploads/map1.pn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nadaesgratis.es/wp-content/uploads/map1.png">
                      <a:hlinkClick r:id="rId182"/>
                    </pic:cNvPr>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683250" cy="4254500"/>
                    </a:xfrm>
                    <a:prstGeom prst="rect">
                      <a:avLst/>
                    </a:prstGeom>
                    <a:noFill/>
                    <a:ln>
                      <a:noFill/>
                    </a:ln>
                  </pic:spPr>
                </pic:pic>
              </a:graphicData>
            </a:graphic>
          </wp:inline>
        </w:drawing>
      </w: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Si centramos la atención en las regiones españolas, se observa una pérdida de posiciones relativas de nuestras regiones más avanzadas (Madrid, País Vasco y Cataluña) con relación al grupo de cabeza del Sudoeste europeo entre 1900 y 1950. Sin embargo, en 2010 parece que han recobrado cierto protagonismo. Mientras tanto persiste y se afianza la brecha de la mitad Sur con respecto al resto del país.</w:t>
      </w: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Por lo que respecta al protagonismo de las regiones que albergan a las capitales de los estados, en los ERY se apunta que estas regiones han tendido a crecer en los últimos años de una forma diferencial y, con ello, han favorecido el ascenso de la desigualdad. En relación con este aspecto, el gráfico 1 compara los niveles de desigualdad territorial en cada uno de los países calculados incluyendo (eje X) o no (eje Y) las regiones-capitales de estado. Si la exclusión de la capital no afecta a la desigualdad entonces se obtiene un punto sobre la línea de 45º. Si la exclusión de la capital reduce la desigualdad, encontraremos un punto por debajo de la línea de 45º. Si la exclusión de la capital aumenta la desigualdad, el punto se situará por encima de esta línea.</w:t>
      </w: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 xml:space="preserve">En el gráfico 1 se observa la presencia de un fuerte efecto capital que impacta la desigualdad territorial en el caso de Francia y de Portugal (caen más por debajo de la línea de 45º), pero que es menos patente en el caso español e inexistente en el caso italiano (casi en paralelo a esta línea). En Francia y Portugal, sus respectivas capitales, París y Lisboa, actúan como islas en medio de regiones mucho menos avanzadas. No obstante, el elemento de mayor interés es que este efecto ha estado presente en todo momento a lo largo de la historia económica de los cuatro países analizados, y no solo en la actualidad cuando la especialización en sectores de servicios de alto </w:t>
      </w:r>
      <w:r w:rsidRPr="0043396B">
        <w:rPr>
          <w:rFonts w:ascii="inherit" w:hAnsi="inherit"/>
          <w:sz w:val="23"/>
          <w:szCs w:val="23"/>
        </w:rPr>
        <w:lastRenderedPageBreak/>
        <w:t>valor añadido, con marcadas economías de aglomeración, parece dirigir el crecimiento de las sociedades. Aunque, si bien es cierto, parece que se ha agudizado desde 1980 en algunos países como Francia, y que comienza a emerger en España.</w:t>
      </w: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Fig 1. Desigualdad regional con regiones-capital de estado incluidas (eje x) y excluidas (eje y)</w:t>
      </w:r>
    </w:p>
    <w:p w:rsidR="00B54FCF" w:rsidRPr="0043396B" w:rsidRDefault="00B54FCF" w:rsidP="00B54FCF">
      <w:pPr>
        <w:shd w:val="clear" w:color="auto" w:fill="FFFFFF"/>
        <w:spacing w:line="240" w:lineRule="auto"/>
        <w:jc w:val="both"/>
        <w:textAlignment w:val="baseline"/>
        <w:rPr>
          <w:rFonts w:ascii="Times New Roman" w:hAnsi="Times New Roman" w:cs="Times New Roman"/>
          <w:sz w:val="24"/>
          <w:szCs w:val="24"/>
        </w:rPr>
      </w:pPr>
      <w:r w:rsidRPr="0043396B">
        <w:rPr>
          <w:rFonts w:ascii="Helvetica" w:hAnsi="Helvetica"/>
          <w:noProof/>
          <w:sz w:val="21"/>
          <w:szCs w:val="21"/>
          <w:bdr w:val="none" w:sz="0" w:space="0" w:color="auto" w:frame="1"/>
        </w:rPr>
        <w:drawing>
          <wp:inline distT="0" distB="0" distL="0" distR="0">
            <wp:extent cx="5715000" cy="4152900"/>
            <wp:effectExtent l="0" t="0" r="0" b="0"/>
            <wp:docPr id="128" name="Imagen 128" descr="https://nadaesgratis.es/wp-content/uploads/des3.png">
              <a:hlinkClick xmlns:a="http://schemas.openxmlformats.org/drawingml/2006/main" r:id="rId1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nadaesgratis.es/wp-content/uploads/des3.png">
                      <a:hlinkClick r:id="rId184"/>
                    </pic:cNvPr>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715000" cy="4152900"/>
                    </a:xfrm>
                    <a:prstGeom prst="rect">
                      <a:avLst/>
                    </a:prstGeom>
                    <a:noFill/>
                    <a:ln>
                      <a:noFill/>
                    </a:ln>
                  </pic:spPr>
                </pic:pic>
              </a:graphicData>
            </a:graphic>
          </wp:inline>
        </w:drawing>
      </w:r>
      <w:r w:rsidRPr="0043396B">
        <w:rPr>
          <w:rFonts w:ascii="Times New Roman" w:hAnsi="Times New Roman" w:cs="Times New Roman"/>
          <w:sz w:val="24"/>
          <w:szCs w:val="24"/>
        </w:rPr>
        <w:t>Nota: Coeficiente de variación ponderado por población.</w:t>
      </w: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Con todo, la consideración de la desigualdad territorial desde una perspectiva de largo plazo debe ponernos en alerta acerca de la relevancia del problema, y de la dificultad que entraña su resolución. Por una parte, se apunta que el impacto de la tercera revolución tecnológica, ligado al ascenso de las TIC, puede estar abriendo una larga fase de crecimiento de las desigualdades territoriales. Por otra parte, el análisis de la experiencia histórica del Sudoeste europeo muestra que la importante reducción registrada en la desigualdad territorial entre los años 1950 y 1980 no supuso la desaparición de sus características espaciales. La geografía de la desigualdad y el crecimiento diferencial de las capitales de los estados se fraguó en la primera gran fase del desarrollo económico, entre 1860 y 1950, y ha permanecido prácticamente inalterada hasta la actualidad.</w:t>
      </w:r>
    </w:p>
    <w:p w:rsidR="00B54FCF" w:rsidRPr="0043396B" w:rsidRDefault="00B54FCF" w:rsidP="00B54FCF">
      <w:pPr>
        <w:pStyle w:val="NormalWeb"/>
        <w:shd w:val="clear" w:color="auto" w:fill="FFFFFF"/>
        <w:spacing w:before="0" w:beforeAutospacing="0" w:after="396" w:afterAutospacing="0"/>
        <w:jc w:val="both"/>
        <w:textAlignment w:val="baseline"/>
        <w:rPr>
          <w:rFonts w:ascii="inherit" w:hAnsi="inherit"/>
          <w:sz w:val="23"/>
          <w:szCs w:val="23"/>
        </w:rPr>
      </w:pPr>
      <w:r w:rsidRPr="0043396B">
        <w:rPr>
          <w:rFonts w:ascii="inherit" w:hAnsi="inherit"/>
          <w:sz w:val="23"/>
          <w:szCs w:val="23"/>
        </w:rPr>
        <w:t>En este escenario, todo apunta a que la brecha entre las regiones ricas y pobres del Sudoeste de Europa pueda ampliarse, a que las regiones hoy más pobres lo sigan siendo dentro de 50 años y a que las regiones que albergan las capitales de los estados se distancien aún más de los niveles medios de renta de sus economías nacionales. Sin duda, la desigualdad territorial continuará siendo objeto de preocupación en Europa durante varias generaciones.</w:t>
      </w:r>
    </w:p>
    <w:p w:rsidR="00B54FCF" w:rsidRDefault="00B54FCF" w:rsidP="00B54FCF">
      <w:pPr>
        <w:pStyle w:val="NormalWeb"/>
        <w:shd w:val="clear" w:color="auto" w:fill="FFFFFF"/>
        <w:spacing w:before="0" w:beforeAutospacing="0" w:after="396" w:afterAutospacing="0"/>
        <w:jc w:val="both"/>
        <w:textAlignment w:val="baseline"/>
        <w:rPr>
          <w:rFonts w:ascii="inherit" w:hAnsi="inherit"/>
          <w:color w:val="000000"/>
          <w:sz w:val="23"/>
          <w:szCs w:val="23"/>
        </w:rPr>
      </w:pPr>
    </w:p>
    <w:p w:rsidR="00C3191A" w:rsidRDefault="00C3191A" w:rsidP="00C3191A">
      <w:pPr>
        <w:pStyle w:val="NormalWeb"/>
        <w:spacing w:after="240"/>
        <w:jc w:val="both"/>
      </w:pPr>
      <w:r>
        <w:lastRenderedPageBreak/>
        <w:t xml:space="preserve">- </w:t>
      </w:r>
      <w:r w:rsidRPr="00C3191A">
        <w:rPr>
          <w:u w:val="single"/>
        </w:rPr>
        <w:t>Desigualdad en la UE: La brecha entre norte y sur ha crecido en los últimos 15 años</w:t>
      </w:r>
      <w:r>
        <w:t xml:space="preserve"> (El País - </w:t>
      </w:r>
      <w:r w:rsidRPr="00C3191A">
        <w:rPr>
          <w:b/>
        </w:rPr>
        <w:t>5/4/19</w:t>
      </w:r>
      <w:r>
        <w:t>)</w:t>
      </w:r>
    </w:p>
    <w:p w:rsidR="00C3191A" w:rsidRDefault="00C3191A" w:rsidP="00C3191A">
      <w:pPr>
        <w:pStyle w:val="NormalWeb"/>
        <w:spacing w:after="240"/>
        <w:jc w:val="both"/>
      </w:pPr>
      <w:r>
        <w:t>Los ministros discutirán este viernes un documento que advierte del peligro de “tensiones sociales” si sigue esa tendencia</w:t>
      </w:r>
    </w:p>
    <w:p w:rsidR="00C3191A" w:rsidRDefault="00C3191A" w:rsidP="00C3191A">
      <w:pPr>
        <w:pStyle w:val="NormalWeb"/>
        <w:spacing w:after="240"/>
        <w:jc w:val="both"/>
      </w:pPr>
      <w:r>
        <w:t>(Por Lluís Pellicer)</w:t>
      </w:r>
    </w:p>
    <w:p w:rsidR="00C3191A" w:rsidRDefault="00C3191A" w:rsidP="00C3191A">
      <w:pPr>
        <w:pStyle w:val="NormalWeb"/>
        <w:spacing w:after="240"/>
        <w:jc w:val="both"/>
      </w:pPr>
      <w:r>
        <w:t>La brecha entre norte y sur en la UE amenaza con convertirse en un abismo después de tres décadas pérdidas en el intento de cerrarla. Los Veintiocho perfilarán este viernes su agenda para los próximos cinco años. La base de la discusión será un documento que advierte de que en los últimos 15 años se ha acentuado la “divergencia” entre norte y sur. Ese proceso es especialmente intenso en Grecia e Italia, pero también España está en el furgón de cola en cuanto a crecimiento de su renta per cápita en ese periodo. El informe avisa de un “aumento de las tensiones políticas y fiscales” si esa tendencia continúa.</w:t>
      </w:r>
    </w:p>
    <w:p w:rsidR="00C3191A" w:rsidRDefault="00C3191A" w:rsidP="00C3191A">
      <w:pPr>
        <w:pStyle w:val="NormalWeb"/>
        <w:spacing w:after="240"/>
        <w:jc w:val="both"/>
      </w:pPr>
      <w:r>
        <w:t>Los ministros de Finanzas de la UE discutirán en la reunión informal de Bucarest (Rumania) la estrategia para el próximo ciclo político. Sobre la mesa, tendrán un documento elaborado por el think tank Bruegel, al que ha tenido acceso EL PAÍS, que advierte de que la UE está fracasando en uno de los principales objetivos que perseguía la moneda única: la convergencia de las economías de sus socios. Y lo está haciendo prácticamente desde su nacimiento.</w:t>
      </w:r>
    </w:p>
    <w:p w:rsidR="00C3191A" w:rsidRDefault="00C3191A" w:rsidP="00C3191A">
      <w:pPr>
        <w:pStyle w:val="NormalWeb"/>
        <w:spacing w:after="240"/>
        <w:jc w:val="both"/>
      </w:pPr>
      <w:r>
        <w:t>En plena desaceleración de las economías de la zona euro y con el temor de que un Brexit sin acuerdo pueda acelerar ese proceso, el informe señala los dos frentes que la UE debe cerrar. Primero, el medio punto de crecimiento que cada año le viene sacando Estados Unidos. Y segundo, la “insatisfactoria convergencia” que puede llevar a “amenazar la cohesión social” en el seno de la UE.</w:t>
      </w:r>
    </w:p>
    <w:p w:rsidR="00B140B8" w:rsidRDefault="00B140B8" w:rsidP="00B140B8">
      <w:pPr>
        <w:pStyle w:val="NormalWeb"/>
        <w:spacing w:after="240"/>
        <w:jc w:val="both"/>
      </w:pPr>
      <w:r>
        <w:t>Los países del Este de Europa han sido los que más avanzado en este proceso de convergencia. Las rentas per cápita de países como Lituania, Letonia, Rumania, Polonia o Bulgaria han crecido por encima del 4% anual entre 2003 y 2017. Esa diferencia de hasta tres puntos con las principales economías ha permitido ir convergiendo con las economías más ricas.</w:t>
      </w:r>
    </w:p>
    <w:p w:rsidR="00B140B8" w:rsidRDefault="00B140B8" w:rsidP="00B140B8">
      <w:pPr>
        <w:pStyle w:val="NormalWeb"/>
        <w:spacing w:after="240"/>
        <w:jc w:val="both"/>
      </w:pPr>
      <w:r>
        <w:t>En el otro extremo están los países del furgón de cola. Y ahí está el sur de Europa. “Aquí ha habido una divergencia, al menos en partes de esa zona que son sustanciales”, sostiene el informe. En la cola está España, cuya renta per cápita han aumentado un 0,65% anual. Pero también Portugal (0,63%) o Chipre (0,57%). El saldo anual incluso es negativo para Grecia (-0,74%) o Italia (-0,24%).</w:t>
      </w:r>
    </w:p>
    <w:p w:rsidR="00B140B8" w:rsidRDefault="00B140B8" w:rsidP="00B140B8">
      <w:pPr>
        <w:pStyle w:val="NormalWeb"/>
        <w:spacing w:after="240"/>
        <w:jc w:val="both"/>
      </w:pPr>
      <w:r>
        <w:t>En ese periodo, la renta per cápita alemana creció un 1,39% anual; la austriaca, un 1,05% y la holandesa, un 1,08%. Esa diferencia del 0,74% en un año entre España y Alemania puede parecer insignificante, pero supone que en 15 años la brecha creció un 11,1%.</w:t>
      </w:r>
    </w:p>
    <w:p w:rsidR="00B140B8" w:rsidRDefault="00B140B8" w:rsidP="00C3191A">
      <w:pPr>
        <w:pStyle w:val="NormalWeb"/>
        <w:spacing w:after="240"/>
        <w:jc w:val="both"/>
      </w:pPr>
    </w:p>
    <w:p w:rsidR="00F26D15" w:rsidRDefault="00F26D15" w:rsidP="00C3191A">
      <w:pPr>
        <w:pStyle w:val="NormalWeb"/>
        <w:spacing w:after="240"/>
        <w:jc w:val="both"/>
      </w:pPr>
      <w:r>
        <w:lastRenderedPageBreak/>
        <w:t xml:space="preserve">                                  </w:t>
      </w:r>
      <w:r>
        <w:rPr>
          <w:noProof/>
        </w:rPr>
        <w:drawing>
          <wp:inline distT="0" distB="0" distL="0" distR="0">
            <wp:extent cx="3429000" cy="8083550"/>
            <wp:effectExtent l="0" t="0" r="0" b="0"/>
            <wp:docPr id="120" name="Imagen 120" descr="Desigualdad en la UE: La brecha entre norte y sur ha crecido en los últimos 15 añ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igualdad en la UE: La brecha entre norte y sur ha crecido en los últimos 15 años"/>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429000" cy="8083550"/>
                    </a:xfrm>
                    <a:prstGeom prst="rect">
                      <a:avLst/>
                    </a:prstGeom>
                    <a:noFill/>
                    <a:ln>
                      <a:noFill/>
                    </a:ln>
                  </pic:spPr>
                </pic:pic>
              </a:graphicData>
            </a:graphic>
          </wp:inline>
        </w:drawing>
      </w:r>
    </w:p>
    <w:p w:rsidR="00B140B8" w:rsidRDefault="00B140B8" w:rsidP="00C3191A">
      <w:pPr>
        <w:pStyle w:val="NormalWeb"/>
        <w:spacing w:after="240"/>
        <w:jc w:val="both"/>
      </w:pPr>
    </w:p>
    <w:p w:rsidR="00B140B8" w:rsidRDefault="00B140B8" w:rsidP="00C3191A">
      <w:pPr>
        <w:pStyle w:val="NormalWeb"/>
        <w:spacing w:after="240"/>
        <w:jc w:val="both"/>
      </w:pPr>
    </w:p>
    <w:p w:rsidR="00C3191A" w:rsidRDefault="00C3191A" w:rsidP="00C3191A">
      <w:pPr>
        <w:pStyle w:val="NormalWeb"/>
        <w:spacing w:after="240"/>
        <w:jc w:val="both"/>
      </w:pPr>
      <w:r>
        <w:lastRenderedPageBreak/>
        <w:t>Boquetes internos</w:t>
      </w:r>
    </w:p>
    <w:p w:rsidR="00C3191A" w:rsidRDefault="00C3191A" w:rsidP="00C3191A">
      <w:pPr>
        <w:pStyle w:val="NormalWeb"/>
        <w:spacing w:after="240"/>
        <w:jc w:val="both"/>
      </w:pPr>
      <w:r>
        <w:t>Los socios deben afrontar, sin embargo, otros boquetes. Y estos se producen dentro de los propios países. Primero, el que representa la desigualdad social: si bien el Este de Europa ha ido abriéndose camino, se ha producido lo que el informe llama una “convergencia para los ricos”. Y segundo, persisten diferencias territoriales. Y ahí se aprecian los casos d</w:t>
      </w:r>
      <w:r w:rsidR="00F26D15">
        <w:t>e Francia -</w:t>
      </w:r>
      <w:r>
        <w:t>donde</w:t>
      </w:r>
      <w:r w:rsidR="00F26D15">
        <w:t xml:space="preserve"> medio país se ha quedado atrás-</w:t>
      </w:r>
      <w:r>
        <w:t xml:space="preserve"> o España, donde Andalucía es la comunidad más rezagada y, en cambio, el País Vasco ha mostrado un comportamiento a la altura de las grandes economías del centro y el norte de Europa.</w:t>
      </w:r>
    </w:p>
    <w:p w:rsidR="00C3191A" w:rsidRDefault="00C3191A" w:rsidP="00C3191A">
      <w:pPr>
        <w:pStyle w:val="NormalWeb"/>
        <w:spacing w:after="240"/>
        <w:jc w:val="both"/>
      </w:pPr>
      <w:r>
        <w:t>El think tank enumera el arsenal de “causas sistémicas” que explican esas brechas: la falta de una arquitectura que complete el euro, un desigual crecimiento de la productividad, la fuga de capital humano del sur durante la recesión, las carencias en innovación o la falta de centros universitarios que sobresalgan.</w:t>
      </w:r>
    </w:p>
    <w:p w:rsidR="00C3191A" w:rsidRPr="0043396B" w:rsidRDefault="00C3191A" w:rsidP="00C3191A">
      <w:pPr>
        <w:pStyle w:val="NormalWeb"/>
        <w:spacing w:after="240"/>
        <w:jc w:val="both"/>
      </w:pPr>
      <w:r w:rsidRPr="0043396B">
        <w:t>No cargar a las clases medias</w:t>
      </w:r>
    </w:p>
    <w:p w:rsidR="00C3191A" w:rsidRDefault="00C3191A" w:rsidP="00C3191A">
      <w:pPr>
        <w:pStyle w:val="NormalWeb"/>
        <w:spacing w:after="240"/>
        <w:jc w:val="both"/>
      </w:pPr>
      <w:r>
        <w:t>El d</w:t>
      </w:r>
      <w:r w:rsidR="00F26D15">
        <w:t>ocumento elaborado por Bruegel -</w:t>
      </w:r>
      <w:r>
        <w:t>firmado por Guntram Wolff</w:t>
      </w:r>
      <w:r w:rsidR="00F26D15">
        <w:t>, André Sapir y Maria Demertzis-</w:t>
      </w:r>
      <w:r>
        <w:t xml:space="preserve"> traza las medidas que deberían debatir los países para aproximar sus economías. El informe considera que las diferencias en los costes de financiación de países y empresas suponen ya un primer freno, por lo que urgen a culminar la arquitectura de la Unión Bancaria que las reduzca.</w:t>
      </w:r>
    </w:p>
    <w:p w:rsidR="004C7D39" w:rsidRDefault="00C3191A" w:rsidP="004C7D39">
      <w:pPr>
        <w:pStyle w:val="NormalWeb"/>
        <w:spacing w:after="240"/>
        <w:jc w:val="both"/>
      </w:pPr>
      <w:r>
        <w:t xml:space="preserve">El documento también hace referencia a la carga impositiva. A su juicio, el mercado único ha provocado que las grandes compañías y fortunas hayan hallado más recovecos para rebajar su factura fiscal. Por ello, los autores ven de una “gran importancia” mantener vivas iniciativas que permitan que se pueda seguir </w:t>
      </w:r>
      <w:r w:rsidR="00F26D15">
        <w:t>grabando</w:t>
      </w:r>
      <w:r>
        <w:t xml:space="preserve"> la riqueza, las herencias y los beneficios corporativos. “Un incremento de la carga fiscal en la clase media trabajadora sería compatible con la promesa de una economía social y de mercado en Europa”, apunta. Por último, también llama a cambiar las complejas reglas fiscales comunitarias.</w:t>
      </w:r>
    </w:p>
    <w:p w:rsidR="004C7D39" w:rsidRPr="00F036E1" w:rsidRDefault="003E11E9" w:rsidP="004C7D39">
      <w:pPr>
        <w:pStyle w:val="NormalWeb"/>
        <w:spacing w:after="240"/>
        <w:jc w:val="both"/>
        <w:rPr>
          <w:b/>
          <w:color w:val="000000"/>
          <w:spacing w:val="-15"/>
        </w:rPr>
      </w:pPr>
      <w:r w:rsidRPr="00F036E1">
        <w:rPr>
          <w:b/>
          <w:color w:val="000000"/>
          <w:spacing w:val="-15"/>
        </w:rPr>
        <w:t>Antecedentes</w:t>
      </w:r>
    </w:p>
    <w:p w:rsidR="004C7D39" w:rsidRPr="00F036E1" w:rsidRDefault="004C7D39" w:rsidP="004C7D39">
      <w:pPr>
        <w:pStyle w:val="NormalWeb"/>
        <w:spacing w:after="240"/>
        <w:jc w:val="both"/>
        <w:rPr>
          <w:b/>
          <w:color w:val="000000"/>
          <w:spacing w:val="-15"/>
        </w:rPr>
      </w:pPr>
      <w:r w:rsidRPr="00F036E1">
        <w:rPr>
          <w:b/>
          <w:color w:val="000000"/>
          <w:spacing w:val="-15"/>
        </w:rPr>
        <w:t xml:space="preserve">- </w:t>
      </w:r>
      <w:r w:rsidRPr="00F036E1">
        <w:rPr>
          <w:color w:val="000000"/>
          <w:spacing w:val="-15"/>
          <w:u w:val="single"/>
        </w:rPr>
        <w:t>Progreso social en la UE en 2016</w:t>
      </w:r>
      <w:r w:rsidRPr="00F036E1">
        <w:rPr>
          <w:color w:val="000000"/>
          <w:spacing w:val="-15"/>
        </w:rPr>
        <w:t xml:space="preserve"> (El País -  </w:t>
      </w:r>
      <w:r w:rsidRPr="00F036E1">
        <w:rPr>
          <w:b/>
          <w:color w:val="000000"/>
          <w:spacing w:val="-15"/>
        </w:rPr>
        <w:t>2/12/16</w:t>
      </w:r>
      <w:r w:rsidRPr="00F036E1">
        <w:rPr>
          <w:color w:val="000000"/>
          <w:spacing w:val="-15"/>
        </w:rPr>
        <w:t>)</w:t>
      </w:r>
    </w:p>
    <w:p w:rsidR="004C7D39" w:rsidRPr="00F036E1" w:rsidRDefault="004C7D39" w:rsidP="004C7D39">
      <w:pPr>
        <w:pStyle w:val="NormalWeb"/>
        <w:spacing w:after="240"/>
        <w:jc w:val="both"/>
      </w:pPr>
      <w:r w:rsidRPr="00F036E1">
        <w:t>Índice que mide las necesidades básicas, bienestar y oportunidades</w:t>
      </w:r>
    </w:p>
    <w:p w:rsidR="00F26D15" w:rsidRPr="004531DF" w:rsidRDefault="00F26D15" w:rsidP="00F26D15">
      <w:pPr>
        <w:pStyle w:val="Ttulo2"/>
        <w:jc w:val="both"/>
        <w:textAlignment w:val="baseline"/>
        <w:rPr>
          <w:b w:val="0"/>
          <w:sz w:val="24"/>
          <w:szCs w:val="24"/>
        </w:rPr>
      </w:pPr>
      <w:r w:rsidRPr="004531DF">
        <w:rPr>
          <w:sz w:val="24"/>
          <w:szCs w:val="24"/>
        </w:rPr>
        <w:t>El progreso está al norte</w:t>
      </w:r>
    </w:p>
    <w:p w:rsidR="00F26D15" w:rsidRPr="004531DF" w:rsidRDefault="00F26D15" w:rsidP="00F26D15">
      <w:pPr>
        <w:pStyle w:val="NormalWeb"/>
        <w:shd w:val="clear" w:color="auto" w:fill="FFFFFF"/>
        <w:spacing w:before="0" w:beforeAutospacing="0" w:after="0" w:afterAutospacing="0"/>
        <w:jc w:val="both"/>
        <w:textAlignment w:val="baseline"/>
        <w:rPr>
          <w:rFonts w:ascii="inherit" w:hAnsi="inherit" w:cs="Arial"/>
          <w:sz w:val="26"/>
          <w:szCs w:val="26"/>
        </w:rPr>
      </w:pPr>
      <w:r w:rsidRPr="004531DF">
        <w:t>Los países del Sur y Este de Europa ofrecen un índice de progreso social mucho menor que los del norte y centro. Entre otras razones, cuentan con una distribución desigual de ingresos y mayores tasas de corrupción, así como un limitado acceso a la educación</w:t>
      </w:r>
      <w:r w:rsidRPr="004531DF">
        <w:rPr>
          <w:rFonts w:ascii="inherit" w:hAnsi="inherit" w:cs="Arial"/>
          <w:sz w:val="26"/>
          <w:szCs w:val="26"/>
        </w:rPr>
        <w:t xml:space="preserve"> superior.</w:t>
      </w:r>
    </w:p>
    <w:p w:rsidR="004531DF" w:rsidRPr="004531DF" w:rsidRDefault="004531DF" w:rsidP="00F26D15">
      <w:pPr>
        <w:pStyle w:val="NormalWeb"/>
        <w:shd w:val="clear" w:color="auto" w:fill="FFFFFF"/>
        <w:spacing w:before="0" w:beforeAutospacing="0" w:after="0" w:afterAutospacing="0"/>
        <w:jc w:val="both"/>
        <w:textAlignment w:val="baseline"/>
        <w:rPr>
          <w:rFonts w:ascii="inherit" w:hAnsi="inherit" w:cs="Arial"/>
          <w:sz w:val="26"/>
          <w:szCs w:val="26"/>
        </w:rPr>
      </w:pPr>
    </w:p>
    <w:p w:rsidR="004531DF" w:rsidRPr="004531DF" w:rsidRDefault="004531DF" w:rsidP="00F26D15">
      <w:pPr>
        <w:pStyle w:val="NormalWeb"/>
        <w:shd w:val="clear" w:color="auto" w:fill="FFFFFF"/>
        <w:spacing w:before="0" w:beforeAutospacing="0" w:after="0" w:afterAutospacing="0"/>
        <w:jc w:val="both"/>
        <w:textAlignment w:val="baseline"/>
        <w:rPr>
          <w:rFonts w:ascii="inherit" w:hAnsi="inherit" w:cs="Arial"/>
          <w:sz w:val="26"/>
          <w:szCs w:val="26"/>
        </w:rPr>
      </w:pPr>
    </w:p>
    <w:p w:rsidR="00F26D15" w:rsidRPr="004531DF" w:rsidRDefault="00F26D15" w:rsidP="00F26D15">
      <w:pPr>
        <w:shd w:val="clear" w:color="auto" w:fill="FFFFFF"/>
        <w:textAlignment w:val="baseline"/>
        <w:rPr>
          <w:rFonts w:ascii="Arial" w:hAnsi="Arial" w:cs="Arial"/>
          <w:sz w:val="26"/>
          <w:szCs w:val="26"/>
        </w:rPr>
      </w:pPr>
      <w:r w:rsidRPr="004531DF">
        <w:rPr>
          <w:rFonts w:ascii="Arial" w:hAnsi="Arial" w:cs="Arial"/>
          <w:noProof/>
          <w:sz w:val="26"/>
          <w:szCs w:val="26"/>
        </w:rPr>
        <w:lastRenderedPageBreak/>
        <w:drawing>
          <wp:inline distT="0" distB="0" distL="0" distR="0">
            <wp:extent cx="5645150" cy="5835650"/>
            <wp:effectExtent l="0" t="0" r="0" b="0"/>
            <wp:docPr id="123" name="Imagen 123" descr="https://elpais.com/infografias/2016/2016-12-04_Progresosocial/COVER-98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elpais.com/infografias/2016/2016-12-04_Progresosocial/COVER-980A.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645150" cy="5835650"/>
                    </a:xfrm>
                    <a:prstGeom prst="rect">
                      <a:avLst/>
                    </a:prstGeom>
                    <a:noFill/>
                    <a:ln>
                      <a:noFill/>
                    </a:ln>
                  </pic:spPr>
                </pic:pic>
              </a:graphicData>
            </a:graphic>
          </wp:inline>
        </w:drawing>
      </w:r>
    </w:p>
    <w:p w:rsidR="004531DF" w:rsidRDefault="004531DF" w:rsidP="004531DF">
      <w:pPr>
        <w:pStyle w:val="Ttulo3"/>
        <w:shd w:val="clear" w:color="auto" w:fill="FFFFFF"/>
        <w:spacing w:line="240" w:lineRule="auto"/>
        <w:textAlignment w:val="baseline"/>
        <w:rPr>
          <w:rFonts w:ascii="Times New Roman" w:hAnsi="Times New Roman" w:cs="Times New Roman"/>
          <w:color w:val="auto"/>
          <w:sz w:val="24"/>
          <w:szCs w:val="24"/>
        </w:rPr>
      </w:pPr>
    </w:p>
    <w:p w:rsidR="00F26D15" w:rsidRPr="004531DF" w:rsidRDefault="00F26D15" w:rsidP="004531DF">
      <w:pPr>
        <w:pStyle w:val="Ttulo3"/>
        <w:shd w:val="clear" w:color="auto" w:fill="FFFFFF"/>
        <w:spacing w:line="240" w:lineRule="auto"/>
        <w:textAlignment w:val="baseline"/>
        <w:rPr>
          <w:rFonts w:ascii="Times New Roman" w:hAnsi="Times New Roman" w:cs="Times New Roman"/>
          <w:color w:val="auto"/>
          <w:sz w:val="24"/>
          <w:szCs w:val="24"/>
        </w:rPr>
      </w:pPr>
      <w:r w:rsidRPr="004531DF">
        <w:rPr>
          <w:rFonts w:ascii="Times New Roman" w:hAnsi="Times New Roman" w:cs="Times New Roman"/>
          <w:color w:val="auto"/>
          <w:sz w:val="24"/>
          <w:szCs w:val="24"/>
        </w:rPr>
        <w:t>El triunfo del modelo nórdico</w:t>
      </w:r>
    </w:p>
    <w:p w:rsidR="004531DF" w:rsidRDefault="004531DF" w:rsidP="004531DF">
      <w:pPr>
        <w:pStyle w:val="NormalWeb"/>
        <w:shd w:val="clear" w:color="auto" w:fill="FFFFFF"/>
        <w:spacing w:before="0" w:beforeAutospacing="0" w:after="0" w:afterAutospacing="0"/>
        <w:textAlignment w:val="baseline"/>
        <w:rPr>
          <w:rFonts w:asciiTheme="minorHAnsi" w:eastAsiaTheme="minorEastAsia" w:hAnsiTheme="minorHAnsi" w:cstheme="minorBidi"/>
          <w:sz w:val="22"/>
          <w:szCs w:val="22"/>
        </w:rPr>
      </w:pPr>
    </w:p>
    <w:p w:rsidR="00F26D15" w:rsidRDefault="00F26D15" w:rsidP="0043396B">
      <w:pPr>
        <w:pStyle w:val="NormalWeb"/>
        <w:shd w:val="clear" w:color="auto" w:fill="FFFFFF"/>
        <w:spacing w:before="0" w:beforeAutospacing="0" w:after="0" w:afterAutospacing="0"/>
        <w:jc w:val="both"/>
        <w:textAlignment w:val="baseline"/>
      </w:pPr>
      <w:r w:rsidRPr="004531DF">
        <w:t>Finlandia, Dinamarca y Suecia ocupan las primeras posiciones en progreso social por su modelo inclusivo. Cuentan con un sistema educativo más amplio, un acceso más igual a los servicios públicos y un menor índice de corrupción.</w:t>
      </w:r>
    </w:p>
    <w:p w:rsidR="004531DF" w:rsidRDefault="004531DF" w:rsidP="004531DF">
      <w:pPr>
        <w:pStyle w:val="NormalWeb"/>
        <w:shd w:val="clear" w:color="auto" w:fill="FFFFFF"/>
        <w:spacing w:before="0" w:beforeAutospacing="0" w:after="0" w:afterAutospacing="0"/>
        <w:textAlignment w:val="baseline"/>
      </w:pPr>
    </w:p>
    <w:p w:rsidR="004531DF" w:rsidRPr="004531DF" w:rsidRDefault="004531DF" w:rsidP="004531DF">
      <w:pPr>
        <w:pStyle w:val="NormalWeb"/>
        <w:shd w:val="clear" w:color="auto" w:fill="FFFFFF"/>
        <w:spacing w:before="0" w:beforeAutospacing="0" w:after="0" w:afterAutospacing="0"/>
        <w:textAlignment w:val="baseline"/>
      </w:pPr>
    </w:p>
    <w:p w:rsidR="00F26D15" w:rsidRDefault="00F26D15" w:rsidP="00F26D15">
      <w:pPr>
        <w:shd w:val="clear" w:color="auto" w:fill="FFFFFF"/>
        <w:textAlignment w:val="baseline"/>
        <w:rPr>
          <w:rFonts w:ascii="Arial" w:hAnsi="Arial" w:cs="Arial"/>
          <w:color w:val="444444"/>
          <w:sz w:val="26"/>
          <w:szCs w:val="26"/>
        </w:rPr>
      </w:pPr>
      <w:r>
        <w:rPr>
          <w:rFonts w:ascii="Arial" w:hAnsi="Arial" w:cs="Arial"/>
          <w:noProof/>
          <w:color w:val="444444"/>
          <w:sz w:val="26"/>
          <w:szCs w:val="26"/>
        </w:rPr>
        <w:lastRenderedPageBreak/>
        <w:drawing>
          <wp:inline distT="0" distB="0" distL="0" distR="0">
            <wp:extent cx="5607050" cy="3949700"/>
            <wp:effectExtent l="0" t="0" r="0" b="0"/>
            <wp:docPr id="122" name="Imagen 122" descr="https://elpais.com/infografias/2016/2016-12-04_Progresosocial/COVER-98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elpais.com/infografias/2016/2016-12-04_Progresosocial/COVER-980B.pn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607050" cy="3949700"/>
                    </a:xfrm>
                    <a:prstGeom prst="rect">
                      <a:avLst/>
                    </a:prstGeom>
                    <a:noFill/>
                    <a:ln>
                      <a:noFill/>
                    </a:ln>
                  </pic:spPr>
                </pic:pic>
              </a:graphicData>
            </a:graphic>
          </wp:inline>
        </w:drawing>
      </w:r>
    </w:p>
    <w:p w:rsidR="004531DF" w:rsidRDefault="004531DF" w:rsidP="004531D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Radiografía de la falta de oportunidades</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Yugoiztochen, la peor de la UE. Al sudeste de Bulgaria se encuentra Yugoiztochen, una región con poco más de un millón de habitantes, apenas 5.237 millones de PIB y una renta de 9.000 euros. Según el Social Progress Index, es la que menos oportunidades ofrece a los ciudadanos de toda la UE. Le sigue Severozapaden, en el mismo país, zona donde apenas hay universidades y que tiene la peor tasa de esperanza de vida.</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La zona con más oportunidades. Rodeada por vastos paisajes, Övre Norrland, la región más septentrional de Suecia (forma parte de</w:t>
      </w:r>
      <w:r w:rsidR="003E11E9">
        <w:rPr>
          <w:rFonts w:ascii="Times New Roman" w:hAnsi="Times New Roman" w:cs="Times New Roman"/>
          <w:sz w:val="24"/>
          <w:szCs w:val="24"/>
        </w:rPr>
        <w:t xml:space="preserve"> Sápmi, Laponia) encabeza el ra</w:t>
      </w:r>
      <w:r w:rsidRPr="004531DF">
        <w:rPr>
          <w:rFonts w:ascii="Times New Roman" w:hAnsi="Times New Roman" w:cs="Times New Roman"/>
          <w:sz w:val="24"/>
          <w:szCs w:val="24"/>
        </w:rPr>
        <w:t>nking regional de las zonas que ofrecen más oportunidades del continente. Más del 20% de su población tiene estudios superiores (las mujeres, en proporción, están mucho mejor formadas que los hombres). Es una gran exportadora de madera y minerales.</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Madrid, la mejor situada de España. En el puesto número 92 entre 273 regiones del continente se sitúa Madrid dentro de la clasificación del índice que mide el progreso en Europa. A su favor, ofrece un buen acceso a servicios básicos y aceptables niveles de tolerancia. En su contra, la baja confianza de sus ciudadanos en el sistema político así como una alta percepción de la corrupción.</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 xml:space="preserve">Londres, ¿una gran capital? Con un PIB per </w:t>
      </w:r>
      <w:r w:rsidR="003E11E9" w:rsidRPr="004531DF">
        <w:rPr>
          <w:rFonts w:ascii="Times New Roman" w:hAnsi="Times New Roman" w:cs="Times New Roman"/>
          <w:sz w:val="24"/>
          <w:szCs w:val="24"/>
        </w:rPr>
        <w:t>cápita</w:t>
      </w:r>
      <w:r w:rsidRPr="004531DF">
        <w:rPr>
          <w:rFonts w:ascii="Times New Roman" w:hAnsi="Times New Roman" w:cs="Times New Roman"/>
          <w:sz w:val="24"/>
          <w:szCs w:val="24"/>
        </w:rPr>
        <w:t xml:space="preserve"> de 80.400 euros, el más alto de la UE, Londres ofrece, comparativamente con otras ciudades de su nivel, muy malos resultados en sanidad (mortalidad infantil y muertes antes de los 65 años altas), calidad del agua, sanidad básica y seguridad personal. También falla en aspectos como su alto número de jóvenes que ni estudian ni trabajan.</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 xml:space="preserve">El débil corazón europeo. Bruselas es otro de esos ejemplos sorprendentes: ocupa el tercer puesto en la generación de riqueza pero queda relegada al 81 (de 272 regiones) en relación a </w:t>
      </w:r>
      <w:r w:rsidRPr="004531DF">
        <w:rPr>
          <w:rFonts w:ascii="Times New Roman" w:hAnsi="Times New Roman" w:cs="Times New Roman"/>
          <w:sz w:val="24"/>
          <w:szCs w:val="24"/>
        </w:rPr>
        <w:lastRenderedPageBreak/>
        <w:t>lo que ofrece a sus ciudadanos. Un bajo nivel educativo, el alto coste de la vivienda (que comparte con Londres), una alta tasa de muertes por enfermedades cardíacas o una alta tasa de homicidios lastran su puntuación.</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Poca potencia italiana. Cinco de las 10 regiones que menos oportunidades de desarrollo ofrecen a sus ciudadanos (en relación a su PIB) están en Italia. Se trata de Véneto, Liguria, Piamonte, el Valle de Aosta y Lombardía. Además, las regiones del sur del país registran las peores puntuaciones globales, entre otras cosas por la baja calidad de los servicios públicos y la escasa confianza en las instituciones.</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Los grupos de la cabeza y la cola. Junto a la capital de España, las regiones más avanzadas del país son el País Vasco, Navarra, Cantabria y Castilla y León. El informe sitúa en la cola, por este orden, a Melilla, Ceuta, Andalucía, Baleares y Castilla La Mancha. Los autores del estudio destacan el gran desequilibrio que existe entre las autonomías españolas, mayor que el que se detecta en países de tamaños similares.</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Educación. Baleares presenta la tasa de inscripción en educación secundaria más baja del país, seguida de Melilla, Ceuta y Canarias. En cambio, Ceuta, Extremadura y Andalucía son las tres regiones donde el abandono temprano de la escuela es mayor. Extremadura, Baleares y Castilla La Mancha tienen las peores puntuaciones en acceso a la educación superior. En el lado opuesto están País Vasco, Madrid y Navarra.</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Sanidad. España sale muy bien parada en los parámetros que miden la salud y el bienestar, así como en el acceso a cuidados sanitarios básicos y nutrición. Y eso pese a que el presupuesto para sostener hospitales y centros de salud ha caído un 14% durante la crisis (más de 10.000 millones). Sin embargo, los indicadores de opinión de los ciudadanos y las listas de espera anticipan que esa situación puede terminar por revertirse.</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Corrupción.</w:t>
      </w:r>
      <w:r w:rsidR="003E11E9">
        <w:rPr>
          <w:rFonts w:ascii="Times New Roman" w:hAnsi="Times New Roman" w:cs="Times New Roman"/>
          <w:sz w:val="24"/>
          <w:szCs w:val="24"/>
        </w:rPr>
        <w:t xml:space="preserve"> </w:t>
      </w:r>
      <w:r w:rsidRPr="004531DF">
        <w:rPr>
          <w:rFonts w:ascii="Times New Roman" w:hAnsi="Times New Roman" w:cs="Times New Roman"/>
          <w:sz w:val="24"/>
          <w:szCs w:val="24"/>
        </w:rPr>
        <w:t>La corrupción es un grave problema en un buen número de regiones de Italia, Bulgaria, Rumanía o Grecia. España se encuentra en posiciones intermedias en la tabla. La clasificación tiene en el lado opuesto la limpieza de los países nórdicos. En España a principios de este año había un millar de políticos con causas judiciales pendientes. Un 95% de ciudadanos están convencidos de que el sistema favorece la impunidad.</w:t>
      </w:r>
    </w:p>
    <w:p w:rsidR="004531DF" w:rsidRP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La pobreza de los salarios. Según un estudio de UGT, un total de 5,9 millones de personas, es decir, el 35% de los asalariados, cobra menos del Salario Mínimo Interprofesional (SMI), fijado en 655,20 euros para 2016. A eso se añade, según datos del INE, que en la última década los trabajadores con ingresos bajos, (en especial</w:t>
      </w:r>
      <w:r w:rsidR="003E11E9">
        <w:rPr>
          <w:rFonts w:ascii="Times New Roman" w:hAnsi="Times New Roman" w:cs="Times New Roman"/>
          <w:sz w:val="24"/>
          <w:szCs w:val="24"/>
        </w:rPr>
        <w:t>,</w:t>
      </w:r>
      <w:r w:rsidRPr="004531DF">
        <w:rPr>
          <w:rFonts w:ascii="Times New Roman" w:hAnsi="Times New Roman" w:cs="Times New Roman"/>
          <w:sz w:val="24"/>
          <w:szCs w:val="24"/>
        </w:rPr>
        <w:t xml:space="preserve"> los trabajadores a tiempo parcial), han perdido un 11,4% de salario.</w:t>
      </w:r>
    </w:p>
    <w:p w:rsidR="004531DF" w:rsidRDefault="004531DF" w:rsidP="004531DF">
      <w:pPr>
        <w:shd w:val="clear" w:color="auto" w:fill="FFFFFF"/>
        <w:spacing w:line="240" w:lineRule="auto"/>
        <w:jc w:val="both"/>
        <w:textAlignment w:val="baseline"/>
        <w:rPr>
          <w:rFonts w:ascii="Times New Roman" w:hAnsi="Times New Roman" w:cs="Times New Roman"/>
          <w:sz w:val="24"/>
          <w:szCs w:val="24"/>
        </w:rPr>
      </w:pPr>
      <w:r w:rsidRPr="004531DF">
        <w:rPr>
          <w:rFonts w:ascii="Times New Roman" w:hAnsi="Times New Roman" w:cs="Times New Roman"/>
          <w:sz w:val="24"/>
          <w:szCs w:val="24"/>
        </w:rPr>
        <w:t>Jóvenes con la vida difícil. Solo el 20% de la población joven (entre 16 y 29 años) ha conseguido emanciparse de sus padres, según los datos del Consejo de Juventud español. El 92,5% de las contrataciones realizadas a personas menores de 30 años son de carácter temporal y la tasa de paro en ese colectivo se eleva al 34,4%. Un panorama desolador que marcará el futuro económico del país.</w:t>
      </w:r>
    </w:p>
    <w:p w:rsidR="004C7D39" w:rsidRPr="003E11E9" w:rsidRDefault="004C7D39" w:rsidP="0043396B">
      <w:pPr>
        <w:pStyle w:val="Ttulo1"/>
        <w:spacing w:before="450" w:after="300" w:line="240" w:lineRule="atLeast"/>
        <w:jc w:val="both"/>
        <w:textAlignment w:val="baseline"/>
        <w:rPr>
          <w:rFonts w:ascii="Times New Roman" w:hAnsi="Times New Roman" w:cs="Times New Roman"/>
          <w:b w:val="0"/>
          <w:color w:val="000000"/>
          <w:sz w:val="24"/>
          <w:szCs w:val="24"/>
        </w:rPr>
      </w:pPr>
      <w:r w:rsidRPr="0043396B">
        <w:rPr>
          <w:rFonts w:ascii="Times New Roman" w:hAnsi="Times New Roman" w:cs="Times New Roman"/>
          <w:color w:val="000000"/>
          <w:sz w:val="24"/>
          <w:szCs w:val="24"/>
        </w:rPr>
        <w:lastRenderedPageBreak/>
        <w:t>Una desigualdad de la que nadie quiere acordarse</w:t>
      </w:r>
      <w:r>
        <w:rPr>
          <w:rFonts w:ascii="Times New Roman" w:hAnsi="Times New Roman" w:cs="Times New Roman"/>
          <w:b w:val="0"/>
          <w:color w:val="000000"/>
          <w:sz w:val="24"/>
          <w:szCs w:val="24"/>
        </w:rPr>
        <w:t xml:space="preserve"> - </w:t>
      </w:r>
      <w:r w:rsidRPr="003E11E9">
        <w:rPr>
          <w:rFonts w:ascii="Times New Roman" w:hAnsi="Times New Roman" w:cs="Times New Roman"/>
          <w:b w:val="0"/>
          <w:color w:val="000000"/>
          <w:sz w:val="24"/>
          <w:szCs w:val="24"/>
          <w:u w:val="single"/>
        </w:rPr>
        <w:t>Las diferencias en la economía sumergida de los países de la UE</w:t>
      </w:r>
      <w:r>
        <w:rPr>
          <w:rFonts w:ascii="Times New Roman" w:hAnsi="Times New Roman" w:cs="Times New Roman"/>
          <w:b w:val="0"/>
          <w:color w:val="000000"/>
          <w:sz w:val="24"/>
          <w:szCs w:val="24"/>
        </w:rPr>
        <w:t xml:space="preserve"> (Institución Futuro - </w:t>
      </w:r>
      <w:r w:rsidRPr="003E11E9">
        <w:rPr>
          <w:rFonts w:ascii="Times New Roman" w:hAnsi="Times New Roman" w:cs="Times New Roman"/>
          <w:color w:val="000000"/>
          <w:sz w:val="24"/>
          <w:szCs w:val="24"/>
        </w:rPr>
        <w:t>7/4/15</w:t>
      </w:r>
      <w:r>
        <w:rPr>
          <w:rFonts w:ascii="Times New Roman" w:hAnsi="Times New Roman" w:cs="Times New Roman"/>
          <w:b w:val="0"/>
          <w:color w:val="000000"/>
          <w:sz w:val="24"/>
          <w:szCs w:val="24"/>
        </w:rPr>
        <w:t xml:space="preserve">) </w:t>
      </w:r>
    </w:p>
    <w:p w:rsidR="003E11E9" w:rsidRDefault="003E11E9" w:rsidP="003E11E9">
      <w:pPr>
        <w:textAlignment w:val="baseline"/>
        <w:rPr>
          <w:sz w:val="24"/>
          <w:szCs w:val="24"/>
        </w:rPr>
      </w:pPr>
      <w:r>
        <w:rPr>
          <w:noProof/>
        </w:rPr>
        <w:drawing>
          <wp:inline distT="0" distB="0" distL="0" distR="0">
            <wp:extent cx="5689600" cy="7385050"/>
            <wp:effectExtent l="0" t="0" r="6350" b="6350"/>
            <wp:docPr id="125" name="Imagen 125" descr="https://ifuturo.org/wp-content/uploads/2019/08/economia_sumergid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futuro.org/wp-content/uploads/2019/08/economia_sumergida3.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689600" cy="7385050"/>
                    </a:xfrm>
                    <a:prstGeom prst="rect">
                      <a:avLst/>
                    </a:prstGeom>
                    <a:noFill/>
                    <a:ln>
                      <a:noFill/>
                    </a:ln>
                  </pic:spPr>
                </pic:pic>
              </a:graphicData>
            </a:graphic>
          </wp:inline>
        </w:drawing>
      </w:r>
    </w:p>
    <w:p w:rsidR="004C7D39" w:rsidRDefault="003E11E9" w:rsidP="0043396B">
      <w:pPr>
        <w:pStyle w:val="NormalWeb"/>
        <w:spacing w:before="0" w:beforeAutospacing="0" w:after="0" w:afterAutospacing="0"/>
        <w:jc w:val="both"/>
        <w:textAlignment w:val="baseline"/>
      </w:pPr>
      <w:r>
        <w:t>Los datos de la economía sumergida en los países de la UE ofrecen grandes diferencias entre unos y otros. Seguro que estas cifran no les resultan novedosas. Ahora bien, pocas veces se encuentran estos datos agrupados tal y como los presenta el informe “The Shadow Economy in Europe 2013”, de AT Keary y Visa.</w:t>
      </w:r>
    </w:p>
    <w:p w:rsidR="00C3191A" w:rsidRDefault="00C3191A" w:rsidP="004C7D39">
      <w:pPr>
        <w:pStyle w:val="NormalWeb"/>
        <w:spacing w:before="0" w:beforeAutospacing="0" w:after="0" w:afterAutospacing="0"/>
        <w:textAlignment w:val="baseline"/>
      </w:pPr>
      <w:r>
        <w:lastRenderedPageBreak/>
        <w:t xml:space="preserve">- </w:t>
      </w:r>
      <w:r w:rsidRPr="00C3191A">
        <w:rPr>
          <w:u w:val="single"/>
        </w:rPr>
        <w:t>La Europa de las divergencias</w:t>
      </w:r>
      <w:r>
        <w:t xml:space="preserve"> (eldiario.es - Rev. Alternativas Económicas - </w:t>
      </w:r>
      <w:r w:rsidRPr="00C3191A">
        <w:rPr>
          <w:b/>
        </w:rPr>
        <w:t>31/10/19</w:t>
      </w:r>
      <w:r>
        <w:t>)</w:t>
      </w:r>
    </w:p>
    <w:p w:rsidR="00C3191A" w:rsidRDefault="00C3191A" w:rsidP="00C3191A">
      <w:pPr>
        <w:pStyle w:val="NormalWeb"/>
        <w:shd w:val="clear" w:color="auto" w:fill="FFFFFF"/>
        <w:spacing w:after="300"/>
        <w:jc w:val="both"/>
      </w:pPr>
      <w:r>
        <w:t>En lugar de estrecharse, algunas brechas productivas, sociales y territoriales que separaban a los países de la UE se han agrandado</w:t>
      </w:r>
    </w:p>
    <w:p w:rsidR="00C3191A" w:rsidRDefault="00C3191A" w:rsidP="00C3191A">
      <w:pPr>
        <w:pStyle w:val="NormalWeb"/>
        <w:shd w:val="clear" w:color="auto" w:fill="FFFFFF"/>
        <w:spacing w:after="300"/>
        <w:jc w:val="both"/>
      </w:pPr>
      <w:r>
        <w:t>Se impone un cambio de rumbo en la construcción europea, una nueva hoja de ruta que ponga en el centro de la agenda lo público, la cooperación y la redistribución</w:t>
      </w:r>
    </w:p>
    <w:p w:rsidR="00C3191A" w:rsidRDefault="00C3191A" w:rsidP="00C3191A">
      <w:pPr>
        <w:pStyle w:val="NormalWeb"/>
        <w:shd w:val="clear" w:color="auto" w:fill="FFFFFF"/>
        <w:spacing w:after="300"/>
        <w:jc w:val="both"/>
      </w:pPr>
      <w:r>
        <w:t xml:space="preserve">(Por Fernando Luengo) </w:t>
      </w:r>
    </w:p>
    <w:p w:rsidR="00C3191A" w:rsidRPr="00C3191A" w:rsidRDefault="00C3191A" w:rsidP="00C3191A">
      <w:pPr>
        <w:pStyle w:val="NormalWeb"/>
        <w:shd w:val="clear" w:color="auto" w:fill="FFFFFF"/>
        <w:spacing w:after="300"/>
        <w:jc w:val="both"/>
      </w:pPr>
      <w:r w:rsidRPr="00C3191A">
        <w:t>Uno de los objetivos centrales de la construcción europea ha sido alcanzar cotas crecientes de convergencia entre las economías que formaban parte de ese proceso. Los sucesivos tratados, los documentos oficiales de las instituciones comunitarias y las declaraciones de sus principales responsables no solo ponen el énfasis en esta meta como piedra angular de todo el edificio comunitario, sino que manifiestan haber t</w:t>
      </w:r>
      <w:r>
        <w:t xml:space="preserve">enido éxito en su consecución. </w:t>
      </w:r>
    </w:p>
    <w:p w:rsidR="00C3191A" w:rsidRPr="00C3191A" w:rsidRDefault="00C3191A" w:rsidP="00C3191A">
      <w:pPr>
        <w:pStyle w:val="NormalWeb"/>
        <w:shd w:val="clear" w:color="auto" w:fill="FFFFFF"/>
        <w:spacing w:after="300"/>
        <w:jc w:val="both"/>
      </w:pPr>
      <w:r w:rsidRPr="00C3191A">
        <w:t>Proceder a una valoración de los resultados obtenidos en esta materia exige delimitar el ámbito de análisis, pues con el término convergencia se alude a una variedad de cuestiones diferentes. Buena parte de los trabajos llevados a cabo han colocado el foco en la convergencia macroeconómica, medida a través del PIB por habitante, y en la nominal, reflejada en el comportamiento de la inflación, los tipos de interés y los niveles de deuda y déficit públicos (los denominados criterios de Maastricht). Desde esta perspectiva, habría convergencia si los países con un PIB por habitante más bajo reducen las diferencias que las separan de las más avanzadas; por otro lado, existiría una dinámica de convergencia nominal si las economías relativamente rezagadas se agrupan alrededor de las que ofrecen un cuadro macroeconómico más favorable.</w:t>
      </w:r>
    </w:p>
    <w:p w:rsidR="00C3191A" w:rsidRPr="00C3191A" w:rsidRDefault="00C3191A" w:rsidP="00C3191A">
      <w:pPr>
        <w:pStyle w:val="NormalWeb"/>
        <w:shd w:val="clear" w:color="auto" w:fill="FFFFFF"/>
        <w:spacing w:after="300"/>
        <w:jc w:val="both"/>
      </w:pPr>
      <w:r w:rsidRPr="00C3191A">
        <w:t>A diferencia de ese planteamiento, las líneas que siguen están centradas en lo que cabe denominar como convergencia estructural, expresión que apunta al cierre de brechas productivas, sociales y territoriales existentes dentro del espacio comunitario, y que se hicieron especialmente visibles con la entrada en las Comunidades Europeas (Unión Europea desde 1993) de países que, como el nuestro, contaban en el momento de la adhesión con estructuras económicas más frágiles qu</w:t>
      </w:r>
      <w:r>
        <w:t>e las de los socios fundadores.</w:t>
      </w:r>
    </w:p>
    <w:p w:rsidR="00C3191A" w:rsidRPr="00C3191A" w:rsidRDefault="00C3191A" w:rsidP="00C3191A">
      <w:pPr>
        <w:pStyle w:val="NormalWeb"/>
        <w:shd w:val="clear" w:color="auto" w:fill="FFFFFF"/>
        <w:spacing w:after="300"/>
        <w:jc w:val="both"/>
      </w:pPr>
      <w:r w:rsidRPr="00C3191A">
        <w:t>Esta aproximación estructural a la convergencia se contempla aquí a partir del comportamiento de un paquete de indicadores: la productividad laboral, medida por el PIB real por hora trabajada, la relevancia de las actividades intensivas en media-alta y alta tecnología en el valor añadido global y el saldo comercial relativo de las manufacturas intensivas en tecnología y trabajo cualificado, expresado como el cociente entre el saldo comercial obtenido en estos bienes y la suma de las exportaciones y las importaciones to</w:t>
      </w:r>
      <w:r>
        <w:t>tales de los países examinados.</w:t>
      </w:r>
    </w:p>
    <w:p w:rsidR="00C3191A" w:rsidRPr="00C3191A" w:rsidRDefault="00C3191A" w:rsidP="00C3191A">
      <w:pPr>
        <w:pStyle w:val="NormalWeb"/>
        <w:shd w:val="clear" w:color="auto" w:fill="FFFFFF"/>
        <w:spacing w:after="300"/>
        <w:jc w:val="both"/>
      </w:pPr>
      <w:r w:rsidRPr="00C3191A">
        <w:t>Comparo su evolución a lo largo del primer periodo de vigencia de la Unión Económica y Monetaria (UEM), hasta la implosión financiera, y durante los años de crisis, hasta 2018 para dos grupos de países. Uno, que denomino Centro, agrupa a Alemania, Austria, Bélgica, Finlandia, Francia, Holanda y Luxemburgo; el otro, que llamo Periferia, integra a España, Grecia, Italia y Portugal. Soy consciente de que dentro de cada grupo se aprecian diferencias significativas; con todo, este agrupamiento permite identificar fracturas de calado estructural que atra</w:t>
      </w:r>
      <w:r>
        <w:t>viesan el edificio comunitario.</w:t>
      </w:r>
    </w:p>
    <w:p w:rsidR="00C3191A" w:rsidRPr="00C3191A" w:rsidRDefault="00C3191A" w:rsidP="00C3191A">
      <w:pPr>
        <w:pStyle w:val="NormalWeb"/>
        <w:shd w:val="clear" w:color="auto" w:fill="FFFFFF"/>
        <w:spacing w:after="300"/>
        <w:jc w:val="both"/>
      </w:pPr>
      <w:r w:rsidRPr="00C3191A">
        <w:lastRenderedPageBreak/>
        <w:t>Las brechas estructurales son sustanciales, persistentes y, en algunos casos, crecientes. La productividad por hora trabajada promedio de los países periféricos era en 1999 muy inferior a la de los centrales (el 55%); ese porcentaje se había reducido en 2007 en dos puntos porcentuales, manteniéndose en los años siguientes en torno a esos parámetros, según Ameco, base d</w:t>
      </w:r>
      <w:r>
        <w:t>e datos de la Comisión Europea.</w:t>
      </w:r>
    </w:p>
    <w:p w:rsidR="00C3191A" w:rsidRPr="00C3191A" w:rsidRDefault="00C3191A" w:rsidP="00C3191A">
      <w:pPr>
        <w:pStyle w:val="NormalWeb"/>
        <w:shd w:val="clear" w:color="auto" w:fill="FFFFFF"/>
        <w:spacing w:after="300"/>
        <w:jc w:val="both"/>
      </w:pPr>
      <w:r w:rsidRPr="00C3191A">
        <w:t>En lo que concierne a las actividades de media-alta y alta tecnología, su importancia en el valor añadido global en el grupo de países más rezagados alcanzaba en 1999 algo más de la mitad de lo que representaba en los más avanzados. Hasta 2007 la brecha continuó creciendo, pasando del 55% al 50%, para corregirse ligeramente en los años siguientes, hasta situarse en 2015 (último año del que se tienen datos) en un porcentaje ligeramente inferior al de 199</w:t>
      </w:r>
      <w:r>
        <w:t xml:space="preserve">9. </w:t>
      </w:r>
    </w:p>
    <w:p w:rsidR="00C3191A" w:rsidRPr="00C3191A" w:rsidRDefault="00C3191A" w:rsidP="00C3191A">
      <w:pPr>
        <w:pStyle w:val="NormalWeb"/>
        <w:shd w:val="clear" w:color="auto" w:fill="FFFFFF"/>
        <w:spacing w:after="300"/>
        <w:jc w:val="both"/>
      </w:pPr>
      <w:r w:rsidRPr="00C3191A">
        <w:t xml:space="preserve">Finalmente, los registros obtenidos por los dos grupos de países considerados en los intercambios de productos intensivos en trabajo cualificado y alta tecnología dan cuenta, asimismo, de la existencia de perfiles estructurales bien diferentes. Mientras que el grupo de los más avanzados presenta a lo largo de todo el periodo saldos comerciales excedentarios o en equilibrio, los periféricos acumulan déficits, cuya magnitud solo se reduce en los últimos años, en parte como consecuencia de la contención en la demanda de importaciones asociada a la </w:t>
      </w:r>
      <w:r>
        <w:t>recesión y el bajo crecimiento.</w:t>
      </w:r>
    </w:p>
    <w:p w:rsidR="00C3191A" w:rsidRPr="00C3191A" w:rsidRDefault="00C3191A" w:rsidP="00C3191A">
      <w:pPr>
        <w:pStyle w:val="NormalWeb"/>
        <w:shd w:val="clear" w:color="auto" w:fill="FFFFFF"/>
        <w:spacing w:after="300"/>
        <w:jc w:val="both"/>
      </w:pPr>
      <w:r>
        <w:t>Tesis invalida</w:t>
      </w:r>
    </w:p>
    <w:p w:rsidR="00C3191A" w:rsidRPr="00C3191A" w:rsidRDefault="00C3191A" w:rsidP="00C3191A">
      <w:pPr>
        <w:pStyle w:val="NormalWeb"/>
        <w:shd w:val="clear" w:color="auto" w:fill="FFFFFF"/>
        <w:spacing w:after="300"/>
        <w:jc w:val="both"/>
      </w:pPr>
      <w:r w:rsidRPr="00C3191A">
        <w:t>Nada tiene que ver el escenario que dibuja la información que acabo de presentar (y que, por supuesto, debe ser completada añadiendo otras variables de similar calado) con la presunción de que la construcción europea, en general, y la introducción de la moneda única, en particular, están avanzando por una senda convergente. La convergencia (en algunas variables nominales, sobre todo) convive con importantes divergencias estructurales.</w:t>
      </w:r>
    </w:p>
    <w:p w:rsidR="00C3191A" w:rsidRPr="00C3191A" w:rsidRDefault="00C3191A" w:rsidP="00C3191A">
      <w:pPr>
        <w:pStyle w:val="NormalWeb"/>
        <w:shd w:val="clear" w:color="auto" w:fill="FFFFFF"/>
        <w:spacing w:after="300"/>
        <w:jc w:val="both"/>
      </w:pPr>
      <w:r w:rsidRPr="00C3191A">
        <w:t>La cuestión es trascendente por varios motivos. En primer lugar, porque invalida la tesis de que la convergencia macroeconómica y nominal creaba las condiciones para una convergencia estructural. La evidencia empírica demuestra que esta conexión no se ha producido. Diría, más bien, que las políticas de signo estabilizador y, muy especialmente, las llevadas a cabo a partir de la firma del Tratado de Maastricht y de la entrada en vigor de la UEM han enquistado o acentuado las fract</w:t>
      </w:r>
      <w:r>
        <w:t>uras productivas y comerciales.</w:t>
      </w:r>
    </w:p>
    <w:p w:rsidR="00C3191A" w:rsidRPr="00C3191A" w:rsidRDefault="00C3191A" w:rsidP="00C3191A">
      <w:pPr>
        <w:pStyle w:val="NormalWeb"/>
        <w:shd w:val="clear" w:color="auto" w:fill="FFFFFF"/>
        <w:spacing w:after="300"/>
        <w:jc w:val="both"/>
      </w:pPr>
      <w:r w:rsidRPr="00C3191A">
        <w:t>En segundo lugar, la existencia de estas y otras fracturas nos hablan de una Europa jerarquizada, atravesada de importantes asimetrías. Este escenario nada tiene que ver con la retórica europeísta que, contra toda evidencia empírica, sostiene que la construcción europea es un juego de suma positiva en el que todos ganan, sobre todo las economías más rezagadas. Lo cierto es que el mercado único y la unión monetaria ofrecen las mayores oportunidades a las economías y las empresas que disponen de un potencial competitivo superior; la posición subalterna de los países periféricos y la división europea del trabajo que simbolizan resulta</w:t>
      </w:r>
      <w:r>
        <w:t>n funcionales a esos intereses.</w:t>
      </w:r>
    </w:p>
    <w:p w:rsidR="00C3191A" w:rsidRPr="00C3191A" w:rsidRDefault="00C3191A" w:rsidP="00C3191A">
      <w:pPr>
        <w:pStyle w:val="NormalWeb"/>
        <w:shd w:val="clear" w:color="auto" w:fill="FFFFFF"/>
        <w:spacing w:after="300"/>
        <w:jc w:val="both"/>
      </w:pPr>
      <w:r w:rsidRPr="00C3191A">
        <w:t xml:space="preserve">En tercer lugar, las disparidades estructurales ponen de manifiesto los límites y las carencias de las políticas redistributivas implementadas desde las instituciones comunitarias que, al menos en teoría, habían sido concebidas para cerrar brechas y abrir sendas convergentes. En el contexto de la construcción europea, los Estados han dispuesto de un margen de maniobra que podrían haber utilizado para promover políticas de signo modernizador. Pero no es menos cierto que, desde la década de 1980, en las instituciones comunitarias han ganado </w:t>
      </w:r>
      <w:r w:rsidRPr="00C3191A">
        <w:lastRenderedPageBreak/>
        <w:t xml:space="preserve">protagonismo las políticas (y la ideología) de la austeridad, reduciendo los recursos destinados a cerrar las brechas estructurales. Son recursos que, por lo demás, han sido en buena medida capturados por las grandes corporaciones </w:t>
      </w:r>
      <w:r>
        <w:t>de las economías más poderosas.</w:t>
      </w:r>
    </w:p>
    <w:p w:rsidR="00C3191A" w:rsidRPr="00C3191A" w:rsidRDefault="00C3191A" w:rsidP="00C3191A">
      <w:pPr>
        <w:pStyle w:val="NormalWeb"/>
        <w:shd w:val="clear" w:color="auto" w:fill="FFFFFF"/>
        <w:spacing w:after="300"/>
        <w:jc w:val="both"/>
      </w:pPr>
      <w:r>
        <w:t>Viraje necesario</w:t>
      </w:r>
    </w:p>
    <w:p w:rsidR="00C3191A" w:rsidRPr="00C3191A" w:rsidRDefault="00C3191A" w:rsidP="00C3191A">
      <w:pPr>
        <w:pStyle w:val="NormalWeb"/>
        <w:shd w:val="clear" w:color="auto" w:fill="FFFFFF"/>
        <w:spacing w:after="300"/>
        <w:jc w:val="both"/>
      </w:pPr>
      <w:r w:rsidRPr="00C3191A">
        <w:t xml:space="preserve">En cuarto lugar, porque pone de manifiesto el error y el sesgo de las políticas, exigidas con particular severidad a los países meridionales, basadas en la represión salarial, los ajustes estructurales y las reformas estructurales promercado. Estas políticas, lejos de contribuir a cerrar gaps, han profundizado </w:t>
      </w:r>
      <w:r>
        <w:t>las divergencias estructurales.</w:t>
      </w:r>
    </w:p>
    <w:p w:rsidR="00C3191A" w:rsidRPr="00C3191A" w:rsidRDefault="00C3191A" w:rsidP="00C3191A">
      <w:pPr>
        <w:pStyle w:val="NormalWeb"/>
        <w:shd w:val="clear" w:color="auto" w:fill="FFFFFF"/>
        <w:spacing w:after="300"/>
        <w:jc w:val="both"/>
      </w:pPr>
      <w:r w:rsidRPr="00C3191A">
        <w:t>De todo lo anterior se desprende que las instituciones comunitarias deberían proceder a una profunda reorientación de las políticas económicas aplicadas hasta el momento, y también del diseño institucional que las ha sostenido. Ese viraje pasaría, entre otras cosas, por aumentar de manera sustancial la capacidad financiera del presupuesto comunitario; avanzar una agenda de transformaciones estructurales con el objetivo de renovar y modernizar, con criterios de sostenibilidad, las capacidades productivas de las economías periféricas; aliviar con carácter inmediato la carga que para ellas representa la deuda y el cumplimiento de los rígidos criterios presupuestarios impuestos desde Bruselas, y asegurar una efectiva coordinación de las políticas aplicadas por los Estados miembros y, muy especialmente, reconducir la implementada por Alemania, dando mayor prot</w:t>
      </w:r>
      <w:r>
        <w:t xml:space="preserve">agonismo a la demanda interna. </w:t>
      </w:r>
    </w:p>
    <w:p w:rsidR="00023C04" w:rsidRDefault="00C3191A" w:rsidP="00C3191A">
      <w:pPr>
        <w:pStyle w:val="NormalWeb"/>
        <w:shd w:val="clear" w:color="auto" w:fill="FFFFFF"/>
        <w:spacing w:before="0" w:beforeAutospacing="0" w:after="300" w:afterAutospacing="0"/>
        <w:jc w:val="both"/>
      </w:pPr>
      <w:r w:rsidRPr="00C3191A">
        <w:t>Se impone, en consecuencia, un cambio de rumbo en la construcción europea. Una nueva hoja de ruta que ponga en el centro de la agenda lo público, la cooperación y la redistribución. No parece, sin embargo, que la constelación de intereses dominantes en presencia, que obtiene sustanciales beneficios del mantenimiento del actual estado de cosas, apunte en esa dirección.</w:t>
      </w:r>
      <w:r w:rsidR="00023C04" w:rsidRPr="00C3191A">
        <w:t> </w:t>
      </w:r>
    </w:p>
    <w:p w:rsidR="004C7D39" w:rsidRDefault="00A6787D" w:rsidP="004C7D39">
      <w:pPr>
        <w:pStyle w:val="NormalWeb"/>
        <w:shd w:val="clear" w:color="auto" w:fill="FFFFFF"/>
        <w:spacing w:before="0" w:beforeAutospacing="0" w:after="300" w:afterAutospacing="0"/>
        <w:jc w:val="both"/>
      </w:pPr>
      <w:r w:rsidRPr="00B140B8">
        <w:rPr>
          <w:b/>
        </w:rPr>
        <w:t>Eurocabreo</w:t>
      </w:r>
      <w:r>
        <w:t xml:space="preserve"> </w:t>
      </w:r>
      <w:r w:rsidR="004C7D39">
        <w:t xml:space="preserve">- </w:t>
      </w:r>
      <w:r w:rsidR="004C7D39" w:rsidRPr="004C7D39">
        <w:rPr>
          <w:u w:val="single"/>
        </w:rPr>
        <w:t>Desmontando la crisis de confianza en la UE</w:t>
      </w:r>
      <w:r w:rsidR="004C7D39">
        <w:t xml:space="preserve"> (El País </w:t>
      </w:r>
      <w:r>
        <w:t>-</w:t>
      </w:r>
      <w:r w:rsidR="004C7D39">
        <w:t xml:space="preserve"> </w:t>
      </w:r>
      <w:r w:rsidRPr="00A6787D">
        <w:rPr>
          <w:b/>
        </w:rPr>
        <w:t>14/2/19</w:t>
      </w:r>
      <w:r>
        <w:t>)</w:t>
      </w:r>
    </w:p>
    <w:p w:rsidR="004C7D39" w:rsidRDefault="004C7D39" w:rsidP="004C7D39">
      <w:pPr>
        <w:pStyle w:val="NormalWeb"/>
        <w:shd w:val="clear" w:color="auto" w:fill="F8F8F8"/>
        <w:spacing w:before="0" w:beforeAutospacing="0" w:after="0" w:afterAutospacing="0"/>
        <w:jc w:val="both"/>
      </w:pPr>
      <w:r w:rsidRPr="004C7D39">
        <w:t>A día de hoy, la Unión Europea (UE) se encuentra en una encrucijada política de complicada solución. Las múltiples crisis (económica, migratoria, democrática), así como el proceso de salida de Reino Unido, han encendido las luces de alarma entre los analistas y la élite burocrática y política de la UE, que siguen con preocupación las muestras de desafección y baja confianza aparente de los ciudadanos hacia la Unión.</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No obstante, </w:t>
      </w:r>
      <w:r w:rsidRPr="004D1A90">
        <w:rPr>
          <w:rStyle w:val="Textoennegrita"/>
          <w:rFonts w:eastAsiaTheme="majorEastAsia"/>
          <w:b w:val="0"/>
        </w:rPr>
        <w:t>el proceso por el cual los ciudadanos se forman una opinión sobre Europa es más complejo de lo que pudiera parecer a primera vista; incluso engañoso</w:t>
      </w:r>
      <w:r w:rsidRPr="004C7D39">
        <w:t>. Parte de la problemática en el diagnóstico sobre la crisis de confianza en la UE se debe a que muchos análisis suelen centrarse en una foto fija del estado de la cuestión tomada del </w:t>
      </w:r>
      <w:hyperlink r:id="rId190" w:history="1">
        <w:r w:rsidRPr="004C7D39">
          <w:rPr>
            <w:rStyle w:val="Hipervnculo"/>
            <w:color w:val="auto"/>
          </w:rPr>
          <w:t>Eurobarómetro</w:t>
        </w:r>
      </w:hyperlink>
      <w:r w:rsidRPr="004C7D39">
        <w:t> más reciente, lo que conduce a forzar narrativas sobre el impacto de la gestión de las crisis mencionadas anteriormente.</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Sin embargo, al igual que en muchos aspectos del análisis político, para poder entender el fenómeno de la confianza en la UE es necesario </w:t>
      </w:r>
      <w:r w:rsidRPr="004D1A90">
        <w:rPr>
          <w:rStyle w:val="Textoennegrita"/>
          <w:rFonts w:eastAsiaTheme="majorEastAsia"/>
          <w:b w:val="0"/>
        </w:rPr>
        <w:t>ampliar nuestra perspectiva</w:t>
      </w:r>
      <w:r w:rsidRPr="004C7D39">
        <w:t xml:space="preserve">. Con ello no estamos diciendo que las políticas europeas no tengan un impacto positivo o negativo en la opinión pública, sino que para una mejor comprensión de la confianza hacia la UE es necesario considerar todos los factores que lo condicionan. En este sentido, nuestra intención es la de complementar las más que necesarias reflexiones actuales sobre la cuestión y, sobre </w:t>
      </w:r>
      <w:r w:rsidRPr="004C7D39">
        <w:lastRenderedPageBreak/>
        <w:t>todo, la de dar continuidad a un debate que resulta crucial a la vista de la las próximas elecciones europeas.</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Una rigurosa aproximación al problema de la confianza en la UE requiere, primero, adoptar un punto de vista más amplio que tenga en cuenta </w:t>
      </w:r>
      <w:r w:rsidRPr="004D1A90">
        <w:rPr>
          <w:rStyle w:val="Textoennegrita"/>
          <w:rFonts w:eastAsiaTheme="majorEastAsia"/>
          <w:b w:val="0"/>
        </w:rPr>
        <w:t>su evolución a lo largo de varios años</w:t>
      </w:r>
      <w:r w:rsidRPr="004C7D39">
        <w:t>. Esto nos permitiría identificar la trascendencia real y la gravedad de una supuesta crisis de legitimidad en la Unión, al tener en cuenta que no se construyó en un día ni sobre la nada, y por tanto, la actual confianza en la misma hay que interpretarla en una perspectiva histórica y contextual.</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En segundo lugar, es necesario adoptar </w:t>
      </w:r>
      <w:r w:rsidRPr="004D1A90">
        <w:rPr>
          <w:rStyle w:val="Textoennegrita"/>
          <w:rFonts w:eastAsiaTheme="majorEastAsia"/>
          <w:b w:val="0"/>
        </w:rPr>
        <w:t>un enfoque multi-nivel</w:t>
      </w:r>
      <w:r w:rsidRPr="004C7D39">
        <w:t> donde se pueda discernir cómo los ciudadanos entienden y procesan la gestión de la política europea, y </w:t>
      </w:r>
      <w:r w:rsidRPr="004D1A90">
        <w:rPr>
          <w:rStyle w:val="Textoennegrita"/>
          <w:rFonts w:eastAsiaTheme="majorEastAsia"/>
          <w:b w:val="0"/>
        </w:rPr>
        <w:t>si lo hacen con independencia de sus experiencias personales o de su valoración de la política nacional</w:t>
      </w:r>
      <w:r w:rsidRPr="004D1A90">
        <w:rPr>
          <w:b/>
        </w:rPr>
        <w:t>.</w:t>
      </w:r>
      <w:r w:rsidRPr="004C7D39">
        <w:t xml:space="preserve"> Ya que, hasta lo que sabemos, los ciudadanos difícilmente usan u obtienen información de primera mano para formarse una opinión sobre cuestiones un tanto lejanas o desconocidas como son las políticas de la UE.</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Desde esta perspectiva, si bien es cierto que existe una gran variación de confianza hacia la UE entre los estados miembros, cuando echamos la vista atrás esta misma parece ser </w:t>
      </w:r>
      <w:r w:rsidRPr="004D1A90">
        <w:rPr>
          <w:rStyle w:val="Textoennegrita"/>
          <w:rFonts w:eastAsiaTheme="majorEastAsia"/>
          <w:b w:val="0"/>
        </w:rPr>
        <w:t>más estable</w:t>
      </w:r>
      <w:r w:rsidRPr="004C7D39">
        <w:t>, tanto a nivel regional como de país, de lo que cabría esperar en virtud de las visiones más alarmistas. De hecho, </w:t>
      </w:r>
      <w:r w:rsidRPr="004D1A90">
        <w:rPr>
          <w:rStyle w:val="Textoennegrita"/>
          <w:rFonts w:eastAsiaTheme="majorEastAsia"/>
          <w:b w:val="0"/>
        </w:rPr>
        <w:t>si miramos los datos del Eurobarómetro de la última década, tormentosa y difícil tanto a nivel europeo como de algunos estados miembros, destaca la falta de clara tendencia a la baja</w:t>
      </w:r>
      <w:r w:rsidRPr="004C7D39">
        <w:t> (ver gráfico 1).</w:t>
      </w:r>
    </w:p>
    <w:p w:rsidR="004C7D39" w:rsidRPr="004C7D39" w:rsidRDefault="004C7D39" w:rsidP="004C7D39">
      <w:pPr>
        <w:pStyle w:val="NormalWeb"/>
        <w:shd w:val="clear" w:color="auto" w:fill="F8F8F8"/>
        <w:spacing w:before="0" w:beforeAutospacing="0" w:after="0" w:afterAutospacing="0"/>
        <w:jc w:val="both"/>
      </w:pPr>
    </w:p>
    <w:p w:rsidR="004C7D39" w:rsidRPr="004C7D39" w:rsidRDefault="004D1A90" w:rsidP="004C7D39">
      <w:pPr>
        <w:shd w:val="clear" w:color="auto" w:fill="F8F8F8"/>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C7D39" w:rsidRPr="004C7D39">
        <w:rPr>
          <w:rFonts w:ascii="Times New Roman" w:hAnsi="Times New Roman" w:cs="Times New Roman"/>
          <w:noProof/>
          <w:sz w:val="24"/>
          <w:szCs w:val="24"/>
        </w:rPr>
        <w:drawing>
          <wp:inline distT="0" distB="0" distL="0" distR="0">
            <wp:extent cx="5060950" cy="3568700"/>
            <wp:effectExtent l="0" t="0" r="6350" b="0"/>
            <wp:docPr id="135" name="Imagen 135" descr="http://agendapublica.elpais.com/wp-content/uploads/2019/02/Captura-de-pantalla-2019-02-13-a-las-10.2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agendapublica.elpais.com/wp-content/uploads/2019/02/Captura-de-pantalla-2019-02-13-a-las-10.26.45.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060950" cy="3568700"/>
                    </a:xfrm>
                    <a:prstGeom prst="rect">
                      <a:avLst/>
                    </a:prstGeom>
                    <a:noFill/>
                    <a:ln>
                      <a:noFill/>
                    </a:ln>
                  </pic:spPr>
                </pic:pic>
              </a:graphicData>
            </a:graphic>
          </wp:inline>
        </w:drawing>
      </w:r>
    </w:p>
    <w:p w:rsidR="004C7D39" w:rsidRPr="004C7D39" w:rsidRDefault="004C7D39" w:rsidP="004C7D39">
      <w:pPr>
        <w:pStyle w:val="NormalWeb"/>
        <w:shd w:val="clear" w:color="auto" w:fill="F8F8F8"/>
        <w:spacing w:before="0" w:beforeAutospacing="0" w:after="0" w:afterAutospacing="0"/>
        <w:jc w:val="both"/>
      </w:pPr>
      <w:r w:rsidRPr="004C7D39">
        <w:t>Aunque sí es verdad que los momentos más difíciles de la crisis económica coinciden con una bajada generalizada de la confianza entre los ciudadanos, esta caída es especialmente aguda en relación a las instituciones nacionales. Al mismo tiempo, una vista a más largo plazo nos ayuda a apreciar que </w:t>
      </w:r>
      <w:r w:rsidRPr="004D1A90">
        <w:rPr>
          <w:rStyle w:val="Textoennegrita"/>
          <w:rFonts w:eastAsiaTheme="majorEastAsia"/>
          <w:b w:val="0"/>
        </w:rPr>
        <w:t>la confianza institucional parece haberse recuperado en los últimos años a niveles pre-crisis</w:t>
      </w:r>
      <w:r w:rsidRPr="004C7D39">
        <w:t>, por lo menos a nivel global de toda la Unión.</w:t>
      </w:r>
    </w:p>
    <w:p w:rsidR="004C7D39" w:rsidRDefault="004C7D39" w:rsidP="004C7D39">
      <w:pPr>
        <w:pStyle w:val="NormalWeb"/>
        <w:shd w:val="clear" w:color="auto" w:fill="F8F8F8"/>
        <w:spacing w:before="0" w:beforeAutospacing="0" w:after="0" w:afterAutospacing="0"/>
        <w:jc w:val="both"/>
      </w:pPr>
      <w:r w:rsidRPr="004C7D39">
        <w:lastRenderedPageBreak/>
        <w:t>Esta perspectiva nos permite también observar otra dinámica que no parece haber cambiado sustancialmente con la crisis: </w:t>
      </w:r>
      <w:r w:rsidRPr="004D1A90">
        <w:rPr>
          <w:rStyle w:val="Textoennegrita"/>
          <w:rFonts w:eastAsiaTheme="majorEastAsia"/>
          <w:b w:val="0"/>
        </w:rPr>
        <w:t>el nivel de confianza en la Unión Europea es significativamente más alto que en el Gobierno y los parlamentos nacionales</w:t>
      </w:r>
      <w:r w:rsidRPr="004C7D39">
        <w:t>. A pesar de la distancia, o quizás gracias a ella, los ciudadanos europeos confían más en la primera que en los segundos (en 2018, esta diferencia de media rondaba los 10 puntos porcentuales).</w:t>
      </w:r>
    </w:p>
    <w:p w:rsidR="004C7D39" w:rsidRPr="004C7D39" w:rsidRDefault="004C7D39" w:rsidP="004C7D39">
      <w:pPr>
        <w:pStyle w:val="NormalWeb"/>
        <w:shd w:val="clear" w:color="auto" w:fill="F8F8F8"/>
        <w:spacing w:before="0" w:beforeAutospacing="0" w:after="0" w:afterAutospacing="0"/>
        <w:jc w:val="both"/>
      </w:pPr>
    </w:p>
    <w:p w:rsidR="004C7D39" w:rsidRPr="004C7D39" w:rsidRDefault="004C7D39" w:rsidP="004C7D39">
      <w:pPr>
        <w:shd w:val="clear" w:color="auto" w:fill="F8F8F8"/>
        <w:spacing w:line="240" w:lineRule="auto"/>
        <w:jc w:val="both"/>
        <w:rPr>
          <w:rFonts w:ascii="Times New Roman" w:hAnsi="Times New Roman" w:cs="Times New Roman"/>
          <w:sz w:val="24"/>
          <w:szCs w:val="24"/>
        </w:rPr>
      </w:pPr>
      <w:r w:rsidRPr="004C7D39">
        <w:rPr>
          <w:rFonts w:ascii="Times New Roman" w:hAnsi="Times New Roman" w:cs="Times New Roman"/>
          <w:noProof/>
          <w:sz w:val="24"/>
          <w:szCs w:val="24"/>
        </w:rPr>
        <w:drawing>
          <wp:inline distT="0" distB="0" distL="0" distR="0">
            <wp:extent cx="5181600" cy="3263900"/>
            <wp:effectExtent l="0" t="0" r="0" b="0"/>
            <wp:docPr id="134" name="Imagen 134" descr="http://agendapublica.elpais.com/wp-content/uploads/2019/02/Captura-de-pantalla-2019-02-13-a-las-10.2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agendapublica.elpais.com/wp-content/uploads/2019/02/Captura-de-pantalla-2019-02-13-a-las-10.26.29.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181600" cy="3263900"/>
                    </a:xfrm>
                    <a:prstGeom prst="rect">
                      <a:avLst/>
                    </a:prstGeom>
                    <a:noFill/>
                    <a:ln>
                      <a:noFill/>
                    </a:ln>
                  </pic:spPr>
                </pic:pic>
              </a:graphicData>
            </a:graphic>
          </wp:inline>
        </w:drawing>
      </w:r>
    </w:p>
    <w:p w:rsidR="004C7D39" w:rsidRDefault="004C7D39" w:rsidP="004C7D39">
      <w:pPr>
        <w:pStyle w:val="NormalWeb"/>
        <w:shd w:val="clear" w:color="auto" w:fill="F8F8F8"/>
        <w:spacing w:before="0" w:beforeAutospacing="0" w:after="0" w:afterAutospacing="0"/>
        <w:jc w:val="both"/>
      </w:pPr>
      <w:r w:rsidRPr="004C7D39">
        <w:t>Estas tendencias discutidas de conjunto de todos los estados miembros ofrecen un primer contraargumento frente a las declaraciones alarmistas de una crisis de confianza en las instituciones europeas. Sin embargo, para diagnosticar correctamente el problema es necesario desagregar más los datos y ver cómo evoluciona la confianza en los distintos bloques y países de la UE.</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En particular, se señala una peligrosa deriva entre los países del sur de Europa, tradicionalmente más europeístas. Siguiendo una simple categorización de bloques (Sur, Centro-Este, Norte </w:t>
      </w:r>
      <w:r w:rsidRPr="004C7D39">
        <w:rPr>
          <w:rStyle w:val="nfasis"/>
        </w:rPr>
        <w:t>eurozona</w:t>
      </w:r>
      <w:r w:rsidRPr="004C7D39">
        <w:t> y Norte no </w:t>
      </w:r>
      <w:r w:rsidRPr="004C7D39">
        <w:rPr>
          <w:rStyle w:val="nfasis"/>
        </w:rPr>
        <w:t>eurozona</w:t>
      </w:r>
      <w:r w:rsidRPr="004C7D39">
        <w:t>, como se puede ver en el gráfico 2) observamos que, a pesar de que pueda parecer que la confianza en la UE en el Sur es baja (en comparación con el Norte de Europa), ésta sigue siendo significativamente más alta que la que los ciudadanos de estos países depositan en sus instituciones nacionales.</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rPr>
          <w:rStyle w:val="Textoennegrita"/>
          <w:rFonts w:eastAsiaTheme="majorEastAsia"/>
          <w:b w:val="0"/>
        </w:rPr>
      </w:pPr>
      <w:r w:rsidRPr="004C7D39">
        <w:t>El mismo patrón, aunque con una diferencia mucho más marcada, se observa entre los países del Centro y del Este de Europa. La situación es bastante diferente en los países del norte del continente, estén dentro de la </w:t>
      </w:r>
      <w:r w:rsidRPr="004C7D39">
        <w:rPr>
          <w:rStyle w:val="nfasis"/>
        </w:rPr>
        <w:t>zona euro</w:t>
      </w:r>
      <w:r w:rsidRPr="004C7D39">
        <w:t> o no; de tal manera que la confianza en la UE es bastante elevada en gran parte de estos países, al mismo tiempo que lo es su confianza en las instituciones nacionales. Esta observación nos lleva a considerar </w:t>
      </w:r>
      <w:r w:rsidRPr="004D1A90">
        <w:rPr>
          <w:rStyle w:val="Textoennegrita"/>
          <w:rFonts w:eastAsiaTheme="majorEastAsia"/>
          <w:b w:val="0"/>
        </w:rPr>
        <w:t>la importancia del contexto nacional cuando queremos hablar de confianza en la UE.</w:t>
      </w:r>
    </w:p>
    <w:p w:rsidR="004D1A90" w:rsidRDefault="004D1A90" w:rsidP="004C7D39">
      <w:pPr>
        <w:pStyle w:val="NormalWeb"/>
        <w:shd w:val="clear" w:color="auto" w:fill="F8F8F8"/>
        <w:spacing w:before="0" w:beforeAutospacing="0" w:after="0" w:afterAutospacing="0"/>
        <w:jc w:val="both"/>
        <w:rPr>
          <w:rStyle w:val="Textoennegrita"/>
          <w:rFonts w:eastAsiaTheme="majorEastAsia"/>
          <w:b w:val="0"/>
        </w:rPr>
      </w:pPr>
    </w:p>
    <w:p w:rsidR="004D1A90" w:rsidRPr="004D1A90" w:rsidRDefault="004D1A90" w:rsidP="004C7D39">
      <w:pPr>
        <w:pStyle w:val="NormalWeb"/>
        <w:shd w:val="clear" w:color="auto" w:fill="F8F8F8"/>
        <w:spacing w:before="0" w:beforeAutospacing="0" w:after="0" w:afterAutospacing="0"/>
        <w:jc w:val="both"/>
        <w:rPr>
          <w:rStyle w:val="Textoennegrita"/>
          <w:b w:val="0"/>
          <w:bCs w:val="0"/>
        </w:rPr>
      </w:pPr>
      <w:r w:rsidRPr="004C7D39">
        <w:t>Por último, en el gráfico 3 se puede apreciar cómo los niveles de confianza son bastante variables entre los 28 países de la UE. Estas diferencias están condicionadas por trayectorias históricas divergentes, la calidad institucional y la cultura política de cada estado miembro. Individualmente, se destacan dos argumentos que dan cuenta de la relación entre confianza nacional y europea: </w:t>
      </w:r>
      <w:r w:rsidRPr="004C7D39">
        <w:rPr>
          <w:rStyle w:val="nfasis"/>
        </w:rPr>
        <w:t>congruencia</w:t>
      </w:r>
      <w:r w:rsidRPr="004C7D39">
        <w:t> y </w:t>
      </w:r>
      <w:r w:rsidRPr="004C7D39">
        <w:rPr>
          <w:rStyle w:val="nfasis"/>
        </w:rPr>
        <w:t>compensación</w:t>
      </w:r>
      <w:r>
        <w:t>.</w:t>
      </w:r>
    </w:p>
    <w:p w:rsidR="004D1A90" w:rsidRPr="004D1A90" w:rsidRDefault="004D1A90" w:rsidP="004C7D39">
      <w:pPr>
        <w:pStyle w:val="NormalWeb"/>
        <w:shd w:val="clear" w:color="auto" w:fill="F8F8F8"/>
        <w:spacing w:before="0" w:beforeAutospacing="0" w:after="0" w:afterAutospacing="0"/>
        <w:jc w:val="both"/>
        <w:rPr>
          <w:b/>
        </w:rPr>
      </w:pPr>
    </w:p>
    <w:p w:rsidR="004C7D39" w:rsidRPr="004C7D39" w:rsidRDefault="004C7D39" w:rsidP="004C7D39">
      <w:pPr>
        <w:shd w:val="clear" w:color="auto" w:fill="F8F8F8"/>
        <w:spacing w:line="240" w:lineRule="auto"/>
        <w:jc w:val="both"/>
        <w:rPr>
          <w:rFonts w:ascii="Times New Roman" w:hAnsi="Times New Roman" w:cs="Times New Roman"/>
          <w:sz w:val="24"/>
          <w:szCs w:val="24"/>
        </w:rPr>
      </w:pPr>
      <w:r w:rsidRPr="004C7D39">
        <w:rPr>
          <w:rFonts w:ascii="Times New Roman" w:hAnsi="Times New Roman" w:cs="Times New Roman"/>
          <w:noProof/>
          <w:sz w:val="24"/>
          <w:szCs w:val="24"/>
        </w:rPr>
        <w:drawing>
          <wp:inline distT="0" distB="0" distL="0" distR="0">
            <wp:extent cx="5410200" cy="3587750"/>
            <wp:effectExtent l="0" t="0" r="0" b="0"/>
            <wp:docPr id="133" name="Imagen 133" descr="http://agendapublica.elpais.com/wp-content/uploads/2019/02/Captura-de-pantalla-2019-02-13-a-las-10.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agendapublica.elpais.com/wp-content/uploads/2019/02/Captura-de-pantalla-2019-02-13-a-las-10.22.31.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410200" cy="3587750"/>
                    </a:xfrm>
                    <a:prstGeom prst="rect">
                      <a:avLst/>
                    </a:prstGeom>
                    <a:noFill/>
                    <a:ln>
                      <a:noFill/>
                    </a:ln>
                  </pic:spPr>
                </pic:pic>
              </a:graphicData>
            </a:graphic>
          </wp:inline>
        </w:drawing>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En el caso de la </w:t>
      </w:r>
      <w:r w:rsidR="004D1A90" w:rsidRPr="004D1A90">
        <w:t>“</w:t>
      </w:r>
      <w:r w:rsidR="004D1A90">
        <w:t>congruencia”</w:t>
      </w:r>
      <w:r w:rsidRPr="004C7D39">
        <w:t>, se sugiere que los ciudadanos toman como referencia sus instituciones nacionales para formarse una opinión sobre la Unión, en gran parte debido a su falta de conocimiento de las instituciones y los mecanismos de funcionamiento de la UE. De modo que una elevada valoración de las instituciones nacionales da también lugar a una alta evaluación de las instituciones de la Unión.</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Las explicaciones sobre </w:t>
      </w:r>
      <w:hyperlink r:id="rId194" w:history="1">
        <w:r w:rsidR="004D1A90">
          <w:rPr>
            <w:rStyle w:val="Hipervnculo"/>
            <w:color w:val="auto"/>
            <w:u w:val="none"/>
          </w:rPr>
          <w:t>“</w:t>
        </w:r>
      </w:hyperlink>
      <w:r w:rsidR="0043396B">
        <w:rPr>
          <w:rStyle w:val="Hipervnculo"/>
          <w:color w:val="auto"/>
          <w:u w:val="none"/>
        </w:rPr>
        <w:t>compensación”</w:t>
      </w:r>
      <w:r w:rsidRPr="004C7D39">
        <w:t>, por el contrario, argumentan que la valoración de la UE es mayor cuanto más reducida es la confianza en las instituciones nacionales. Es un argumento que se fundamenta en la idea de que los ciudadanos toman a la Unión Europea como una posible solución a problemas domésticos tales como corrupción o mala gestión de asuntos políticos o económicos.</w:t>
      </w:r>
    </w:p>
    <w:p w:rsidR="004C7D39" w:rsidRPr="004C7D39" w:rsidRDefault="004C7D39" w:rsidP="004C7D39">
      <w:pPr>
        <w:pStyle w:val="NormalWeb"/>
        <w:shd w:val="clear" w:color="auto" w:fill="F8F8F8"/>
        <w:spacing w:before="0" w:beforeAutospacing="0" w:after="0" w:afterAutospacing="0"/>
        <w:jc w:val="both"/>
      </w:pPr>
    </w:p>
    <w:p w:rsidR="004C7D39" w:rsidRDefault="004C7D39" w:rsidP="004C7D39">
      <w:pPr>
        <w:pStyle w:val="NormalWeb"/>
        <w:shd w:val="clear" w:color="auto" w:fill="F8F8F8"/>
        <w:spacing w:before="0" w:beforeAutospacing="0" w:after="0" w:afterAutospacing="0"/>
        <w:jc w:val="both"/>
      </w:pPr>
      <w:r w:rsidRPr="004C7D39">
        <w:t>Sin duda, de cara a las próximas elecciones al Parlamento Europeo debemos prestar especial atención a los signos de descontento o desafección entre los ciudadanos de la UE. Pero para poder diagnosticar correctamente sus causas y ofrecer soluciones, debemos considerar las actitudes frente a las instituciones europeas como un elemento de un puzle socio-político mucho más complejo. En particular, gracias a investigaciones académicas previas sabemos que gran parte de las diferencias en niveles de confianza en la UE entre países miembros se puede explicar por la influencia de causas individuales y nacionales que quedan ocultas tras intentos de una interpretación descontextualizada.</w:t>
      </w:r>
    </w:p>
    <w:p w:rsidR="004C7D39" w:rsidRDefault="004C7D39" w:rsidP="004C7D39">
      <w:pPr>
        <w:pStyle w:val="NormalWeb"/>
        <w:shd w:val="clear" w:color="auto" w:fill="F8F8F8"/>
        <w:spacing w:before="0" w:beforeAutospacing="0" w:after="0" w:afterAutospacing="0"/>
        <w:jc w:val="both"/>
      </w:pPr>
    </w:p>
    <w:p w:rsidR="000E5CF4" w:rsidRPr="009852CF" w:rsidRDefault="004D1A90" w:rsidP="009852CF">
      <w:pPr>
        <w:pStyle w:val="job"/>
        <w:shd w:val="clear" w:color="auto" w:fill="F8F8F8"/>
        <w:spacing w:before="0" w:beforeAutospacing="0" w:after="0" w:afterAutospacing="0"/>
        <w:jc w:val="both"/>
      </w:pPr>
      <w:r>
        <w:t>(</w:t>
      </w:r>
      <w:r w:rsidR="004C7D39">
        <w:t xml:space="preserve">Aleksandra Sojka </w:t>
      </w:r>
      <w:r w:rsidR="004C7D39" w:rsidRPr="004C7D39">
        <w:t>Investigadora Juan de la Cierva en el Departamento de Ciencias Sociales de la Universidad Carlos III de Madrid</w:t>
      </w:r>
      <w:r>
        <w:t xml:space="preserve">. </w:t>
      </w:r>
      <w:r w:rsidR="004C7D39" w:rsidRPr="004C7D39">
        <w:t>Investigadora visitante (Visiting Scholar) en el Centro de Estudios Europeo</w:t>
      </w:r>
      <w:r>
        <w:t xml:space="preserve">s de la Universidad de Harvard. Juan Antonio Mayoral Díaz-Asensio </w:t>
      </w:r>
      <w:r w:rsidR="004C7D39" w:rsidRPr="004C7D39">
        <w:t>Assistant professor en Derecho y Políticas en iCourts - Centro de Excelencia para Tribunales Internacionales de la Fundación Nacional Danesa de Investigación situado en la Facultad de Derecho de la Universidad de Copenhague</w:t>
      </w:r>
      <w:r>
        <w:t>)</w:t>
      </w:r>
    </w:p>
    <w:sectPr w:rsidR="000E5CF4" w:rsidRPr="009852CF" w:rsidSect="00E13A54">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82C42"/>
    <w:multiLevelType w:val="hybridMultilevel"/>
    <w:tmpl w:val="16E0DEC8"/>
    <w:lvl w:ilvl="0" w:tplc="F6C81F9C">
      <w:start w:val="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02465D4"/>
    <w:multiLevelType w:val="multilevel"/>
    <w:tmpl w:val="A99AF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0A12825"/>
    <w:multiLevelType w:val="multilevel"/>
    <w:tmpl w:val="7C380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E4A44BE"/>
    <w:multiLevelType w:val="hybridMultilevel"/>
    <w:tmpl w:val="8098A9F2"/>
    <w:lvl w:ilvl="0" w:tplc="5C5C9D3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8FA32F2"/>
    <w:multiLevelType w:val="hybridMultilevel"/>
    <w:tmpl w:val="50623620"/>
    <w:lvl w:ilvl="0" w:tplc="BF5A564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FEE7472"/>
    <w:multiLevelType w:val="multilevel"/>
    <w:tmpl w:val="F1F03A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A7401D9"/>
    <w:multiLevelType w:val="hybridMultilevel"/>
    <w:tmpl w:val="A8E62D08"/>
    <w:lvl w:ilvl="0" w:tplc="2230E578">
      <w:start w:val="8"/>
      <w:numFmt w:val="bullet"/>
      <w:lvlText w:val="-"/>
      <w:lvlJc w:val="left"/>
      <w:pPr>
        <w:ind w:left="720" w:hanging="360"/>
      </w:pPr>
      <w:rPr>
        <w:rFonts w:ascii="Times New Roman" w:eastAsia="Times New Roman" w:hAnsi="Times New Roman" w:cs="Times New Roman" w:hint="default"/>
        <w:color w:val="0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C1C1989"/>
    <w:multiLevelType w:val="hybridMultilevel"/>
    <w:tmpl w:val="5CBE74A4"/>
    <w:lvl w:ilvl="0" w:tplc="8E642A4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0F922DE"/>
    <w:multiLevelType w:val="multilevel"/>
    <w:tmpl w:val="937803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1876F8F"/>
    <w:multiLevelType w:val="hybridMultilevel"/>
    <w:tmpl w:val="0C5EE22C"/>
    <w:lvl w:ilvl="0" w:tplc="43243BD6">
      <w:start w:val="8"/>
      <w:numFmt w:val="bullet"/>
      <w:lvlText w:val="-"/>
      <w:lvlJc w:val="left"/>
      <w:pPr>
        <w:ind w:left="720" w:hanging="360"/>
      </w:pPr>
      <w:rPr>
        <w:rFonts w:ascii="Times New Roman" w:eastAsia="Times New Roman" w:hAnsi="Times New Roman" w:cs="Times New Roman" w:hint="default"/>
        <w:b/>
        <w:color w:val="0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630E597C"/>
    <w:multiLevelType w:val="hybridMultilevel"/>
    <w:tmpl w:val="EF425D50"/>
    <w:lvl w:ilvl="0" w:tplc="31B448C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07C0B90"/>
    <w:multiLevelType w:val="hybridMultilevel"/>
    <w:tmpl w:val="A1E8CD3A"/>
    <w:lvl w:ilvl="0" w:tplc="FACC24C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3542660"/>
    <w:multiLevelType w:val="multilevel"/>
    <w:tmpl w:val="E02E0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8"/>
  </w:num>
  <w:num w:numId="3">
    <w:abstractNumId w:val="12"/>
  </w:num>
  <w:num w:numId="4">
    <w:abstractNumId w:val="5"/>
  </w:num>
  <w:num w:numId="5">
    <w:abstractNumId w:val="9"/>
  </w:num>
  <w:num w:numId="6">
    <w:abstractNumId w:val="6"/>
  </w:num>
  <w:num w:numId="7">
    <w:abstractNumId w:val="2"/>
  </w:num>
  <w:num w:numId="8">
    <w:abstractNumId w:val="0"/>
  </w:num>
  <w:num w:numId="9">
    <w:abstractNumId w:val="4"/>
  </w:num>
  <w:num w:numId="10">
    <w:abstractNumId w:val="11"/>
  </w:num>
  <w:num w:numId="11">
    <w:abstractNumId w:val="7"/>
  </w:num>
  <w:num w:numId="12">
    <w:abstractNumId w:val="3"/>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0FC9"/>
    <w:rsid w:val="00023C04"/>
    <w:rsid w:val="00025FDF"/>
    <w:rsid w:val="00034249"/>
    <w:rsid w:val="00036474"/>
    <w:rsid w:val="000417E2"/>
    <w:rsid w:val="000764D1"/>
    <w:rsid w:val="000919EF"/>
    <w:rsid w:val="000A08C4"/>
    <w:rsid w:val="000B44A9"/>
    <w:rsid w:val="000D77A7"/>
    <w:rsid w:val="000E47C1"/>
    <w:rsid w:val="000E5CF4"/>
    <w:rsid w:val="0011160B"/>
    <w:rsid w:val="00125EC1"/>
    <w:rsid w:val="00132726"/>
    <w:rsid w:val="00133FC9"/>
    <w:rsid w:val="00137ECB"/>
    <w:rsid w:val="0015617F"/>
    <w:rsid w:val="00161326"/>
    <w:rsid w:val="00173E4D"/>
    <w:rsid w:val="00174E6A"/>
    <w:rsid w:val="001910F0"/>
    <w:rsid w:val="00191179"/>
    <w:rsid w:val="0019347A"/>
    <w:rsid w:val="001A030D"/>
    <w:rsid w:val="001A15D0"/>
    <w:rsid w:val="001B0DFC"/>
    <w:rsid w:val="001B3F78"/>
    <w:rsid w:val="001B4DF4"/>
    <w:rsid w:val="001B61AC"/>
    <w:rsid w:val="001B69A3"/>
    <w:rsid w:val="001D58E9"/>
    <w:rsid w:val="001E0FC9"/>
    <w:rsid w:val="001F129D"/>
    <w:rsid w:val="00201098"/>
    <w:rsid w:val="00214103"/>
    <w:rsid w:val="00237331"/>
    <w:rsid w:val="00240D1A"/>
    <w:rsid w:val="00244261"/>
    <w:rsid w:val="0025253C"/>
    <w:rsid w:val="00272B0F"/>
    <w:rsid w:val="002870AE"/>
    <w:rsid w:val="002B0609"/>
    <w:rsid w:val="002B6806"/>
    <w:rsid w:val="002C101A"/>
    <w:rsid w:val="002D065F"/>
    <w:rsid w:val="002E5575"/>
    <w:rsid w:val="002E6874"/>
    <w:rsid w:val="00304271"/>
    <w:rsid w:val="003128EA"/>
    <w:rsid w:val="00315CAC"/>
    <w:rsid w:val="003176A0"/>
    <w:rsid w:val="00340607"/>
    <w:rsid w:val="0035299F"/>
    <w:rsid w:val="003622F6"/>
    <w:rsid w:val="00366833"/>
    <w:rsid w:val="00371CE1"/>
    <w:rsid w:val="00375355"/>
    <w:rsid w:val="00383E57"/>
    <w:rsid w:val="003900F9"/>
    <w:rsid w:val="0039280D"/>
    <w:rsid w:val="003D1CB6"/>
    <w:rsid w:val="003E11E9"/>
    <w:rsid w:val="003E2E83"/>
    <w:rsid w:val="003E3589"/>
    <w:rsid w:val="0043396B"/>
    <w:rsid w:val="00440D0E"/>
    <w:rsid w:val="004531DF"/>
    <w:rsid w:val="004A3E65"/>
    <w:rsid w:val="004B3C76"/>
    <w:rsid w:val="004B63EC"/>
    <w:rsid w:val="004C7D39"/>
    <w:rsid w:val="004D144E"/>
    <w:rsid w:val="004D1A90"/>
    <w:rsid w:val="004D78C9"/>
    <w:rsid w:val="004E7BF6"/>
    <w:rsid w:val="005059DE"/>
    <w:rsid w:val="0051461B"/>
    <w:rsid w:val="005175C0"/>
    <w:rsid w:val="00522FAC"/>
    <w:rsid w:val="005500A6"/>
    <w:rsid w:val="00554715"/>
    <w:rsid w:val="005705EF"/>
    <w:rsid w:val="005750E2"/>
    <w:rsid w:val="00582E1D"/>
    <w:rsid w:val="005940D1"/>
    <w:rsid w:val="005A0720"/>
    <w:rsid w:val="005A38F3"/>
    <w:rsid w:val="005F70AA"/>
    <w:rsid w:val="005F7A7F"/>
    <w:rsid w:val="00603A3A"/>
    <w:rsid w:val="0062438B"/>
    <w:rsid w:val="006326B4"/>
    <w:rsid w:val="00632C66"/>
    <w:rsid w:val="00641D7E"/>
    <w:rsid w:val="006462BF"/>
    <w:rsid w:val="006502A3"/>
    <w:rsid w:val="00670E17"/>
    <w:rsid w:val="0068000E"/>
    <w:rsid w:val="00687BA9"/>
    <w:rsid w:val="006A2196"/>
    <w:rsid w:val="006A56EB"/>
    <w:rsid w:val="006A6438"/>
    <w:rsid w:val="006D44BF"/>
    <w:rsid w:val="006E0A10"/>
    <w:rsid w:val="006E5F74"/>
    <w:rsid w:val="006E7E61"/>
    <w:rsid w:val="007172CE"/>
    <w:rsid w:val="0071782C"/>
    <w:rsid w:val="007215A0"/>
    <w:rsid w:val="00730185"/>
    <w:rsid w:val="007336FD"/>
    <w:rsid w:val="00733E38"/>
    <w:rsid w:val="00740DD3"/>
    <w:rsid w:val="0076154A"/>
    <w:rsid w:val="00764C21"/>
    <w:rsid w:val="00784574"/>
    <w:rsid w:val="007946CF"/>
    <w:rsid w:val="007D3C9A"/>
    <w:rsid w:val="007E52DD"/>
    <w:rsid w:val="007F2418"/>
    <w:rsid w:val="007F31C8"/>
    <w:rsid w:val="00814F29"/>
    <w:rsid w:val="00825A59"/>
    <w:rsid w:val="00827BDC"/>
    <w:rsid w:val="00836316"/>
    <w:rsid w:val="00841AD3"/>
    <w:rsid w:val="00850951"/>
    <w:rsid w:val="008647B2"/>
    <w:rsid w:val="008657F0"/>
    <w:rsid w:val="00895465"/>
    <w:rsid w:val="008D1C8A"/>
    <w:rsid w:val="008D39CE"/>
    <w:rsid w:val="00901757"/>
    <w:rsid w:val="009413E4"/>
    <w:rsid w:val="00954739"/>
    <w:rsid w:val="00973B65"/>
    <w:rsid w:val="00975E37"/>
    <w:rsid w:val="009770C4"/>
    <w:rsid w:val="009852CF"/>
    <w:rsid w:val="009D5CA2"/>
    <w:rsid w:val="009E2019"/>
    <w:rsid w:val="00A00613"/>
    <w:rsid w:val="00A11F58"/>
    <w:rsid w:val="00A14D00"/>
    <w:rsid w:val="00A45BE7"/>
    <w:rsid w:val="00A543FA"/>
    <w:rsid w:val="00A55169"/>
    <w:rsid w:val="00A55483"/>
    <w:rsid w:val="00A6787D"/>
    <w:rsid w:val="00A83AA5"/>
    <w:rsid w:val="00A86A8C"/>
    <w:rsid w:val="00AA6CDB"/>
    <w:rsid w:val="00AC2A4F"/>
    <w:rsid w:val="00AE1E48"/>
    <w:rsid w:val="00AE6BCB"/>
    <w:rsid w:val="00B11F2B"/>
    <w:rsid w:val="00B140B8"/>
    <w:rsid w:val="00B160C2"/>
    <w:rsid w:val="00B413F2"/>
    <w:rsid w:val="00B54FCF"/>
    <w:rsid w:val="00B614D8"/>
    <w:rsid w:val="00B805CC"/>
    <w:rsid w:val="00B9297A"/>
    <w:rsid w:val="00BB388E"/>
    <w:rsid w:val="00BC2883"/>
    <w:rsid w:val="00C13914"/>
    <w:rsid w:val="00C3191A"/>
    <w:rsid w:val="00C356A9"/>
    <w:rsid w:val="00C36FBA"/>
    <w:rsid w:val="00C57D91"/>
    <w:rsid w:val="00C602D9"/>
    <w:rsid w:val="00C7503E"/>
    <w:rsid w:val="00CA7F1C"/>
    <w:rsid w:val="00CB712F"/>
    <w:rsid w:val="00CC25B3"/>
    <w:rsid w:val="00CC6881"/>
    <w:rsid w:val="00CD593B"/>
    <w:rsid w:val="00CE79DC"/>
    <w:rsid w:val="00D14A5F"/>
    <w:rsid w:val="00D24641"/>
    <w:rsid w:val="00D861EF"/>
    <w:rsid w:val="00D8766A"/>
    <w:rsid w:val="00D91D3C"/>
    <w:rsid w:val="00DA065E"/>
    <w:rsid w:val="00DB7F4B"/>
    <w:rsid w:val="00E02E20"/>
    <w:rsid w:val="00E06FE5"/>
    <w:rsid w:val="00E12E3B"/>
    <w:rsid w:val="00E13A54"/>
    <w:rsid w:val="00E26053"/>
    <w:rsid w:val="00E35834"/>
    <w:rsid w:val="00E41998"/>
    <w:rsid w:val="00E42144"/>
    <w:rsid w:val="00E42CC6"/>
    <w:rsid w:val="00E641B0"/>
    <w:rsid w:val="00E84FE5"/>
    <w:rsid w:val="00E9179A"/>
    <w:rsid w:val="00E95E6A"/>
    <w:rsid w:val="00EA5A9A"/>
    <w:rsid w:val="00EA63AD"/>
    <w:rsid w:val="00EB4A2A"/>
    <w:rsid w:val="00EB65AD"/>
    <w:rsid w:val="00EC38A9"/>
    <w:rsid w:val="00EC3AC2"/>
    <w:rsid w:val="00ED1B3C"/>
    <w:rsid w:val="00ED4762"/>
    <w:rsid w:val="00EF7E1C"/>
    <w:rsid w:val="00F036E1"/>
    <w:rsid w:val="00F0679B"/>
    <w:rsid w:val="00F26D15"/>
    <w:rsid w:val="00F365A9"/>
    <w:rsid w:val="00F52B32"/>
    <w:rsid w:val="00F725C8"/>
    <w:rsid w:val="00F823E1"/>
    <w:rsid w:val="00F849C3"/>
    <w:rsid w:val="00F91A73"/>
    <w:rsid w:val="00F9340A"/>
    <w:rsid w:val="00F93725"/>
    <w:rsid w:val="00F972B4"/>
    <w:rsid w:val="00FA0D06"/>
    <w:rsid w:val="00FA1A9C"/>
    <w:rsid w:val="00FB6B3C"/>
    <w:rsid w:val="00FD3DF5"/>
    <w:rsid w:val="00FD4A82"/>
    <w:rsid w:val="00FD7E25"/>
    <w:rsid w:val="00FE19B2"/>
    <w:rsid w:val="00FE6E1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0FC9"/>
    <w:rPr>
      <w:rFonts w:eastAsiaTheme="minorEastAsia"/>
      <w:lang w:eastAsia="es-ES"/>
    </w:rPr>
  </w:style>
  <w:style w:type="paragraph" w:styleId="Ttulo1">
    <w:name w:val="heading 1"/>
    <w:basedOn w:val="Normal"/>
    <w:next w:val="Normal"/>
    <w:link w:val="Ttulo1Car"/>
    <w:uiPriority w:val="9"/>
    <w:qFormat/>
    <w:rsid w:val="00023C0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1E0FC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next w:val="Normal"/>
    <w:link w:val="Ttulo3Car"/>
    <w:uiPriority w:val="9"/>
    <w:semiHidden/>
    <w:unhideWhenUsed/>
    <w:qFormat/>
    <w:rsid w:val="00023C04"/>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4531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23C04"/>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1E0FC9"/>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023C04"/>
    <w:rPr>
      <w:rFonts w:asciiTheme="majorHAnsi" w:eastAsiaTheme="majorEastAsia" w:hAnsiTheme="majorHAnsi" w:cstheme="majorBidi"/>
      <w:b/>
      <w:bCs/>
      <w:color w:val="4F81BD" w:themeColor="accent1"/>
      <w:lang w:eastAsia="es-ES"/>
    </w:rPr>
  </w:style>
  <w:style w:type="paragraph" w:styleId="NormalWeb">
    <w:name w:val="Normal (Web)"/>
    <w:basedOn w:val="Normal"/>
    <w:uiPriority w:val="99"/>
    <w:unhideWhenUsed/>
    <w:rsid w:val="001E0FC9"/>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1E0FC9"/>
    <w:rPr>
      <w:b/>
      <w:bCs/>
    </w:rPr>
  </w:style>
  <w:style w:type="paragraph" w:customStyle="1" w:styleId="story-bodyintroduction">
    <w:name w:val="story-body__introduction"/>
    <w:basedOn w:val="Normal"/>
    <w:rsid w:val="001E0FC9"/>
    <w:pPr>
      <w:spacing w:before="100" w:beforeAutospacing="1" w:after="100" w:afterAutospacing="1" w:line="240" w:lineRule="auto"/>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1E0FC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E0FC9"/>
    <w:rPr>
      <w:rFonts w:ascii="Tahoma" w:eastAsiaTheme="minorEastAsia" w:hAnsi="Tahoma" w:cs="Tahoma"/>
      <w:sz w:val="16"/>
      <w:szCs w:val="16"/>
      <w:lang w:eastAsia="es-ES"/>
    </w:rPr>
  </w:style>
  <w:style w:type="character" w:styleId="Hipervnculo">
    <w:name w:val="Hyperlink"/>
    <w:basedOn w:val="Fuentedeprrafopredeter"/>
    <w:uiPriority w:val="99"/>
    <w:semiHidden/>
    <w:unhideWhenUsed/>
    <w:rsid w:val="006A6438"/>
    <w:rPr>
      <w:color w:val="0000FF"/>
      <w:u w:val="single"/>
    </w:rPr>
  </w:style>
  <w:style w:type="paragraph" w:styleId="Prrafodelista">
    <w:name w:val="List Paragraph"/>
    <w:basedOn w:val="Normal"/>
    <w:uiPriority w:val="34"/>
    <w:qFormat/>
    <w:rsid w:val="00366833"/>
    <w:pPr>
      <w:ind w:left="720"/>
      <w:contextualSpacing/>
    </w:pPr>
  </w:style>
  <w:style w:type="character" w:styleId="nfasis">
    <w:name w:val="Emphasis"/>
    <w:basedOn w:val="Fuentedeprrafopredeter"/>
    <w:uiPriority w:val="20"/>
    <w:qFormat/>
    <w:rsid w:val="00023C04"/>
    <w:rPr>
      <w:i/>
      <w:iCs/>
    </w:rPr>
  </w:style>
  <w:style w:type="character" w:customStyle="1" w:styleId="small-caps">
    <w:name w:val="small-caps"/>
    <w:basedOn w:val="Fuentedeprrafopredeter"/>
    <w:rsid w:val="0025253C"/>
  </w:style>
  <w:style w:type="character" w:customStyle="1" w:styleId="anchor-text">
    <w:name w:val="anchor-text"/>
    <w:basedOn w:val="Fuentedeprrafopredeter"/>
    <w:rsid w:val="0025253C"/>
  </w:style>
  <w:style w:type="character" w:customStyle="1" w:styleId="download-link-title">
    <w:name w:val="download-link-title"/>
    <w:basedOn w:val="Fuentedeprrafopredeter"/>
    <w:rsid w:val="0025253C"/>
  </w:style>
  <w:style w:type="character" w:customStyle="1" w:styleId="captions">
    <w:name w:val="captions"/>
    <w:basedOn w:val="Fuentedeprrafopredeter"/>
    <w:rsid w:val="0025253C"/>
  </w:style>
  <w:style w:type="character" w:customStyle="1" w:styleId="label">
    <w:name w:val="label"/>
    <w:basedOn w:val="Fuentedeprrafopredeter"/>
    <w:rsid w:val="0025253C"/>
  </w:style>
  <w:style w:type="paragraph" w:customStyle="1" w:styleId="legend">
    <w:name w:val="legend"/>
    <w:basedOn w:val="Normal"/>
    <w:rsid w:val="002525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ton-contador">
    <w:name w:val="boton-contador"/>
    <w:basedOn w:val="Fuentedeprrafopredeter"/>
    <w:rsid w:val="00F26D15"/>
  </w:style>
  <w:style w:type="character" w:customStyle="1" w:styleId="nombre">
    <w:name w:val="nombre"/>
    <w:basedOn w:val="Fuentedeprrafopredeter"/>
    <w:rsid w:val="00F26D15"/>
  </w:style>
  <w:style w:type="character" w:customStyle="1" w:styleId="Ttulo4Car">
    <w:name w:val="Título 4 Car"/>
    <w:basedOn w:val="Fuentedeprrafopredeter"/>
    <w:link w:val="Ttulo4"/>
    <w:uiPriority w:val="9"/>
    <w:semiHidden/>
    <w:rsid w:val="004531DF"/>
    <w:rPr>
      <w:rFonts w:asciiTheme="majorHAnsi" w:eastAsiaTheme="majorEastAsia" w:hAnsiTheme="majorHAnsi" w:cstheme="majorBidi"/>
      <w:b/>
      <w:bCs/>
      <w:i/>
      <w:iCs/>
      <w:color w:val="4F81BD" w:themeColor="accent1"/>
      <w:lang w:eastAsia="es-ES"/>
    </w:rPr>
  </w:style>
  <w:style w:type="paragraph" w:customStyle="1" w:styleId="post-meta">
    <w:name w:val="post-meta"/>
    <w:basedOn w:val="Normal"/>
    <w:rsid w:val="003E11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ublished">
    <w:name w:val="published"/>
    <w:basedOn w:val="Fuentedeprrafopredeter"/>
    <w:rsid w:val="003E11E9"/>
  </w:style>
  <w:style w:type="paragraph" w:customStyle="1" w:styleId="blocktitle">
    <w:name w:val="block_title"/>
    <w:basedOn w:val="Normal"/>
    <w:rsid w:val="004C7D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job">
    <w:name w:val="job"/>
    <w:basedOn w:val="Normal"/>
    <w:rsid w:val="004C7D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io">
    <w:name w:val="bio"/>
    <w:basedOn w:val="Normal"/>
    <w:rsid w:val="004C7D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ap-license">
    <w:name w:val="map-license"/>
    <w:basedOn w:val="Normal"/>
    <w:rsid w:val="00825A5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to-texto">
    <w:name w:val="foto-texto"/>
    <w:basedOn w:val="Fuentedeprrafopredeter"/>
    <w:rsid w:val="005175C0"/>
  </w:style>
  <w:style w:type="character" w:customStyle="1" w:styleId="apple-converted-space">
    <w:name w:val="apple-converted-space"/>
    <w:basedOn w:val="Fuentedeprrafopredeter"/>
    <w:rsid w:val="003900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0FC9"/>
    <w:rPr>
      <w:rFonts w:eastAsiaTheme="minorEastAsia"/>
      <w:lang w:eastAsia="es-ES"/>
    </w:rPr>
  </w:style>
  <w:style w:type="paragraph" w:styleId="Ttulo1">
    <w:name w:val="heading 1"/>
    <w:basedOn w:val="Normal"/>
    <w:next w:val="Normal"/>
    <w:link w:val="Ttulo1Car"/>
    <w:uiPriority w:val="9"/>
    <w:qFormat/>
    <w:rsid w:val="00023C0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1E0FC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next w:val="Normal"/>
    <w:link w:val="Ttulo3Car"/>
    <w:uiPriority w:val="9"/>
    <w:semiHidden/>
    <w:unhideWhenUsed/>
    <w:qFormat/>
    <w:rsid w:val="00023C04"/>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4531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23C04"/>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1E0FC9"/>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023C04"/>
    <w:rPr>
      <w:rFonts w:asciiTheme="majorHAnsi" w:eastAsiaTheme="majorEastAsia" w:hAnsiTheme="majorHAnsi" w:cstheme="majorBidi"/>
      <w:b/>
      <w:bCs/>
      <w:color w:val="4F81BD" w:themeColor="accent1"/>
      <w:lang w:eastAsia="es-ES"/>
    </w:rPr>
  </w:style>
  <w:style w:type="paragraph" w:styleId="NormalWeb">
    <w:name w:val="Normal (Web)"/>
    <w:basedOn w:val="Normal"/>
    <w:uiPriority w:val="99"/>
    <w:unhideWhenUsed/>
    <w:rsid w:val="001E0FC9"/>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1E0FC9"/>
    <w:rPr>
      <w:b/>
      <w:bCs/>
    </w:rPr>
  </w:style>
  <w:style w:type="paragraph" w:customStyle="1" w:styleId="story-bodyintroduction">
    <w:name w:val="story-body__introduction"/>
    <w:basedOn w:val="Normal"/>
    <w:rsid w:val="001E0FC9"/>
    <w:pPr>
      <w:spacing w:before="100" w:beforeAutospacing="1" w:after="100" w:afterAutospacing="1" w:line="240" w:lineRule="auto"/>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1E0FC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E0FC9"/>
    <w:rPr>
      <w:rFonts w:ascii="Tahoma" w:eastAsiaTheme="minorEastAsia" w:hAnsi="Tahoma" w:cs="Tahoma"/>
      <w:sz w:val="16"/>
      <w:szCs w:val="16"/>
      <w:lang w:eastAsia="es-ES"/>
    </w:rPr>
  </w:style>
  <w:style w:type="character" w:styleId="Hipervnculo">
    <w:name w:val="Hyperlink"/>
    <w:basedOn w:val="Fuentedeprrafopredeter"/>
    <w:uiPriority w:val="99"/>
    <w:semiHidden/>
    <w:unhideWhenUsed/>
    <w:rsid w:val="006A6438"/>
    <w:rPr>
      <w:color w:val="0000FF"/>
      <w:u w:val="single"/>
    </w:rPr>
  </w:style>
  <w:style w:type="paragraph" w:styleId="Prrafodelista">
    <w:name w:val="List Paragraph"/>
    <w:basedOn w:val="Normal"/>
    <w:uiPriority w:val="34"/>
    <w:qFormat/>
    <w:rsid w:val="00366833"/>
    <w:pPr>
      <w:ind w:left="720"/>
      <w:contextualSpacing/>
    </w:pPr>
  </w:style>
  <w:style w:type="character" w:styleId="nfasis">
    <w:name w:val="Emphasis"/>
    <w:basedOn w:val="Fuentedeprrafopredeter"/>
    <w:uiPriority w:val="20"/>
    <w:qFormat/>
    <w:rsid w:val="00023C04"/>
    <w:rPr>
      <w:i/>
      <w:iCs/>
    </w:rPr>
  </w:style>
  <w:style w:type="character" w:customStyle="1" w:styleId="small-caps">
    <w:name w:val="small-caps"/>
    <w:basedOn w:val="Fuentedeprrafopredeter"/>
    <w:rsid w:val="0025253C"/>
  </w:style>
  <w:style w:type="character" w:customStyle="1" w:styleId="anchor-text">
    <w:name w:val="anchor-text"/>
    <w:basedOn w:val="Fuentedeprrafopredeter"/>
    <w:rsid w:val="0025253C"/>
  </w:style>
  <w:style w:type="character" w:customStyle="1" w:styleId="download-link-title">
    <w:name w:val="download-link-title"/>
    <w:basedOn w:val="Fuentedeprrafopredeter"/>
    <w:rsid w:val="0025253C"/>
  </w:style>
  <w:style w:type="character" w:customStyle="1" w:styleId="captions">
    <w:name w:val="captions"/>
    <w:basedOn w:val="Fuentedeprrafopredeter"/>
    <w:rsid w:val="0025253C"/>
  </w:style>
  <w:style w:type="character" w:customStyle="1" w:styleId="label">
    <w:name w:val="label"/>
    <w:basedOn w:val="Fuentedeprrafopredeter"/>
    <w:rsid w:val="0025253C"/>
  </w:style>
  <w:style w:type="paragraph" w:customStyle="1" w:styleId="legend">
    <w:name w:val="legend"/>
    <w:basedOn w:val="Normal"/>
    <w:rsid w:val="002525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ton-contador">
    <w:name w:val="boton-contador"/>
    <w:basedOn w:val="Fuentedeprrafopredeter"/>
    <w:rsid w:val="00F26D15"/>
  </w:style>
  <w:style w:type="character" w:customStyle="1" w:styleId="nombre">
    <w:name w:val="nombre"/>
    <w:basedOn w:val="Fuentedeprrafopredeter"/>
    <w:rsid w:val="00F26D15"/>
  </w:style>
  <w:style w:type="character" w:customStyle="1" w:styleId="Ttulo4Car">
    <w:name w:val="Título 4 Car"/>
    <w:basedOn w:val="Fuentedeprrafopredeter"/>
    <w:link w:val="Ttulo4"/>
    <w:uiPriority w:val="9"/>
    <w:semiHidden/>
    <w:rsid w:val="004531DF"/>
    <w:rPr>
      <w:rFonts w:asciiTheme="majorHAnsi" w:eastAsiaTheme="majorEastAsia" w:hAnsiTheme="majorHAnsi" w:cstheme="majorBidi"/>
      <w:b/>
      <w:bCs/>
      <w:i/>
      <w:iCs/>
      <w:color w:val="4F81BD" w:themeColor="accent1"/>
      <w:lang w:eastAsia="es-ES"/>
    </w:rPr>
  </w:style>
  <w:style w:type="paragraph" w:customStyle="1" w:styleId="post-meta">
    <w:name w:val="post-meta"/>
    <w:basedOn w:val="Normal"/>
    <w:rsid w:val="003E11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ublished">
    <w:name w:val="published"/>
    <w:basedOn w:val="Fuentedeprrafopredeter"/>
    <w:rsid w:val="003E11E9"/>
  </w:style>
  <w:style w:type="paragraph" w:customStyle="1" w:styleId="blocktitle">
    <w:name w:val="block_title"/>
    <w:basedOn w:val="Normal"/>
    <w:rsid w:val="004C7D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job">
    <w:name w:val="job"/>
    <w:basedOn w:val="Normal"/>
    <w:rsid w:val="004C7D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io">
    <w:name w:val="bio"/>
    <w:basedOn w:val="Normal"/>
    <w:rsid w:val="004C7D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ap-license">
    <w:name w:val="map-license"/>
    <w:basedOn w:val="Normal"/>
    <w:rsid w:val="00825A5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to-texto">
    <w:name w:val="foto-texto"/>
    <w:basedOn w:val="Fuentedeprrafopredeter"/>
    <w:rsid w:val="005175C0"/>
  </w:style>
  <w:style w:type="character" w:customStyle="1" w:styleId="apple-converted-space">
    <w:name w:val="apple-converted-space"/>
    <w:basedOn w:val="Fuentedeprrafopredeter"/>
    <w:rsid w:val="003900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899899">
      <w:bodyDiv w:val="1"/>
      <w:marLeft w:val="0"/>
      <w:marRight w:val="0"/>
      <w:marTop w:val="0"/>
      <w:marBottom w:val="0"/>
      <w:divBdr>
        <w:top w:val="none" w:sz="0" w:space="0" w:color="auto"/>
        <w:left w:val="none" w:sz="0" w:space="0" w:color="auto"/>
        <w:bottom w:val="none" w:sz="0" w:space="0" w:color="auto"/>
        <w:right w:val="none" w:sz="0" w:space="0" w:color="auto"/>
      </w:divBdr>
      <w:divsChild>
        <w:div w:id="169222367">
          <w:marLeft w:val="0"/>
          <w:marRight w:val="0"/>
          <w:marTop w:val="0"/>
          <w:marBottom w:val="0"/>
          <w:divBdr>
            <w:top w:val="none" w:sz="0" w:space="0" w:color="auto"/>
            <w:left w:val="none" w:sz="0" w:space="0" w:color="auto"/>
            <w:bottom w:val="none" w:sz="0" w:space="0" w:color="auto"/>
            <w:right w:val="none" w:sz="0" w:space="0" w:color="auto"/>
          </w:divBdr>
        </w:div>
      </w:divsChild>
    </w:div>
    <w:div w:id="411856186">
      <w:bodyDiv w:val="1"/>
      <w:marLeft w:val="0"/>
      <w:marRight w:val="0"/>
      <w:marTop w:val="0"/>
      <w:marBottom w:val="0"/>
      <w:divBdr>
        <w:top w:val="none" w:sz="0" w:space="0" w:color="auto"/>
        <w:left w:val="none" w:sz="0" w:space="0" w:color="auto"/>
        <w:bottom w:val="none" w:sz="0" w:space="0" w:color="auto"/>
        <w:right w:val="none" w:sz="0" w:space="0" w:color="auto"/>
      </w:divBdr>
    </w:div>
    <w:div w:id="463668185">
      <w:bodyDiv w:val="1"/>
      <w:marLeft w:val="0"/>
      <w:marRight w:val="0"/>
      <w:marTop w:val="0"/>
      <w:marBottom w:val="0"/>
      <w:divBdr>
        <w:top w:val="none" w:sz="0" w:space="0" w:color="auto"/>
        <w:left w:val="none" w:sz="0" w:space="0" w:color="auto"/>
        <w:bottom w:val="none" w:sz="0" w:space="0" w:color="auto"/>
        <w:right w:val="none" w:sz="0" w:space="0" w:color="auto"/>
      </w:divBdr>
      <w:divsChild>
        <w:div w:id="797188639">
          <w:marLeft w:val="0"/>
          <w:marRight w:val="0"/>
          <w:marTop w:val="0"/>
          <w:marBottom w:val="525"/>
          <w:divBdr>
            <w:top w:val="none" w:sz="0" w:space="0" w:color="auto"/>
            <w:left w:val="none" w:sz="0" w:space="0" w:color="auto"/>
            <w:bottom w:val="none" w:sz="0" w:space="0" w:color="auto"/>
            <w:right w:val="none" w:sz="0" w:space="0" w:color="auto"/>
          </w:divBdr>
        </w:div>
      </w:divsChild>
    </w:div>
    <w:div w:id="476803245">
      <w:bodyDiv w:val="1"/>
      <w:marLeft w:val="0"/>
      <w:marRight w:val="0"/>
      <w:marTop w:val="0"/>
      <w:marBottom w:val="0"/>
      <w:divBdr>
        <w:top w:val="none" w:sz="0" w:space="0" w:color="auto"/>
        <w:left w:val="none" w:sz="0" w:space="0" w:color="auto"/>
        <w:bottom w:val="none" w:sz="0" w:space="0" w:color="auto"/>
        <w:right w:val="none" w:sz="0" w:space="0" w:color="auto"/>
      </w:divBdr>
      <w:divsChild>
        <w:div w:id="1116094281">
          <w:marLeft w:val="0"/>
          <w:marRight w:val="0"/>
          <w:marTop w:val="0"/>
          <w:marBottom w:val="0"/>
          <w:divBdr>
            <w:top w:val="none" w:sz="0" w:space="0" w:color="auto"/>
            <w:left w:val="none" w:sz="0" w:space="0" w:color="auto"/>
            <w:bottom w:val="none" w:sz="0" w:space="0" w:color="auto"/>
            <w:right w:val="none" w:sz="0" w:space="0" w:color="auto"/>
          </w:divBdr>
          <w:divsChild>
            <w:div w:id="1736122661">
              <w:marLeft w:val="0"/>
              <w:marRight w:val="0"/>
              <w:marTop w:val="0"/>
              <w:marBottom w:val="0"/>
              <w:divBdr>
                <w:top w:val="none" w:sz="0" w:space="0" w:color="auto"/>
                <w:left w:val="none" w:sz="0" w:space="0" w:color="auto"/>
                <w:bottom w:val="none" w:sz="0" w:space="0" w:color="auto"/>
                <w:right w:val="none" w:sz="0" w:space="0" w:color="auto"/>
              </w:divBdr>
              <w:divsChild>
                <w:div w:id="1792826152">
                  <w:marLeft w:val="0"/>
                  <w:marRight w:val="0"/>
                  <w:marTop w:val="0"/>
                  <w:marBottom w:val="240"/>
                  <w:divBdr>
                    <w:top w:val="none" w:sz="0" w:space="0" w:color="auto"/>
                    <w:left w:val="none" w:sz="0" w:space="0" w:color="auto"/>
                    <w:bottom w:val="none" w:sz="0" w:space="0" w:color="auto"/>
                    <w:right w:val="none" w:sz="0" w:space="0" w:color="auto"/>
                  </w:divBdr>
                </w:div>
                <w:div w:id="1080056106">
                  <w:marLeft w:val="0"/>
                  <w:marRight w:val="0"/>
                  <w:marTop w:val="0"/>
                  <w:marBottom w:val="240"/>
                  <w:divBdr>
                    <w:top w:val="none" w:sz="0" w:space="0" w:color="auto"/>
                    <w:left w:val="none" w:sz="0" w:space="0" w:color="auto"/>
                    <w:bottom w:val="none" w:sz="0" w:space="0" w:color="auto"/>
                    <w:right w:val="none" w:sz="0" w:space="0" w:color="auto"/>
                  </w:divBdr>
                </w:div>
                <w:div w:id="1220170570">
                  <w:marLeft w:val="0"/>
                  <w:marRight w:val="0"/>
                  <w:marTop w:val="0"/>
                  <w:marBottom w:val="240"/>
                  <w:divBdr>
                    <w:top w:val="none" w:sz="0" w:space="0" w:color="auto"/>
                    <w:left w:val="none" w:sz="0" w:space="0" w:color="auto"/>
                    <w:bottom w:val="none" w:sz="0" w:space="0" w:color="auto"/>
                    <w:right w:val="none" w:sz="0" w:space="0" w:color="auto"/>
                  </w:divBdr>
                </w:div>
              </w:divsChild>
            </w:div>
            <w:div w:id="1971279735">
              <w:marLeft w:val="0"/>
              <w:marRight w:val="0"/>
              <w:marTop w:val="0"/>
              <w:marBottom w:val="0"/>
              <w:divBdr>
                <w:top w:val="none" w:sz="0" w:space="0" w:color="auto"/>
                <w:left w:val="none" w:sz="0" w:space="0" w:color="auto"/>
                <w:bottom w:val="none" w:sz="0" w:space="0" w:color="auto"/>
                <w:right w:val="none" w:sz="0" w:space="0" w:color="auto"/>
              </w:divBdr>
            </w:div>
            <w:div w:id="54474247">
              <w:marLeft w:val="0"/>
              <w:marRight w:val="0"/>
              <w:marTop w:val="0"/>
              <w:marBottom w:val="0"/>
              <w:divBdr>
                <w:top w:val="none" w:sz="0" w:space="0" w:color="auto"/>
                <w:left w:val="none" w:sz="0" w:space="0" w:color="auto"/>
                <w:bottom w:val="none" w:sz="0" w:space="0" w:color="auto"/>
                <w:right w:val="none" w:sz="0" w:space="0" w:color="auto"/>
              </w:divBdr>
              <w:divsChild>
                <w:div w:id="564297520">
                  <w:marLeft w:val="0"/>
                  <w:marRight w:val="15"/>
                  <w:marTop w:val="0"/>
                  <w:marBottom w:val="0"/>
                  <w:divBdr>
                    <w:top w:val="none" w:sz="0" w:space="0" w:color="auto"/>
                    <w:left w:val="none" w:sz="0" w:space="0" w:color="auto"/>
                    <w:bottom w:val="none" w:sz="0" w:space="0" w:color="auto"/>
                    <w:right w:val="none" w:sz="0" w:space="0" w:color="auto"/>
                  </w:divBdr>
                </w:div>
              </w:divsChild>
            </w:div>
          </w:divsChild>
        </w:div>
        <w:div w:id="737946641">
          <w:marLeft w:val="0"/>
          <w:marRight w:val="0"/>
          <w:marTop w:val="0"/>
          <w:marBottom w:val="0"/>
          <w:divBdr>
            <w:top w:val="none" w:sz="0" w:space="0" w:color="auto"/>
            <w:left w:val="none" w:sz="0" w:space="0" w:color="auto"/>
            <w:bottom w:val="none" w:sz="0" w:space="0" w:color="auto"/>
            <w:right w:val="none" w:sz="0" w:space="0" w:color="auto"/>
          </w:divBdr>
          <w:divsChild>
            <w:div w:id="1211186732">
              <w:marLeft w:val="0"/>
              <w:marRight w:val="0"/>
              <w:marTop w:val="0"/>
              <w:marBottom w:val="0"/>
              <w:divBdr>
                <w:top w:val="none" w:sz="0" w:space="0" w:color="auto"/>
                <w:left w:val="none" w:sz="0" w:space="0" w:color="auto"/>
                <w:bottom w:val="none" w:sz="0" w:space="0" w:color="auto"/>
                <w:right w:val="none" w:sz="0" w:space="0" w:color="auto"/>
              </w:divBdr>
              <w:divsChild>
                <w:div w:id="4523110">
                  <w:marLeft w:val="-150"/>
                  <w:marRight w:val="-150"/>
                  <w:marTop w:val="0"/>
                  <w:marBottom w:val="150"/>
                  <w:divBdr>
                    <w:top w:val="none" w:sz="0" w:space="0" w:color="auto"/>
                    <w:left w:val="none" w:sz="0" w:space="0" w:color="auto"/>
                    <w:bottom w:val="none" w:sz="0" w:space="0" w:color="auto"/>
                    <w:right w:val="none" w:sz="0" w:space="0" w:color="auto"/>
                  </w:divBdr>
                  <w:divsChild>
                    <w:div w:id="1079910610">
                      <w:marLeft w:val="0"/>
                      <w:marRight w:val="0"/>
                      <w:marTop w:val="0"/>
                      <w:marBottom w:val="0"/>
                      <w:divBdr>
                        <w:top w:val="none" w:sz="0" w:space="0" w:color="auto"/>
                        <w:left w:val="none" w:sz="0" w:space="0" w:color="auto"/>
                        <w:bottom w:val="none" w:sz="0" w:space="0" w:color="auto"/>
                        <w:right w:val="none" w:sz="0" w:space="0" w:color="auto"/>
                      </w:divBdr>
                      <w:divsChild>
                        <w:div w:id="1628973938">
                          <w:marLeft w:val="0"/>
                          <w:marRight w:val="0"/>
                          <w:marTop w:val="0"/>
                          <w:marBottom w:val="0"/>
                          <w:divBdr>
                            <w:top w:val="single" w:sz="18" w:space="19" w:color="0277BD"/>
                            <w:left w:val="none" w:sz="0" w:space="0" w:color="auto"/>
                            <w:bottom w:val="single" w:sz="18" w:space="16" w:color="0277BD"/>
                            <w:right w:val="none" w:sz="0" w:space="0" w:color="auto"/>
                          </w:divBdr>
                          <w:divsChild>
                            <w:div w:id="1566795636">
                              <w:marLeft w:val="-225"/>
                              <w:marRight w:val="-225"/>
                              <w:marTop w:val="0"/>
                              <w:marBottom w:val="0"/>
                              <w:divBdr>
                                <w:top w:val="none" w:sz="0" w:space="0" w:color="auto"/>
                                <w:left w:val="none" w:sz="0" w:space="0" w:color="auto"/>
                                <w:bottom w:val="none" w:sz="0" w:space="0" w:color="auto"/>
                                <w:right w:val="none" w:sz="0" w:space="0" w:color="auto"/>
                              </w:divBdr>
                              <w:divsChild>
                                <w:div w:id="1687901502">
                                  <w:marLeft w:val="0"/>
                                  <w:marRight w:val="0"/>
                                  <w:marTop w:val="0"/>
                                  <w:marBottom w:val="0"/>
                                  <w:divBdr>
                                    <w:top w:val="none" w:sz="0" w:space="0" w:color="auto"/>
                                    <w:left w:val="none" w:sz="0" w:space="0" w:color="auto"/>
                                    <w:bottom w:val="none" w:sz="0" w:space="0" w:color="auto"/>
                                    <w:right w:val="none" w:sz="0" w:space="0" w:color="auto"/>
                                  </w:divBdr>
                                </w:div>
                                <w:div w:id="112133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295323">
                      <w:marLeft w:val="0"/>
                      <w:marRight w:val="0"/>
                      <w:marTop w:val="0"/>
                      <w:marBottom w:val="0"/>
                      <w:divBdr>
                        <w:top w:val="none" w:sz="0" w:space="0" w:color="auto"/>
                        <w:left w:val="none" w:sz="0" w:space="0" w:color="auto"/>
                        <w:bottom w:val="none" w:sz="0" w:space="0" w:color="auto"/>
                        <w:right w:val="none" w:sz="0" w:space="0" w:color="auto"/>
                      </w:divBdr>
                      <w:divsChild>
                        <w:div w:id="1588228025">
                          <w:marLeft w:val="0"/>
                          <w:marRight w:val="0"/>
                          <w:marTop w:val="0"/>
                          <w:marBottom w:val="0"/>
                          <w:divBdr>
                            <w:top w:val="single" w:sz="18" w:space="19" w:color="0277BD"/>
                            <w:left w:val="none" w:sz="0" w:space="0" w:color="auto"/>
                            <w:bottom w:val="single" w:sz="18" w:space="16" w:color="0277BD"/>
                            <w:right w:val="none" w:sz="0" w:space="0" w:color="auto"/>
                          </w:divBdr>
                          <w:divsChild>
                            <w:div w:id="1609000019">
                              <w:marLeft w:val="-225"/>
                              <w:marRight w:val="-225"/>
                              <w:marTop w:val="0"/>
                              <w:marBottom w:val="0"/>
                              <w:divBdr>
                                <w:top w:val="none" w:sz="0" w:space="0" w:color="auto"/>
                                <w:left w:val="none" w:sz="0" w:space="0" w:color="auto"/>
                                <w:bottom w:val="none" w:sz="0" w:space="0" w:color="auto"/>
                                <w:right w:val="none" w:sz="0" w:space="0" w:color="auto"/>
                              </w:divBdr>
                              <w:divsChild>
                                <w:div w:id="663313805">
                                  <w:marLeft w:val="0"/>
                                  <w:marRight w:val="0"/>
                                  <w:marTop w:val="0"/>
                                  <w:marBottom w:val="0"/>
                                  <w:divBdr>
                                    <w:top w:val="none" w:sz="0" w:space="0" w:color="auto"/>
                                    <w:left w:val="none" w:sz="0" w:space="0" w:color="auto"/>
                                    <w:bottom w:val="none" w:sz="0" w:space="0" w:color="auto"/>
                                    <w:right w:val="none" w:sz="0" w:space="0" w:color="auto"/>
                                  </w:divBdr>
                                </w:div>
                                <w:div w:id="28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8359729">
      <w:bodyDiv w:val="1"/>
      <w:marLeft w:val="0"/>
      <w:marRight w:val="0"/>
      <w:marTop w:val="0"/>
      <w:marBottom w:val="0"/>
      <w:divBdr>
        <w:top w:val="none" w:sz="0" w:space="0" w:color="auto"/>
        <w:left w:val="none" w:sz="0" w:space="0" w:color="auto"/>
        <w:bottom w:val="none" w:sz="0" w:space="0" w:color="auto"/>
        <w:right w:val="none" w:sz="0" w:space="0" w:color="auto"/>
      </w:divBdr>
      <w:divsChild>
        <w:div w:id="1982147236">
          <w:marLeft w:val="0"/>
          <w:marRight w:val="0"/>
          <w:marTop w:val="0"/>
          <w:marBottom w:val="0"/>
          <w:divBdr>
            <w:top w:val="none" w:sz="0" w:space="0" w:color="auto"/>
            <w:left w:val="none" w:sz="0" w:space="0" w:color="auto"/>
            <w:bottom w:val="none" w:sz="0" w:space="0" w:color="auto"/>
            <w:right w:val="none" w:sz="0" w:space="0" w:color="auto"/>
          </w:divBdr>
        </w:div>
        <w:div w:id="270169722">
          <w:marLeft w:val="0"/>
          <w:marRight w:val="0"/>
          <w:marTop w:val="0"/>
          <w:marBottom w:val="0"/>
          <w:divBdr>
            <w:top w:val="none" w:sz="0" w:space="0" w:color="auto"/>
            <w:left w:val="none" w:sz="0" w:space="0" w:color="auto"/>
            <w:bottom w:val="none" w:sz="0" w:space="0" w:color="auto"/>
            <w:right w:val="none" w:sz="0" w:space="0" w:color="auto"/>
          </w:divBdr>
          <w:divsChild>
            <w:div w:id="1173186774">
              <w:marLeft w:val="0"/>
              <w:marRight w:val="0"/>
              <w:marTop w:val="240"/>
              <w:marBottom w:val="240"/>
              <w:divBdr>
                <w:top w:val="single" w:sz="12" w:space="0" w:color="EBEBEB"/>
                <w:left w:val="none" w:sz="0" w:space="0" w:color="auto"/>
                <w:bottom w:val="single" w:sz="12" w:space="0" w:color="EBEBEB"/>
                <w:right w:val="none" w:sz="0" w:space="0" w:color="auto"/>
              </w:divBdr>
              <w:divsChild>
                <w:div w:id="29880499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19265418">
          <w:blockQuote w:val="1"/>
          <w:marLeft w:val="0"/>
          <w:marRight w:val="0"/>
          <w:marTop w:val="0"/>
          <w:marBottom w:val="0"/>
          <w:divBdr>
            <w:top w:val="none" w:sz="0" w:space="0" w:color="auto"/>
            <w:left w:val="none" w:sz="0" w:space="0" w:color="auto"/>
            <w:bottom w:val="none" w:sz="0" w:space="0" w:color="auto"/>
            <w:right w:val="none" w:sz="0" w:space="0" w:color="auto"/>
          </w:divBdr>
        </w:div>
        <w:div w:id="795955357">
          <w:blockQuote w:val="1"/>
          <w:marLeft w:val="0"/>
          <w:marRight w:val="0"/>
          <w:marTop w:val="0"/>
          <w:marBottom w:val="0"/>
          <w:divBdr>
            <w:top w:val="none" w:sz="0" w:space="0" w:color="auto"/>
            <w:left w:val="none" w:sz="0" w:space="0" w:color="auto"/>
            <w:bottom w:val="none" w:sz="0" w:space="0" w:color="auto"/>
            <w:right w:val="none" w:sz="0" w:space="0" w:color="auto"/>
          </w:divBdr>
        </w:div>
        <w:div w:id="35738623">
          <w:marLeft w:val="0"/>
          <w:marRight w:val="0"/>
          <w:marTop w:val="0"/>
          <w:marBottom w:val="0"/>
          <w:divBdr>
            <w:top w:val="none" w:sz="0" w:space="0" w:color="auto"/>
            <w:left w:val="none" w:sz="0" w:space="0" w:color="auto"/>
            <w:bottom w:val="none" w:sz="0" w:space="0" w:color="auto"/>
            <w:right w:val="none" w:sz="0" w:space="0" w:color="auto"/>
          </w:divBdr>
          <w:divsChild>
            <w:div w:id="1664774509">
              <w:marLeft w:val="0"/>
              <w:marRight w:val="0"/>
              <w:marTop w:val="240"/>
              <w:marBottom w:val="240"/>
              <w:divBdr>
                <w:top w:val="single" w:sz="12" w:space="0" w:color="EBEBEB"/>
                <w:left w:val="none" w:sz="0" w:space="0" w:color="auto"/>
                <w:bottom w:val="single" w:sz="12" w:space="0" w:color="EBEBEB"/>
                <w:right w:val="none" w:sz="0" w:space="0" w:color="auto"/>
              </w:divBdr>
              <w:divsChild>
                <w:div w:id="195979614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943920029">
          <w:marLeft w:val="0"/>
          <w:marRight w:val="0"/>
          <w:marTop w:val="0"/>
          <w:marBottom w:val="0"/>
          <w:divBdr>
            <w:top w:val="none" w:sz="0" w:space="0" w:color="auto"/>
            <w:left w:val="none" w:sz="0" w:space="0" w:color="auto"/>
            <w:bottom w:val="none" w:sz="0" w:space="0" w:color="auto"/>
            <w:right w:val="none" w:sz="0" w:space="0" w:color="auto"/>
          </w:divBdr>
          <w:divsChild>
            <w:div w:id="7910518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09846660">
          <w:marLeft w:val="0"/>
          <w:marRight w:val="0"/>
          <w:marTop w:val="0"/>
          <w:marBottom w:val="0"/>
          <w:divBdr>
            <w:top w:val="none" w:sz="0" w:space="0" w:color="auto"/>
            <w:left w:val="none" w:sz="0" w:space="0" w:color="auto"/>
            <w:bottom w:val="none" w:sz="0" w:space="0" w:color="auto"/>
            <w:right w:val="none" w:sz="0" w:space="0" w:color="auto"/>
          </w:divBdr>
          <w:divsChild>
            <w:div w:id="922950842">
              <w:marLeft w:val="0"/>
              <w:marRight w:val="0"/>
              <w:marTop w:val="240"/>
              <w:marBottom w:val="240"/>
              <w:divBdr>
                <w:top w:val="single" w:sz="12" w:space="0" w:color="EBEBEB"/>
                <w:left w:val="none" w:sz="0" w:space="0" w:color="auto"/>
                <w:bottom w:val="single" w:sz="12" w:space="0" w:color="EBEBEB"/>
                <w:right w:val="none" w:sz="0" w:space="0" w:color="auto"/>
              </w:divBdr>
              <w:divsChild>
                <w:div w:id="1688604935">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869076533">
          <w:marLeft w:val="0"/>
          <w:marRight w:val="0"/>
          <w:marTop w:val="0"/>
          <w:marBottom w:val="0"/>
          <w:divBdr>
            <w:top w:val="none" w:sz="0" w:space="0" w:color="auto"/>
            <w:left w:val="none" w:sz="0" w:space="0" w:color="auto"/>
            <w:bottom w:val="none" w:sz="0" w:space="0" w:color="auto"/>
            <w:right w:val="none" w:sz="0" w:space="0" w:color="auto"/>
          </w:divBdr>
        </w:div>
        <w:div w:id="1814525132">
          <w:marLeft w:val="0"/>
          <w:marRight w:val="0"/>
          <w:marTop w:val="0"/>
          <w:marBottom w:val="0"/>
          <w:divBdr>
            <w:top w:val="none" w:sz="0" w:space="0" w:color="auto"/>
            <w:left w:val="none" w:sz="0" w:space="0" w:color="auto"/>
            <w:bottom w:val="none" w:sz="0" w:space="0" w:color="auto"/>
            <w:right w:val="none" w:sz="0" w:space="0" w:color="auto"/>
          </w:divBdr>
          <w:divsChild>
            <w:div w:id="1286740573">
              <w:marLeft w:val="0"/>
              <w:marRight w:val="0"/>
              <w:marTop w:val="240"/>
              <w:marBottom w:val="240"/>
              <w:divBdr>
                <w:top w:val="single" w:sz="12" w:space="0" w:color="EBEBEB"/>
                <w:left w:val="none" w:sz="0" w:space="0" w:color="auto"/>
                <w:bottom w:val="single" w:sz="12" w:space="0" w:color="EBEBEB"/>
                <w:right w:val="none" w:sz="0" w:space="0" w:color="auto"/>
              </w:divBdr>
              <w:divsChild>
                <w:div w:id="196472369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375743966">
          <w:marLeft w:val="0"/>
          <w:marRight w:val="0"/>
          <w:marTop w:val="0"/>
          <w:marBottom w:val="0"/>
          <w:divBdr>
            <w:top w:val="none" w:sz="0" w:space="0" w:color="auto"/>
            <w:left w:val="none" w:sz="0" w:space="0" w:color="auto"/>
            <w:bottom w:val="none" w:sz="0" w:space="0" w:color="auto"/>
            <w:right w:val="none" w:sz="0" w:space="0" w:color="auto"/>
          </w:divBdr>
          <w:divsChild>
            <w:div w:id="53703545">
              <w:marLeft w:val="0"/>
              <w:marRight w:val="0"/>
              <w:marTop w:val="240"/>
              <w:marBottom w:val="240"/>
              <w:divBdr>
                <w:top w:val="single" w:sz="12" w:space="0" w:color="EBEBEB"/>
                <w:left w:val="none" w:sz="0" w:space="0" w:color="auto"/>
                <w:bottom w:val="single" w:sz="12" w:space="0" w:color="EBEBEB"/>
                <w:right w:val="none" w:sz="0" w:space="0" w:color="auto"/>
              </w:divBdr>
              <w:divsChild>
                <w:div w:id="157046369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71312048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651065231">
      <w:bodyDiv w:val="1"/>
      <w:marLeft w:val="0"/>
      <w:marRight w:val="0"/>
      <w:marTop w:val="0"/>
      <w:marBottom w:val="0"/>
      <w:divBdr>
        <w:top w:val="none" w:sz="0" w:space="0" w:color="auto"/>
        <w:left w:val="none" w:sz="0" w:space="0" w:color="auto"/>
        <w:bottom w:val="none" w:sz="0" w:space="0" w:color="auto"/>
        <w:right w:val="none" w:sz="0" w:space="0" w:color="auto"/>
      </w:divBdr>
      <w:divsChild>
        <w:div w:id="1962496905">
          <w:marLeft w:val="0"/>
          <w:marRight w:val="0"/>
          <w:marTop w:val="0"/>
          <w:marBottom w:val="0"/>
          <w:divBdr>
            <w:top w:val="none" w:sz="0" w:space="0" w:color="auto"/>
            <w:left w:val="none" w:sz="0" w:space="0" w:color="auto"/>
            <w:bottom w:val="none" w:sz="0" w:space="0" w:color="auto"/>
            <w:right w:val="none" w:sz="0" w:space="0" w:color="auto"/>
          </w:divBdr>
        </w:div>
        <w:div w:id="137113914">
          <w:marLeft w:val="0"/>
          <w:marRight w:val="0"/>
          <w:marTop w:val="0"/>
          <w:marBottom w:val="0"/>
          <w:divBdr>
            <w:top w:val="none" w:sz="0" w:space="0" w:color="auto"/>
            <w:left w:val="none" w:sz="0" w:space="0" w:color="auto"/>
            <w:bottom w:val="none" w:sz="0" w:space="0" w:color="auto"/>
            <w:right w:val="none" w:sz="0" w:space="0" w:color="auto"/>
          </w:divBdr>
          <w:divsChild>
            <w:div w:id="1400590628">
              <w:marLeft w:val="0"/>
              <w:marRight w:val="0"/>
              <w:marTop w:val="0"/>
              <w:marBottom w:val="0"/>
              <w:divBdr>
                <w:top w:val="none" w:sz="0" w:space="0" w:color="auto"/>
                <w:left w:val="none" w:sz="0" w:space="0" w:color="auto"/>
                <w:bottom w:val="none" w:sz="0" w:space="0" w:color="auto"/>
                <w:right w:val="none" w:sz="0" w:space="0" w:color="auto"/>
              </w:divBdr>
            </w:div>
            <w:div w:id="1817843990">
              <w:marLeft w:val="0"/>
              <w:marRight w:val="0"/>
              <w:marTop w:val="0"/>
              <w:marBottom w:val="0"/>
              <w:divBdr>
                <w:top w:val="none" w:sz="0" w:space="0" w:color="auto"/>
                <w:left w:val="none" w:sz="0" w:space="0" w:color="auto"/>
                <w:bottom w:val="none" w:sz="0" w:space="0" w:color="auto"/>
                <w:right w:val="none" w:sz="0" w:space="0" w:color="auto"/>
              </w:divBdr>
              <w:divsChild>
                <w:div w:id="1681817054">
                  <w:marLeft w:val="0"/>
                  <w:marRight w:val="0"/>
                  <w:marTop w:val="0"/>
                  <w:marBottom w:val="0"/>
                  <w:divBdr>
                    <w:top w:val="none" w:sz="0" w:space="0" w:color="auto"/>
                    <w:left w:val="none" w:sz="0" w:space="0" w:color="auto"/>
                    <w:bottom w:val="none" w:sz="0" w:space="0" w:color="auto"/>
                    <w:right w:val="none" w:sz="0" w:space="0" w:color="auto"/>
                  </w:divBdr>
                </w:div>
              </w:divsChild>
            </w:div>
            <w:div w:id="238057022">
              <w:marLeft w:val="0"/>
              <w:marRight w:val="0"/>
              <w:marTop w:val="0"/>
              <w:marBottom w:val="0"/>
              <w:divBdr>
                <w:top w:val="none" w:sz="0" w:space="0" w:color="auto"/>
                <w:left w:val="none" w:sz="0" w:space="0" w:color="auto"/>
                <w:bottom w:val="none" w:sz="0" w:space="0" w:color="auto"/>
                <w:right w:val="none" w:sz="0" w:space="0" w:color="auto"/>
              </w:divBdr>
              <w:divsChild>
                <w:div w:id="1974366883">
                  <w:marLeft w:val="0"/>
                  <w:marRight w:val="0"/>
                  <w:marTop w:val="0"/>
                  <w:marBottom w:val="0"/>
                  <w:divBdr>
                    <w:top w:val="none" w:sz="0" w:space="0" w:color="auto"/>
                    <w:left w:val="none" w:sz="0" w:space="0" w:color="auto"/>
                    <w:bottom w:val="none" w:sz="0" w:space="0" w:color="auto"/>
                    <w:right w:val="none" w:sz="0" w:space="0" w:color="auto"/>
                  </w:divBdr>
                </w:div>
              </w:divsChild>
            </w:div>
            <w:div w:id="1213729749">
              <w:marLeft w:val="0"/>
              <w:marRight w:val="0"/>
              <w:marTop w:val="0"/>
              <w:marBottom w:val="0"/>
              <w:divBdr>
                <w:top w:val="none" w:sz="0" w:space="0" w:color="auto"/>
                <w:left w:val="none" w:sz="0" w:space="0" w:color="auto"/>
                <w:bottom w:val="none" w:sz="0" w:space="0" w:color="auto"/>
                <w:right w:val="none" w:sz="0" w:space="0" w:color="auto"/>
              </w:divBdr>
              <w:divsChild>
                <w:div w:id="1333069146">
                  <w:marLeft w:val="0"/>
                  <w:marRight w:val="0"/>
                  <w:marTop w:val="0"/>
                  <w:marBottom w:val="0"/>
                  <w:divBdr>
                    <w:top w:val="none" w:sz="0" w:space="0" w:color="auto"/>
                    <w:left w:val="none" w:sz="0" w:space="0" w:color="auto"/>
                    <w:bottom w:val="none" w:sz="0" w:space="0" w:color="auto"/>
                    <w:right w:val="none" w:sz="0" w:space="0" w:color="auto"/>
                  </w:divBdr>
                </w:div>
              </w:divsChild>
            </w:div>
            <w:div w:id="29841481">
              <w:marLeft w:val="0"/>
              <w:marRight w:val="0"/>
              <w:marTop w:val="0"/>
              <w:marBottom w:val="0"/>
              <w:divBdr>
                <w:top w:val="none" w:sz="0" w:space="0" w:color="auto"/>
                <w:left w:val="none" w:sz="0" w:space="0" w:color="auto"/>
                <w:bottom w:val="none" w:sz="0" w:space="0" w:color="auto"/>
                <w:right w:val="none" w:sz="0" w:space="0" w:color="auto"/>
              </w:divBdr>
              <w:divsChild>
                <w:div w:id="1757628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655649">
      <w:bodyDiv w:val="1"/>
      <w:marLeft w:val="0"/>
      <w:marRight w:val="0"/>
      <w:marTop w:val="0"/>
      <w:marBottom w:val="0"/>
      <w:divBdr>
        <w:top w:val="none" w:sz="0" w:space="0" w:color="auto"/>
        <w:left w:val="none" w:sz="0" w:space="0" w:color="auto"/>
        <w:bottom w:val="none" w:sz="0" w:space="0" w:color="auto"/>
        <w:right w:val="none" w:sz="0" w:space="0" w:color="auto"/>
      </w:divBdr>
    </w:div>
    <w:div w:id="1038894353">
      <w:bodyDiv w:val="1"/>
      <w:marLeft w:val="0"/>
      <w:marRight w:val="0"/>
      <w:marTop w:val="0"/>
      <w:marBottom w:val="0"/>
      <w:divBdr>
        <w:top w:val="none" w:sz="0" w:space="0" w:color="auto"/>
        <w:left w:val="none" w:sz="0" w:space="0" w:color="auto"/>
        <w:bottom w:val="none" w:sz="0" w:space="0" w:color="auto"/>
        <w:right w:val="none" w:sz="0" w:space="0" w:color="auto"/>
      </w:divBdr>
    </w:div>
    <w:div w:id="1144852299">
      <w:bodyDiv w:val="1"/>
      <w:marLeft w:val="0"/>
      <w:marRight w:val="0"/>
      <w:marTop w:val="0"/>
      <w:marBottom w:val="0"/>
      <w:divBdr>
        <w:top w:val="none" w:sz="0" w:space="0" w:color="auto"/>
        <w:left w:val="none" w:sz="0" w:space="0" w:color="auto"/>
        <w:bottom w:val="none" w:sz="0" w:space="0" w:color="auto"/>
        <w:right w:val="none" w:sz="0" w:space="0" w:color="auto"/>
      </w:divBdr>
      <w:divsChild>
        <w:div w:id="246237085">
          <w:marLeft w:val="0"/>
          <w:marRight w:val="0"/>
          <w:marTop w:val="0"/>
          <w:marBottom w:val="0"/>
          <w:divBdr>
            <w:top w:val="none" w:sz="0" w:space="0" w:color="auto"/>
            <w:left w:val="none" w:sz="0" w:space="0" w:color="auto"/>
            <w:bottom w:val="none" w:sz="0" w:space="0" w:color="auto"/>
            <w:right w:val="none" w:sz="0" w:space="0" w:color="auto"/>
          </w:divBdr>
          <w:divsChild>
            <w:div w:id="1660420847">
              <w:marLeft w:val="0"/>
              <w:marRight w:val="0"/>
              <w:marTop w:val="0"/>
              <w:marBottom w:val="0"/>
              <w:divBdr>
                <w:top w:val="none" w:sz="0" w:space="0" w:color="auto"/>
                <w:left w:val="none" w:sz="0" w:space="0" w:color="auto"/>
                <w:bottom w:val="none" w:sz="0" w:space="0" w:color="auto"/>
                <w:right w:val="none" w:sz="0" w:space="0" w:color="auto"/>
              </w:divBdr>
            </w:div>
          </w:divsChild>
        </w:div>
        <w:div w:id="813831929">
          <w:marLeft w:val="0"/>
          <w:marRight w:val="0"/>
          <w:marTop w:val="0"/>
          <w:marBottom w:val="0"/>
          <w:divBdr>
            <w:top w:val="single" w:sz="24" w:space="0" w:color="auto"/>
            <w:left w:val="none" w:sz="0" w:space="0" w:color="auto"/>
            <w:bottom w:val="single" w:sz="24" w:space="0" w:color="auto"/>
            <w:right w:val="none" w:sz="0" w:space="0" w:color="auto"/>
          </w:divBdr>
          <w:divsChild>
            <w:div w:id="1173884528">
              <w:marLeft w:val="0"/>
              <w:marRight w:val="0"/>
              <w:marTop w:val="0"/>
              <w:marBottom w:val="0"/>
              <w:divBdr>
                <w:top w:val="none" w:sz="0" w:space="0" w:color="auto"/>
                <w:left w:val="none" w:sz="0" w:space="0" w:color="auto"/>
                <w:bottom w:val="none" w:sz="0" w:space="0" w:color="auto"/>
                <w:right w:val="none" w:sz="0" w:space="0" w:color="auto"/>
              </w:divBdr>
              <w:divsChild>
                <w:div w:id="1860508295">
                  <w:marLeft w:val="0"/>
                  <w:marRight w:val="0"/>
                  <w:marTop w:val="0"/>
                  <w:marBottom w:val="0"/>
                  <w:divBdr>
                    <w:top w:val="none" w:sz="0" w:space="0" w:color="auto"/>
                    <w:left w:val="none" w:sz="0" w:space="0" w:color="auto"/>
                    <w:bottom w:val="none" w:sz="0" w:space="0" w:color="auto"/>
                    <w:right w:val="none" w:sz="0" w:space="0" w:color="auto"/>
                  </w:divBdr>
                </w:div>
              </w:divsChild>
            </w:div>
            <w:div w:id="1734544326">
              <w:marLeft w:val="0"/>
              <w:marRight w:val="0"/>
              <w:marTop w:val="0"/>
              <w:marBottom w:val="0"/>
              <w:divBdr>
                <w:top w:val="none" w:sz="0" w:space="0" w:color="auto"/>
                <w:left w:val="none" w:sz="0" w:space="0" w:color="auto"/>
                <w:bottom w:val="none" w:sz="0" w:space="0" w:color="auto"/>
                <w:right w:val="none" w:sz="0" w:space="0" w:color="auto"/>
              </w:divBdr>
            </w:div>
          </w:divsChild>
        </w:div>
        <w:div w:id="2132244947">
          <w:marLeft w:val="0"/>
          <w:marRight w:val="0"/>
          <w:marTop w:val="0"/>
          <w:marBottom w:val="0"/>
          <w:divBdr>
            <w:top w:val="none" w:sz="0" w:space="0" w:color="auto"/>
            <w:left w:val="none" w:sz="0" w:space="0" w:color="auto"/>
            <w:bottom w:val="none" w:sz="0" w:space="0" w:color="auto"/>
            <w:right w:val="none" w:sz="0" w:space="0" w:color="auto"/>
          </w:divBdr>
          <w:divsChild>
            <w:div w:id="154999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950198">
      <w:bodyDiv w:val="1"/>
      <w:marLeft w:val="0"/>
      <w:marRight w:val="0"/>
      <w:marTop w:val="0"/>
      <w:marBottom w:val="0"/>
      <w:divBdr>
        <w:top w:val="none" w:sz="0" w:space="0" w:color="auto"/>
        <w:left w:val="none" w:sz="0" w:space="0" w:color="auto"/>
        <w:bottom w:val="none" w:sz="0" w:space="0" w:color="auto"/>
        <w:right w:val="none" w:sz="0" w:space="0" w:color="auto"/>
      </w:divBdr>
      <w:divsChild>
        <w:div w:id="508641481">
          <w:marLeft w:val="0"/>
          <w:marRight w:val="0"/>
          <w:marTop w:val="0"/>
          <w:marBottom w:val="525"/>
          <w:divBdr>
            <w:top w:val="none" w:sz="0" w:space="0" w:color="auto"/>
            <w:left w:val="none" w:sz="0" w:space="0" w:color="auto"/>
            <w:bottom w:val="none" w:sz="0" w:space="0" w:color="auto"/>
            <w:right w:val="none" w:sz="0" w:space="0" w:color="auto"/>
          </w:divBdr>
        </w:div>
      </w:divsChild>
    </w:div>
    <w:div w:id="1911305834">
      <w:bodyDiv w:val="1"/>
      <w:marLeft w:val="0"/>
      <w:marRight w:val="0"/>
      <w:marTop w:val="0"/>
      <w:marBottom w:val="0"/>
      <w:divBdr>
        <w:top w:val="none" w:sz="0" w:space="0" w:color="auto"/>
        <w:left w:val="none" w:sz="0" w:space="0" w:color="auto"/>
        <w:bottom w:val="none" w:sz="0" w:space="0" w:color="auto"/>
        <w:right w:val="none" w:sz="0" w:space="0" w:color="auto"/>
      </w:divBdr>
      <w:divsChild>
        <w:div w:id="1535339220">
          <w:marLeft w:val="0"/>
          <w:marRight w:val="0"/>
          <w:marTop w:val="0"/>
          <w:marBottom w:val="0"/>
          <w:divBdr>
            <w:top w:val="none" w:sz="0" w:space="0" w:color="auto"/>
            <w:left w:val="none" w:sz="0" w:space="0" w:color="auto"/>
            <w:bottom w:val="none" w:sz="0" w:space="0" w:color="auto"/>
            <w:right w:val="none" w:sz="0" w:space="0" w:color="auto"/>
          </w:divBdr>
        </w:div>
      </w:divsChild>
    </w:div>
    <w:div w:id="1953900879">
      <w:bodyDiv w:val="1"/>
      <w:marLeft w:val="0"/>
      <w:marRight w:val="0"/>
      <w:marTop w:val="0"/>
      <w:marBottom w:val="0"/>
      <w:divBdr>
        <w:top w:val="none" w:sz="0" w:space="0" w:color="auto"/>
        <w:left w:val="none" w:sz="0" w:space="0" w:color="auto"/>
        <w:bottom w:val="none" w:sz="0" w:space="0" w:color="auto"/>
        <w:right w:val="none" w:sz="0" w:space="0" w:color="auto"/>
      </w:divBdr>
      <w:divsChild>
        <w:div w:id="345792308">
          <w:marLeft w:val="-225"/>
          <w:marRight w:val="-225"/>
          <w:marTop w:val="0"/>
          <w:marBottom w:val="0"/>
          <w:divBdr>
            <w:top w:val="none" w:sz="0" w:space="0" w:color="auto"/>
            <w:left w:val="none" w:sz="0" w:space="0" w:color="auto"/>
            <w:bottom w:val="none" w:sz="0" w:space="0" w:color="auto"/>
            <w:right w:val="none" w:sz="0" w:space="0" w:color="auto"/>
          </w:divBdr>
          <w:divsChild>
            <w:div w:id="383142594">
              <w:marLeft w:val="0"/>
              <w:marRight w:val="0"/>
              <w:marTop w:val="0"/>
              <w:marBottom w:val="0"/>
              <w:divBdr>
                <w:top w:val="none" w:sz="0" w:space="0" w:color="auto"/>
                <w:left w:val="none" w:sz="0" w:space="0" w:color="auto"/>
                <w:bottom w:val="none" w:sz="0" w:space="0" w:color="auto"/>
                <w:right w:val="none" w:sz="0" w:space="0" w:color="auto"/>
              </w:divBdr>
              <w:divsChild>
                <w:div w:id="1872063973">
                  <w:marLeft w:val="0"/>
                  <w:marRight w:val="0"/>
                  <w:marTop w:val="0"/>
                  <w:marBottom w:val="0"/>
                  <w:divBdr>
                    <w:top w:val="none" w:sz="0" w:space="0" w:color="auto"/>
                    <w:left w:val="none" w:sz="0" w:space="0" w:color="auto"/>
                    <w:bottom w:val="none" w:sz="0" w:space="0" w:color="auto"/>
                    <w:right w:val="none" w:sz="0" w:space="0" w:color="auto"/>
                  </w:divBdr>
                  <w:divsChild>
                    <w:div w:id="2121101086">
                      <w:marLeft w:val="0"/>
                      <w:marRight w:val="0"/>
                      <w:marTop w:val="0"/>
                      <w:marBottom w:val="0"/>
                      <w:divBdr>
                        <w:top w:val="none" w:sz="0" w:space="0" w:color="auto"/>
                        <w:left w:val="none" w:sz="0" w:space="0" w:color="auto"/>
                        <w:bottom w:val="none" w:sz="0" w:space="0" w:color="auto"/>
                        <w:right w:val="none" w:sz="0" w:space="0" w:color="auto"/>
                      </w:divBdr>
                      <w:divsChild>
                        <w:div w:id="787435886">
                          <w:marLeft w:val="0"/>
                          <w:marRight w:val="0"/>
                          <w:marTop w:val="0"/>
                          <w:marBottom w:val="0"/>
                          <w:divBdr>
                            <w:top w:val="none" w:sz="0" w:space="0" w:color="auto"/>
                            <w:left w:val="none" w:sz="0" w:space="0" w:color="auto"/>
                            <w:bottom w:val="none" w:sz="0" w:space="0" w:color="auto"/>
                            <w:right w:val="none" w:sz="0" w:space="0" w:color="auto"/>
                          </w:divBdr>
                        </w:div>
                      </w:divsChild>
                    </w:div>
                    <w:div w:id="302588550">
                      <w:marLeft w:val="0"/>
                      <w:marRight w:val="0"/>
                      <w:marTop w:val="0"/>
                      <w:marBottom w:val="0"/>
                      <w:divBdr>
                        <w:top w:val="none" w:sz="0" w:space="0" w:color="auto"/>
                        <w:left w:val="none" w:sz="0" w:space="0" w:color="auto"/>
                        <w:bottom w:val="none" w:sz="0" w:space="0" w:color="auto"/>
                        <w:right w:val="none" w:sz="0" w:space="0" w:color="auto"/>
                      </w:divBdr>
                      <w:divsChild>
                        <w:div w:id="1985818342">
                          <w:marLeft w:val="0"/>
                          <w:marRight w:val="0"/>
                          <w:marTop w:val="0"/>
                          <w:marBottom w:val="0"/>
                          <w:divBdr>
                            <w:top w:val="none" w:sz="0" w:space="0" w:color="auto"/>
                            <w:left w:val="none" w:sz="0" w:space="0" w:color="auto"/>
                            <w:bottom w:val="none" w:sz="0" w:space="0" w:color="auto"/>
                            <w:right w:val="none" w:sz="0" w:space="0" w:color="auto"/>
                          </w:divBdr>
                        </w:div>
                        <w:div w:id="141898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053305">
              <w:marLeft w:val="0"/>
              <w:marRight w:val="0"/>
              <w:marTop w:val="0"/>
              <w:marBottom w:val="0"/>
              <w:divBdr>
                <w:top w:val="none" w:sz="0" w:space="0" w:color="auto"/>
                <w:left w:val="none" w:sz="0" w:space="0" w:color="auto"/>
                <w:bottom w:val="none" w:sz="0" w:space="0" w:color="auto"/>
                <w:right w:val="none" w:sz="0" w:space="0" w:color="auto"/>
              </w:divBdr>
              <w:divsChild>
                <w:div w:id="12677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5.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jpeg"/><Relationship Id="rId138" Type="http://schemas.openxmlformats.org/officeDocument/2006/relationships/image" Target="media/image125.jpeg"/><Relationship Id="rId154" Type="http://schemas.openxmlformats.org/officeDocument/2006/relationships/hyperlink" Target="https://sites.google.com/site/rafaelgonzalezval/" TargetMode="External"/><Relationship Id="rId159" Type="http://schemas.openxmlformats.org/officeDocument/2006/relationships/hyperlink" Target="https://openknowledge.worldbank.org/bitstream/handle/10986/8597/wps3699.pdf?sequence=1" TargetMode="External"/><Relationship Id="rId175" Type="http://schemas.openxmlformats.org/officeDocument/2006/relationships/hyperlink" Target="https://nadaesgratis.es/admin/desigualdad-economica-regional-en-europa-de-donde-venimos-a-donde-vamos-ii" TargetMode="External"/><Relationship Id="rId170" Type="http://schemas.openxmlformats.org/officeDocument/2006/relationships/image" Target="media/image135.png"/><Relationship Id="rId191" Type="http://schemas.openxmlformats.org/officeDocument/2006/relationships/image" Target="media/image143.png"/><Relationship Id="rId196" Type="http://schemas.openxmlformats.org/officeDocument/2006/relationships/theme" Target="theme/theme1.xml"/><Relationship Id="rId16" Type="http://schemas.openxmlformats.org/officeDocument/2006/relationships/image" Target="media/image10.jpeg"/><Relationship Id="rId107" Type="http://schemas.openxmlformats.org/officeDocument/2006/relationships/image" Target="media/image94.png"/><Relationship Id="rId11" Type="http://schemas.openxmlformats.org/officeDocument/2006/relationships/image" Target="media/image6.jpeg"/><Relationship Id="rId32" Type="http://schemas.openxmlformats.org/officeDocument/2006/relationships/image" Target="media/image22.jpeg"/><Relationship Id="rId37" Type="http://schemas.openxmlformats.org/officeDocument/2006/relationships/image" Target="media/image27.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jpeg"/><Relationship Id="rId144" Type="http://schemas.openxmlformats.org/officeDocument/2006/relationships/image" Target="media/image131.jpeg"/><Relationship Id="rId149" Type="http://schemas.openxmlformats.org/officeDocument/2006/relationships/image" Target="media/image133.jpe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hyperlink" Target="http://ec.europa.eu/eurostat/statistics-explained/index.php/Eurostat_regional_yearbook" TargetMode="External"/><Relationship Id="rId165" Type="http://schemas.openxmlformats.org/officeDocument/2006/relationships/hyperlink" Target="http://www.sciencedirect.com/science/article/pii/S0014292116302215" TargetMode="External"/><Relationship Id="rId181" Type="http://schemas.openxmlformats.org/officeDocument/2006/relationships/hyperlink" Target="http://ec.europa.eu/eurostat/statistics-explained/index.php/Eurostat_regional_yearbook" TargetMode="External"/><Relationship Id="rId186" Type="http://schemas.openxmlformats.org/officeDocument/2006/relationships/image" Target="media/image139.png"/><Relationship Id="rId22" Type="http://schemas.openxmlformats.org/officeDocument/2006/relationships/image" Target="media/image16.jpeg"/><Relationship Id="rId27" Type="http://schemas.openxmlformats.org/officeDocument/2006/relationships/image" Target="media/image19.pn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jpeg"/><Relationship Id="rId139" Type="http://schemas.openxmlformats.org/officeDocument/2006/relationships/image" Target="media/image126.jpe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4.jpeg"/><Relationship Id="rId155" Type="http://schemas.openxmlformats.org/officeDocument/2006/relationships/hyperlink" Target="http://www.ehvalencia.es/personal/24-julio-martinez-galarraga" TargetMode="External"/><Relationship Id="rId171" Type="http://schemas.openxmlformats.org/officeDocument/2006/relationships/hyperlink" Target="https://www.gc.cuny.edu/stonecenter/Branko-Milanovic" TargetMode="External"/><Relationship Id="rId176" Type="http://schemas.openxmlformats.org/officeDocument/2006/relationships/hyperlink" Target="http://www.ehvalencia.es/index.php/personal/27-alfonso" TargetMode="External"/><Relationship Id="rId192" Type="http://schemas.openxmlformats.org/officeDocument/2006/relationships/image" Target="media/image144.png"/><Relationship Id="rId12" Type="http://schemas.openxmlformats.org/officeDocument/2006/relationships/hyperlink" Target="https://sig.ville.gouv.fr/atlas/ZUS/" TargetMode="External"/><Relationship Id="rId17" Type="http://schemas.openxmlformats.org/officeDocument/2006/relationships/image" Target="media/image11.jpe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jpe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image" Target="media/image127.jpeg"/><Relationship Id="rId145" Type="http://schemas.openxmlformats.org/officeDocument/2006/relationships/image" Target="media/image132.jpeg"/><Relationship Id="rId161" Type="http://schemas.openxmlformats.org/officeDocument/2006/relationships/hyperlink" Target="https://www.casadellibro.com/libro-la-conquista-pacifica-la-industrializacion-de-europa-1760-1970/9788477333081/397823" TargetMode="External"/><Relationship Id="rId166" Type="http://schemas.openxmlformats.org/officeDocument/2006/relationships/hyperlink" Target="https://scholar.harvard.edu/jwilliamson/home" TargetMode="External"/><Relationship Id="rId182" Type="http://schemas.openxmlformats.org/officeDocument/2006/relationships/hyperlink" Target="https://nadaesgratis.es/wp-content/uploads/map1.png" TargetMode="External"/><Relationship Id="rId187" Type="http://schemas.openxmlformats.org/officeDocument/2006/relationships/image" Target="media/image140.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7.jpeg"/><Relationship Id="rId28" Type="http://schemas.openxmlformats.org/officeDocument/2006/relationships/hyperlink" Target="https://elordenmundial.com/mapas/la-banana-azul-europea/" TargetMode="External"/><Relationship Id="rId49" Type="http://schemas.openxmlformats.org/officeDocument/2006/relationships/hyperlink" Target="https://www.libremercado.com/2019-08-19/alemania-avanza-hacia-la-recesion-y-merkel-baraja-elevar-el-gasto-en-50000-millones-1276643486/" TargetMode="External"/><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4.jpe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jpeg"/><Relationship Id="rId135" Type="http://schemas.openxmlformats.org/officeDocument/2006/relationships/image" Target="media/image122.jpeg"/><Relationship Id="rId151" Type="http://schemas.openxmlformats.org/officeDocument/2006/relationships/hyperlink" Target="https://www.sciencedirect.com/science/article/pii/S0185084917300117" TargetMode="External"/><Relationship Id="rId156" Type="http://schemas.openxmlformats.org/officeDocument/2006/relationships/hyperlink" Target="http://www.ehvalencia.es/personal/33-maria-teresa-sanchis-llopis" TargetMode="External"/><Relationship Id="rId177" Type="http://schemas.openxmlformats.org/officeDocument/2006/relationships/hyperlink" Target="https://sites.google.com/site/rafaelgonzalezval/" TargetMode="External"/><Relationship Id="rId172" Type="http://schemas.openxmlformats.org/officeDocument/2006/relationships/hyperlink" Target="http://www.hup.harvard.edu/catalog.php?isbn=9780674737136" TargetMode="External"/><Relationship Id="rId193" Type="http://schemas.openxmlformats.org/officeDocument/2006/relationships/image" Target="media/image145.pn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29.png"/><Relationship Id="rId109" Type="http://schemas.openxmlformats.org/officeDocument/2006/relationships/image" Target="media/image96.png"/><Relationship Id="rId34" Type="http://schemas.openxmlformats.org/officeDocument/2006/relationships/image" Target="media/image24.jpeg"/><Relationship Id="rId50" Type="http://schemas.openxmlformats.org/officeDocument/2006/relationships/hyperlink" Target="https://www.bloomberg.com/news/articles/2019-11-15/germany-sticks-to-debt-free-budget-despite-calls-for-stimulus" TargetMode="External"/><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jpeg"/><Relationship Id="rId146" Type="http://schemas.openxmlformats.org/officeDocument/2006/relationships/hyperlink" Target="http://ec.europa.eu/eurostat/tgm/table.do?tab=table%26init=1%26language=en%26pcode=tec00115" TargetMode="External"/><Relationship Id="rId167" Type="http://schemas.openxmlformats.org/officeDocument/2006/relationships/hyperlink" Target="http://www.journals.uchicago.edu/doi/abs/10.1086/450136" TargetMode="External"/><Relationship Id="rId188" Type="http://schemas.openxmlformats.org/officeDocument/2006/relationships/image" Target="media/image141.png"/><Relationship Id="rId7" Type="http://schemas.openxmlformats.org/officeDocument/2006/relationships/image" Target="media/image2.jpeg"/><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hyperlink" Target="http://www.ehes.org/EHES_119.pdf" TargetMode="External"/><Relationship Id="rId183" Type="http://schemas.openxmlformats.org/officeDocument/2006/relationships/image" Target="media/image137.png"/><Relationship Id="rId2" Type="http://schemas.openxmlformats.org/officeDocument/2006/relationships/styles" Target="styles.xml"/><Relationship Id="rId29" Type="http://schemas.openxmlformats.org/officeDocument/2006/relationships/hyperlink" Target="https://elordenmundial.com/baviera-entre-la-tradicion-y-la-innovacion/" TargetMode="External"/><Relationship Id="rId24" Type="http://schemas.openxmlformats.org/officeDocument/2006/relationships/image" Target="media/image18.jpe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jpeg"/><Relationship Id="rId136" Type="http://schemas.openxmlformats.org/officeDocument/2006/relationships/image" Target="media/image123.jpeg"/><Relationship Id="rId157" Type="http://schemas.openxmlformats.org/officeDocument/2006/relationships/hyperlink" Target="http://www.ehvalencia.es/index.php/personal/28-daniel-tirado-fabregat" TargetMode="External"/><Relationship Id="rId178" Type="http://schemas.openxmlformats.org/officeDocument/2006/relationships/hyperlink" Target="http://www.ehvalencia.es/personal/24-julio-martinez-galarraga" TargetMode="External"/><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hyperlink" Target="https://nadaesgratis.es/admin/desigualdad-economica-regional-en-europa-de-donde-venimos-a-donde-vamos-i" TargetMode="External"/><Relationship Id="rId173" Type="http://schemas.openxmlformats.org/officeDocument/2006/relationships/hyperlink" Target="https://nadaesgratis.es/wp-content/uploads/des2.png" TargetMode="External"/><Relationship Id="rId194" Type="http://schemas.openxmlformats.org/officeDocument/2006/relationships/hyperlink" Target="https://journals.sagepub.com/doi/10.1177/1465116500001002001" TargetMode="External"/><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0.png"/><Relationship Id="rId35" Type="http://schemas.openxmlformats.org/officeDocument/2006/relationships/image" Target="media/image25.jpe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hyperlink" Target="https://www.sciencedirect.com/science/article/pii/S0185084917300117" TargetMode="External"/><Relationship Id="rId168" Type="http://schemas.openxmlformats.org/officeDocument/2006/relationships/hyperlink" Target="https://en.wikipedia.org/wiki/Kuznets_curve" TargetMode="External"/><Relationship Id="rId8" Type="http://schemas.openxmlformats.org/officeDocument/2006/relationships/image" Target="media/image3.jpeg"/><Relationship Id="rId51" Type="http://schemas.openxmlformats.org/officeDocument/2006/relationships/hyperlink" Target="https://www.libremercado.com/2019-08-23/austeridad-pero-de-verdad-la-deuda-alemana-baja-del-81-al-57-del-pib-desde-2010-1276643548/" TargetMode="External"/><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jpeg"/><Relationship Id="rId163" Type="http://schemas.openxmlformats.org/officeDocument/2006/relationships/hyperlink" Target="http://www.sciencedirect.com/science/article/pii/S0166046209000489" TargetMode="External"/><Relationship Id="rId184" Type="http://schemas.openxmlformats.org/officeDocument/2006/relationships/hyperlink" Target="https://nadaesgratis.es/wp-content/uploads/des3.png" TargetMode="External"/><Relationship Id="rId189" Type="http://schemas.openxmlformats.org/officeDocument/2006/relationships/image" Target="media/image142.jpeg"/><Relationship Id="rId3" Type="http://schemas.microsoft.com/office/2007/relationships/stylesWithEffects" Target="stylesWithEffects.xml"/><Relationship Id="rId25" Type="http://schemas.openxmlformats.org/officeDocument/2006/relationships/hyperlink" Target="http://www.expansion.com/economia-para-todos/economia/que-significa-la-union-fiscal-en-la-union-europea-y-que-repercusiones-tendria-para-nuestro-pais.html" TargetMode="External"/><Relationship Id="rId46" Type="http://schemas.openxmlformats.org/officeDocument/2006/relationships/image" Target="media/image36.jpeg"/><Relationship Id="rId67" Type="http://schemas.openxmlformats.org/officeDocument/2006/relationships/image" Target="media/image54.png"/><Relationship Id="rId116" Type="http://schemas.openxmlformats.org/officeDocument/2006/relationships/image" Target="media/image103.png"/><Relationship Id="rId137" Type="http://schemas.openxmlformats.org/officeDocument/2006/relationships/image" Target="media/image124.jpeg"/><Relationship Id="rId158" Type="http://schemas.openxmlformats.org/officeDocument/2006/relationships/hyperlink" Target="http://economic.xmu.edu.cn/_data/file/59/705/RDE%2050%20year.pdf" TargetMode="External"/><Relationship Id="rId20" Type="http://schemas.openxmlformats.org/officeDocument/2006/relationships/image" Target="media/image14.jpeg"/><Relationship Id="rId41" Type="http://schemas.openxmlformats.org/officeDocument/2006/relationships/image" Target="media/image31.jpe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jpeg"/><Relationship Id="rId153" Type="http://schemas.openxmlformats.org/officeDocument/2006/relationships/hyperlink" Target="http://www.ehvalencia.es/index.php/personal/27-alfonso" TargetMode="External"/><Relationship Id="rId174" Type="http://schemas.openxmlformats.org/officeDocument/2006/relationships/image" Target="media/image136.png"/><Relationship Id="rId179" Type="http://schemas.openxmlformats.org/officeDocument/2006/relationships/hyperlink" Target="http://www.ehvalencia.es/personal/33-maria-teresa-sanchis-llopis" TargetMode="External"/><Relationship Id="rId195" Type="http://schemas.openxmlformats.org/officeDocument/2006/relationships/fontTable" Target="fontTable.xml"/><Relationship Id="rId190" Type="http://schemas.openxmlformats.org/officeDocument/2006/relationships/hyperlink" Target="http://www.europarl.europa.eu/at-your-service/es/be-heard/eurobarometer" TargetMode="External"/><Relationship Id="rId15" Type="http://schemas.openxmlformats.org/officeDocument/2006/relationships/image" Target="media/image9.jpeg"/><Relationship Id="rId36" Type="http://schemas.openxmlformats.org/officeDocument/2006/relationships/image" Target="media/image26.png"/><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5.jpeg"/><Relationship Id="rId31" Type="http://schemas.openxmlformats.org/officeDocument/2006/relationships/image" Target="media/image21.jpe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jpeg"/><Relationship Id="rId148" Type="http://schemas.openxmlformats.org/officeDocument/2006/relationships/hyperlink" Target="https://www.sciencedirect.com/science/article/pii/S0185084917300117" TargetMode="External"/><Relationship Id="rId164" Type="http://schemas.openxmlformats.org/officeDocument/2006/relationships/hyperlink" Target="http://www.sciencedirect.com/science/article/pii/S0304387813001260" TargetMode="External"/><Relationship Id="rId169" Type="http://schemas.openxmlformats.org/officeDocument/2006/relationships/hyperlink" Target="https://nadaesgratis.es/wp-content/uploads/des1.png" TargetMode="External"/><Relationship Id="rId185" Type="http://schemas.openxmlformats.org/officeDocument/2006/relationships/image" Target="media/image138.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hyperlink" Target="http://www.ehvalencia.es/index.php/personal/28-daniel-tirado-fabregat" TargetMode="External"/><Relationship Id="rId26" Type="http://schemas.openxmlformats.org/officeDocument/2006/relationships/hyperlink" Target="https://elordenmundial.com/mapas/asi-ha-cambiado-la-riqueza-en-europa-durante-la-crisis-economica/"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197</Pages>
  <Words>59498</Words>
  <Characters>327240</Characters>
  <Application>Microsoft Office Word</Application>
  <DocSecurity>0</DocSecurity>
  <Lines>2727</Lines>
  <Paragraphs>771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385967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2019-12-19T09:30:00Z</dcterms:created>
  <dcterms:modified xsi:type="dcterms:W3CDTF">2019-12-19T09:30:00Z</dcterms:modified>
</cp:coreProperties>
</file>